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919480</wp:posOffset>
            </wp:positionH>
            <wp:positionV relativeFrom="page">
              <wp:posOffset>766445</wp:posOffset>
            </wp:positionV>
            <wp:extent cx="57175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17540" cy="825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791845</wp:posOffset>
            </wp:positionV>
            <wp:extent cx="57175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7540" cy="8890"/>
                    </a:xfrm>
                    <a:prstGeom prst="rect">
                      <a:avLst/>
                    </a:prstGeom>
                    <a:noFill/>
                  </pic:spPr>
                </pic:pic>
              </a:graphicData>
            </a:graphic>
          </wp:anchor>
        </w:drawing>
        <w:t>UNITED STATES</w:t>
      </w:r>
    </w:p>
    <w:p>
      <w:pPr>
        <w:spacing w:after="0" w:line="58"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66675</wp:posOffset>
            </wp:positionV>
            <wp:extent cx="19113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276" w:lineRule="exact"/>
        <w:rPr>
          <w:sz w:val="24"/>
          <w:szCs w:val="24"/>
          <w:color w:val="auto"/>
        </w:rPr>
      </w:pPr>
    </w:p>
    <w:p>
      <w:pPr>
        <w:jc w:val="center"/>
        <w:ind w:right="-319"/>
        <w:spacing w:after="0"/>
        <w:rPr>
          <w:sz w:val="20"/>
          <w:szCs w:val="20"/>
          <w:color w:val="auto"/>
        </w:rPr>
      </w:pPr>
      <w:r>
        <w:rPr>
          <w:rFonts w:ascii="Arial" w:cs="Arial" w:eastAsia="Arial" w:hAnsi="Arial"/>
          <w:sz w:val="25"/>
          <w:szCs w:val="25"/>
          <w:b w:val="1"/>
          <w:bCs w:val="1"/>
          <w:color w:val="auto"/>
        </w:rPr>
        <w:t>FORM SD</w:t>
      </w:r>
    </w:p>
    <w:p>
      <w:pPr>
        <w:spacing w:after="0" w:line="100"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88900</wp:posOffset>
            </wp:positionV>
            <wp:extent cx="19113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312" w:lineRule="exact"/>
        <w:rPr>
          <w:sz w:val="24"/>
          <w:szCs w:val="24"/>
          <w:color w:val="auto"/>
        </w:rPr>
      </w:pPr>
    </w:p>
    <w:p>
      <w:pPr>
        <w:jc w:val="center"/>
        <w:ind w:right="-319"/>
        <w:spacing w:after="0"/>
        <w:rPr>
          <w:sz w:val="20"/>
          <w:szCs w:val="20"/>
          <w:color w:val="auto"/>
        </w:rPr>
      </w:pPr>
      <w:r>
        <w:rPr>
          <w:rFonts w:ascii="Arial" w:cs="Arial" w:eastAsia="Arial" w:hAnsi="Arial"/>
          <w:sz w:val="36"/>
          <w:szCs w:val="36"/>
          <w:b w:val="1"/>
          <w:bCs w:val="1"/>
          <w:color w:val="auto"/>
        </w:rPr>
        <w:t>COMPASS DIVERSIFIED HOLDINGS</w:t>
      </w:r>
    </w:p>
    <w:p>
      <w:pPr>
        <w:spacing w:after="0" w:line="41"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83185</wp:posOffset>
            </wp:positionV>
            <wp:extent cx="19113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tbl>
      <w:tblPr>
        <w:tblLayout w:type="fixed"/>
        <w:tblInd w:w="1080" w:type="dxa"/>
        <w:tblCellMar>
          <w:top w:w="0" w:type="dxa"/>
          <w:left w:w="0" w:type="dxa"/>
          <w:bottom w:w="0" w:type="dxa"/>
          <w:right w:w="0" w:type="dxa"/>
        </w:tblCellMar>
      </w:tblPr>
      <w:tr>
        <w:trPr>
          <w:trHeight w:val="247"/>
        </w:trPr>
        <w:tc>
          <w:tcPr>
            <w:tcW w:w="3040" w:type="dxa"/>
            <w:vAlign w:val="bottom"/>
          </w:tcPr>
          <w:p>
            <w:pPr>
              <w:jc w:val="center"/>
              <w:ind w:right="742"/>
              <w:spacing w:after="0"/>
              <w:rPr>
                <w:sz w:val="20"/>
                <w:szCs w:val="20"/>
                <w:color w:val="auto"/>
              </w:rPr>
            </w:pPr>
            <w:r>
              <w:rPr>
                <w:rFonts w:ascii="Arial" w:cs="Arial" w:eastAsia="Arial" w:hAnsi="Arial"/>
                <w:sz w:val="18"/>
                <w:szCs w:val="18"/>
                <w:b w:val="1"/>
                <w:bCs w:val="1"/>
                <w:color w:val="auto"/>
                <w:w w:val="98"/>
              </w:rPr>
              <w:t>Delaware</w:t>
            </w:r>
          </w:p>
        </w:tc>
        <w:tc>
          <w:tcPr>
            <w:tcW w:w="3000" w:type="dxa"/>
            <w:vAlign w:val="bottom"/>
          </w:tcPr>
          <w:p>
            <w:pPr>
              <w:jc w:val="center"/>
              <w:ind w:left="102"/>
              <w:spacing w:after="0"/>
              <w:rPr>
                <w:sz w:val="20"/>
                <w:szCs w:val="20"/>
                <w:color w:val="auto"/>
              </w:rPr>
            </w:pPr>
            <w:r>
              <w:rPr>
                <w:rFonts w:ascii="Arial" w:cs="Arial" w:eastAsia="Arial" w:hAnsi="Arial"/>
                <w:sz w:val="18"/>
                <w:szCs w:val="18"/>
                <w:b w:val="1"/>
                <w:bCs w:val="1"/>
                <w:color w:val="auto"/>
                <w:w w:val="99"/>
              </w:rPr>
              <w:t>001-34927</w:t>
            </w:r>
          </w:p>
        </w:tc>
        <w:tc>
          <w:tcPr>
            <w:tcW w:w="2640" w:type="dxa"/>
            <w:vAlign w:val="bottom"/>
          </w:tcPr>
          <w:p>
            <w:pPr>
              <w:jc w:val="center"/>
              <w:ind w:left="1322"/>
              <w:spacing w:after="0"/>
              <w:rPr>
                <w:sz w:val="20"/>
                <w:szCs w:val="20"/>
                <w:color w:val="auto"/>
              </w:rPr>
            </w:pPr>
            <w:r>
              <w:rPr>
                <w:rFonts w:ascii="Arial" w:cs="Arial" w:eastAsia="Arial" w:hAnsi="Arial"/>
                <w:sz w:val="18"/>
                <w:szCs w:val="18"/>
                <w:b w:val="1"/>
                <w:bCs w:val="1"/>
                <w:color w:val="auto"/>
                <w:w w:val="99"/>
              </w:rPr>
              <w:t>57-6218917</w:t>
            </w:r>
          </w:p>
        </w:tc>
      </w:tr>
      <w:tr>
        <w:trPr>
          <w:trHeight w:val="168"/>
        </w:trPr>
        <w:tc>
          <w:tcPr>
            <w:tcW w:w="3040" w:type="dxa"/>
            <w:vAlign w:val="bottom"/>
          </w:tcPr>
          <w:p>
            <w:pPr>
              <w:jc w:val="center"/>
              <w:ind w:right="762"/>
              <w:spacing w:after="0"/>
              <w:rPr>
                <w:sz w:val="20"/>
                <w:szCs w:val="20"/>
                <w:color w:val="auto"/>
              </w:rPr>
            </w:pPr>
            <w:r>
              <w:rPr>
                <w:rFonts w:ascii="Arial" w:cs="Arial" w:eastAsia="Arial" w:hAnsi="Arial"/>
                <w:sz w:val="14"/>
                <w:szCs w:val="14"/>
                <w:b w:val="1"/>
                <w:bCs w:val="1"/>
                <w:color w:val="auto"/>
              </w:rPr>
              <w:t>(State or other jurisdiction</w:t>
            </w:r>
          </w:p>
        </w:tc>
        <w:tc>
          <w:tcPr>
            <w:tcW w:w="3000" w:type="dxa"/>
            <w:vAlign w:val="bottom"/>
          </w:tcPr>
          <w:p>
            <w:pPr>
              <w:jc w:val="center"/>
              <w:ind w:left="102"/>
              <w:spacing w:after="0"/>
              <w:rPr>
                <w:sz w:val="20"/>
                <w:szCs w:val="20"/>
                <w:color w:val="auto"/>
              </w:rPr>
            </w:pPr>
            <w:r>
              <w:rPr>
                <w:rFonts w:ascii="Arial" w:cs="Arial" w:eastAsia="Arial" w:hAnsi="Arial"/>
                <w:sz w:val="14"/>
                <w:szCs w:val="14"/>
                <w:b w:val="1"/>
                <w:bCs w:val="1"/>
                <w:color w:val="auto"/>
              </w:rPr>
              <w:t>(Commission</w:t>
            </w:r>
          </w:p>
        </w:tc>
        <w:tc>
          <w:tcPr>
            <w:tcW w:w="2640" w:type="dxa"/>
            <w:vAlign w:val="bottom"/>
          </w:tcPr>
          <w:p>
            <w:pPr>
              <w:jc w:val="center"/>
              <w:ind w:left="1342"/>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3040" w:type="dxa"/>
            <w:vAlign w:val="bottom"/>
          </w:tcPr>
          <w:p>
            <w:pPr>
              <w:jc w:val="center"/>
              <w:ind w:right="742"/>
              <w:spacing w:after="0"/>
              <w:rPr>
                <w:sz w:val="20"/>
                <w:szCs w:val="20"/>
                <w:color w:val="auto"/>
              </w:rPr>
            </w:pPr>
            <w:r>
              <w:rPr>
                <w:rFonts w:ascii="Arial" w:cs="Arial" w:eastAsia="Arial" w:hAnsi="Arial"/>
                <w:sz w:val="14"/>
                <w:szCs w:val="14"/>
                <w:b w:val="1"/>
                <w:bCs w:val="1"/>
                <w:color w:val="auto"/>
              </w:rPr>
              <w:t>of incorporation or organization)</w:t>
            </w:r>
          </w:p>
        </w:tc>
        <w:tc>
          <w:tcPr>
            <w:tcW w:w="3000" w:type="dxa"/>
            <w:vAlign w:val="bottom"/>
          </w:tcPr>
          <w:p>
            <w:pPr>
              <w:jc w:val="center"/>
              <w:ind w:left="122"/>
              <w:spacing w:after="0"/>
              <w:rPr>
                <w:sz w:val="20"/>
                <w:szCs w:val="20"/>
                <w:color w:val="auto"/>
              </w:rPr>
            </w:pPr>
            <w:r>
              <w:rPr>
                <w:rFonts w:ascii="Arial" w:cs="Arial" w:eastAsia="Arial" w:hAnsi="Arial"/>
                <w:sz w:val="14"/>
                <w:szCs w:val="14"/>
                <w:b w:val="1"/>
                <w:bCs w:val="1"/>
                <w:color w:val="auto"/>
              </w:rPr>
              <w:t>File Number)</w:t>
            </w:r>
          </w:p>
        </w:tc>
        <w:tc>
          <w:tcPr>
            <w:tcW w:w="2640" w:type="dxa"/>
            <w:vAlign w:val="bottom"/>
          </w:tcPr>
          <w:p>
            <w:pPr>
              <w:jc w:val="center"/>
              <w:ind w:left="1342"/>
              <w:spacing w:after="0"/>
              <w:rPr>
                <w:sz w:val="20"/>
                <w:szCs w:val="20"/>
                <w:color w:val="auto"/>
              </w:rPr>
            </w:pPr>
            <w:r>
              <w:rPr>
                <w:rFonts w:ascii="Arial" w:cs="Arial" w:eastAsia="Arial" w:hAnsi="Arial"/>
                <w:sz w:val="14"/>
                <w:szCs w:val="14"/>
                <w:b w:val="1"/>
                <w:bCs w:val="1"/>
                <w:color w:val="auto"/>
              </w:rPr>
              <w:t>Identification No.)</w:t>
            </w:r>
          </w:p>
        </w:tc>
      </w:tr>
      <w:tr>
        <w:trPr>
          <w:trHeight w:val="110"/>
        </w:trPr>
        <w:tc>
          <w:tcPr>
            <w:tcW w:w="3040" w:type="dxa"/>
            <w:vAlign w:val="bottom"/>
          </w:tcPr>
          <w:p>
            <w:pPr>
              <w:spacing w:after="0"/>
              <w:rPr>
                <w:sz w:val="9"/>
                <w:szCs w:val="9"/>
                <w:color w:val="auto"/>
              </w:rPr>
            </w:pPr>
          </w:p>
        </w:tc>
        <w:tc>
          <w:tcPr>
            <w:tcW w:w="3000" w:type="dxa"/>
            <w:vAlign w:val="bottom"/>
            <w:tcBorders>
              <w:bottom w:val="single" w:sz="8" w:color="auto"/>
            </w:tcBorders>
          </w:tcPr>
          <w:p>
            <w:pPr>
              <w:spacing w:after="0"/>
              <w:rPr>
                <w:sz w:val="9"/>
                <w:szCs w:val="9"/>
                <w:color w:val="auto"/>
              </w:rPr>
            </w:pPr>
          </w:p>
        </w:tc>
        <w:tc>
          <w:tcPr>
            <w:tcW w:w="2640" w:type="dxa"/>
            <w:vAlign w:val="bottom"/>
          </w:tcPr>
          <w:p>
            <w:pPr>
              <w:spacing w:after="0"/>
              <w:rPr>
                <w:sz w:val="9"/>
                <w:szCs w:val="9"/>
                <w:color w:val="auto"/>
              </w:rPr>
            </w:pPr>
          </w:p>
        </w:tc>
      </w:tr>
    </w:tbl>
    <w:p>
      <w:pPr>
        <w:spacing w:after="0" w:line="200" w:lineRule="exact"/>
        <w:rPr>
          <w:sz w:val="24"/>
          <w:szCs w:val="24"/>
          <w:color w:val="auto"/>
        </w:rPr>
      </w:pPr>
    </w:p>
    <w:p>
      <w:pPr>
        <w:spacing w:after="0" w:line="221" w:lineRule="exact"/>
        <w:rPr>
          <w:sz w:val="24"/>
          <w:szCs w:val="24"/>
          <w:color w:val="auto"/>
        </w:rPr>
      </w:pPr>
    </w:p>
    <w:p>
      <w:pPr>
        <w:jc w:val="center"/>
        <w:ind w:right="-319"/>
        <w:spacing w:after="0"/>
        <w:rPr>
          <w:sz w:val="20"/>
          <w:szCs w:val="20"/>
          <w:color w:val="auto"/>
        </w:rPr>
      </w:pPr>
      <w:r>
        <w:rPr>
          <w:rFonts w:ascii="Arial" w:cs="Arial" w:eastAsia="Arial" w:hAnsi="Arial"/>
          <w:sz w:val="36"/>
          <w:szCs w:val="36"/>
          <w:b w:val="1"/>
          <w:bCs w:val="1"/>
          <w:color w:val="auto"/>
        </w:rPr>
        <w:t>COMPASS GROUP DIVERSIFIED</w:t>
      </w:r>
    </w:p>
    <w:p>
      <w:pPr>
        <w:spacing w:after="0" w:line="54" w:lineRule="exact"/>
        <w:rPr>
          <w:sz w:val="24"/>
          <w:szCs w:val="24"/>
          <w:color w:val="auto"/>
        </w:rPr>
      </w:pPr>
    </w:p>
    <w:p>
      <w:pPr>
        <w:jc w:val="center"/>
        <w:ind w:right="-319"/>
        <w:spacing w:after="0"/>
        <w:rPr>
          <w:sz w:val="20"/>
          <w:szCs w:val="20"/>
          <w:color w:val="auto"/>
        </w:rPr>
      </w:pPr>
      <w:r>
        <w:rPr>
          <w:rFonts w:ascii="Arial" w:cs="Arial" w:eastAsia="Arial" w:hAnsi="Arial"/>
          <w:sz w:val="36"/>
          <w:szCs w:val="36"/>
          <w:b w:val="1"/>
          <w:bCs w:val="1"/>
          <w:color w:val="auto"/>
        </w:rPr>
        <w:t>HOLDINGS LLC</w:t>
      </w:r>
    </w:p>
    <w:p>
      <w:pPr>
        <w:spacing w:after="0" w:line="5"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109220</wp:posOffset>
            </wp:positionV>
            <wp:extent cx="19113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349" w:lineRule="exact"/>
        <w:rPr>
          <w:sz w:val="24"/>
          <w:szCs w:val="24"/>
          <w:color w:val="auto"/>
        </w:rPr>
      </w:pPr>
    </w:p>
    <w:tbl>
      <w:tblPr>
        <w:tblLayout w:type="fixed"/>
        <w:tblInd w:w="1080" w:type="dxa"/>
        <w:tblCellMar>
          <w:top w:w="0" w:type="dxa"/>
          <w:left w:w="0" w:type="dxa"/>
          <w:bottom w:w="0" w:type="dxa"/>
          <w:right w:w="0" w:type="dxa"/>
        </w:tblCellMar>
      </w:tblPr>
      <w:tr>
        <w:trPr>
          <w:trHeight w:val="247"/>
        </w:trPr>
        <w:tc>
          <w:tcPr>
            <w:tcW w:w="3200" w:type="dxa"/>
            <w:vAlign w:val="bottom"/>
          </w:tcPr>
          <w:p>
            <w:pPr>
              <w:jc w:val="center"/>
              <w:ind w:right="902"/>
              <w:spacing w:after="0"/>
              <w:rPr>
                <w:sz w:val="20"/>
                <w:szCs w:val="20"/>
                <w:color w:val="auto"/>
              </w:rPr>
            </w:pPr>
            <w:r>
              <w:rPr>
                <w:rFonts w:ascii="Arial" w:cs="Arial" w:eastAsia="Arial" w:hAnsi="Arial"/>
                <w:sz w:val="18"/>
                <w:szCs w:val="18"/>
                <w:b w:val="1"/>
                <w:bCs w:val="1"/>
                <w:color w:val="auto"/>
                <w:w w:val="98"/>
              </w:rPr>
              <w:t>Delaware</w:t>
            </w:r>
          </w:p>
        </w:tc>
        <w:tc>
          <w:tcPr>
            <w:tcW w:w="3080" w:type="dxa"/>
            <w:vAlign w:val="bottom"/>
          </w:tcPr>
          <w:p>
            <w:pPr>
              <w:jc w:val="center"/>
              <w:ind w:right="142"/>
              <w:spacing w:after="0"/>
              <w:rPr>
                <w:sz w:val="20"/>
                <w:szCs w:val="20"/>
                <w:color w:val="auto"/>
              </w:rPr>
            </w:pPr>
            <w:r>
              <w:rPr>
                <w:rFonts w:ascii="Arial" w:cs="Arial" w:eastAsia="Arial" w:hAnsi="Arial"/>
                <w:sz w:val="18"/>
                <w:szCs w:val="18"/>
                <w:b w:val="1"/>
                <w:bCs w:val="1"/>
                <w:color w:val="auto"/>
                <w:w w:val="99"/>
              </w:rPr>
              <w:t>001-34926</w:t>
            </w:r>
          </w:p>
        </w:tc>
        <w:tc>
          <w:tcPr>
            <w:tcW w:w="2400" w:type="dxa"/>
            <w:vAlign w:val="bottom"/>
          </w:tcPr>
          <w:p>
            <w:pPr>
              <w:jc w:val="center"/>
              <w:ind w:left="1082"/>
              <w:spacing w:after="0"/>
              <w:rPr>
                <w:sz w:val="20"/>
                <w:szCs w:val="20"/>
                <w:color w:val="auto"/>
              </w:rPr>
            </w:pPr>
            <w:r>
              <w:rPr>
                <w:rFonts w:ascii="Arial" w:cs="Arial" w:eastAsia="Arial" w:hAnsi="Arial"/>
                <w:sz w:val="18"/>
                <w:szCs w:val="18"/>
                <w:b w:val="1"/>
                <w:bCs w:val="1"/>
                <w:color w:val="auto"/>
                <w:w w:val="99"/>
              </w:rPr>
              <w:t>20-3812051</w:t>
            </w:r>
          </w:p>
        </w:tc>
      </w:tr>
      <w:tr>
        <w:trPr>
          <w:trHeight w:val="168"/>
        </w:trPr>
        <w:tc>
          <w:tcPr>
            <w:tcW w:w="3200" w:type="dxa"/>
            <w:vAlign w:val="bottom"/>
          </w:tcPr>
          <w:p>
            <w:pPr>
              <w:jc w:val="center"/>
              <w:ind w:right="922"/>
              <w:spacing w:after="0"/>
              <w:rPr>
                <w:sz w:val="20"/>
                <w:szCs w:val="20"/>
                <w:color w:val="auto"/>
              </w:rPr>
            </w:pPr>
            <w:r>
              <w:rPr>
                <w:rFonts w:ascii="Arial" w:cs="Arial" w:eastAsia="Arial" w:hAnsi="Arial"/>
                <w:sz w:val="14"/>
                <w:szCs w:val="14"/>
                <w:b w:val="1"/>
                <w:bCs w:val="1"/>
                <w:color w:val="auto"/>
              </w:rPr>
              <w:t>(State or other jurisdiction</w:t>
            </w:r>
          </w:p>
        </w:tc>
        <w:tc>
          <w:tcPr>
            <w:tcW w:w="3080" w:type="dxa"/>
            <w:vAlign w:val="bottom"/>
          </w:tcPr>
          <w:p>
            <w:pPr>
              <w:jc w:val="center"/>
              <w:ind w:right="142"/>
              <w:spacing w:after="0"/>
              <w:rPr>
                <w:sz w:val="20"/>
                <w:szCs w:val="20"/>
                <w:color w:val="auto"/>
              </w:rPr>
            </w:pPr>
            <w:r>
              <w:rPr>
                <w:rFonts w:ascii="Arial" w:cs="Arial" w:eastAsia="Arial" w:hAnsi="Arial"/>
                <w:sz w:val="14"/>
                <w:szCs w:val="14"/>
                <w:b w:val="1"/>
                <w:bCs w:val="1"/>
                <w:color w:val="auto"/>
              </w:rPr>
              <w:t>(Commission</w:t>
            </w:r>
          </w:p>
        </w:tc>
        <w:tc>
          <w:tcPr>
            <w:tcW w:w="2400" w:type="dxa"/>
            <w:vAlign w:val="bottom"/>
          </w:tcPr>
          <w:p>
            <w:pPr>
              <w:jc w:val="center"/>
              <w:ind w:left="1102"/>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3200" w:type="dxa"/>
            <w:vAlign w:val="bottom"/>
          </w:tcPr>
          <w:p>
            <w:pPr>
              <w:jc w:val="center"/>
              <w:ind w:right="902"/>
              <w:spacing w:after="0"/>
              <w:rPr>
                <w:sz w:val="20"/>
                <w:szCs w:val="20"/>
                <w:color w:val="auto"/>
              </w:rPr>
            </w:pPr>
            <w:r>
              <w:rPr>
                <w:rFonts w:ascii="Arial" w:cs="Arial" w:eastAsia="Arial" w:hAnsi="Arial"/>
                <w:sz w:val="14"/>
                <w:szCs w:val="14"/>
                <w:b w:val="1"/>
                <w:bCs w:val="1"/>
                <w:color w:val="auto"/>
              </w:rPr>
              <w:t>of incorporation or organization)</w:t>
            </w:r>
          </w:p>
        </w:tc>
        <w:tc>
          <w:tcPr>
            <w:tcW w:w="3080" w:type="dxa"/>
            <w:vAlign w:val="bottom"/>
          </w:tcPr>
          <w:p>
            <w:pPr>
              <w:jc w:val="center"/>
              <w:ind w:right="122"/>
              <w:spacing w:after="0"/>
              <w:rPr>
                <w:sz w:val="20"/>
                <w:szCs w:val="20"/>
                <w:color w:val="auto"/>
              </w:rPr>
            </w:pPr>
            <w:r>
              <w:rPr>
                <w:rFonts w:ascii="Arial" w:cs="Arial" w:eastAsia="Arial" w:hAnsi="Arial"/>
                <w:sz w:val="14"/>
                <w:szCs w:val="14"/>
                <w:b w:val="1"/>
                <w:bCs w:val="1"/>
                <w:color w:val="auto"/>
              </w:rPr>
              <w:t>File Number)</w:t>
            </w:r>
          </w:p>
        </w:tc>
        <w:tc>
          <w:tcPr>
            <w:tcW w:w="2400" w:type="dxa"/>
            <w:vAlign w:val="bottom"/>
          </w:tcPr>
          <w:p>
            <w:pPr>
              <w:jc w:val="center"/>
              <w:ind w:left="1102"/>
              <w:spacing w:after="0"/>
              <w:rPr>
                <w:sz w:val="20"/>
                <w:szCs w:val="20"/>
                <w:color w:val="auto"/>
              </w:rPr>
            </w:pPr>
            <w:r>
              <w:rPr>
                <w:rFonts w:ascii="Arial" w:cs="Arial" w:eastAsia="Arial" w:hAnsi="Arial"/>
                <w:sz w:val="14"/>
                <w:szCs w:val="14"/>
                <w:b w:val="1"/>
                <w:bCs w:val="1"/>
                <w:color w:val="auto"/>
              </w:rPr>
              <w:t>Identification No.)</w:t>
            </w:r>
          </w:p>
        </w:tc>
      </w:tr>
    </w:tbl>
    <w:p>
      <w:pPr>
        <w:spacing w:after="0" w:line="284"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301 Riverside Avenue</w:t>
      </w:r>
    </w:p>
    <w:p>
      <w:pPr>
        <w:spacing w:after="0" w:line="26"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Second Floor</w:t>
      </w:r>
    </w:p>
    <w:p>
      <w:pPr>
        <w:jc w:val="center"/>
        <w:ind w:right="-319"/>
        <w:spacing w:after="0" w:line="236" w:lineRule="auto"/>
        <w:rPr>
          <w:sz w:val="20"/>
          <w:szCs w:val="20"/>
          <w:color w:val="auto"/>
        </w:rPr>
      </w:pPr>
      <w:r>
        <w:rPr>
          <w:rFonts w:ascii="Arial" w:cs="Arial" w:eastAsia="Arial" w:hAnsi="Arial"/>
          <w:sz w:val="22"/>
          <w:szCs w:val="22"/>
          <w:b w:val="1"/>
          <w:bCs w:val="1"/>
          <w:color w:val="auto"/>
        </w:rPr>
        <w:t>Westport, CT 06880</w:t>
      </w:r>
    </w:p>
    <w:p>
      <w:pPr>
        <w:spacing w:after="0" w:line="1" w:lineRule="exact"/>
        <w:rPr>
          <w:sz w:val="24"/>
          <w:szCs w:val="24"/>
          <w:color w:val="auto"/>
        </w:rPr>
      </w:pPr>
    </w:p>
    <w:p>
      <w:pPr>
        <w:jc w:val="center"/>
        <w:ind w:right="-319"/>
        <w:spacing w:after="0"/>
        <w:rPr>
          <w:sz w:val="20"/>
          <w:szCs w:val="20"/>
          <w:color w:val="auto"/>
        </w:rPr>
      </w:pPr>
      <w:r>
        <w:rPr>
          <w:rFonts w:ascii="Arial" w:cs="Arial" w:eastAsia="Arial" w:hAnsi="Arial"/>
          <w:sz w:val="20"/>
          <w:szCs w:val="20"/>
          <w:b w:val="1"/>
          <w:bCs w:val="1"/>
          <w:color w:val="auto"/>
        </w:rPr>
        <w:t>(Address of principal executive offices, including zip code)</w:t>
      </w:r>
    </w:p>
    <w:p>
      <w:pPr>
        <w:spacing w:after="0" w:line="218"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Carrie Ryan, (203) 221-1703</w:t>
      </w:r>
    </w:p>
    <w:p>
      <w:pPr>
        <w:spacing w:after="0" w:line="211" w:lineRule="exact"/>
        <w:rPr>
          <w:sz w:val="24"/>
          <w:szCs w:val="24"/>
          <w:color w:val="auto"/>
        </w:rPr>
      </w:pPr>
    </w:p>
    <w:p>
      <w:pPr>
        <w:ind w:left="600"/>
        <w:spacing w:after="0"/>
        <w:rPr>
          <w:sz w:val="20"/>
          <w:szCs w:val="20"/>
          <w:color w:val="auto"/>
        </w:rPr>
      </w:pPr>
      <w:r>
        <w:rPr>
          <w:rFonts w:ascii="Arial" w:cs="Arial" w:eastAsia="Arial" w:hAnsi="Arial"/>
          <w:sz w:val="20"/>
          <w:szCs w:val="20"/>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92075</wp:posOffset>
            </wp:positionV>
            <wp:extent cx="19113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113" w:lineRule="exact"/>
        <w:rPr>
          <w:sz w:val="24"/>
          <w:szCs w:val="24"/>
          <w:color w:val="auto"/>
        </w:rPr>
      </w:pPr>
    </w:p>
    <w:p>
      <w:pPr>
        <w:ind w:left="1460" w:right="800" w:hanging="282"/>
        <w:spacing w:after="0" w:line="186" w:lineRule="auto"/>
        <w:tabs>
          <w:tab w:leader="none" w:pos="1460" w:val="left"/>
        </w:tabs>
        <w:numPr>
          <w:ilvl w:val="0"/>
          <w:numId w:val="1"/>
        </w:numPr>
        <w:rPr>
          <w:rFonts w:ascii="Arial" w:cs="Arial" w:eastAsia="Arial" w:hAnsi="Arial"/>
          <w:sz w:val="32"/>
          <w:szCs w:val="32"/>
          <w:color w:val="auto"/>
          <w:vertAlign w:val="subscript"/>
        </w:rPr>
      </w:pPr>
      <w:r>
        <w:rPr>
          <w:rFonts w:ascii="Arial" w:cs="Arial" w:eastAsia="Arial" w:hAnsi="Arial"/>
          <w:sz w:val="16"/>
          <w:szCs w:val="16"/>
          <w:color w:val="auto"/>
        </w:rPr>
        <w:t>Rule 13p-1 under the Securities Exchange Act (17 CFR 240.13p-1) for the reporting period from January 1 to December 31, 2025.</w:t>
      </w:r>
    </w:p>
    <w:p>
      <w:pPr>
        <w:spacing w:after="0" w:line="112" w:lineRule="exact"/>
        <w:rPr>
          <w:rFonts w:ascii="Arial" w:cs="Arial" w:eastAsia="Arial" w:hAnsi="Arial"/>
          <w:sz w:val="32"/>
          <w:szCs w:val="32"/>
          <w:color w:val="auto"/>
          <w:vertAlign w:val="subscript"/>
        </w:rPr>
      </w:pPr>
    </w:p>
    <w:p>
      <w:pPr>
        <w:ind w:left="1460"/>
        <w:spacing w:after="0"/>
        <w:rPr>
          <w:rFonts w:ascii="Arial" w:cs="Arial" w:eastAsia="Arial" w:hAnsi="Arial"/>
          <w:sz w:val="32"/>
          <w:szCs w:val="32"/>
          <w:color w:val="auto"/>
          <w:vertAlign w:val="subscript"/>
        </w:rPr>
      </w:pPr>
      <w:r>
        <w:rPr>
          <w:rFonts w:ascii="Arial" w:cs="Arial" w:eastAsia="Arial" w:hAnsi="Arial"/>
          <w:sz w:val="18"/>
          <w:szCs w:val="18"/>
          <w:color w:val="auto"/>
        </w:rPr>
        <w:t>Rule 13q-1 under the Securities Exchange Act (17 CFR 240.13q-1) for the fiscal year ended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57175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175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57175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17540" cy="8890"/>
                    </a:xfrm>
                    <a:prstGeom prst="rect">
                      <a:avLst/>
                    </a:prstGeom>
                    <a:noFill/>
                  </pic:spPr>
                </pic:pic>
              </a:graphicData>
            </a:graphic>
          </wp:anchor>
        </w:drawing>
      </w:r>
    </w:p>
    <w:p>
      <w:pPr>
        <w:sectPr>
          <w:pgSz w:w="11900" w:h="16838" w:orient="portrait"/>
          <w:cols w:equalWidth="0" w:num="1">
            <w:col w:w="10920"/>
          </w:cols>
          <w:pgMar w:left="320" w:top="1419" w:right="6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Minerals Disclosure</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Form SD of Compass Diversified Holdings and Compass Group Diversified Holdings LLC (NYSE: CODI) (collectively, “CODI” or the “Company”) is filed pursuant to Rule 13p-1 under the Securities Exchange Act of 1934, as amended, for the reporting period from January 1, 2025 through December 31, 2025.</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brief description of the Company’s reasonable country of origin inquiry (“RCOI”) process, the results of the Company’s inquiry, and the determination the Company reached as a result of its RCOI process are included in the Company’s Conflict Minerals Report attached as an exhibit to this Form SD.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copy  of  the  Company’s  Conflict  Minerals  Report  is  filed  as  Exhibit  1.01  to  this  Form  SD,  and  is  publicly  available  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https://ir.compassdiversified.com. The content of any website referred to in this Form SD is not incorporated by reference in this Form SD.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8"/>
          <w:szCs w:val="18"/>
          <w:b w:val="1"/>
          <w:bCs w:val="1"/>
          <w:color w:val="auto"/>
        </w:rPr>
        <w:t>tem 1.02 Exhibit</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is hereby filing its Conflict Minerals Report for the calendar year ended December 31, 2025, as required by Item 1.01, as Exhibit 1.01 to this Form SD.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filed as part of this report.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Exhibit 1.01 - Conflict Minerals Report as required by Items 1.01 and 1.02 of this Form.</w:t>
      </w:r>
    </w:p>
    <w:p>
      <w:pPr>
        <w:sectPr>
          <w:pgSz w:w="11900" w:h="16838" w:orient="portrait"/>
          <w:cols w:equalWidth="0" w:num="1">
            <w:col w:w="11240"/>
          </w:cols>
          <w:pgMar w:left="320" w:top="890"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12" w:lineRule="exact"/>
        <w:rPr>
          <w:sz w:val="20"/>
          <w:szCs w:val="20"/>
          <w:color w:val="auto"/>
        </w:rPr>
      </w:pPr>
    </w:p>
    <w:tbl>
      <w:tblPr>
        <w:tblLayout w:type="fixed"/>
        <w:tblInd w:w="1140" w:type="dxa"/>
        <w:tblCellMar>
          <w:top w:w="0" w:type="dxa"/>
          <w:left w:w="0" w:type="dxa"/>
          <w:bottom w:w="0" w:type="dxa"/>
          <w:right w:w="0" w:type="dxa"/>
        </w:tblCellMar>
      </w:tblPr>
      <w:tr>
        <w:trPr>
          <w:trHeight w:val="239"/>
        </w:trPr>
        <w:tc>
          <w:tcPr>
            <w:tcW w:w="2680" w:type="dxa"/>
            <w:vAlign w:val="bottom"/>
          </w:tcPr>
          <w:p>
            <w:pPr>
              <w:spacing w:after="0"/>
              <w:rPr>
                <w:sz w:val="20"/>
                <w:szCs w:val="20"/>
                <w:color w:val="auto"/>
              </w:rPr>
            </w:pPr>
            <w:r>
              <w:rPr>
                <w:rFonts w:ascii="Arial" w:cs="Arial" w:eastAsia="Arial" w:hAnsi="Arial"/>
                <w:sz w:val="18"/>
                <w:szCs w:val="18"/>
                <w:color w:val="auto"/>
              </w:rPr>
              <w:t>Date: May 28, 2026</w:t>
            </w:r>
          </w:p>
        </w:tc>
        <w:tc>
          <w:tcPr>
            <w:tcW w:w="4180" w:type="dxa"/>
            <w:vAlign w:val="bottom"/>
            <w:gridSpan w:val="3"/>
          </w:tcPr>
          <w:p>
            <w:pPr>
              <w:ind w:left="1120"/>
              <w:spacing w:after="0"/>
              <w:rPr>
                <w:sz w:val="20"/>
                <w:szCs w:val="20"/>
                <w:color w:val="auto"/>
              </w:rPr>
            </w:pPr>
            <w:r>
              <w:rPr>
                <w:rFonts w:ascii="Arial" w:cs="Arial" w:eastAsia="Arial" w:hAnsi="Arial"/>
                <w:sz w:val="18"/>
                <w:szCs w:val="18"/>
                <w:color w:val="auto"/>
                <w:w w:val="98"/>
              </w:rPr>
              <w:t>COMPASS DIVERSIFIED HOLDINGS</w:t>
            </w:r>
          </w:p>
        </w:tc>
      </w:tr>
      <w:tr>
        <w:trPr>
          <w:trHeight w:val="388"/>
        </w:trPr>
        <w:tc>
          <w:tcPr>
            <w:tcW w:w="2680" w:type="dxa"/>
            <w:vAlign w:val="bottom"/>
          </w:tcPr>
          <w:p>
            <w:pPr>
              <w:spacing w:after="0"/>
              <w:rPr>
                <w:sz w:val="24"/>
                <w:szCs w:val="24"/>
                <w:color w:val="auto"/>
              </w:rPr>
            </w:pPr>
          </w:p>
        </w:tc>
        <w:tc>
          <w:tcPr>
            <w:tcW w:w="1800" w:type="dxa"/>
            <w:vAlign w:val="bottom"/>
          </w:tcPr>
          <w:p>
            <w:pPr>
              <w:ind w:left="1120"/>
              <w:spacing w:after="0"/>
              <w:rPr>
                <w:sz w:val="20"/>
                <w:szCs w:val="20"/>
                <w:color w:val="auto"/>
              </w:rPr>
            </w:pPr>
            <w:r>
              <w:rPr>
                <w:rFonts w:ascii="Arial" w:cs="Arial" w:eastAsia="Arial" w:hAnsi="Arial"/>
                <w:sz w:val="18"/>
                <w:szCs w:val="18"/>
                <w:color w:val="auto"/>
              </w:rPr>
              <w:t>By:</w:t>
            </w:r>
          </w:p>
        </w:tc>
        <w:tc>
          <w:tcPr>
            <w:tcW w:w="2380" w:type="dxa"/>
            <w:vAlign w:val="bottom"/>
            <w:gridSpan w:val="2"/>
          </w:tcPr>
          <w:p>
            <w:pPr>
              <w:spacing w:after="0"/>
              <w:rPr>
                <w:sz w:val="20"/>
                <w:szCs w:val="20"/>
                <w:color w:val="auto"/>
              </w:rPr>
            </w:pPr>
            <w:r>
              <w:rPr>
                <w:rFonts w:ascii="Arial" w:cs="Arial" w:eastAsia="Arial" w:hAnsi="Arial"/>
                <w:sz w:val="18"/>
                <w:szCs w:val="18"/>
                <w:color w:val="auto"/>
              </w:rPr>
              <w:t>/s/ Stephen Keller</w:t>
            </w:r>
          </w:p>
        </w:tc>
      </w:tr>
      <w:tr>
        <w:trPr>
          <w:trHeight w:val="349"/>
        </w:trPr>
        <w:tc>
          <w:tcPr>
            <w:tcW w:w="26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Stephen Keller</w:t>
            </w:r>
          </w:p>
        </w:tc>
        <w:tc>
          <w:tcPr>
            <w:tcW w:w="960" w:type="dxa"/>
            <w:vAlign w:val="bottom"/>
          </w:tcPr>
          <w:p>
            <w:pPr>
              <w:spacing w:after="0"/>
              <w:rPr>
                <w:sz w:val="24"/>
                <w:szCs w:val="24"/>
                <w:color w:val="auto"/>
              </w:rPr>
            </w:pPr>
          </w:p>
        </w:tc>
      </w:tr>
      <w:tr>
        <w:trPr>
          <w:trHeight w:val="270"/>
        </w:trPr>
        <w:tc>
          <w:tcPr>
            <w:tcW w:w="26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380" w:type="dxa"/>
            <w:vAlign w:val="bottom"/>
            <w:gridSpan w:val="2"/>
          </w:tcPr>
          <w:p>
            <w:pPr>
              <w:spacing w:after="0"/>
              <w:rPr>
                <w:sz w:val="20"/>
                <w:szCs w:val="20"/>
                <w:color w:val="auto"/>
              </w:rPr>
            </w:pPr>
            <w:r>
              <w:rPr>
                <w:rFonts w:ascii="Arial" w:cs="Arial" w:eastAsia="Arial" w:hAnsi="Arial"/>
                <w:sz w:val="18"/>
                <w:szCs w:val="18"/>
                <w:i w:val="1"/>
                <w:iCs w:val="1"/>
                <w:color w:val="auto"/>
              </w:rPr>
              <w:t>Regular Trustee</w:t>
            </w:r>
          </w:p>
        </w:tc>
      </w:tr>
    </w:tbl>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12" w:lineRule="exact"/>
        <w:rPr>
          <w:sz w:val="20"/>
          <w:szCs w:val="20"/>
          <w:color w:val="auto"/>
        </w:rPr>
      </w:pPr>
    </w:p>
    <w:tbl>
      <w:tblPr>
        <w:tblLayout w:type="fixed"/>
        <w:tblInd w:w="1140" w:type="dxa"/>
        <w:tblCellMar>
          <w:top w:w="0" w:type="dxa"/>
          <w:left w:w="0" w:type="dxa"/>
          <w:bottom w:w="0" w:type="dxa"/>
          <w:right w:w="0" w:type="dxa"/>
        </w:tblCellMar>
      </w:tblPr>
      <w:tr>
        <w:trPr>
          <w:trHeight w:val="239"/>
        </w:trPr>
        <w:tc>
          <w:tcPr>
            <w:tcW w:w="2680" w:type="dxa"/>
            <w:vAlign w:val="bottom"/>
          </w:tcPr>
          <w:p>
            <w:pPr>
              <w:spacing w:after="0"/>
              <w:rPr>
                <w:sz w:val="20"/>
                <w:szCs w:val="20"/>
                <w:color w:val="auto"/>
              </w:rPr>
            </w:pPr>
            <w:r>
              <w:rPr>
                <w:rFonts w:ascii="Arial" w:cs="Arial" w:eastAsia="Arial" w:hAnsi="Arial"/>
                <w:sz w:val="18"/>
                <w:szCs w:val="18"/>
                <w:color w:val="auto"/>
              </w:rPr>
              <w:t>Date: May 28, 2026</w:t>
            </w:r>
          </w:p>
        </w:tc>
        <w:tc>
          <w:tcPr>
            <w:tcW w:w="5280" w:type="dxa"/>
            <w:vAlign w:val="bottom"/>
            <w:gridSpan w:val="3"/>
          </w:tcPr>
          <w:p>
            <w:pPr>
              <w:ind w:left="1120"/>
              <w:spacing w:after="0"/>
              <w:rPr>
                <w:sz w:val="20"/>
                <w:szCs w:val="20"/>
                <w:color w:val="auto"/>
              </w:rPr>
            </w:pPr>
            <w:r>
              <w:rPr>
                <w:rFonts w:ascii="Arial" w:cs="Arial" w:eastAsia="Arial" w:hAnsi="Arial"/>
                <w:sz w:val="18"/>
                <w:szCs w:val="18"/>
                <w:color w:val="auto"/>
                <w:w w:val="99"/>
              </w:rPr>
              <w:t>COMPASS GROUP DIVERSIFIED HOLDINGS LLC</w:t>
            </w:r>
          </w:p>
        </w:tc>
      </w:tr>
      <w:tr>
        <w:trPr>
          <w:trHeight w:val="387"/>
        </w:trPr>
        <w:tc>
          <w:tcPr>
            <w:tcW w:w="2680" w:type="dxa"/>
            <w:vAlign w:val="bottom"/>
          </w:tcPr>
          <w:p>
            <w:pPr>
              <w:spacing w:after="0"/>
              <w:rPr>
                <w:sz w:val="24"/>
                <w:szCs w:val="24"/>
                <w:color w:val="auto"/>
              </w:rPr>
            </w:pPr>
          </w:p>
        </w:tc>
        <w:tc>
          <w:tcPr>
            <w:tcW w:w="1800" w:type="dxa"/>
            <w:vAlign w:val="bottom"/>
          </w:tcPr>
          <w:p>
            <w:pPr>
              <w:ind w:left="1120"/>
              <w:spacing w:after="0"/>
              <w:rPr>
                <w:sz w:val="20"/>
                <w:szCs w:val="20"/>
                <w:color w:val="auto"/>
              </w:rPr>
            </w:pPr>
            <w:r>
              <w:rPr>
                <w:rFonts w:ascii="Arial" w:cs="Arial" w:eastAsia="Arial" w:hAnsi="Arial"/>
                <w:sz w:val="18"/>
                <w:szCs w:val="18"/>
                <w:color w:val="auto"/>
              </w:rPr>
              <w:t>By:</w:t>
            </w:r>
          </w:p>
        </w:tc>
        <w:tc>
          <w:tcPr>
            <w:tcW w:w="3480" w:type="dxa"/>
            <w:vAlign w:val="bottom"/>
            <w:gridSpan w:val="2"/>
          </w:tcPr>
          <w:p>
            <w:pPr>
              <w:spacing w:after="0"/>
              <w:rPr>
                <w:sz w:val="20"/>
                <w:szCs w:val="20"/>
                <w:color w:val="auto"/>
              </w:rPr>
            </w:pPr>
            <w:r>
              <w:rPr>
                <w:rFonts w:ascii="Arial" w:cs="Arial" w:eastAsia="Arial" w:hAnsi="Arial"/>
                <w:sz w:val="18"/>
                <w:szCs w:val="18"/>
                <w:color w:val="auto"/>
              </w:rPr>
              <w:t>/s/ Stephen Keller</w:t>
            </w:r>
          </w:p>
        </w:tc>
      </w:tr>
      <w:tr>
        <w:trPr>
          <w:trHeight w:val="349"/>
        </w:trPr>
        <w:tc>
          <w:tcPr>
            <w:tcW w:w="26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Stephen Keller</w:t>
            </w:r>
          </w:p>
        </w:tc>
        <w:tc>
          <w:tcPr>
            <w:tcW w:w="2060" w:type="dxa"/>
            <w:vAlign w:val="bottom"/>
          </w:tcPr>
          <w:p>
            <w:pPr>
              <w:spacing w:after="0"/>
              <w:rPr>
                <w:sz w:val="24"/>
                <w:szCs w:val="24"/>
                <w:color w:val="auto"/>
              </w:rPr>
            </w:pPr>
          </w:p>
        </w:tc>
      </w:tr>
      <w:tr>
        <w:trPr>
          <w:trHeight w:val="270"/>
        </w:trPr>
        <w:tc>
          <w:tcPr>
            <w:tcW w:w="26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3480" w:type="dxa"/>
            <w:vAlign w:val="bottom"/>
            <w:gridSpan w:val="2"/>
          </w:tcPr>
          <w:p>
            <w:pPr>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11200"/>
          </w:cols>
          <w:pgMar w:left="320" w:top="1093" w:right="37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6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3940" w:type="dxa"/>
            <w:vAlign w:val="bottom"/>
          </w:tcPr>
          <w:p>
            <w:pPr>
              <w:ind w:left="1060"/>
              <w:spacing w:after="0"/>
              <w:rPr>
                <w:sz w:val="20"/>
                <w:szCs w:val="20"/>
                <w:color w:val="auto"/>
              </w:rPr>
            </w:pPr>
            <w:r>
              <w:rPr>
                <w:rFonts w:ascii="Arial" w:cs="Arial" w:eastAsia="Arial" w:hAnsi="Arial"/>
                <w:sz w:val="20"/>
                <w:szCs w:val="20"/>
                <w:b w:val="1"/>
                <w:bCs w:val="1"/>
                <w:color w:val="auto"/>
              </w:rPr>
              <w:t>INDEX TO EXHIBITS</w:t>
            </w:r>
          </w:p>
        </w:tc>
        <w:tc>
          <w:tcPr>
            <w:tcW w:w="0" w:type="dxa"/>
            <w:vAlign w:val="bottom"/>
          </w:tcPr>
          <w:p>
            <w:pPr>
              <w:spacing w:after="0"/>
              <w:rPr>
                <w:sz w:val="1"/>
                <w:szCs w:val="1"/>
                <w:color w:val="auto"/>
              </w:rPr>
            </w:pPr>
          </w:p>
        </w:tc>
      </w:tr>
      <w:tr>
        <w:trPr>
          <w:trHeight w:val="528"/>
        </w:trPr>
        <w:tc>
          <w:tcPr>
            <w:tcW w:w="128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9"/>
              </w:rPr>
              <w:t>Exhibit</w:t>
            </w:r>
          </w:p>
        </w:tc>
        <w:tc>
          <w:tcPr>
            <w:tcW w:w="5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Description of Exhibit</w:t>
            </w:r>
          </w:p>
        </w:tc>
        <w:tc>
          <w:tcPr>
            <w:tcW w:w="0" w:type="dxa"/>
            <w:vAlign w:val="bottom"/>
          </w:tcPr>
          <w:p>
            <w:pPr>
              <w:spacing w:after="0"/>
              <w:rPr>
                <w:sz w:val="1"/>
                <w:szCs w:val="1"/>
                <w:color w:val="auto"/>
              </w:rPr>
            </w:pPr>
          </w:p>
        </w:tc>
      </w:tr>
      <w:tr>
        <w:trPr>
          <w:trHeight w:val="194"/>
        </w:trPr>
        <w:tc>
          <w:tcPr>
            <w:tcW w:w="1280" w:type="dxa"/>
            <w:vAlign w:val="bottom"/>
            <w:gridSpan w:val="2"/>
          </w:tcPr>
          <w:p>
            <w:pPr>
              <w:jc w:val="center"/>
              <w:ind w:right="600"/>
              <w:spacing w:after="0" w:line="195" w:lineRule="exact"/>
              <w:rPr>
                <w:sz w:val="20"/>
                <w:szCs w:val="20"/>
                <w:color w:val="auto"/>
              </w:rPr>
            </w:pPr>
            <w:r>
              <w:rPr>
                <w:rFonts w:ascii="Arial" w:cs="Arial" w:eastAsia="Arial" w:hAnsi="Arial"/>
                <w:sz w:val="18"/>
                <w:szCs w:val="18"/>
                <w:b w:val="1"/>
                <w:bCs w:val="1"/>
                <w:color w:val="auto"/>
                <w:w w:val="99"/>
              </w:rPr>
              <w:t>Number</w:t>
            </w:r>
          </w:p>
        </w:tc>
        <w:tc>
          <w:tcPr>
            <w:tcW w:w="5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80" w:type="dxa"/>
            <w:vAlign w:val="bottom"/>
          </w:tcPr>
          <w:p>
            <w:pPr>
              <w:jc w:val="center"/>
              <w:spacing w:after="0"/>
              <w:rPr>
                <w:sz w:val="20"/>
                <w:szCs w:val="20"/>
                <w:color w:val="auto"/>
              </w:rPr>
            </w:pPr>
            <w:r>
              <w:rPr>
                <w:rFonts w:ascii="Arial" w:cs="Arial" w:eastAsia="Arial" w:hAnsi="Arial"/>
                <w:sz w:val="18"/>
                <w:szCs w:val="18"/>
                <w:color w:val="auto"/>
              </w:rPr>
              <w:t>1.01</w:t>
            </w:r>
          </w:p>
        </w:tc>
        <w:tc>
          <w:tcPr>
            <w:tcW w:w="600" w:type="dxa"/>
            <w:vAlign w:val="bottom"/>
          </w:tcPr>
          <w:p>
            <w:pPr>
              <w:spacing w:after="0"/>
              <w:rPr>
                <w:sz w:val="24"/>
                <w:szCs w:val="24"/>
                <w:color w:val="auto"/>
              </w:rPr>
            </w:pPr>
          </w:p>
        </w:tc>
        <w:tc>
          <w:tcPr>
            <w:tcW w:w="58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9"/>
              </w:rPr>
              <w:t>Conflict Minerals Report as required by Items 1.01 and 1.02 of this Form.</w:t>
            </w:r>
          </w:p>
        </w:tc>
        <w:tc>
          <w:tcPr>
            <w:tcW w:w="0" w:type="dxa"/>
            <w:vAlign w:val="bottom"/>
          </w:tcPr>
          <w:p>
            <w:pPr>
              <w:spacing w:after="0"/>
              <w:rPr>
                <w:sz w:val="1"/>
                <w:szCs w:val="1"/>
                <w:color w:val="auto"/>
              </w:rPr>
            </w:pPr>
          </w:p>
        </w:tc>
      </w:tr>
    </w:tbl>
    <w:p>
      <w:pPr>
        <w:sectPr>
          <w:pgSz w:w="11900" w:h="16838" w:orient="portrait"/>
          <w:cols w:equalWidth="0" w:num="1">
            <w:col w:w="9659"/>
          </w:cols>
          <w:pgMar w:left="800" w:top="885"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2025</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Conflict Minerals Report for the reporting period from January 1, 2025 to December 31, 2025 is presented to comply with Rule 13p-1 promulgated under the Securities Exchange Act of 1934, as amended. Rule 13p-1 imposes certain reporting obligations on reporting companies whose manufactured or contracted to be manufactured products contain conflict minerals which are necessary to the functionality or production of their products. “Conflict minerals” are defined as gold, cassiterite, columbite-tantalite, wolframite, and their derivatives, which are limited to tin, tantalum, and tungsten (“3TG”) for the purposes of this assessment. Please refer to Rule 13p-1, Form SD and the 1934 Act Release No. 34-67716 for definitions to the terms used in this Report, unless otherwise defined herein.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Company Overview</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Compass Group Diversified Holdings LLC and Compass Diversified Holdings (collectively, “CODI” or the “Company”) were formed to acquire and manage a group of small to middle market businesses and the Company was a controlling owner of eight businesses, or operating segments, at December 31, 2025. The segments are as follows: 5.11 ABR Corp. ("5.11"), Boa Holdings Inc. ("BOA"), Relentless Topco, Inc. ("PrimaLoft"), THP Topco, Inc. ("The Honey Pot Co." or "THP"), CBCP Products, LLC ("Velocity Outdoor" or "Velocity"), AMTAC Holdings, LLC (“Arnold”), FFI Compass, Inc. ("Altor Solutions" or "Altor") and SternoCandleLamp Holdings, Inc. (“Sterno”).</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Company’s subsidiaries are engaged in the following lines of business:</w:t>
      </w:r>
    </w:p>
    <w:p>
      <w:pPr>
        <w:spacing w:after="0" w:line="117" w:lineRule="exact"/>
        <w:rPr>
          <w:sz w:val="20"/>
          <w:szCs w:val="20"/>
          <w:color w:val="auto"/>
        </w:rPr>
      </w:pPr>
    </w:p>
    <w:p>
      <w:pPr>
        <w:jc w:val="both"/>
        <w:ind w:left="660" w:hanging="328"/>
        <w:spacing w:after="0" w:line="259"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5.11</w:t>
      </w:r>
      <w:r>
        <w:rPr>
          <w:rFonts w:ascii="Arial" w:cs="Arial" w:eastAsia="Arial" w:hAnsi="Arial"/>
          <w:sz w:val="18"/>
          <w:szCs w:val="18"/>
          <w:color w:val="auto"/>
        </w:rPr>
        <w:t xml:space="preserve"> is a global apparel, footwear, and gear company serving consumers who demand performance, durability, and versatility across work, training, and adventure. 5.11 is a brand known for innovation and authenticity and works directly with end users to create purpose-built apparel, footwear and gear designed to enhance the safety, accuracy, speed and performance of tactical professionals and enthusiasts worldwide. 5.11 operates sales offices and distribution centers globally, and 5.11 products are widely distributed in uniform stores, military exchanges, outdoor retail stores, its own retail stores and on 511tactical.com.</w:t>
      </w:r>
    </w:p>
    <w:p>
      <w:pPr>
        <w:spacing w:after="0" w:line="71"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BOA,</w:t>
      </w:r>
      <w:r>
        <w:rPr>
          <w:rFonts w:ascii="Arial" w:cs="Arial" w:eastAsia="Arial" w:hAnsi="Arial"/>
          <w:sz w:val="18"/>
          <w:szCs w:val="18"/>
          <w:color w:val="auto"/>
        </w:rPr>
        <w:t xml:space="preserve"> creator of the award-winning, patented BOA Fit System, partners with market-leading brands to make the best gear even better. Delivering fit solutions purpose-built for performance, the BOA Fit System is featured in footwear across snow sports, cycling, outdoor, athletic, workwear as well as performance headwear and bracing. The system consists of three integral parts: a micro-adjustable dial, high-tensile lightweight laces, and low friction lace guides creating a superior alternative to laces, buckles, Velcro, and other traditional closure mechanisms. Each unique BOA configuration is designed with brand partners to deliver superior fit and performance for athletes, is engineered to perform in the toughest conditions and is backed by The BOA Lifetime Guarantee. BOA is headquartered in Denver, Colorado and has operations in Austria, China, South Korea, Japan and Vietnam.</w:t>
      </w:r>
    </w:p>
    <w:p>
      <w:pPr>
        <w:spacing w:after="0" w:line="88" w:lineRule="exact"/>
        <w:rPr>
          <w:rFonts w:ascii="Arial" w:cs="Arial" w:eastAsia="Arial" w:hAnsi="Arial"/>
          <w:sz w:val="18"/>
          <w:szCs w:val="18"/>
          <w:color w:val="auto"/>
        </w:rPr>
      </w:pPr>
    </w:p>
    <w:p>
      <w:pPr>
        <w:jc w:val="both"/>
        <w:ind w:left="660" w:hanging="328"/>
        <w:spacing w:after="0" w:line="252"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18"/>
          <w:szCs w:val="18"/>
          <w:u w:val="single" w:color="auto"/>
          <w:color w:val="auto"/>
        </w:rPr>
        <w:t>PrimaLoft</w:t>
      </w:r>
      <w:r>
        <w:rPr>
          <w:rFonts w:ascii="Arial" w:cs="Arial" w:eastAsia="Arial" w:hAnsi="Arial"/>
          <w:sz w:val="18"/>
          <w:szCs w:val="18"/>
          <w:color w:val="auto"/>
        </w:rPr>
        <w:t xml:space="preserve"> is a leading provider of branded, high-performance synthetic insulation and materials used primarily in consumer outerwear, and accessories. The portfolio of PrimaLoft synthetic insulations offers products that can both mimic natural down aesthetics and provide the freedom to design garments ranging from stylish puffers to lightweight performance apparel. PrimaLoft insulations also offer superior economics to the brand partner and enable better sustainability characteristics through the use of recycled, low-carbon inputs. PrimaLoft is headquartered in Latham, New York.</w:t>
      </w:r>
    </w:p>
    <w:p>
      <w:pPr>
        <w:spacing w:after="0" w:line="77" w:lineRule="exact"/>
        <w:rPr>
          <w:rFonts w:ascii="Arial" w:cs="Arial" w:eastAsia="Arial" w:hAnsi="Arial"/>
          <w:sz w:val="20"/>
          <w:szCs w:val="20"/>
          <w:color w:val="auto"/>
        </w:rPr>
      </w:pPr>
    </w:p>
    <w:p>
      <w:pPr>
        <w:jc w:val="both"/>
        <w:ind w:left="660" w:hanging="328"/>
        <w:spacing w:after="0" w:line="256"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The Honey Pot Co.</w:t>
      </w:r>
      <w:r>
        <w:rPr>
          <w:rFonts w:ascii="Arial" w:cs="Arial" w:eastAsia="Arial" w:hAnsi="Arial"/>
          <w:sz w:val="18"/>
          <w:szCs w:val="18"/>
          <w:color w:val="auto"/>
        </w:rPr>
        <w:t xml:space="preserve"> is a leading “better-for-you” feminine care brand, powered by plant-derived ingredients and clinically tested formulas. Founded in 2012 by CEO Beatrice Dixon, The Honey Pot Co. is rooted in the belief that all products should be made with healthy and efficacious ingredients that are kind to and safe for skin. The company offers an extensive range of holistic wellness products across the feminine hygiene, menstrual, personal care, and sexual wellness categories. The Honey Pot Co.'s mission is to educate, support, and provide consumers around the world with tools and resources that promote menstrual health and vaginal wellness. Its products can be found in more than 33,000 stores across the U.S. through mass merchants, drug and grocery retail chains, and online. The Honey Pot Co. is headquartered in Atlanta, Georgia.</w:t>
      </w:r>
    </w:p>
    <w:p>
      <w:pPr>
        <w:sectPr>
          <w:pgSz w:w="11900" w:h="16838" w:orient="portrait"/>
          <w:cols w:equalWidth="0" w:num="1">
            <w:col w:w="11240"/>
          </w:cols>
          <w:pgMar w:left="320" w:top="1012" w:right="339" w:bottom="1440" w:gutter="0" w:footer="0" w:header="0"/>
        </w:sectPr>
      </w:pPr>
    </w:p>
    <w:bookmarkStart w:id="5" w:name="page6"/>
    <w:bookmarkEnd w:id="5"/>
    <w:p>
      <w:pPr>
        <w:jc w:val="both"/>
        <w:ind w:left="660" w:hanging="328"/>
        <w:spacing w:after="0" w:line="257" w:lineRule="auto"/>
        <w:tabs>
          <w:tab w:leader="none" w:pos="655"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Velocity Outdoor</w:t>
      </w:r>
      <w:r>
        <w:rPr>
          <w:rFonts w:ascii="Arial" w:cs="Arial" w:eastAsia="Arial" w:hAnsi="Arial"/>
          <w:sz w:val="18"/>
          <w:szCs w:val="18"/>
          <w:color w:val="auto"/>
        </w:rPr>
        <w:t xml:space="preserve"> is a leading designer, manufacturer, and marketer of archery products, hunting apparel and related accessories. The archery product category consists of products including Ravin crossbows and CenterPoint archery products, and the apparel category offers high-performance, feature rich hunting and casual apparel under the King's Camo brand, utilizing King’s own proprietary camo patterns. Velocity Outdoor offers its products through national retail chains and dealer and distributor networks. Velocity Outdoor is headquartered in Rochester, New York. On April 30, 2024, Velocity Outdoor sold the Crosman airgun product division. The results of operation for Crosman are included in the accompanying financial statements through the date of sale.</w:t>
      </w:r>
    </w:p>
    <w:p>
      <w:pPr>
        <w:spacing w:after="0" w:line="74"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Altor Solutions</w:t>
      </w:r>
      <w:r>
        <w:rPr>
          <w:rFonts w:ascii="Arial" w:cs="Arial" w:eastAsia="Arial" w:hAnsi="Arial"/>
          <w:sz w:val="18"/>
          <w:szCs w:val="18"/>
          <w:color w:val="auto"/>
        </w:rPr>
        <w:t xml:space="preserve"> is a designer and manufacturer of custom molded protective foam solutions and original equipment manufacturer components made from expanded polystyrene and expanded polypropylene. Altor provides products to a variety of end markets, including appliances and electronics, pharmaceuticals, health and wellness, automotive, building and other products. Altor is headquartered in St. Louis, Missouri and operates 19 molding and fabricating facilities across North America.</w:t>
      </w:r>
    </w:p>
    <w:p>
      <w:pPr>
        <w:spacing w:after="0" w:line="68"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Arnold</w:t>
      </w:r>
      <w:r>
        <w:rPr>
          <w:rFonts w:ascii="Arial" w:cs="Arial" w:eastAsia="Arial" w:hAnsi="Arial"/>
          <w:sz w:val="18"/>
          <w:szCs w:val="18"/>
          <w:color w:val="auto"/>
        </w:rPr>
        <w:t xml:space="preserve"> is a global solutions provider and manufacturer of engineered magnetic solutions for a wide range of specialty applications and end-markets, including aerospace and defense, general industrial, motorsport/ transportation, oil and gas, medical, energy, semiconductor and advertising specialties. Arnold engineers solutions for and produces high performance permanent magnets (PMAG), stators, rotors and full electric motors (Ramco), precision foil products (Precision Thin Metals), and flexible magnets (Flexmag™) that are mission critical in motors, generators, sensors and other systems and components. Based on its long-term relationships, Arnold has built a diverse and blue-chip customer base totaling more than 2,000 customers and leading systems-integrators worldwide with a focus on North America, Europe, and Asia. Arnold has built a preferred rare earth supply chain and has leading rare earth and other permanent magnet production capabilities. Arnold is headquartered in Rochester, New York.</w:t>
      </w:r>
    </w:p>
    <w:p>
      <w:pPr>
        <w:spacing w:after="0" w:line="7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Sterno</w:t>
      </w:r>
      <w:r>
        <w:rPr>
          <w:rFonts w:ascii="Arial" w:cs="Arial" w:eastAsia="Arial" w:hAnsi="Arial"/>
          <w:sz w:val="18"/>
          <w:szCs w:val="18"/>
          <w:color w:val="auto"/>
        </w:rPr>
        <w:t xml:space="preserve"> is a leading manufacturer and marketer of portable food warming systems, creative indoor and outdoor lighting, and home fragrance solutions for the consumer markets. Sterno offers a broad range of wick and gel chafing systems, butane stoves and accessories, liquid and traditional wax candles, catering equipment and lamps through Sterno Products, as well as scented wax cubes, warmer products, outdoor lighting and essential oils used for home decor and fragrance systems, through Rimports. Sterno is headquartered in Texarkana, Texas.</w:t>
      </w:r>
    </w:p>
    <w:p>
      <w:pPr>
        <w:spacing w:after="0" w:line="314" w:lineRule="exact"/>
        <w:rPr>
          <w:rFonts w:ascii="Arial" w:cs="Arial" w:eastAsia="Arial" w:hAnsi="Arial"/>
          <w:sz w:val="18"/>
          <w:szCs w:val="18"/>
          <w:color w:val="auto"/>
        </w:rPr>
      </w:pPr>
    </w:p>
    <w:p>
      <w:pPr>
        <w:ind w:left="200" w:hanging="192"/>
        <w:spacing w:after="0"/>
        <w:tabs>
          <w:tab w:leader="none" w:pos="2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Company's Products Covered by this Report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Report relates to products: (i) for which 3TG are necessary to the functionality or production of that product; (ii) that were manufactured or contracted to be manufactured by the Company; and (iii) for which the manufacture was completed during calendar year 2025. The Company determined that component products at four (4) of its subsidiaries contain or may contain 3TG which are necessary to the functionality or production of their products. The four subsidiaries and the applicable 3TG are: Arnold (gold, tantalum, tin and tungsten), Sterno (tin and gold), 5.11 (tin and gold), and Velocity Outdoor (tin).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Reasonable Country of Origin Inquiry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conducted an analysis of its subsidiaries’ products and found that small quantities of necessary 3TG are contained in some of its subsidiaries’ products. Therefore, for the reporting period from January 1, 2025 to December 31, 2025, the Company conducted a good faith reasonable country of origin inquiry (“RCOI”) which was designed to determine whether any of the necessary 3TG contained in its subsidiaries’ products originated in the Democratic Republic of the Congo or an adjoining country (collectively, the "Covered Countries") or came from recycled or scrap sources. “Necessary 3TG” are 3TG that are necessary to the functionality or production of products that the Company’s subsidiaries manufacture or that the Company’s subsidiaries contract with others to manufacture for us.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used the Conflict Minerals Reporting Template (“CMRT”) developed by the Conflict-Free Sourcing Initiative to request information from its subsidiaries’ suppliers about their supply chain and to gather information about the country of origin of its necessary 3TG. The Company identified approximately 82 direct suppliers that potentially supplied the Company necessary 3TG and requested each of them to complete a CMRT. The Company received responses (by either a letter or completed CMRT) from approximately 91% of these suppliers and reviewed the responses for completeness and accuracy. When the Company determined that its suppliers’ CMRT</w:t>
      </w:r>
    </w:p>
    <w:p>
      <w:pPr>
        <w:sectPr>
          <w:pgSz w:w="11900" w:h="16838" w:orient="portrait"/>
          <w:cols w:equalWidth="0" w:num="1">
            <w:col w:w="11240"/>
          </w:cols>
          <w:pgMar w:left="320" w:top="998" w:right="339" w:bottom="1440" w:gutter="0" w:footer="0" w:header="0"/>
        </w:sectPr>
      </w:pPr>
    </w:p>
    <w:bookmarkStart w:id="6" w:name="page7"/>
    <w:bookmarkEnd w:id="6"/>
    <w:p>
      <w:pPr>
        <w:jc w:val="both"/>
        <w:spacing w:after="0" w:line="287" w:lineRule="auto"/>
        <w:rPr>
          <w:sz w:val="20"/>
          <w:szCs w:val="20"/>
          <w:color w:val="auto"/>
        </w:rPr>
      </w:pPr>
      <w:r>
        <w:rPr>
          <w:rFonts w:ascii="Arial" w:cs="Arial" w:eastAsia="Arial" w:hAnsi="Arial"/>
          <w:sz w:val="18"/>
          <w:szCs w:val="18"/>
          <w:color w:val="auto"/>
        </w:rPr>
        <w:t>responses contained information the Company believed to be incomplete or inaccurate, the Company followed up with those suppliers to seek additional information or clarification about those responses.</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Based on the Company’s supplier responses, the Company does not have sufficient information to determine whether the products it manufactured or contracted for manufacture during the reporting period contain necessary 3TG that originated, or may have originated, in the Covered Countries and are not or may not be from recycled or scrap sources. Accordingly, and out of an abundance of caution, the Company performed due diligence in an effort to determine the source and chain of custody of these necessary 3TG.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Due Diligence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 Design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the period covered, the design of the due diligence process conforms in all material respects with the internationally recognized due diligence framework set forth in the Organisation for Economic Co-operation and Development Due Diligence Guidance for Responsible Supply Chains of Minerals from Conflict-Affected and High Risk Areas, Third Edition, 2016, as further set out in the specific guidance for downstream companies contained in the Supplement on Tin, Tantalum, and Tungsten and the Supplement for Gold (hereinafter, collectively, the “OECD Guidance”).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 Measures Performed</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undertook due diligence at each of its subsidiaries that have component products that contain or may contain necessary 3TG to determine the source and chain of custody of the necessary 3TG contained in the products manufactured by or contracted for manufacture by the Company’s subsidiaries. Summarized below are the components of the 3TG due diligence program the Company undertook as they relate to the five-step framework set forth in the OECD Guidance:</w:t>
      </w:r>
    </w:p>
    <w:p>
      <w:pPr>
        <w:spacing w:after="0" w:line="122" w:lineRule="exact"/>
        <w:rPr>
          <w:sz w:val="20"/>
          <w:szCs w:val="20"/>
          <w:color w:val="auto"/>
        </w:rPr>
      </w:pPr>
    </w:p>
    <w:p>
      <w:pPr>
        <w:ind w:left="400" w:hanging="192"/>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OECD Step #1: </w:t>
      </w:r>
      <w:r>
        <w:rPr>
          <w:rFonts w:ascii="Arial" w:cs="Arial" w:eastAsia="Arial" w:hAnsi="Arial"/>
          <w:sz w:val="18"/>
          <w:szCs w:val="18"/>
          <w:i w:val="1"/>
          <w:iCs w:val="1"/>
          <w:color w:val="auto"/>
        </w:rPr>
        <w:t>Establish and maintain strong company management systems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operations are reported in multiple business segments, therefore, we established a single point of contact to assist in implementing a 3TG program. Each segment that manufactures or distributes products that contain necessary 3TG had its own designated specific personnel to coordinate the 3TG diligence, oversee the implementation and execution of a program and coordinate directly with its affected suppliers, if applicable. The affected segments used the CMRT developed by the Conflict-Free Sourcing Initiative as a mechanism to request that suppliers provide information about the source and chain of custody of the necessary 3TG contained in products supplied to each of the affected segments. For suppliers that did not respond to the Company's source and chain of custody inquiry (or provided limited response) for calendar year 2025, the Company submitted that supplier name to the executive management of the applicable subsidiary for review. The Company maintains a conflict minerals policy regarding the sourcing of conflict minerals, which is publicly available on the Company’s website at: http://ir.compassdiversified.com/corporate-governance.com. The content of any website referred to in this Report is not incorporated by reference in this Report.</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 OECD Step #2: Identifying and assessing risk in the supply chain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To identify risks related to necessary 3TG in its products, the Company took the following actions:</w:t>
      </w:r>
    </w:p>
    <w:p>
      <w:pPr>
        <w:spacing w:after="0" w:line="63" w:lineRule="exact"/>
        <w:rPr>
          <w:sz w:val="20"/>
          <w:szCs w:val="20"/>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worked with suppliers to obtain more complete information;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followed up with suppliers that did not respond or provided inconsistent or incomplete responses;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sought information regarding the smelters or refiners or smelters that processed the conflict minerals in the suppliers’ products; and</w:t>
      </w:r>
    </w:p>
    <w:p>
      <w:pPr>
        <w:spacing w:after="0" w:line="63"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1"/>
          <w:numId w:val="5"/>
        </w:numPr>
        <w:rPr>
          <w:rFonts w:ascii="Arial" w:cs="Arial" w:eastAsia="Arial" w:hAnsi="Arial"/>
          <w:sz w:val="18"/>
          <w:szCs w:val="18"/>
          <w:color w:val="auto"/>
        </w:rPr>
      </w:pPr>
      <w:r>
        <w:rPr>
          <w:rFonts w:ascii="Arial" w:cs="Arial" w:eastAsia="Arial" w:hAnsi="Arial"/>
          <w:sz w:val="18"/>
          <w:szCs w:val="18"/>
          <w:color w:val="auto"/>
        </w:rPr>
        <w:t>analyzed the supplier’s responses against the Company's conflict minerals policy and against the list of smelters and refiners on the CFSI website to determine whether the smelters received a "compliant" or "active" designations from the Conflict Free Smelter Program ("CFSP").</w:t>
      </w:r>
    </w:p>
    <w:p>
      <w:pPr>
        <w:spacing w:after="0" w:line="118" w:lineRule="exact"/>
        <w:rPr>
          <w:rFonts w:ascii="Arial" w:cs="Arial" w:eastAsia="Arial" w:hAnsi="Arial"/>
          <w:sz w:val="18"/>
          <w:szCs w:val="18"/>
          <w:color w:val="auto"/>
        </w:rPr>
      </w:pPr>
    </w:p>
    <w:p>
      <w:pPr>
        <w:ind w:left="400" w:hanging="192"/>
        <w:spacing w:after="0"/>
        <w:tabs>
          <w:tab w:leader="none" w:pos="4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OECD Step #3: Design and implement a strategy to respond to identified risks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Results of the Company’s supplier responses were reported to the senior management of the Company, specifically our Chief Financial Officer. The Company continued a risk management plan of attempting to disengage with a supplier where the Company deems risk mitigation unfeasible or unacceptable, and where, in the Company’s opinion, such disengagement would not likely harm the supply chain for a particular product.</w:t>
      </w:r>
    </w:p>
    <w:p>
      <w:pPr>
        <w:sectPr>
          <w:pgSz w:w="11900" w:h="16838" w:orient="portrait"/>
          <w:cols w:equalWidth="0" w:num="1">
            <w:col w:w="11240"/>
          </w:cols>
          <w:pgMar w:left="320" w:top="890" w:right="339" w:bottom="1440" w:gutter="0" w:footer="0" w:header="0"/>
        </w:sectPr>
      </w:pPr>
    </w:p>
    <w:bookmarkStart w:id="7" w:name="page8"/>
    <w:bookmarkEnd w:id="7"/>
    <w:p>
      <w:pPr>
        <w:ind w:left="200"/>
        <w:spacing w:after="0"/>
        <w:rPr>
          <w:sz w:val="20"/>
          <w:szCs w:val="20"/>
          <w:color w:val="auto"/>
        </w:rPr>
      </w:pPr>
      <w:r>
        <w:rPr>
          <w:rFonts w:ascii="Arial" w:cs="Arial" w:eastAsia="Arial" w:hAnsi="Arial"/>
          <w:sz w:val="18"/>
          <w:szCs w:val="18"/>
          <w:i w:val="1"/>
          <w:iCs w:val="1"/>
          <w:color w:val="auto"/>
        </w:rPr>
        <w:t>4. OECD Step #4: Carry out an independent third party audit of smelter's/ refiner’s due diligence practices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an owner of downstream companies, the Company relies on audits by independent third parties, including audits of smelters and refiners reported by the CFSP. The Company also relies on the certification processes of the London Bullion Market Association, The Responsible Jewellery Council, and the Tungsten Industry - Conflict Minerals Council.</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5. OECD Step #5: Report annually on supply chain due diligence</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reports on our conflict minerals due diligence annually by making our Form SD and this Report publicly available on our Company website at: http://ir.compassdiversified.com and filing the Form SD (with this Report) with the Securities and Exchange Commission ("SEC").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Results of Review</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an owner of downstream companies, the Company can only provide reasonable, not absolute, assurance regarding the source and chain of custody of the 3TG contained in its subsidiaries’ products. The Company relies on the information collected and provided by its subsidiaries’ direct suppliers and publicly available information regarding independent third party audit programs.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Facilities Used to Process the Necessary 3TG</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requested smelter information from the suppliers of each of its subsidiaries that were determined to have component products that contain or may contain 3TG which are necessary to the functionality or production of their products. Based on the responses from our direct suppliers, two (2) suppliers identified only one (1) tin smelter, resulting in a total of two (2) tin smelters being identified. Based on the responses from the two (2) suppliers with only one (1) smelter disclosed for tin, we determined that the following smelter processed the tin that is contained in certain of our products.</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1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9"/>
              </w:rPr>
              <w:t>Metal</w:t>
            </w:r>
          </w:p>
        </w:tc>
        <w:tc>
          <w:tcPr>
            <w:tcW w:w="51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9"/>
              </w:rPr>
              <w:t>Official Smelter Name</w:t>
            </w:r>
          </w:p>
        </w:tc>
        <w:tc>
          <w:tcPr>
            <w:tcW w:w="216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9"/>
              </w:rPr>
              <w:t>CESI Smelter ID</w:t>
            </w:r>
          </w:p>
        </w:tc>
        <w:tc>
          <w:tcPr>
            <w:tcW w:w="18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Smelter Country</w:t>
            </w:r>
          </w:p>
        </w:tc>
      </w:tr>
      <w:tr>
        <w:trPr>
          <w:trHeight w:val="75"/>
        </w:trPr>
        <w:tc>
          <w:tcPr>
            <w:tcW w:w="80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8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860" w:type="dxa"/>
            <w:vAlign w:val="bottom"/>
            <w:tcBorders>
              <w:top w:val="single" w:sz="8" w:color="auto"/>
            </w:tcBorders>
          </w:tcPr>
          <w:p>
            <w:pPr>
              <w:spacing w:after="0"/>
              <w:rPr>
                <w:sz w:val="6"/>
                <w:szCs w:val="6"/>
                <w:color w:val="auto"/>
              </w:rPr>
            </w:pPr>
          </w:p>
        </w:tc>
        <w:tc>
          <w:tcPr>
            <w:tcW w:w="1860" w:type="dxa"/>
            <w:vAlign w:val="bottom"/>
          </w:tcPr>
          <w:p>
            <w:pPr>
              <w:spacing w:after="0"/>
              <w:rPr>
                <w:sz w:val="6"/>
                <w:szCs w:val="6"/>
                <w:color w:val="auto"/>
              </w:rPr>
            </w:pPr>
          </w:p>
        </w:tc>
        <w:tc>
          <w:tcPr>
            <w:tcW w:w="1360" w:type="dxa"/>
            <w:vAlign w:val="bottom"/>
            <w:tcBorders>
              <w:top w:val="single" w:sz="8" w:color="auto"/>
            </w:tcBorders>
          </w:tcPr>
          <w:p>
            <w:pPr>
              <w:spacing w:after="0"/>
              <w:rPr>
                <w:sz w:val="6"/>
                <w:szCs w:val="6"/>
                <w:color w:val="auto"/>
              </w:rPr>
            </w:pPr>
          </w:p>
        </w:tc>
        <w:tc>
          <w:tcPr>
            <w:tcW w:w="800" w:type="dxa"/>
            <w:vAlign w:val="bottom"/>
          </w:tcPr>
          <w:p>
            <w:pPr>
              <w:spacing w:after="0"/>
              <w:rPr>
                <w:sz w:val="6"/>
                <w:szCs w:val="6"/>
                <w:color w:val="auto"/>
              </w:rPr>
            </w:pPr>
          </w:p>
        </w:tc>
        <w:tc>
          <w:tcPr>
            <w:tcW w:w="140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r>
      <w:tr>
        <w:trPr>
          <w:trHeight w:val="229"/>
        </w:trPr>
        <w:tc>
          <w:tcPr>
            <w:tcW w:w="8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right="880"/>
              <w:spacing w:after="0"/>
              <w:rPr>
                <w:sz w:val="20"/>
                <w:szCs w:val="20"/>
                <w:color w:val="auto"/>
              </w:rPr>
            </w:pPr>
            <w:r>
              <w:rPr>
                <w:rFonts w:ascii="Arial" w:cs="Arial" w:eastAsia="Arial" w:hAnsi="Arial"/>
                <w:sz w:val="18"/>
                <w:szCs w:val="18"/>
                <w:color w:val="auto"/>
                <w:w w:val="95"/>
              </w:rPr>
              <w:t>Tin</w:t>
            </w:r>
          </w:p>
        </w:tc>
        <w:tc>
          <w:tcPr>
            <w:tcW w:w="5100" w:type="dxa"/>
            <w:vAlign w:val="bottom"/>
            <w:gridSpan w:val="3"/>
            <w:shd w:val="clear" w:color="auto" w:fill="CCEEFF"/>
          </w:tcPr>
          <w:p>
            <w:pPr>
              <w:jc w:val="center"/>
              <w:ind w:right="480"/>
              <w:spacing w:after="0"/>
              <w:rPr>
                <w:sz w:val="20"/>
                <w:szCs w:val="20"/>
                <w:color w:val="auto"/>
              </w:rPr>
            </w:pPr>
            <w:r>
              <w:rPr>
                <w:rFonts w:ascii="Arial" w:cs="Arial" w:eastAsia="Arial" w:hAnsi="Arial"/>
                <w:sz w:val="18"/>
                <w:szCs w:val="18"/>
                <w:color w:val="auto"/>
                <w:w w:val="99"/>
              </w:rPr>
              <w:t>Thailand Smelting &amp; Refining Co Ltd</w:t>
            </w:r>
          </w:p>
        </w:tc>
        <w:tc>
          <w:tcPr>
            <w:tcW w:w="2160" w:type="dxa"/>
            <w:vAlign w:val="bottom"/>
            <w:gridSpan w:val="2"/>
            <w:shd w:val="clear" w:color="auto" w:fill="CCEEFF"/>
          </w:tcPr>
          <w:p>
            <w:pPr>
              <w:jc w:val="center"/>
              <w:ind w:right="800"/>
              <w:spacing w:after="0"/>
              <w:rPr>
                <w:sz w:val="20"/>
                <w:szCs w:val="20"/>
                <w:color w:val="auto"/>
              </w:rPr>
            </w:pPr>
            <w:r>
              <w:rPr>
                <w:rFonts w:ascii="Arial" w:cs="Arial" w:eastAsia="Arial" w:hAnsi="Arial"/>
                <w:sz w:val="18"/>
                <w:szCs w:val="18"/>
                <w:color w:val="auto"/>
              </w:rPr>
              <w:t>CID001898</w:t>
            </w:r>
          </w:p>
        </w:tc>
        <w:tc>
          <w:tcPr>
            <w:tcW w:w="180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rPr>
              <w:t>THAILAND</w:t>
            </w:r>
          </w:p>
        </w:tc>
      </w:tr>
      <w:tr>
        <w:trPr>
          <w:trHeight w:val="239"/>
        </w:trPr>
        <w:tc>
          <w:tcPr>
            <w:tcW w:w="800" w:type="dxa"/>
            <w:vAlign w:val="bottom"/>
          </w:tcPr>
          <w:p>
            <w:pPr>
              <w:spacing w:after="0"/>
              <w:rPr>
                <w:sz w:val="20"/>
                <w:szCs w:val="20"/>
                <w:color w:val="auto"/>
              </w:rPr>
            </w:pPr>
          </w:p>
        </w:tc>
        <w:tc>
          <w:tcPr>
            <w:tcW w:w="1320" w:type="dxa"/>
            <w:vAlign w:val="bottom"/>
            <w:gridSpan w:val="2"/>
          </w:tcPr>
          <w:p>
            <w:pPr>
              <w:jc w:val="center"/>
              <w:ind w:right="880"/>
              <w:spacing w:after="0"/>
              <w:rPr>
                <w:sz w:val="20"/>
                <w:szCs w:val="20"/>
                <w:color w:val="auto"/>
              </w:rPr>
            </w:pPr>
            <w:r>
              <w:rPr>
                <w:rFonts w:ascii="Arial" w:cs="Arial" w:eastAsia="Arial" w:hAnsi="Arial"/>
                <w:sz w:val="18"/>
                <w:szCs w:val="18"/>
                <w:color w:val="auto"/>
                <w:w w:val="95"/>
              </w:rPr>
              <w:t>Tin</w:t>
            </w:r>
          </w:p>
        </w:tc>
        <w:tc>
          <w:tcPr>
            <w:tcW w:w="5100" w:type="dxa"/>
            <w:vAlign w:val="bottom"/>
            <w:gridSpan w:val="3"/>
          </w:tcPr>
          <w:p>
            <w:pPr>
              <w:jc w:val="center"/>
              <w:ind w:right="460"/>
              <w:spacing w:after="0"/>
              <w:rPr>
                <w:sz w:val="20"/>
                <w:szCs w:val="20"/>
                <w:color w:val="auto"/>
              </w:rPr>
            </w:pPr>
            <w:r>
              <w:rPr>
                <w:rFonts w:ascii="Arial" w:cs="Arial" w:eastAsia="Arial" w:hAnsi="Arial"/>
                <w:sz w:val="18"/>
                <w:szCs w:val="18"/>
                <w:color w:val="auto"/>
                <w:w w:val="98"/>
              </w:rPr>
              <w:t>Yunnan Tin Company, Ltd.</w:t>
            </w:r>
          </w:p>
        </w:tc>
        <w:tc>
          <w:tcPr>
            <w:tcW w:w="2160" w:type="dxa"/>
            <w:vAlign w:val="bottom"/>
            <w:gridSpan w:val="2"/>
          </w:tcPr>
          <w:p>
            <w:pPr>
              <w:jc w:val="center"/>
              <w:ind w:right="800"/>
              <w:spacing w:after="0"/>
              <w:rPr>
                <w:sz w:val="20"/>
                <w:szCs w:val="20"/>
                <w:color w:val="auto"/>
              </w:rPr>
            </w:pPr>
            <w:r>
              <w:rPr>
                <w:rFonts w:ascii="Arial" w:cs="Arial" w:eastAsia="Arial" w:hAnsi="Arial"/>
                <w:sz w:val="18"/>
                <w:szCs w:val="18"/>
                <w:color w:val="auto"/>
              </w:rPr>
              <w:t>CID002180</w:t>
            </w:r>
          </w:p>
        </w:tc>
        <w:tc>
          <w:tcPr>
            <w:tcW w:w="180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CHINA</w:t>
            </w: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other responses received from our direct suppliers, each supplier named more than one (1) smelter or refiner in their response for each metal. This lack of detail from the rest of our suppliers prevented the Company from being able to determine whether a particular smelter or refiner named in their responses processed the necessary 3TG in the Company's products. Accordingly, the Company is unable to disclose any other facilities used to produce the necessary 3TG in its products. However, Table 1 attached to this Report lists the smelters and refiners provided to the Company by its other direct suppliers that may have processed necessary 3TG in its subsidiaries’ product lines.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Country of Origin</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Based on the responses provided by the Company’s suppliers described directly above, the responses did not provide sufficiently detailed information for us to identify the country of origin of the necessary 3TG in the Company’s products. Accordingly, the Company is unable to disclose the country of origin of the necessary 3TG in its products.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Efforts to determine mine or location</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determined that the most reasonable effort it can make to determine the mines or locations of origin of its necessary 3TG to the greatest possible specificity is to seek information from its direct suppliers about the smelters and refiners and the countries of origin of the necessary 3TG in its products and urge that its suppliers do the same with their direct suppliers. The Company must rely on its direct and indirect suppliers to provide the information about the mine or location of origin of the necessary 3TG in its products. As a result of the lack of information obtained from the Company’s subsidiaries’ suppliers, the Company was unable to determine the mine or location of the necessary conflict minerals in its subsidiaries’ product lines.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Risk Mitigation / Steps to Improve Due Diligence Measures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currently intends to take steps to improve its due diligence and mitigate the risk that the Company’s necessary 3TG benefit or finance armed groups, including:</w:t>
      </w:r>
    </w:p>
    <w:p>
      <w:pPr>
        <w:sectPr>
          <w:pgSz w:w="11900" w:h="16838" w:orient="portrait"/>
          <w:cols w:equalWidth="0" w:num="1">
            <w:col w:w="11240"/>
          </w:cols>
          <w:pgMar w:left="320" w:top="892" w:right="339" w:bottom="1440" w:gutter="0" w:footer="0" w:header="0"/>
        </w:sectPr>
      </w:pPr>
    </w:p>
    <w:bookmarkStart w:id="8" w:name="page9"/>
    <w:bookmarkEnd w:id="8"/>
    <w:p>
      <w:pPr>
        <w:jc w:val="both"/>
        <w:ind w:left="660" w:hanging="328"/>
        <w:spacing w:after="0" w:line="268" w:lineRule="auto"/>
        <w:tabs>
          <w:tab w:leader="none" w:pos="655"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Evaluating current direct suppliers based on their responsiveness to the 2025 calendar year's data collection effort. We expect to submit the names of those suppliers who provide products with risk of possible 3TG content that required responses and whose responses were limited or non-existent for calendar year 2025 to the executive management of the applicable subsidiary for review.</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Reaching out to suppliers earlier in the process and asking them to complete the CMRT.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Improving, to the extent possible, the percentage of supplier provided responses to the request to complete the CMRT.</w:t>
      </w:r>
    </w:p>
    <w:p>
      <w:pPr>
        <w:spacing w:after="0" w:line="252" w:lineRule="exact"/>
        <w:rPr>
          <w:rFonts w:ascii="Arial" w:cs="Arial" w:eastAsia="Arial" w:hAnsi="Arial"/>
          <w:sz w:val="18"/>
          <w:szCs w:val="18"/>
          <w:color w:val="auto"/>
        </w:rPr>
      </w:pPr>
    </w:p>
    <w:p>
      <w:pPr>
        <w:ind w:left="200" w:hanging="192"/>
        <w:spacing w:after="0"/>
        <w:tabs>
          <w:tab w:leader="none" w:pos="2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Independent Private Sector Audit</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Based on the existing guidance from the SEC, this report has not been audited, nor is an Independent Private Sector Audit required for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Forward-Looking Statements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Report may contain certain forward-looking statements, including those made under the “Risk Mitigation / Steps to Improve Due Diligence Measures” section. Words such as “believes,” “expects,” “projects,” and “future” or similar expressions, are intended to identify forward-looking statements. These forward-looking statements are subject to the inherent uncertainties in predicting future results and conditions. These statements are subject to a variety of uncertainties, unknown risks and other factors concerning the Company’s operations and business environment, which are difficult to predict and are beyond the control of the Company. Factors that could adversely affect our future performance include (1) those described under the heading “Risk Factors” in Item 1A of Part I of our Annual Report on Form 10-K for the year ended December 31, 2025, (2) the responsible sourcing of 3TG in our supply chain by our direct and indirect suppliers and (3) the effectiveness of traceability systems used by our direct and indirect suppliers to determine the source and chain of custody of 3TG contained in our supply chain. Except as required by law, CODI undertakes no obligation to publicly update or revise any forward-looking statements, whether as a result of new information, future events or otherwise.</w:t>
      </w:r>
    </w:p>
    <w:p>
      <w:pPr>
        <w:sectPr>
          <w:pgSz w:w="11900" w:h="16838" w:orient="portrait"/>
          <w:cols w:equalWidth="0" w:num="1">
            <w:col w:w="11240"/>
          </w:cols>
          <w:pgMar w:left="320" w:top="99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u w:val="single" w:color="auto"/>
          <w:color w:val="auto"/>
        </w:rPr>
        <w:t>Table 1 - List of smelters and refiners that may have processed necessary 3TG of the Company’s subsidiaries</w:t>
      </w: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1540" w:type="dxa"/>
            <w:vAlign w:val="bottom"/>
            <w:gridSpan w:val="2"/>
          </w:tcPr>
          <w:p>
            <w:pPr>
              <w:ind w:left="420"/>
              <w:spacing w:after="0"/>
              <w:rPr>
                <w:sz w:val="20"/>
                <w:szCs w:val="20"/>
                <w:color w:val="auto"/>
              </w:rPr>
            </w:pPr>
            <w:r>
              <w:rPr>
                <w:rFonts w:ascii="Arial" w:cs="Arial" w:eastAsia="Arial" w:hAnsi="Arial"/>
                <w:sz w:val="18"/>
                <w:szCs w:val="18"/>
                <w:b w:val="1"/>
                <w:bCs w:val="1"/>
                <w:color w:val="auto"/>
              </w:rPr>
              <w:t>Metal</w:t>
            </w:r>
          </w:p>
        </w:tc>
        <w:tc>
          <w:tcPr>
            <w:tcW w:w="6120" w:type="dxa"/>
            <w:vAlign w:val="bottom"/>
            <w:gridSpan w:val="2"/>
          </w:tcPr>
          <w:p>
            <w:pPr>
              <w:ind w:left="1960"/>
              <w:spacing w:after="0"/>
              <w:rPr>
                <w:sz w:val="20"/>
                <w:szCs w:val="20"/>
                <w:color w:val="auto"/>
              </w:rPr>
            </w:pPr>
            <w:r>
              <w:rPr>
                <w:rFonts w:ascii="Arial" w:cs="Arial" w:eastAsia="Arial" w:hAnsi="Arial"/>
                <w:sz w:val="18"/>
                <w:szCs w:val="18"/>
                <w:b w:val="1"/>
                <w:bCs w:val="1"/>
                <w:color w:val="auto"/>
              </w:rPr>
              <w:t>Smelter Reference List</w:t>
            </w:r>
          </w:p>
        </w:tc>
        <w:tc>
          <w:tcPr>
            <w:tcW w:w="3520" w:type="dxa"/>
            <w:vAlign w:val="bottom"/>
          </w:tcPr>
          <w:p>
            <w:pPr>
              <w:ind w:left="300"/>
              <w:spacing w:after="0"/>
              <w:rPr>
                <w:sz w:val="20"/>
                <w:szCs w:val="20"/>
                <w:color w:val="auto"/>
              </w:rPr>
            </w:pPr>
            <w:r>
              <w:rPr>
                <w:rFonts w:ascii="Arial" w:cs="Arial" w:eastAsia="Arial" w:hAnsi="Arial"/>
                <w:sz w:val="18"/>
                <w:szCs w:val="18"/>
                <w:b w:val="1"/>
                <w:bCs w:val="1"/>
                <w:color w:val="auto"/>
              </w:rPr>
              <w:t>Smelter Facility Location: Country</w:t>
            </w:r>
          </w:p>
        </w:tc>
      </w:tr>
      <w:tr>
        <w:trPr>
          <w:trHeight w:val="34"/>
        </w:trPr>
        <w:tc>
          <w:tcPr>
            <w:tcW w:w="130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88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520" w:type="dxa"/>
            <w:vAlign w:val="bottom"/>
            <w:tcBorders>
              <w:top w:val="single" w:sz="8" w:color="auto"/>
            </w:tcBorders>
          </w:tcPr>
          <w:p>
            <w:pPr>
              <w:spacing w:after="0"/>
              <w:rPr>
                <w:sz w:val="2"/>
                <w:szCs w:val="2"/>
                <w:color w:val="auto"/>
              </w:rPr>
            </w:pP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ABC Refinery Pty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AUSTRALIA</w:t>
            </w: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Abington Reldan Metals, LLC</w:t>
            </w:r>
          </w:p>
        </w:tc>
        <w:tc>
          <w:tcPr>
            <w:tcW w:w="3520" w:type="dxa"/>
            <w:vAlign w:val="bottom"/>
          </w:tcPr>
          <w:p>
            <w:pPr>
              <w:ind w:left="20"/>
              <w:spacing w:after="0"/>
              <w:rPr>
                <w:sz w:val="20"/>
                <w:szCs w:val="20"/>
                <w:color w:val="auto"/>
              </w:rPr>
            </w:pPr>
            <w:r>
              <w:rPr>
                <w:rFonts w:ascii="Arial" w:cs="Arial" w:eastAsia="Arial" w:hAnsi="Arial"/>
                <w:sz w:val="18"/>
                <w:szCs w:val="18"/>
                <w:color w:val="auto"/>
              </w:rPr>
              <w:t>UNITED STATES</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Advanced Chemical Company</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Agosi AG</w:t>
            </w:r>
          </w:p>
        </w:tc>
        <w:tc>
          <w:tcPr>
            <w:tcW w:w="352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Aida Chemical Industries Co.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w:t>
            </w: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Al Etihad Gold Refinery DMCC</w:t>
            </w:r>
          </w:p>
        </w:tc>
        <w:tc>
          <w:tcPr>
            <w:tcW w:w="3520" w:type="dxa"/>
            <w:vAlign w:val="bottom"/>
          </w:tcPr>
          <w:p>
            <w:pPr>
              <w:ind w:left="20"/>
              <w:spacing w:after="0"/>
              <w:rPr>
                <w:sz w:val="20"/>
                <w:szCs w:val="20"/>
                <w:color w:val="auto"/>
              </w:rPr>
            </w:pPr>
            <w:r>
              <w:rPr>
                <w:rFonts w:ascii="Arial" w:cs="Arial" w:eastAsia="Arial" w:hAnsi="Arial"/>
                <w:sz w:val="18"/>
                <w:szCs w:val="18"/>
                <w:color w:val="auto"/>
              </w:rPr>
              <w:t>UNITED ARAB EMIRATES</w:t>
            </w: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Alexy Metals</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Almalyk Mining and Metallurgical Complex (AMMC)</w:t>
            </w:r>
          </w:p>
        </w:tc>
        <w:tc>
          <w:tcPr>
            <w:tcW w:w="3520" w:type="dxa"/>
            <w:vAlign w:val="bottom"/>
          </w:tcPr>
          <w:p>
            <w:pPr>
              <w:ind w:left="20"/>
              <w:spacing w:after="0"/>
              <w:rPr>
                <w:sz w:val="20"/>
                <w:szCs w:val="20"/>
                <w:color w:val="auto"/>
              </w:rPr>
            </w:pPr>
            <w:r>
              <w:rPr>
                <w:rFonts w:ascii="Arial" w:cs="Arial" w:eastAsia="Arial" w:hAnsi="Arial"/>
                <w:sz w:val="18"/>
                <w:szCs w:val="18"/>
                <w:color w:val="auto"/>
              </w:rPr>
              <w:t>UZBEKISTAN</w:t>
            </w: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AngloGold Ashanti Córrego do Sítio Mineração</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BRAZIL</w:t>
            </w: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Argor-Heraeus SA</w:t>
            </w:r>
          </w:p>
        </w:tc>
        <w:tc>
          <w:tcPr>
            <w:tcW w:w="352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Asahi Pretec Corp.</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w:t>
            </w: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Asahi Refining Canada Limited</w:t>
            </w:r>
          </w:p>
        </w:tc>
        <w:tc>
          <w:tcPr>
            <w:tcW w:w="352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Asahi Refining USA Inc.</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Asaka Riken Co., Ltd.</w:t>
            </w:r>
          </w:p>
        </w:tc>
        <w:tc>
          <w:tcPr>
            <w:tcW w:w="3520" w:type="dxa"/>
            <w:vAlign w:val="bottom"/>
          </w:tcPr>
          <w:p>
            <w:pPr>
              <w:ind w:left="20"/>
              <w:spacing w:after="0"/>
              <w:rPr>
                <w:sz w:val="20"/>
                <w:szCs w:val="20"/>
                <w:color w:val="auto"/>
              </w:rPr>
            </w:pPr>
            <w:r>
              <w:rPr>
                <w:rFonts w:ascii="Arial" w:cs="Arial" w:eastAsia="Arial" w:hAnsi="Arial"/>
                <w:sz w:val="18"/>
                <w:szCs w:val="18"/>
                <w:color w:val="auto"/>
              </w:rPr>
              <w:t>JAPAN</w:t>
            </w: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Atasay Kuyumculuk Sanayi Ve Ticaret A.S.</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TURKEY</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Attero Recycling Pvt Ltd</w:t>
            </w:r>
          </w:p>
        </w:tc>
        <w:tc>
          <w:tcPr>
            <w:tcW w:w="352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Augmont Enterprises Private Limited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INDIA</w:t>
            </w: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Aurubis AG</w:t>
            </w:r>
          </w:p>
        </w:tc>
        <w:tc>
          <w:tcPr>
            <w:tcW w:w="352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Bangko Sentral ng Pilipinas (Central Bank of the Philippines)</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PHILIPPINES</w:t>
            </w: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Bangalore Refinery</w:t>
            </w:r>
          </w:p>
        </w:tc>
        <w:tc>
          <w:tcPr>
            <w:tcW w:w="352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Boliden Ronnskar</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SWEDEN</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C. Hafner GmbH + Co. KG</w:t>
            </w:r>
          </w:p>
        </w:tc>
        <w:tc>
          <w:tcPr>
            <w:tcW w:w="352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Caridad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MEXICO</w:t>
            </w: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CCR Refinery - Glencore Canada Corporation</w:t>
            </w:r>
          </w:p>
        </w:tc>
        <w:tc>
          <w:tcPr>
            <w:tcW w:w="352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Cendres + Metaux S.A.</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CGR Metalloys Pvt Ltd.</w:t>
            </w:r>
          </w:p>
        </w:tc>
        <w:tc>
          <w:tcPr>
            <w:tcW w:w="352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Chimet S.p.A.</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ITALY</w:t>
            </w: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Chugai Mining</w:t>
            </w:r>
          </w:p>
        </w:tc>
        <w:tc>
          <w:tcPr>
            <w:tcW w:w="3520" w:type="dxa"/>
            <w:vAlign w:val="bottom"/>
          </w:tcPr>
          <w:p>
            <w:pPr>
              <w:ind w:left="20"/>
              <w:spacing w:after="0"/>
              <w:rPr>
                <w:sz w:val="20"/>
                <w:szCs w:val="20"/>
                <w:color w:val="auto"/>
              </w:rPr>
            </w:pPr>
            <w:r>
              <w:rPr>
                <w:rFonts w:ascii="Arial" w:cs="Arial" w:eastAsia="Arial" w:hAnsi="Arial"/>
                <w:sz w:val="18"/>
                <w:szCs w:val="18"/>
                <w:color w:val="auto"/>
              </w:rPr>
              <w:t>JAPAN</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Coimpa Industrial LTDA</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BRAZIL</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Daye Non-Ferrous Metals Mining Ltd.</w:t>
            </w:r>
          </w:p>
        </w:tc>
        <w:tc>
          <w:tcPr>
            <w:tcW w:w="352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Degussa Sonne / Mond Goldhandel GmbH</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GERMANY</w:t>
            </w: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Dijllah Gold Refinery FZC</w:t>
            </w:r>
          </w:p>
        </w:tc>
        <w:tc>
          <w:tcPr>
            <w:tcW w:w="3520" w:type="dxa"/>
            <w:vAlign w:val="bottom"/>
          </w:tcPr>
          <w:p>
            <w:pPr>
              <w:ind w:left="20"/>
              <w:spacing w:after="0"/>
              <w:rPr>
                <w:sz w:val="20"/>
                <w:szCs w:val="20"/>
                <w:color w:val="auto"/>
              </w:rPr>
            </w:pPr>
            <w:r>
              <w:rPr>
                <w:rFonts w:ascii="Arial" w:cs="Arial" w:eastAsia="Arial" w:hAnsi="Arial"/>
                <w:sz w:val="18"/>
                <w:szCs w:val="18"/>
                <w:color w:val="auto"/>
              </w:rPr>
              <w:t>UNITED ARAB EMIRATES</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Dongwu Gold Group</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Dowa</w:t>
            </w:r>
          </w:p>
        </w:tc>
        <w:tc>
          <w:tcPr>
            <w:tcW w:w="3520" w:type="dxa"/>
            <w:vAlign w:val="bottom"/>
          </w:tcPr>
          <w:p>
            <w:pPr>
              <w:ind w:left="20"/>
              <w:spacing w:after="0"/>
              <w:rPr>
                <w:sz w:val="20"/>
                <w:szCs w:val="20"/>
                <w:color w:val="auto"/>
              </w:rPr>
            </w:pPr>
            <w:r>
              <w:rPr>
                <w:rFonts w:ascii="Arial" w:cs="Arial" w:eastAsia="Arial" w:hAnsi="Arial"/>
                <w:sz w:val="18"/>
                <w:szCs w:val="18"/>
                <w:color w:val="auto"/>
              </w:rPr>
              <w:t>JAPAN</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DSC (Do Sung Corporation)</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KOREA, REPUBLIC OF</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Eco-System Recycling Co., Ltd. East Plant</w:t>
            </w:r>
          </w:p>
        </w:tc>
        <w:tc>
          <w:tcPr>
            <w:tcW w:w="3520" w:type="dxa"/>
            <w:vAlign w:val="bottom"/>
          </w:tcPr>
          <w:p>
            <w:pPr>
              <w:ind w:left="20"/>
              <w:spacing w:after="0"/>
              <w:rPr>
                <w:sz w:val="20"/>
                <w:szCs w:val="20"/>
                <w:color w:val="auto"/>
              </w:rPr>
            </w:pPr>
            <w:r>
              <w:rPr>
                <w:rFonts w:ascii="Arial" w:cs="Arial" w:eastAsia="Arial" w:hAnsi="Arial"/>
                <w:sz w:val="18"/>
                <w:szCs w:val="18"/>
                <w:color w:val="auto"/>
              </w:rPr>
              <w:t>JAPAN</w:t>
            </w: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Eco-System Recycling Co., Ltd. North Plant</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Eco-System Recycling Co., Ltd. West Plant</w:t>
            </w:r>
          </w:p>
        </w:tc>
        <w:tc>
          <w:tcPr>
            <w:tcW w:w="3520" w:type="dxa"/>
            <w:vAlign w:val="bottom"/>
          </w:tcPr>
          <w:p>
            <w:pPr>
              <w:ind w:left="20"/>
              <w:spacing w:after="0"/>
              <w:rPr>
                <w:sz w:val="20"/>
                <w:szCs w:val="20"/>
                <w:color w:val="auto"/>
              </w:rPr>
            </w:pPr>
            <w:r>
              <w:rPr>
                <w:rFonts w:ascii="Arial" w:cs="Arial" w:eastAsia="Arial" w:hAnsi="Arial"/>
                <w:sz w:val="18"/>
                <w:szCs w:val="18"/>
                <w:color w:val="auto"/>
              </w:rPr>
              <w:t>JAPAN</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Elite Industech Co.,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TAIWAN</w:t>
            </w:r>
          </w:p>
        </w:tc>
      </w:tr>
      <w:tr>
        <w:trPr>
          <w:trHeight w:val="239"/>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Emerald Jewel Industry India Limited (Unit 1)</w:t>
            </w:r>
          </w:p>
        </w:tc>
        <w:tc>
          <w:tcPr>
            <w:tcW w:w="3520" w:type="dxa"/>
            <w:vAlign w:val="bottom"/>
          </w:tcPr>
          <w:p>
            <w:pPr>
              <w:ind w:left="20"/>
              <w:spacing w:after="0"/>
              <w:rPr>
                <w:sz w:val="20"/>
                <w:szCs w:val="20"/>
                <w:color w:val="auto"/>
              </w:rPr>
            </w:pPr>
            <w:r>
              <w:rPr>
                <w:rFonts w:ascii="Arial" w:cs="Arial" w:eastAsia="Arial" w:hAnsi="Arial"/>
                <w:sz w:val="18"/>
                <w:szCs w:val="18"/>
                <w:color w:val="auto"/>
              </w:rPr>
              <w:t>INDIA</w:t>
            </w:r>
          </w:p>
        </w:tc>
      </w:tr>
    </w:tbl>
    <w:p>
      <w:pPr>
        <w:sectPr>
          <w:pgSz w:w="11900" w:h="16838" w:orient="portrait"/>
          <w:cols w:equalWidth="0" w:num="1">
            <w:col w:w="11220"/>
          </w:cols>
          <w:pgMar w:left="320" w:top="1162" w:right="35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540" w:type="dxa"/>
            <w:vAlign w:val="bottom"/>
            <w:gridSpan w:val="2"/>
          </w:tcPr>
          <w:p>
            <w:pPr>
              <w:ind w:left="420"/>
              <w:spacing w:after="0"/>
              <w:rPr>
                <w:sz w:val="20"/>
                <w:szCs w:val="20"/>
                <w:color w:val="auto"/>
              </w:rPr>
            </w:pPr>
            <w:r>
              <w:rPr>
                <w:rFonts w:ascii="Arial" w:cs="Arial" w:eastAsia="Arial" w:hAnsi="Arial"/>
                <w:sz w:val="18"/>
                <w:szCs w:val="18"/>
                <w:b w:val="1"/>
                <w:bCs w:val="1"/>
                <w:color w:val="auto"/>
              </w:rPr>
              <w:t>Metal</w:t>
            </w:r>
          </w:p>
        </w:tc>
        <w:tc>
          <w:tcPr>
            <w:tcW w:w="6120" w:type="dxa"/>
            <w:vAlign w:val="bottom"/>
            <w:gridSpan w:val="2"/>
          </w:tcPr>
          <w:p>
            <w:pPr>
              <w:ind w:left="1960"/>
              <w:spacing w:after="0"/>
              <w:rPr>
                <w:sz w:val="20"/>
                <w:szCs w:val="20"/>
                <w:color w:val="auto"/>
              </w:rPr>
            </w:pPr>
            <w:r>
              <w:rPr>
                <w:rFonts w:ascii="Arial" w:cs="Arial" w:eastAsia="Arial" w:hAnsi="Arial"/>
                <w:sz w:val="18"/>
                <w:szCs w:val="18"/>
                <w:b w:val="1"/>
                <w:bCs w:val="1"/>
                <w:color w:val="auto"/>
              </w:rPr>
              <w:t>Smelter Reference List</w:t>
            </w:r>
          </w:p>
        </w:tc>
        <w:tc>
          <w:tcPr>
            <w:tcW w:w="3520" w:type="dxa"/>
            <w:vAlign w:val="bottom"/>
          </w:tcPr>
          <w:p>
            <w:pPr>
              <w:ind w:left="300"/>
              <w:spacing w:after="0"/>
              <w:rPr>
                <w:sz w:val="20"/>
                <w:szCs w:val="20"/>
                <w:color w:val="auto"/>
              </w:rPr>
            </w:pPr>
            <w:r>
              <w:rPr>
                <w:rFonts w:ascii="Arial" w:cs="Arial" w:eastAsia="Arial" w:hAnsi="Arial"/>
                <w:sz w:val="18"/>
                <w:szCs w:val="18"/>
                <w:b w:val="1"/>
                <w:bCs w:val="1"/>
                <w:color w:val="auto"/>
              </w:rPr>
              <w:t>Smelter Facility Location: Country</w:t>
            </w:r>
          </w:p>
        </w:tc>
      </w:tr>
      <w:tr>
        <w:trPr>
          <w:trHeight w:val="223"/>
        </w:trPr>
        <w:tc>
          <w:tcPr>
            <w:tcW w:w="1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Gold</w:t>
            </w:r>
          </w:p>
        </w:tc>
        <w:tc>
          <w:tcPr>
            <w:tcW w:w="240" w:type="dxa"/>
            <w:vAlign w:val="bottom"/>
            <w:tcBorders>
              <w:top w:val="single" w:sz="8" w:color="CCEEFF"/>
            </w:tcBorders>
            <w:shd w:val="clear" w:color="auto" w:fill="CCEEFF"/>
          </w:tcPr>
          <w:p>
            <w:pPr>
              <w:spacing w:after="0"/>
              <w:rPr>
                <w:sz w:val="19"/>
                <w:szCs w:val="19"/>
                <w:color w:val="auto"/>
              </w:rPr>
            </w:pPr>
          </w:p>
        </w:tc>
        <w:tc>
          <w:tcPr>
            <w:tcW w:w="5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Emerald Jewel Industry India Limited (Unit 2)</w:t>
            </w:r>
          </w:p>
        </w:tc>
        <w:tc>
          <w:tcPr>
            <w:tcW w:w="240" w:type="dxa"/>
            <w:vAlign w:val="bottom"/>
            <w:tcBorders>
              <w:top w:val="single" w:sz="8" w:color="CCEEFF"/>
            </w:tcBorders>
            <w:shd w:val="clear" w:color="auto" w:fill="CCEEFF"/>
          </w:tcPr>
          <w:p>
            <w:pPr>
              <w:spacing w:after="0"/>
              <w:rPr>
                <w:sz w:val="19"/>
                <w:szCs w:val="19"/>
                <w:color w:val="auto"/>
              </w:rPr>
            </w:pPr>
          </w:p>
        </w:tc>
        <w:tc>
          <w:tcPr>
            <w:tcW w:w="3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INDIA</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Emerald Jewel Industry India Limited (Unit 3)</w:t>
            </w:r>
          </w:p>
        </w:tc>
        <w:tc>
          <w:tcPr>
            <w:tcW w:w="352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Emerald Jewel Industry India Limited (Unit 4)</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INDIA</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Fujairah Gold FZC</w:t>
            </w:r>
          </w:p>
        </w:tc>
        <w:tc>
          <w:tcPr>
            <w:tcW w:w="3520" w:type="dxa"/>
            <w:vAlign w:val="bottom"/>
          </w:tcPr>
          <w:p>
            <w:pPr>
              <w:ind w:left="20"/>
              <w:spacing w:after="0"/>
              <w:rPr>
                <w:sz w:val="20"/>
                <w:szCs w:val="20"/>
                <w:color w:val="auto"/>
              </w:rPr>
            </w:pPr>
            <w:r>
              <w:rPr>
                <w:rFonts w:ascii="Arial" w:cs="Arial" w:eastAsia="Arial" w:hAnsi="Arial"/>
                <w:sz w:val="18"/>
                <w:szCs w:val="18"/>
                <w:color w:val="auto"/>
              </w:rPr>
              <w:t>UNITED ARAB EMIRATES</w:t>
            </w: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Geib Refining Corporation</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GG Refinery Ltd.</w:t>
            </w:r>
          </w:p>
        </w:tc>
        <w:tc>
          <w:tcPr>
            <w:tcW w:w="3520" w:type="dxa"/>
            <w:vAlign w:val="bottom"/>
          </w:tcPr>
          <w:p>
            <w:pPr>
              <w:ind w:left="20"/>
              <w:spacing w:after="0"/>
              <w:rPr>
                <w:sz w:val="20"/>
                <w:szCs w:val="20"/>
                <w:color w:val="auto"/>
              </w:rPr>
            </w:pPr>
            <w:r>
              <w:rPr>
                <w:rFonts w:ascii="Arial" w:cs="Arial" w:eastAsia="Arial" w:hAnsi="Arial"/>
                <w:sz w:val="18"/>
                <w:szCs w:val="18"/>
                <w:color w:val="auto"/>
              </w:rPr>
              <w:t>TANZANIA</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Gold Coast Refinery</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GHANA</w:t>
            </w: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Gold by Gold Colombia</w:t>
            </w:r>
          </w:p>
        </w:tc>
        <w:tc>
          <w:tcPr>
            <w:tcW w:w="3520" w:type="dxa"/>
            <w:vAlign w:val="bottom"/>
          </w:tcPr>
          <w:p>
            <w:pPr>
              <w:ind w:left="20"/>
              <w:spacing w:after="0"/>
              <w:rPr>
                <w:sz w:val="20"/>
                <w:szCs w:val="20"/>
                <w:color w:val="auto"/>
              </w:rPr>
            </w:pPr>
            <w:r>
              <w:rPr>
                <w:rFonts w:ascii="Arial" w:cs="Arial" w:eastAsia="Arial" w:hAnsi="Arial"/>
                <w:sz w:val="18"/>
                <w:szCs w:val="18"/>
                <w:color w:val="auto"/>
              </w:rPr>
              <w:t>COLOMBIA</w:t>
            </w: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Gold Refinery of Zijin Mining Group Co.,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Great Wall Precious Metals Co., Ltd. of CBPM</w:t>
            </w:r>
          </w:p>
        </w:tc>
        <w:tc>
          <w:tcPr>
            <w:tcW w:w="352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Guangdong Jinding Gold Limited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Guoda Safina High-Tech Environmental Refinery Co., Ltd.</w:t>
            </w:r>
          </w:p>
        </w:tc>
        <w:tc>
          <w:tcPr>
            <w:tcW w:w="352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Hangzhou Fuchunjiang Smelting Co.,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Heimerle + Meule GmbH</w:t>
            </w:r>
          </w:p>
        </w:tc>
        <w:tc>
          <w:tcPr>
            <w:tcW w:w="352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Heraeus Metals Hong Kong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Heraeus Germany GmbH Co. KG</w:t>
            </w:r>
          </w:p>
        </w:tc>
        <w:tc>
          <w:tcPr>
            <w:tcW w:w="352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Hunan Chenzhou Mining Co.,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Hunan Guiyang yinxing Nonferrous Smelting Co., Ltd.</w:t>
            </w:r>
          </w:p>
        </w:tc>
        <w:tc>
          <w:tcPr>
            <w:tcW w:w="352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HwaSeong CJ CO.,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KOREA, REPUBLIC OF</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Impala Platinum - Platinum Metals Refinery (PMR)</w:t>
            </w:r>
          </w:p>
        </w:tc>
        <w:tc>
          <w:tcPr>
            <w:tcW w:w="3520" w:type="dxa"/>
            <w:vAlign w:val="bottom"/>
          </w:tcPr>
          <w:p>
            <w:pPr>
              <w:ind w:left="20"/>
              <w:spacing w:after="0"/>
              <w:rPr>
                <w:sz w:val="20"/>
                <w:szCs w:val="20"/>
                <w:color w:val="auto"/>
              </w:rPr>
            </w:pPr>
            <w:r>
              <w:rPr>
                <w:rFonts w:ascii="Arial" w:cs="Arial" w:eastAsia="Arial" w:hAnsi="Arial"/>
                <w:sz w:val="18"/>
                <w:szCs w:val="18"/>
                <w:color w:val="auto"/>
              </w:rPr>
              <w:t>SOUTH AFRICA</w:t>
            </w: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Impala Refineries – Base Metals Refinery (BMR)</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 AFRICA</w:t>
            </w: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Impala Rustenburg</w:t>
            </w:r>
          </w:p>
        </w:tc>
        <w:tc>
          <w:tcPr>
            <w:tcW w:w="3520" w:type="dxa"/>
            <w:vAlign w:val="bottom"/>
          </w:tcPr>
          <w:p>
            <w:pPr>
              <w:ind w:left="20"/>
              <w:spacing w:after="0"/>
              <w:rPr>
                <w:sz w:val="20"/>
                <w:szCs w:val="20"/>
                <w:color w:val="auto"/>
              </w:rPr>
            </w:pPr>
            <w:r>
              <w:rPr>
                <w:rFonts w:ascii="Arial" w:cs="Arial" w:eastAsia="Arial" w:hAnsi="Arial"/>
                <w:sz w:val="18"/>
                <w:szCs w:val="18"/>
                <w:color w:val="auto"/>
              </w:rPr>
              <w:t>SOUTH AFRICA</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Industrial Refining Company</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BELGIUM</w:t>
            </w: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Inner Mongolia Qiankun Gold and Silver Refinery Share Co., Ltd.</w:t>
            </w:r>
          </w:p>
        </w:tc>
        <w:tc>
          <w:tcPr>
            <w:tcW w:w="352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International Precious Metal Refiners</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ARAB EMIRATES</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Ishifuku Metal Industry Co., Ltd.</w:t>
            </w:r>
          </w:p>
        </w:tc>
        <w:tc>
          <w:tcPr>
            <w:tcW w:w="3520" w:type="dxa"/>
            <w:vAlign w:val="bottom"/>
          </w:tcPr>
          <w:p>
            <w:pPr>
              <w:ind w:left="20"/>
              <w:spacing w:after="0"/>
              <w:rPr>
                <w:sz w:val="20"/>
                <w:szCs w:val="20"/>
                <w:color w:val="auto"/>
              </w:rPr>
            </w:pPr>
            <w:r>
              <w:rPr>
                <w:rFonts w:ascii="Arial" w:cs="Arial" w:eastAsia="Arial" w:hAnsi="Arial"/>
                <w:sz w:val="18"/>
                <w:szCs w:val="18"/>
                <w:color w:val="auto"/>
              </w:rPr>
              <w:t>JAPAN</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Istanbul Gold Refinery</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TURKEY</w:t>
            </w: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Italpreziosi</w:t>
            </w:r>
          </w:p>
        </w:tc>
        <w:tc>
          <w:tcPr>
            <w:tcW w:w="3520" w:type="dxa"/>
            <w:vAlign w:val="bottom"/>
          </w:tcPr>
          <w:p>
            <w:pPr>
              <w:ind w:left="20"/>
              <w:spacing w:after="0"/>
              <w:rPr>
                <w:sz w:val="20"/>
                <w:szCs w:val="20"/>
                <w:color w:val="auto"/>
              </w:rPr>
            </w:pPr>
            <w:r>
              <w:rPr>
                <w:rFonts w:ascii="Arial" w:cs="Arial" w:eastAsia="Arial" w:hAnsi="Arial"/>
                <w:sz w:val="18"/>
                <w:szCs w:val="18"/>
                <w:color w:val="auto"/>
              </w:rPr>
              <w:t>ITALY</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JALAN &amp; Company</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INDIA</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Japan Mint</w:t>
            </w:r>
          </w:p>
        </w:tc>
        <w:tc>
          <w:tcPr>
            <w:tcW w:w="3520" w:type="dxa"/>
            <w:vAlign w:val="bottom"/>
          </w:tcPr>
          <w:p>
            <w:pPr>
              <w:ind w:left="20"/>
              <w:spacing w:after="0"/>
              <w:rPr>
                <w:sz w:val="20"/>
                <w:szCs w:val="20"/>
                <w:color w:val="auto"/>
              </w:rPr>
            </w:pPr>
            <w:r>
              <w:rPr>
                <w:rFonts w:ascii="Arial" w:cs="Arial" w:eastAsia="Arial" w:hAnsi="Arial"/>
                <w:sz w:val="18"/>
                <w:szCs w:val="18"/>
                <w:color w:val="auto"/>
              </w:rPr>
              <w:t>JAPAN</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Jiangxi Copper Co.,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JX Nippon Mining &amp; Metals Co., Ltd.</w:t>
            </w:r>
          </w:p>
        </w:tc>
        <w:tc>
          <w:tcPr>
            <w:tcW w:w="3520" w:type="dxa"/>
            <w:vAlign w:val="bottom"/>
          </w:tcPr>
          <w:p>
            <w:pPr>
              <w:ind w:left="20"/>
              <w:spacing w:after="0"/>
              <w:rPr>
                <w:sz w:val="20"/>
                <w:szCs w:val="20"/>
                <w:color w:val="auto"/>
              </w:rPr>
            </w:pPr>
            <w:r>
              <w:rPr>
                <w:rFonts w:ascii="Arial" w:cs="Arial" w:eastAsia="Arial" w:hAnsi="Arial"/>
                <w:sz w:val="18"/>
                <w:szCs w:val="18"/>
                <w:color w:val="auto"/>
              </w:rPr>
              <w:t>JAPAN</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Kaloti Precious Metals</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ARAB EMIRATES</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K.A. Rasmussen</w:t>
            </w:r>
          </w:p>
        </w:tc>
        <w:tc>
          <w:tcPr>
            <w:tcW w:w="3520" w:type="dxa"/>
            <w:vAlign w:val="bottom"/>
          </w:tcPr>
          <w:p>
            <w:pPr>
              <w:ind w:left="20"/>
              <w:spacing w:after="0"/>
              <w:rPr>
                <w:sz w:val="20"/>
                <w:szCs w:val="20"/>
                <w:color w:val="auto"/>
              </w:rPr>
            </w:pPr>
            <w:r>
              <w:rPr>
                <w:rFonts w:ascii="Arial" w:cs="Arial" w:eastAsia="Arial" w:hAnsi="Arial"/>
                <w:sz w:val="18"/>
                <w:szCs w:val="18"/>
                <w:color w:val="auto"/>
              </w:rPr>
              <w:t>NORWAY</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Kazakhmys Smelting LLC</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KAZAKHSTAN</w:t>
            </w: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Kazzinc</w:t>
            </w:r>
          </w:p>
        </w:tc>
        <w:tc>
          <w:tcPr>
            <w:tcW w:w="3520" w:type="dxa"/>
            <w:vAlign w:val="bottom"/>
          </w:tcPr>
          <w:p>
            <w:pPr>
              <w:ind w:left="20"/>
              <w:spacing w:after="0"/>
              <w:rPr>
                <w:sz w:val="20"/>
                <w:szCs w:val="20"/>
                <w:color w:val="auto"/>
              </w:rPr>
            </w:pPr>
            <w:r>
              <w:rPr>
                <w:rFonts w:ascii="Arial" w:cs="Arial" w:eastAsia="Arial" w:hAnsi="Arial"/>
                <w:sz w:val="18"/>
                <w:szCs w:val="18"/>
                <w:color w:val="auto"/>
              </w:rPr>
              <w:t>KAZAKHSTAN</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Kennecott Utah Copper LLC</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KGHM Polska Miedz Spolka Akcyjna</w:t>
            </w:r>
          </w:p>
        </w:tc>
        <w:tc>
          <w:tcPr>
            <w:tcW w:w="3520" w:type="dxa"/>
            <w:vAlign w:val="bottom"/>
          </w:tcPr>
          <w:p>
            <w:pPr>
              <w:ind w:left="20"/>
              <w:spacing w:after="0"/>
              <w:rPr>
                <w:sz w:val="20"/>
                <w:szCs w:val="20"/>
                <w:color w:val="auto"/>
              </w:rPr>
            </w:pPr>
            <w:r>
              <w:rPr>
                <w:rFonts w:ascii="Arial" w:cs="Arial" w:eastAsia="Arial" w:hAnsi="Arial"/>
                <w:sz w:val="18"/>
                <w:szCs w:val="18"/>
                <w:color w:val="auto"/>
              </w:rPr>
              <w:t>POLAND</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Kojima Chemicals Co.,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w:t>
            </w: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Korea Zinc Co., Ltd.</w:t>
            </w:r>
          </w:p>
        </w:tc>
        <w:tc>
          <w:tcPr>
            <w:tcW w:w="3520" w:type="dxa"/>
            <w:vAlign w:val="bottom"/>
          </w:tcPr>
          <w:p>
            <w:pPr>
              <w:ind w:left="20"/>
              <w:spacing w:after="0"/>
              <w:rPr>
                <w:sz w:val="20"/>
                <w:szCs w:val="20"/>
                <w:color w:val="auto"/>
              </w:rPr>
            </w:pPr>
            <w:r>
              <w:rPr>
                <w:rFonts w:ascii="Arial" w:cs="Arial" w:eastAsia="Arial" w:hAnsi="Arial"/>
                <w:sz w:val="18"/>
                <w:szCs w:val="18"/>
                <w:color w:val="auto"/>
              </w:rPr>
              <w:t>KOREA, REPUBLIC OF</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Kyrgyzaltyn JSC</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KYRGYZSTAN</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L'azurde Company For Jewelry</w:t>
            </w:r>
          </w:p>
        </w:tc>
        <w:tc>
          <w:tcPr>
            <w:tcW w:w="3520" w:type="dxa"/>
            <w:vAlign w:val="bottom"/>
          </w:tcPr>
          <w:p>
            <w:pPr>
              <w:ind w:left="20"/>
              <w:spacing w:after="0"/>
              <w:rPr>
                <w:sz w:val="20"/>
                <w:szCs w:val="20"/>
                <w:color w:val="auto"/>
              </w:rPr>
            </w:pPr>
            <w:r>
              <w:rPr>
                <w:rFonts w:ascii="Arial" w:cs="Arial" w:eastAsia="Arial" w:hAnsi="Arial"/>
                <w:sz w:val="18"/>
                <w:szCs w:val="18"/>
                <w:color w:val="auto"/>
              </w:rPr>
              <w:t>SAUDI ARABIA</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L'Orfebre S.A.</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ANDORRA</w:t>
            </w: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Lingbao Jinyuan Tonghui Refinery Co., Ltd.</w:t>
            </w:r>
          </w:p>
        </w:tc>
        <w:tc>
          <w:tcPr>
            <w:tcW w:w="352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LT Metal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KOREA, REPUBLIC OF</w:t>
            </w:r>
          </w:p>
        </w:tc>
      </w:tr>
    </w:tbl>
    <w:p>
      <w:pPr>
        <w:sectPr>
          <w:pgSz w:w="11900" w:h="16838" w:orient="portrait"/>
          <w:cols w:equalWidth="0" w:num="1">
            <w:col w:w="11180"/>
          </w:cols>
          <w:pgMar w:left="360" w:top="1025" w:right="35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540" w:type="dxa"/>
            <w:vAlign w:val="bottom"/>
            <w:gridSpan w:val="2"/>
          </w:tcPr>
          <w:p>
            <w:pPr>
              <w:ind w:left="420"/>
              <w:spacing w:after="0"/>
              <w:rPr>
                <w:sz w:val="20"/>
                <w:szCs w:val="20"/>
                <w:color w:val="auto"/>
              </w:rPr>
            </w:pPr>
            <w:r>
              <w:rPr>
                <w:rFonts w:ascii="Arial" w:cs="Arial" w:eastAsia="Arial" w:hAnsi="Arial"/>
                <w:sz w:val="18"/>
                <w:szCs w:val="18"/>
                <w:b w:val="1"/>
                <w:bCs w:val="1"/>
                <w:color w:val="auto"/>
              </w:rPr>
              <w:t>Metal</w:t>
            </w:r>
          </w:p>
        </w:tc>
        <w:tc>
          <w:tcPr>
            <w:tcW w:w="6120" w:type="dxa"/>
            <w:vAlign w:val="bottom"/>
            <w:gridSpan w:val="2"/>
          </w:tcPr>
          <w:p>
            <w:pPr>
              <w:ind w:left="1960"/>
              <w:spacing w:after="0"/>
              <w:rPr>
                <w:sz w:val="20"/>
                <w:szCs w:val="20"/>
                <w:color w:val="auto"/>
              </w:rPr>
            </w:pPr>
            <w:r>
              <w:rPr>
                <w:rFonts w:ascii="Arial" w:cs="Arial" w:eastAsia="Arial" w:hAnsi="Arial"/>
                <w:sz w:val="18"/>
                <w:szCs w:val="18"/>
                <w:b w:val="1"/>
                <w:bCs w:val="1"/>
                <w:color w:val="auto"/>
              </w:rPr>
              <w:t>Smelter Reference List</w:t>
            </w:r>
          </w:p>
        </w:tc>
        <w:tc>
          <w:tcPr>
            <w:tcW w:w="3520" w:type="dxa"/>
            <w:vAlign w:val="bottom"/>
          </w:tcPr>
          <w:p>
            <w:pPr>
              <w:ind w:left="300"/>
              <w:spacing w:after="0"/>
              <w:rPr>
                <w:sz w:val="20"/>
                <w:szCs w:val="20"/>
                <w:color w:val="auto"/>
              </w:rPr>
            </w:pPr>
            <w:r>
              <w:rPr>
                <w:rFonts w:ascii="Arial" w:cs="Arial" w:eastAsia="Arial" w:hAnsi="Arial"/>
                <w:sz w:val="18"/>
                <w:szCs w:val="18"/>
                <w:b w:val="1"/>
                <w:bCs w:val="1"/>
                <w:color w:val="auto"/>
              </w:rPr>
              <w:t>Smelter Facility Location: Country</w:t>
            </w:r>
          </w:p>
        </w:tc>
      </w:tr>
      <w:tr>
        <w:trPr>
          <w:trHeight w:val="223"/>
        </w:trPr>
        <w:tc>
          <w:tcPr>
            <w:tcW w:w="1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Gold</w:t>
            </w:r>
          </w:p>
        </w:tc>
        <w:tc>
          <w:tcPr>
            <w:tcW w:w="240" w:type="dxa"/>
            <w:vAlign w:val="bottom"/>
          </w:tcPr>
          <w:p>
            <w:pPr>
              <w:spacing w:after="0"/>
              <w:rPr>
                <w:sz w:val="19"/>
                <w:szCs w:val="19"/>
                <w:color w:val="auto"/>
              </w:rPr>
            </w:pPr>
          </w:p>
        </w:tc>
        <w:tc>
          <w:tcPr>
            <w:tcW w:w="5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LS MnM Inc.</w:t>
            </w:r>
          </w:p>
        </w:tc>
        <w:tc>
          <w:tcPr>
            <w:tcW w:w="240" w:type="dxa"/>
            <w:vAlign w:val="bottom"/>
          </w:tcPr>
          <w:p>
            <w:pPr>
              <w:spacing w:after="0"/>
              <w:rPr>
                <w:sz w:val="19"/>
                <w:szCs w:val="19"/>
                <w:color w:val="auto"/>
              </w:rPr>
            </w:pPr>
          </w:p>
        </w:tc>
        <w:tc>
          <w:tcPr>
            <w:tcW w:w="35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Luoyang Zijin Yinhui Gold Refinery Co.,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Marsam Metals</w:t>
            </w:r>
          </w:p>
        </w:tc>
        <w:tc>
          <w:tcPr>
            <w:tcW w:w="352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Materion</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Matsuda Sangyo Co., Ltd.</w:t>
            </w:r>
          </w:p>
        </w:tc>
        <w:tc>
          <w:tcPr>
            <w:tcW w:w="3520" w:type="dxa"/>
            <w:vAlign w:val="bottom"/>
          </w:tcPr>
          <w:p>
            <w:pPr>
              <w:ind w:left="20"/>
              <w:spacing w:after="0"/>
              <w:rPr>
                <w:sz w:val="20"/>
                <w:szCs w:val="20"/>
                <w:color w:val="auto"/>
              </w:rPr>
            </w:pPr>
            <w:r>
              <w:rPr>
                <w:rFonts w:ascii="Arial" w:cs="Arial" w:eastAsia="Arial" w:hAnsi="Arial"/>
                <w:sz w:val="18"/>
                <w:szCs w:val="18"/>
                <w:color w:val="auto"/>
              </w:rPr>
              <w:t>JAPAN</w:t>
            </w: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MD Overseas</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INDIA</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Metallix Refining Inc.</w:t>
            </w:r>
          </w:p>
        </w:tc>
        <w:tc>
          <w:tcPr>
            <w:tcW w:w="3520" w:type="dxa"/>
            <w:vAlign w:val="bottom"/>
          </w:tcPr>
          <w:p>
            <w:pPr>
              <w:ind w:left="20"/>
              <w:spacing w:after="0"/>
              <w:rPr>
                <w:sz w:val="20"/>
                <w:szCs w:val="20"/>
                <w:color w:val="auto"/>
              </w:rPr>
            </w:pPr>
            <w:r>
              <w:rPr>
                <w:rFonts w:ascii="Arial" w:cs="Arial" w:eastAsia="Arial" w:hAnsi="Arial"/>
                <w:sz w:val="18"/>
                <w:szCs w:val="18"/>
                <w:color w:val="auto"/>
              </w:rPr>
              <w:t>UNITED STATES</w:t>
            </w: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Metal Concentrators SA (Pty)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 AFRICA</w:t>
            </w: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Metalurgica Met-Mex Penoles S.A. De C.V.</w:t>
            </w:r>
          </w:p>
        </w:tc>
        <w:tc>
          <w:tcPr>
            <w:tcW w:w="352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Metalor Technologies (Hong Kong)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Metalor Technologies (Singapore) Pte., Ltd.</w:t>
            </w:r>
          </w:p>
        </w:tc>
        <w:tc>
          <w:tcPr>
            <w:tcW w:w="3520" w:type="dxa"/>
            <w:vAlign w:val="bottom"/>
          </w:tcPr>
          <w:p>
            <w:pPr>
              <w:ind w:left="20"/>
              <w:spacing w:after="0"/>
              <w:rPr>
                <w:sz w:val="20"/>
                <w:szCs w:val="20"/>
                <w:color w:val="auto"/>
              </w:rPr>
            </w:pPr>
            <w:r>
              <w:rPr>
                <w:rFonts w:ascii="Arial" w:cs="Arial" w:eastAsia="Arial" w:hAnsi="Arial"/>
                <w:sz w:val="18"/>
                <w:szCs w:val="18"/>
                <w:color w:val="auto"/>
              </w:rPr>
              <w:t>SINGAPORE</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Metalor Technologies (Suzhou)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Metalor Technologies SA</w:t>
            </w:r>
          </w:p>
        </w:tc>
        <w:tc>
          <w:tcPr>
            <w:tcW w:w="352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Metalor USA Refining Corporation</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Mitsubishi Materials Corporation</w:t>
            </w:r>
          </w:p>
        </w:tc>
        <w:tc>
          <w:tcPr>
            <w:tcW w:w="3520" w:type="dxa"/>
            <w:vAlign w:val="bottom"/>
          </w:tcPr>
          <w:p>
            <w:pPr>
              <w:ind w:left="20"/>
              <w:spacing w:after="0"/>
              <w:rPr>
                <w:sz w:val="20"/>
                <w:szCs w:val="20"/>
                <w:color w:val="auto"/>
              </w:rPr>
            </w:pPr>
            <w:r>
              <w:rPr>
                <w:rFonts w:ascii="Arial" w:cs="Arial" w:eastAsia="Arial" w:hAnsi="Arial"/>
                <w:sz w:val="18"/>
                <w:szCs w:val="18"/>
                <w:color w:val="auto"/>
              </w:rPr>
              <w:t>JAPAN</w:t>
            </w: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Mitsui Mining and Smelting Co.,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MKS PAMP SA</w:t>
            </w:r>
          </w:p>
        </w:tc>
        <w:tc>
          <w:tcPr>
            <w:tcW w:w="352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MMTC-PAMP India Pvt.,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INDIA</w:t>
            </w: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Modeltech Sdn Bhd</w:t>
            </w:r>
          </w:p>
        </w:tc>
        <w:tc>
          <w:tcPr>
            <w:tcW w:w="3520" w:type="dxa"/>
            <w:vAlign w:val="bottom"/>
          </w:tcPr>
          <w:p>
            <w:pPr>
              <w:ind w:left="20"/>
              <w:spacing w:after="0"/>
              <w:rPr>
                <w:sz w:val="20"/>
                <w:szCs w:val="20"/>
                <w:color w:val="auto"/>
              </w:rPr>
            </w:pPr>
            <w:r>
              <w:rPr>
                <w:rFonts w:ascii="Arial" w:cs="Arial" w:eastAsia="Arial" w:hAnsi="Arial"/>
                <w:sz w:val="18"/>
                <w:szCs w:val="18"/>
                <w:color w:val="auto"/>
              </w:rPr>
              <w:t>MALAYSIA</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Morris and Watson</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ZEALAND</w:t>
            </w: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Nadir Metal Rafineri San. Ve Tic. A.S.</w:t>
            </w:r>
          </w:p>
        </w:tc>
        <w:tc>
          <w:tcPr>
            <w:tcW w:w="3520" w:type="dxa"/>
            <w:vAlign w:val="bottom"/>
          </w:tcPr>
          <w:p>
            <w:pPr>
              <w:ind w:left="20"/>
              <w:spacing w:after="0"/>
              <w:rPr>
                <w:sz w:val="20"/>
                <w:szCs w:val="20"/>
                <w:color w:val="auto"/>
              </w:rPr>
            </w:pPr>
            <w:r>
              <w:rPr>
                <w:rFonts w:ascii="Arial" w:cs="Arial" w:eastAsia="Arial" w:hAnsi="Arial"/>
                <w:sz w:val="18"/>
                <w:szCs w:val="18"/>
                <w:color w:val="auto"/>
              </w:rPr>
              <w:t>TURKEY</w:t>
            </w: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Navoi Mining and Metallurgical Combinat</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UZBEKISTAN</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NH Recytech Company</w:t>
            </w:r>
          </w:p>
        </w:tc>
        <w:tc>
          <w:tcPr>
            <w:tcW w:w="3520" w:type="dxa"/>
            <w:vAlign w:val="bottom"/>
          </w:tcPr>
          <w:p>
            <w:pPr>
              <w:ind w:left="20"/>
              <w:spacing w:after="0"/>
              <w:rPr>
                <w:sz w:val="20"/>
                <w:szCs w:val="20"/>
                <w:color w:val="auto"/>
              </w:rPr>
            </w:pPr>
            <w:r>
              <w:rPr>
                <w:rFonts w:ascii="Arial" w:cs="Arial" w:eastAsia="Arial" w:hAnsi="Arial"/>
                <w:sz w:val="18"/>
                <w:szCs w:val="18"/>
                <w:color w:val="auto"/>
              </w:rPr>
              <w:t>KOREA, REPUBLIC OF</w:t>
            </w: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Nihon Material Co.,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Ogussa Osterreichische Gold- und Silber-Scheideanstalt GmbH</w:t>
            </w:r>
          </w:p>
        </w:tc>
        <w:tc>
          <w:tcPr>
            <w:tcW w:w="3520" w:type="dxa"/>
            <w:vAlign w:val="bottom"/>
          </w:tcPr>
          <w:p>
            <w:pPr>
              <w:ind w:left="20"/>
              <w:spacing w:after="0"/>
              <w:rPr>
                <w:sz w:val="20"/>
                <w:szCs w:val="20"/>
                <w:color w:val="auto"/>
              </w:rPr>
            </w:pPr>
            <w:r>
              <w:rPr>
                <w:rFonts w:ascii="Arial" w:cs="Arial" w:eastAsia="Arial" w:hAnsi="Arial"/>
                <w:sz w:val="18"/>
                <w:szCs w:val="18"/>
                <w:color w:val="auto"/>
              </w:rPr>
              <w:t>AUSTRIA</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Ohura Precious Metal Industry Co.,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Pease &amp; Curren</w:t>
            </w:r>
          </w:p>
        </w:tc>
        <w:tc>
          <w:tcPr>
            <w:tcW w:w="3520" w:type="dxa"/>
            <w:vAlign w:val="bottom"/>
          </w:tcPr>
          <w:p>
            <w:pPr>
              <w:ind w:left="20"/>
              <w:spacing w:after="0"/>
              <w:rPr>
                <w:sz w:val="20"/>
                <w:szCs w:val="20"/>
                <w:color w:val="auto"/>
              </w:rPr>
            </w:pPr>
            <w:r>
              <w:rPr>
                <w:rFonts w:ascii="Arial" w:cs="Arial" w:eastAsia="Arial" w:hAnsi="Arial"/>
                <w:sz w:val="18"/>
                <w:szCs w:val="18"/>
                <w:color w:val="auto"/>
              </w:rPr>
              <w:t>UNITED STATES</w:t>
            </w: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Penglai Penggang Gold Industry Co.,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Planta Recuperadora de Metales SpA</w:t>
            </w:r>
          </w:p>
        </w:tc>
        <w:tc>
          <w:tcPr>
            <w:tcW w:w="3520" w:type="dxa"/>
            <w:vAlign w:val="bottom"/>
          </w:tcPr>
          <w:p>
            <w:pPr>
              <w:ind w:left="20"/>
              <w:spacing w:after="0"/>
              <w:rPr>
                <w:sz w:val="20"/>
                <w:szCs w:val="20"/>
                <w:color w:val="auto"/>
              </w:rPr>
            </w:pPr>
            <w:r>
              <w:rPr>
                <w:rFonts w:ascii="Arial" w:cs="Arial" w:eastAsia="Arial" w:hAnsi="Arial"/>
                <w:sz w:val="18"/>
                <w:szCs w:val="18"/>
                <w:color w:val="auto"/>
              </w:rPr>
              <w:t>CHILE</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PT Aneka Tambang (Persero) Tbk</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INDONESIA</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PX Precinox S.A.</w:t>
            </w:r>
          </w:p>
        </w:tc>
        <w:tc>
          <w:tcPr>
            <w:tcW w:w="352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Rand Refinery (Pty)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 AFRICA</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Refinery of Seemine Gold Co., Ltd.</w:t>
            </w:r>
          </w:p>
        </w:tc>
        <w:tc>
          <w:tcPr>
            <w:tcW w:w="352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QG Refining, LLC</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REMONDIS PMR B.V.</w:t>
            </w:r>
          </w:p>
        </w:tc>
        <w:tc>
          <w:tcPr>
            <w:tcW w:w="352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Royal Canadian Mint</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CANADA</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Sabin Metal Corp.</w:t>
            </w:r>
          </w:p>
        </w:tc>
        <w:tc>
          <w:tcPr>
            <w:tcW w:w="3520" w:type="dxa"/>
            <w:vAlign w:val="bottom"/>
          </w:tcPr>
          <w:p>
            <w:pPr>
              <w:ind w:left="20"/>
              <w:spacing w:after="0"/>
              <w:rPr>
                <w:sz w:val="20"/>
                <w:szCs w:val="20"/>
                <w:color w:val="auto"/>
              </w:rPr>
            </w:pPr>
            <w:r>
              <w:rPr>
                <w:rFonts w:ascii="Arial" w:cs="Arial" w:eastAsia="Arial" w:hAnsi="Arial"/>
                <w:sz w:val="18"/>
                <w:szCs w:val="18"/>
                <w:color w:val="auto"/>
              </w:rPr>
              <w:t>UNITED STATES</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SAAMP</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FRANCE</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Sai Refinery</w:t>
            </w:r>
          </w:p>
        </w:tc>
        <w:tc>
          <w:tcPr>
            <w:tcW w:w="352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Sam Precious Metals</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ARAB EMIRATES</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Samwon Metals Corp.</w:t>
            </w:r>
          </w:p>
        </w:tc>
        <w:tc>
          <w:tcPr>
            <w:tcW w:w="3520" w:type="dxa"/>
            <w:vAlign w:val="bottom"/>
          </w:tcPr>
          <w:p>
            <w:pPr>
              <w:ind w:left="20"/>
              <w:spacing w:after="0"/>
              <w:rPr>
                <w:sz w:val="20"/>
                <w:szCs w:val="20"/>
                <w:color w:val="auto"/>
              </w:rPr>
            </w:pPr>
            <w:r>
              <w:rPr>
                <w:rFonts w:ascii="Arial" w:cs="Arial" w:eastAsia="Arial" w:hAnsi="Arial"/>
                <w:sz w:val="18"/>
                <w:szCs w:val="18"/>
                <w:color w:val="auto"/>
              </w:rPr>
              <w:t>KOREA, REPUBLIC OF</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Safimet S.p.A</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ITALY</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SAFINA A.S</w:t>
            </w:r>
          </w:p>
        </w:tc>
        <w:tc>
          <w:tcPr>
            <w:tcW w:w="3520" w:type="dxa"/>
            <w:vAlign w:val="bottom"/>
          </w:tcPr>
          <w:p>
            <w:pPr>
              <w:ind w:left="20"/>
              <w:spacing w:after="0"/>
              <w:rPr>
                <w:sz w:val="20"/>
                <w:szCs w:val="20"/>
                <w:color w:val="auto"/>
              </w:rPr>
            </w:pPr>
            <w:r>
              <w:rPr>
                <w:rFonts w:ascii="Arial" w:cs="Arial" w:eastAsia="Arial" w:hAnsi="Arial"/>
                <w:sz w:val="18"/>
                <w:szCs w:val="18"/>
                <w:color w:val="auto"/>
              </w:rPr>
              <w:t>CZECHIA</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SEMPSA Joyeria Plateria S.A.</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SPAIN</w:t>
            </w:r>
          </w:p>
        </w:tc>
      </w:tr>
    </w:tbl>
    <w:p>
      <w:pPr>
        <w:sectPr>
          <w:pgSz w:w="11900" w:h="16838" w:orient="portrait"/>
          <w:cols w:equalWidth="0" w:num="1">
            <w:col w:w="11180"/>
          </w:cols>
          <w:pgMar w:left="360" w:top="1025" w:right="35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540" w:type="dxa"/>
            <w:vAlign w:val="bottom"/>
            <w:gridSpan w:val="2"/>
          </w:tcPr>
          <w:p>
            <w:pPr>
              <w:ind w:left="420"/>
              <w:spacing w:after="0"/>
              <w:rPr>
                <w:sz w:val="20"/>
                <w:szCs w:val="20"/>
                <w:color w:val="auto"/>
              </w:rPr>
            </w:pPr>
            <w:r>
              <w:rPr>
                <w:rFonts w:ascii="Arial" w:cs="Arial" w:eastAsia="Arial" w:hAnsi="Arial"/>
                <w:sz w:val="18"/>
                <w:szCs w:val="18"/>
                <w:b w:val="1"/>
                <w:bCs w:val="1"/>
                <w:color w:val="auto"/>
              </w:rPr>
              <w:t>Metal</w:t>
            </w:r>
          </w:p>
        </w:tc>
        <w:tc>
          <w:tcPr>
            <w:tcW w:w="6120" w:type="dxa"/>
            <w:vAlign w:val="bottom"/>
            <w:gridSpan w:val="2"/>
          </w:tcPr>
          <w:p>
            <w:pPr>
              <w:ind w:left="1960"/>
              <w:spacing w:after="0"/>
              <w:rPr>
                <w:sz w:val="20"/>
                <w:szCs w:val="20"/>
                <w:color w:val="auto"/>
              </w:rPr>
            </w:pPr>
            <w:r>
              <w:rPr>
                <w:rFonts w:ascii="Arial" w:cs="Arial" w:eastAsia="Arial" w:hAnsi="Arial"/>
                <w:sz w:val="18"/>
                <w:szCs w:val="18"/>
                <w:b w:val="1"/>
                <w:bCs w:val="1"/>
                <w:color w:val="auto"/>
              </w:rPr>
              <w:t>Smelter Reference List</w:t>
            </w:r>
          </w:p>
        </w:tc>
        <w:tc>
          <w:tcPr>
            <w:tcW w:w="3520" w:type="dxa"/>
            <w:vAlign w:val="bottom"/>
          </w:tcPr>
          <w:p>
            <w:pPr>
              <w:ind w:left="300"/>
              <w:spacing w:after="0"/>
              <w:rPr>
                <w:sz w:val="20"/>
                <w:szCs w:val="20"/>
                <w:color w:val="auto"/>
              </w:rPr>
            </w:pPr>
            <w:r>
              <w:rPr>
                <w:rFonts w:ascii="Arial" w:cs="Arial" w:eastAsia="Arial" w:hAnsi="Arial"/>
                <w:sz w:val="18"/>
                <w:szCs w:val="18"/>
                <w:b w:val="1"/>
                <w:bCs w:val="1"/>
                <w:color w:val="auto"/>
              </w:rPr>
              <w:t>Smelter Facility Location: Country</w:t>
            </w:r>
          </w:p>
        </w:tc>
        <w:tc>
          <w:tcPr>
            <w:tcW w:w="0" w:type="dxa"/>
            <w:vAlign w:val="bottom"/>
          </w:tcPr>
          <w:p>
            <w:pPr>
              <w:spacing w:after="0"/>
              <w:rPr>
                <w:sz w:val="1"/>
                <w:szCs w:val="1"/>
                <w:color w:val="auto"/>
              </w:rPr>
            </w:pPr>
          </w:p>
        </w:tc>
      </w:tr>
      <w:tr>
        <w:trPr>
          <w:trHeight w:val="223"/>
        </w:trPr>
        <w:tc>
          <w:tcPr>
            <w:tcW w:w="1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Gold</w:t>
            </w:r>
          </w:p>
        </w:tc>
        <w:tc>
          <w:tcPr>
            <w:tcW w:w="240" w:type="dxa"/>
            <w:vAlign w:val="bottom"/>
          </w:tcPr>
          <w:p>
            <w:pPr>
              <w:spacing w:after="0"/>
              <w:rPr>
                <w:sz w:val="19"/>
                <w:szCs w:val="19"/>
                <w:color w:val="auto"/>
              </w:rPr>
            </w:pPr>
          </w:p>
        </w:tc>
        <w:tc>
          <w:tcPr>
            <w:tcW w:w="5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Shandong Gold Smelting Co., Ltd.</w:t>
            </w:r>
          </w:p>
        </w:tc>
        <w:tc>
          <w:tcPr>
            <w:tcW w:w="240" w:type="dxa"/>
            <w:vAlign w:val="bottom"/>
          </w:tcPr>
          <w:p>
            <w:pPr>
              <w:spacing w:after="0"/>
              <w:rPr>
                <w:sz w:val="19"/>
                <w:szCs w:val="19"/>
                <w:color w:val="auto"/>
              </w:rPr>
            </w:pPr>
          </w:p>
        </w:tc>
        <w:tc>
          <w:tcPr>
            <w:tcW w:w="35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Shandong Humon Smelting Co.,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175"/>
        </w:trPr>
        <w:tc>
          <w:tcPr>
            <w:tcW w:w="1540" w:type="dxa"/>
            <w:vAlign w:val="bottom"/>
            <w:gridSpan w:val="2"/>
            <w:vMerge w:val="restart"/>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SHENZHEN JINJUNWEI RESOURCE COMPREHENSIVE</w:t>
            </w:r>
          </w:p>
        </w:tc>
        <w:tc>
          <w:tcPr>
            <w:tcW w:w="3520" w:type="dxa"/>
            <w:vAlign w:val="bottom"/>
            <w:vMerge w:val="restart"/>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43"/>
        </w:trPr>
        <w:tc>
          <w:tcPr>
            <w:tcW w:w="1540" w:type="dxa"/>
            <w:vAlign w:val="bottom"/>
            <w:gridSpan w:val="2"/>
            <w:vMerge w:val="continue"/>
          </w:tcPr>
          <w:p>
            <w:pPr>
              <w:spacing w:after="0"/>
              <w:rPr>
                <w:sz w:val="21"/>
                <w:szCs w:val="21"/>
                <w:color w:val="auto"/>
              </w:rPr>
            </w:pP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DEVELOPMENT CO., LTD.</w:t>
            </w:r>
          </w:p>
        </w:tc>
        <w:tc>
          <w:tcPr>
            <w:tcW w:w="3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Shandong Tiancheng Biological Gold Industrial Co.,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Shandong Zhaojin Gold &amp; Silver Refinery Co., Ltd.</w:t>
            </w:r>
          </w:p>
        </w:tc>
        <w:tc>
          <w:tcPr>
            <w:tcW w:w="3520" w:type="dxa"/>
            <w:vAlign w:val="bottom"/>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Shenzhen Zhonghenglong Real Industry Co.,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Shenzhen CuiLu Gold Co., Ltd.</w:t>
            </w:r>
          </w:p>
        </w:tc>
        <w:tc>
          <w:tcPr>
            <w:tcW w:w="3520" w:type="dxa"/>
            <w:vAlign w:val="bottom"/>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Shirpur Gold Refinery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Sichuan Tianze Precious Metals Co., Ltd.</w:t>
            </w:r>
          </w:p>
        </w:tc>
        <w:tc>
          <w:tcPr>
            <w:tcW w:w="3520" w:type="dxa"/>
            <w:vAlign w:val="bottom"/>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Singway Technology Co.,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TAIWAN</w:t>
            </w:r>
          </w:p>
        </w:tc>
        <w:tc>
          <w:tcPr>
            <w:tcW w:w="0" w:type="dxa"/>
            <w:vAlign w:val="bottom"/>
          </w:tcPr>
          <w:p>
            <w:pPr>
              <w:spacing w:after="0"/>
              <w:rPr>
                <w:sz w:val="1"/>
                <w:szCs w:val="1"/>
                <w:color w:val="auto"/>
              </w:rPr>
            </w:pP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State Research Institute Center for Physical Sciences and Technology</w:t>
            </w:r>
          </w:p>
        </w:tc>
        <w:tc>
          <w:tcPr>
            <w:tcW w:w="3520" w:type="dxa"/>
            <w:vAlign w:val="bottom"/>
          </w:tcPr>
          <w:p>
            <w:pPr>
              <w:ind w:left="20"/>
              <w:spacing w:after="0"/>
              <w:rPr>
                <w:sz w:val="20"/>
                <w:szCs w:val="20"/>
                <w:color w:val="auto"/>
              </w:rPr>
            </w:pPr>
            <w:r>
              <w:rPr>
                <w:rFonts w:ascii="Arial" w:cs="Arial" w:eastAsia="Arial" w:hAnsi="Arial"/>
                <w:sz w:val="18"/>
                <w:szCs w:val="18"/>
                <w:color w:val="auto"/>
              </w:rPr>
              <w:t>LITHUANIA</w:t>
            </w:r>
          </w:p>
        </w:tc>
        <w:tc>
          <w:tcPr>
            <w:tcW w:w="0" w:type="dxa"/>
            <w:vAlign w:val="bottom"/>
          </w:tcPr>
          <w:p>
            <w:pPr>
              <w:spacing w:after="0"/>
              <w:rPr>
                <w:sz w:val="1"/>
                <w:szCs w:val="1"/>
                <w:color w:val="auto"/>
              </w:rPr>
            </w:pP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Sudan Gold Refinery</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SUDAN</w:t>
            </w: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SungEel HiMetal Co., Ltd.</w:t>
            </w:r>
          </w:p>
        </w:tc>
        <w:tc>
          <w:tcPr>
            <w:tcW w:w="3520" w:type="dxa"/>
            <w:vAlign w:val="bottom"/>
          </w:tcPr>
          <w:p>
            <w:pPr>
              <w:ind w:left="20"/>
              <w:spacing w:after="0"/>
              <w:rPr>
                <w:sz w:val="20"/>
                <w:szCs w:val="20"/>
                <w:color w:val="auto"/>
              </w:rPr>
            </w:pPr>
            <w:r>
              <w:rPr>
                <w:rFonts w:ascii="Arial" w:cs="Arial" w:eastAsia="Arial" w:hAnsi="Arial"/>
                <w:sz w:val="18"/>
                <w:szCs w:val="18"/>
                <w:color w:val="auto"/>
              </w:rPr>
              <w:t>KOREA, REPUBLIC OF</w:t>
            </w:r>
          </w:p>
        </w:tc>
        <w:tc>
          <w:tcPr>
            <w:tcW w:w="0" w:type="dxa"/>
            <w:vAlign w:val="bottom"/>
          </w:tcPr>
          <w:p>
            <w:pPr>
              <w:spacing w:after="0"/>
              <w:rPr>
                <w:sz w:val="1"/>
                <w:szCs w:val="1"/>
                <w:color w:val="auto"/>
              </w:rPr>
            </w:pP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Solar Applied Materials Technology Corp.</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TAIWAN</w:t>
            </w: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Sumitomo Metal Mining Co., Ltd.</w:t>
            </w:r>
          </w:p>
        </w:tc>
        <w:tc>
          <w:tcPr>
            <w:tcW w:w="3520" w:type="dxa"/>
            <w:vAlign w:val="bottom"/>
          </w:tcPr>
          <w:p>
            <w:pPr>
              <w:ind w:left="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Super Dragon Technology Co.,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TAIWAN</w:t>
            </w:r>
          </w:p>
        </w:tc>
        <w:tc>
          <w:tcPr>
            <w:tcW w:w="0" w:type="dxa"/>
            <w:vAlign w:val="bottom"/>
          </w:tcPr>
          <w:p>
            <w:pPr>
              <w:spacing w:after="0"/>
              <w:rPr>
                <w:sz w:val="1"/>
                <w:szCs w:val="1"/>
                <w:color w:val="auto"/>
              </w:rPr>
            </w:pP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Tanaka Kikinzoku Kogyo K.K.</w:t>
            </w:r>
          </w:p>
        </w:tc>
        <w:tc>
          <w:tcPr>
            <w:tcW w:w="3520" w:type="dxa"/>
            <w:vAlign w:val="bottom"/>
          </w:tcPr>
          <w:p>
            <w:pPr>
              <w:ind w:left="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T.C.A S.p.A</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Tokuriki Honten Co., Ltd.</w:t>
            </w:r>
          </w:p>
        </w:tc>
        <w:tc>
          <w:tcPr>
            <w:tcW w:w="3520" w:type="dxa"/>
            <w:vAlign w:val="bottom"/>
          </w:tcPr>
          <w:p>
            <w:pPr>
              <w:ind w:left="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Tongling Nonferrous Metals Group Co.,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TOO Tau-Ken-Altyn</w:t>
            </w:r>
          </w:p>
        </w:tc>
        <w:tc>
          <w:tcPr>
            <w:tcW w:w="3520" w:type="dxa"/>
            <w:vAlign w:val="bottom"/>
          </w:tcPr>
          <w:p>
            <w:pPr>
              <w:ind w:left="20"/>
              <w:spacing w:after="0"/>
              <w:rPr>
                <w:sz w:val="20"/>
                <w:szCs w:val="20"/>
                <w:color w:val="auto"/>
              </w:rPr>
            </w:pPr>
            <w:r>
              <w:rPr>
                <w:rFonts w:ascii="Arial" w:cs="Arial" w:eastAsia="Arial" w:hAnsi="Arial"/>
                <w:sz w:val="18"/>
                <w:szCs w:val="18"/>
                <w:color w:val="auto"/>
              </w:rPr>
              <w:t>KAZAKHSTAN</w:t>
            </w:r>
          </w:p>
        </w:tc>
        <w:tc>
          <w:tcPr>
            <w:tcW w:w="0" w:type="dxa"/>
            <w:vAlign w:val="bottom"/>
          </w:tcPr>
          <w:p>
            <w:pPr>
              <w:spacing w:after="0"/>
              <w:rPr>
                <w:sz w:val="1"/>
                <w:szCs w:val="1"/>
                <w:color w:val="auto"/>
              </w:rPr>
            </w:pP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Torecom</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KOREA, REPUBLIC OF</w:t>
            </w: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Umicore Precious Metals Thailand</w:t>
            </w:r>
          </w:p>
        </w:tc>
        <w:tc>
          <w:tcPr>
            <w:tcW w:w="3520" w:type="dxa"/>
            <w:vAlign w:val="bottom"/>
          </w:tcPr>
          <w:p>
            <w:pPr>
              <w:ind w:left="20"/>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Umicore S.A. Business Unit Precious Metals Refining</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Valcambi SA</w:t>
            </w:r>
          </w:p>
        </w:tc>
        <w:tc>
          <w:tcPr>
            <w:tcW w:w="3520" w:type="dxa"/>
            <w:vAlign w:val="bottom"/>
          </w:tcPr>
          <w:p>
            <w:pPr>
              <w:ind w:left="2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WEEEREFINING</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Western Australian Mint trading as The Perth Mint</w:t>
            </w:r>
          </w:p>
        </w:tc>
        <w:tc>
          <w:tcPr>
            <w:tcW w:w="3520" w:type="dxa"/>
            <w:vAlign w:val="bottom"/>
          </w:tcPr>
          <w:p>
            <w:pPr>
              <w:ind w:left="2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WIELAND Edelmetalle GmbH</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Yamakin Co., Ltd.</w:t>
            </w:r>
          </w:p>
        </w:tc>
        <w:tc>
          <w:tcPr>
            <w:tcW w:w="3520" w:type="dxa"/>
            <w:vAlign w:val="bottom"/>
          </w:tcPr>
          <w:p>
            <w:pPr>
              <w:ind w:left="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Yokohama Metal Co.,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Zhongyuan Gold Smelter of Zhongjin Gold Corporation</w:t>
            </w:r>
          </w:p>
        </w:tc>
        <w:tc>
          <w:tcPr>
            <w:tcW w:w="3520" w:type="dxa"/>
            <w:vAlign w:val="bottom"/>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8853 S.p.A.</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AMG Brasil</w:t>
            </w:r>
          </w:p>
        </w:tc>
        <w:tc>
          <w:tcPr>
            <w:tcW w:w="3520" w:type="dxa"/>
            <w:vAlign w:val="bottom"/>
          </w:tcPr>
          <w:p>
            <w:pPr>
              <w:ind w:left="2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Tantalum</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Changsha South Tantalum Niobium Co.,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D Block Metals, LLC</w:t>
            </w:r>
          </w:p>
        </w:tc>
        <w:tc>
          <w:tcPr>
            <w:tcW w:w="352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Tantalum</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F&amp;X Electro-Materials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FIR Metals &amp; Resource Ltd.</w:t>
            </w:r>
          </w:p>
        </w:tc>
        <w:tc>
          <w:tcPr>
            <w:tcW w:w="3520" w:type="dxa"/>
            <w:vAlign w:val="bottom"/>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Tantalum</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Global Advanced Metals Aizu</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Global Advanced Metals Boyertown</w:t>
            </w:r>
          </w:p>
        </w:tc>
        <w:tc>
          <w:tcPr>
            <w:tcW w:w="352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Tantalum</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Guangdong Rising Rare Metals-EO Materials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Hengyang King Xing Lifeng New Materials Co., Ltd.</w:t>
            </w:r>
          </w:p>
        </w:tc>
        <w:tc>
          <w:tcPr>
            <w:tcW w:w="3520" w:type="dxa"/>
            <w:vAlign w:val="bottom"/>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Tantalum</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Jiangxi Dinghai Tantalum &amp; Niobium Co.,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Jiangxi Tuohong New Raw Material</w:t>
            </w:r>
          </w:p>
        </w:tc>
        <w:tc>
          <w:tcPr>
            <w:tcW w:w="3520" w:type="dxa"/>
            <w:vAlign w:val="bottom"/>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Tantalum</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JiuJiang JinXin Nonferrous Metals Co.,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bl>
    <w:p>
      <w:pPr>
        <w:sectPr>
          <w:pgSz w:w="11900" w:h="16838" w:orient="portrait"/>
          <w:cols w:equalWidth="0" w:num="1">
            <w:col w:w="11180"/>
          </w:cols>
          <w:pgMar w:left="360" w:top="1025" w:right="35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540" w:type="dxa"/>
            <w:vAlign w:val="bottom"/>
            <w:gridSpan w:val="2"/>
          </w:tcPr>
          <w:p>
            <w:pPr>
              <w:ind w:left="420"/>
              <w:spacing w:after="0"/>
              <w:rPr>
                <w:sz w:val="20"/>
                <w:szCs w:val="20"/>
                <w:color w:val="auto"/>
              </w:rPr>
            </w:pPr>
            <w:r>
              <w:rPr>
                <w:rFonts w:ascii="Arial" w:cs="Arial" w:eastAsia="Arial" w:hAnsi="Arial"/>
                <w:sz w:val="18"/>
                <w:szCs w:val="18"/>
                <w:b w:val="1"/>
                <w:bCs w:val="1"/>
                <w:color w:val="auto"/>
              </w:rPr>
              <w:t>Metal</w:t>
            </w:r>
          </w:p>
        </w:tc>
        <w:tc>
          <w:tcPr>
            <w:tcW w:w="6120" w:type="dxa"/>
            <w:vAlign w:val="bottom"/>
            <w:gridSpan w:val="2"/>
          </w:tcPr>
          <w:p>
            <w:pPr>
              <w:ind w:left="1960"/>
              <w:spacing w:after="0"/>
              <w:rPr>
                <w:sz w:val="20"/>
                <w:szCs w:val="20"/>
                <w:color w:val="auto"/>
              </w:rPr>
            </w:pPr>
            <w:r>
              <w:rPr>
                <w:rFonts w:ascii="Arial" w:cs="Arial" w:eastAsia="Arial" w:hAnsi="Arial"/>
                <w:sz w:val="18"/>
                <w:szCs w:val="18"/>
                <w:b w:val="1"/>
                <w:bCs w:val="1"/>
                <w:color w:val="auto"/>
              </w:rPr>
              <w:t>Smelter Reference List</w:t>
            </w:r>
          </w:p>
        </w:tc>
        <w:tc>
          <w:tcPr>
            <w:tcW w:w="3520" w:type="dxa"/>
            <w:vAlign w:val="bottom"/>
          </w:tcPr>
          <w:p>
            <w:pPr>
              <w:ind w:left="300"/>
              <w:spacing w:after="0"/>
              <w:rPr>
                <w:sz w:val="20"/>
                <w:szCs w:val="20"/>
                <w:color w:val="auto"/>
              </w:rPr>
            </w:pPr>
            <w:r>
              <w:rPr>
                <w:rFonts w:ascii="Arial" w:cs="Arial" w:eastAsia="Arial" w:hAnsi="Arial"/>
                <w:sz w:val="18"/>
                <w:szCs w:val="18"/>
                <w:b w:val="1"/>
                <w:bCs w:val="1"/>
                <w:color w:val="auto"/>
              </w:rPr>
              <w:t>Smelter Facility Location: Country</w:t>
            </w:r>
          </w:p>
        </w:tc>
        <w:tc>
          <w:tcPr>
            <w:tcW w:w="0" w:type="dxa"/>
            <w:vAlign w:val="bottom"/>
          </w:tcPr>
          <w:p>
            <w:pPr>
              <w:spacing w:after="0"/>
              <w:rPr>
                <w:sz w:val="1"/>
                <w:szCs w:val="1"/>
                <w:color w:val="auto"/>
              </w:rPr>
            </w:pPr>
          </w:p>
        </w:tc>
      </w:tr>
      <w:tr>
        <w:trPr>
          <w:trHeight w:val="223"/>
        </w:trPr>
        <w:tc>
          <w:tcPr>
            <w:tcW w:w="1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Tantalum</w:t>
            </w:r>
          </w:p>
        </w:tc>
        <w:tc>
          <w:tcPr>
            <w:tcW w:w="240" w:type="dxa"/>
            <w:vAlign w:val="bottom"/>
          </w:tcPr>
          <w:p>
            <w:pPr>
              <w:spacing w:after="0"/>
              <w:rPr>
                <w:sz w:val="19"/>
                <w:szCs w:val="19"/>
                <w:color w:val="auto"/>
              </w:rPr>
            </w:pPr>
          </w:p>
        </w:tc>
        <w:tc>
          <w:tcPr>
            <w:tcW w:w="5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Jiujiang Tanbre Co., Ltd.</w:t>
            </w:r>
          </w:p>
        </w:tc>
        <w:tc>
          <w:tcPr>
            <w:tcW w:w="240" w:type="dxa"/>
            <w:vAlign w:val="bottom"/>
          </w:tcPr>
          <w:p>
            <w:pPr>
              <w:spacing w:after="0"/>
              <w:rPr>
                <w:sz w:val="19"/>
                <w:szCs w:val="19"/>
                <w:color w:val="auto"/>
              </w:rPr>
            </w:pPr>
          </w:p>
        </w:tc>
        <w:tc>
          <w:tcPr>
            <w:tcW w:w="35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Tantalum</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Jiujiang Zhongao Tantalum &amp; Niobium Co.,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KEMET de Mexico</w:t>
            </w:r>
          </w:p>
        </w:tc>
        <w:tc>
          <w:tcPr>
            <w:tcW w:w="3520" w:type="dxa"/>
            <w:vAlign w:val="bottom"/>
          </w:tcPr>
          <w:p>
            <w:pPr>
              <w:ind w:left="2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Tantalum</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Materion Newton Inc.</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Metallurgical Products India Pvt., Ltd.</w:t>
            </w:r>
          </w:p>
        </w:tc>
        <w:tc>
          <w:tcPr>
            <w:tcW w:w="3520" w:type="dxa"/>
            <w:vAlign w:val="bottom"/>
          </w:tcPr>
          <w:p>
            <w:pPr>
              <w:ind w:left="2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Tantalum</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Mineração Taboca S.A.</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Mitsui Mining &amp; Smelting</w:t>
            </w:r>
          </w:p>
        </w:tc>
        <w:tc>
          <w:tcPr>
            <w:tcW w:w="3520" w:type="dxa"/>
            <w:vAlign w:val="bottom"/>
          </w:tcPr>
          <w:p>
            <w:pPr>
              <w:ind w:left="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Tantalum</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NPM Silmet AS</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ESTONIA</w:t>
            </w: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Ningxia Orient Tantalum Industry Co., Ltd.</w:t>
            </w:r>
          </w:p>
        </w:tc>
        <w:tc>
          <w:tcPr>
            <w:tcW w:w="3520" w:type="dxa"/>
            <w:vAlign w:val="bottom"/>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Tantalum</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PowerX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RWANDA</w:t>
            </w:r>
          </w:p>
        </w:tc>
        <w:tc>
          <w:tcPr>
            <w:tcW w:w="0" w:type="dxa"/>
            <w:vAlign w:val="bottom"/>
          </w:tcPr>
          <w:p>
            <w:pPr>
              <w:spacing w:after="0"/>
              <w:rPr>
                <w:sz w:val="1"/>
                <w:szCs w:val="1"/>
                <w:color w:val="auto"/>
              </w:rPr>
            </w:pP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QuantumClean</w:t>
            </w:r>
          </w:p>
        </w:tc>
        <w:tc>
          <w:tcPr>
            <w:tcW w:w="352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Tantalum</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Resind Industria e Comercio Ltda.</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RFH Yancheng Jinye New Material Technology Co., Ltd.</w:t>
            </w:r>
          </w:p>
        </w:tc>
        <w:tc>
          <w:tcPr>
            <w:tcW w:w="3520" w:type="dxa"/>
            <w:vAlign w:val="bottom"/>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Tantalum</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Taki Chemical Co.,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TANIOBIS Co., Ltd.</w:t>
            </w:r>
          </w:p>
        </w:tc>
        <w:tc>
          <w:tcPr>
            <w:tcW w:w="3520" w:type="dxa"/>
            <w:vAlign w:val="bottom"/>
          </w:tcPr>
          <w:p>
            <w:pPr>
              <w:ind w:left="20"/>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Tantalum</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TANIOBIS Japan Co.,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TANIOBIS Smelting GmbH &amp; Co. KG</w:t>
            </w:r>
          </w:p>
        </w:tc>
        <w:tc>
          <w:tcPr>
            <w:tcW w:w="3520" w:type="dxa"/>
            <w:vAlign w:val="bottom"/>
          </w:tcPr>
          <w:p>
            <w:pPr>
              <w:ind w:left="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Tantalum</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TANIOBIS GmbH</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Telex Metals</w:t>
            </w:r>
          </w:p>
        </w:tc>
        <w:tc>
          <w:tcPr>
            <w:tcW w:w="352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Tantalum</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Ulba Metallurgical Plant JSC</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KAZAKHSTAN</w:t>
            </w:r>
          </w:p>
        </w:tc>
        <w:tc>
          <w:tcPr>
            <w:tcW w:w="0" w:type="dxa"/>
            <w:vAlign w:val="bottom"/>
          </w:tcPr>
          <w:p>
            <w:pPr>
              <w:spacing w:after="0"/>
              <w:rPr>
                <w:sz w:val="1"/>
                <w:szCs w:val="1"/>
                <w:color w:val="auto"/>
              </w:rPr>
            </w:pP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XIMEI RESOURCES (GUANGDONG) LIMITED</w:t>
            </w:r>
          </w:p>
        </w:tc>
        <w:tc>
          <w:tcPr>
            <w:tcW w:w="3520" w:type="dxa"/>
            <w:vAlign w:val="bottom"/>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Tantalum</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XinXing HaoRong Electronic Material Co.,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Yanling Jincheng Tantalum &amp; Niobium Co., Ltd.</w:t>
            </w:r>
          </w:p>
        </w:tc>
        <w:tc>
          <w:tcPr>
            <w:tcW w:w="3520" w:type="dxa"/>
            <w:vAlign w:val="bottom"/>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Tantalum</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5D Production OU</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ESTONIA</w:t>
            </w: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Alpha</w:t>
            </w:r>
          </w:p>
        </w:tc>
        <w:tc>
          <w:tcPr>
            <w:tcW w:w="352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 Vinh Joint Stock Mineral Processing Company</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VIETNAM</w:t>
            </w: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Aurubis Beerse</w:t>
            </w:r>
          </w:p>
        </w:tc>
        <w:tc>
          <w:tcPr>
            <w:tcW w:w="3520" w:type="dxa"/>
            <w:vAlign w:val="bottom"/>
          </w:tcPr>
          <w:p>
            <w:pPr>
              <w:ind w:left="20"/>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Aurubis Berango</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Chenzhou Yunxiang Mining and Metallurgy Co., Ltd.</w:t>
            </w:r>
          </w:p>
        </w:tc>
        <w:tc>
          <w:tcPr>
            <w:tcW w:w="3520" w:type="dxa"/>
            <w:vAlign w:val="bottom"/>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Chifeng Dajingzi Tin Industry Co.,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China Tin Group Co., Ltd.</w:t>
            </w:r>
          </w:p>
        </w:tc>
        <w:tc>
          <w:tcPr>
            <w:tcW w:w="3520" w:type="dxa"/>
            <w:vAlign w:val="bottom"/>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China Yunnan Tin Co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175"/>
        </w:trPr>
        <w:tc>
          <w:tcPr>
            <w:tcW w:w="1540" w:type="dxa"/>
            <w:vAlign w:val="bottom"/>
            <w:gridSpan w:val="2"/>
            <w:vMerge w:val="restart"/>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CRM Fundicao De Metais E Comercio De Equipamentos Eletronicos Do</w:t>
            </w:r>
          </w:p>
        </w:tc>
        <w:tc>
          <w:tcPr>
            <w:tcW w:w="3520" w:type="dxa"/>
            <w:vAlign w:val="bottom"/>
            <w:vMerge w:val="restart"/>
          </w:tcPr>
          <w:p>
            <w:pPr>
              <w:ind w:left="2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43"/>
        </w:trPr>
        <w:tc>
          <w:tcPr>
            <w:tcW w:w="1540" w:type="dxa"/>
            <w:vAlign w:val="bottom"/>
            <w:gridSpan w:val="2"/>
            <w:vMerge w:val="continue"/>
          </w:tcPr>
          <w:p>
            <w:pPr>
              <w:spacing w:after="0"/>
              <w:rPr>
                <w:sz w:val="21"/>
                <w:szCs w:val="21"/>
                <w:color w:val="auto"/>
              </w:rPr>
            </w:pP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Brasil Ltda</w:t>
            </w:r>
          </w:p>
        </w:tc>
        <w:tc>
          <w:tcPr>
            <w:tcW w:w="3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CRM Synergies</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CV Ayi Jaya</w:t>
            </w:r>
          </w:p>
        </w:tc>
        <w:tc>
          <w:tcPr>
            <w:tcW w:w="3520" w:type="dxa"/>
            <w:vAlign w:val="bottom"/>
          </w:tcPr>
          <w:p>
            <w:pPr>
              <w:ind w:left="2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CV Venus Inti Perkasa</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Dongguan CiEXPO Environmental Engineering Co., Ltd.</w:t>
            </w:r>
          </w:p>
        </w:tc>
        <w:tc>
          <w:tcPr>
            <w:tcW w:w="3520" w:type="dxa"/>
            <w:vAlign w:val="bottom"/>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Dowa</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DS Myanmar</w:t>
            </w:r>
          </w:p>
        </w:tc>
        <w:tc>
          <w:tcPr>
            <w:tcW w:w="3520" w:type="dxa"/>
            <w:vAlign w:val="bottom"/>
          </w:tcPr>
          <w:p>
            <w:pPr>
              <w:ind w:left="20"/>
              <w:spacing w:after="0"/>
              <w:rPr>
                <w:sz w:val="20"/>
                <w:szCs w:val="20"/>
                <w:color w:val="auto"/>
              </w:rPr>
            </w:pPr>
            <w:r>
              <w:rPr>
                <w:rFonts w:ascii="Arial" w:cs="Arial" w:eastAsia="Arial" w:hAnsi="Arial"/>
                <w:sz w:val="18"/>
                <w:szCs w:val="18"/>
                <w:color w:val="auto"/>
              </w:rPr>
              <w:t>MYANMAR</w:t>
            </w:r>
          </w:p>
        </w:tc>
        <w:tc>
          <w:tcPr>
            <w:tcW w:w="0" w:type="dxa"/>
            <w:vAlign w:val="bottom"/>
          </w:tcPr>
          <w:p>
            <w:pPr>
              <w:spacing w:after="0"/>
              <w:rPr>
                <w:sz w:val="1"/>
                <w:szCs w:val="1"/>
                <w:color w:val="auto"/>
              </w:rPr>
            </w:pPr>
          </w:p>
        </w:tc>
      </w:tr>
      <w:tr>
        <w:trPr>
          <w:trHeight w:val="176"/>
        </w:trPr>
        <w:tc>
          <w:tcPr>
            <w:tcW w:w="15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Electro-Mechanical Facility of the Cao Bang Minerals &amp; Metallurgy Joint</w:t>
            </w:r>
          </w:p>
        </w:tc>
        <w:tc>
          <w:tcPr>
            <w:tcW w:w="35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VIETNAM</w:t>
            </w:r>
          </w:p>
        </w:tc>
        <w:tc>
          <w:tcPr>
            <w:tcW w:w="0" w:type="dxa"/>
            <w:vAlign w:val="bottom"/>
          </w:tcPr>
          <w:p>
            <w:pPr>
              <w:spacing w:after="0"/>
              <w:rPr>
                <w:sz w:val="1"/>
                <w:szCs w:val="1"/>
                <w:color w:val="auto"/>
              </w:rPr>
            </w:pPr>
          </w:p>
        </w:tc>
      </w:tr>
      <w:tr>
        <w:trPr>
          <w:trHeight w:val="243"/>
        </w:trPr>
        <w:tc>
          <w:tcPr>
            <w:tcW w:w="1540" w:type="dxa"/>
            <w:vAlign w:val="bottom"/>
            <w:gridSpan w:val="2"/>
            <w:vMerge w:val="continue"/>
            <w:shd w:val="clear" w:color="auto" w:fill="CCEEFF"/>
          </w:tcPr>
          <w:p>
            <w:pPr>
              <w:spacing w:after="0"/>
              <w:rPr>
                <w:sz w:val="21"/>
                <w:szCs w:val="21"/>
                <w:color w:val="auto"/>
              </w:rPr>
            </w:pP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Company</w:t>
            </w:r>
          </w:p>
        </w:tc>
        <w:tc>
          <w:tcPr>
            <w:tcW w:w="35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Empresa Metalúrgica Vinto</w:t>
            </w:r>
          </w:p>
        </w:tc>
        <w:tc>
          <w:tcPr>
            <w:tcW w:w="3520" w:type="dxa"/>
            <w:vAlign w:val="bottom"/>
          </w:tcPr>
          <w:p>
            <w:pPr>
              <w:ind w:left="20"/>
              <w:spacing w:after="0"/>
              <w:rPr>
                <w:sz w:val="20"/>
                <w:szCs w:val="20"/>
                <w:color w:val="auto"/>
              </w:rPr>
            </w:pPr>
            <w:r>
              <w:rPr>
                <w:rFonts w:ascii="Arial" w:cs="Arial" w:eastAsia="Arial" w:hAnsi="Arial"/>
                <w:sz w:val="18"/>
                <w:szCs w:val="18"/>
                <w:color w:val="auto"/>
              </w:rPr>
              <w:t>BOLIVIA</w:t>
            </w:r>
          </w:p>
        </w:tc>
        <w:tc>
          <w:tcPr>
            <w:tcW w:w="0" w:type="dxa"/>
            <w:vAlign w:val="bottom"/>
          </w:tcPr>
          <w:p>
            <w:pPr>
              <w:spacing w:after="0"/>
              <w:rPr>
                <w:sz w:val="1"/>
                <w:szCs w:val="1"/>
                <w:color w:val="auto"/>
              </w:rPr>
            </w:pP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EM Vinto</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BOLIVIA</w:t>
            </w: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Estanho de Rondonia S.A.</w:t>
            </w:r>
          </w:p>
        </w:tc>
        <w:tc>
          <w:tcPr>
            <w:tcW w:w="3520" w:type="dxa"/>
            <w:vAlign w:val="bottom"/>
          </w:tcPr>
          <w:p>
            <w:pPr>
              <w:ind w:left="2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Fabrica Auricchio Industria e Comercio Ltda.</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bl>
    <w:p>
      <w:pPr>
        <w:sectPr>
          <w:pgSz w:w="11900" w:h="16838" w:orient="portrait"/>
          <w:cols w:equalWidth="0" w:num="1">
            <w:col w:w="11180"/>
          </w:cols>
          <w:pgMar w:left="360" w:top="1025" w:right="35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540" w:type="dxa"/>
            <w:vAlign w:val="bottom"/>
            <w:gridSpan w:val="2"/>
          </w:tcPr>
          <w:p>
            <w:pPr>
              <w:ind w:left="420"/>
              <w:spacing w:after="0"/>
              <w:rPr>
                <w:sz w:val="20"/>
                <w:szCs w:val="20"/>
                <w:color w:val="auto"/>
              </w:rPr>
            </w:pPr>
            <w:r>
              <w:rPr>
                <w:rFonts w:ascii="Arial" w:cs="Arial" w:eastAsia="Arial" w:hAnsi="Arial"/>
                <w:sz w:val="18"/>
                <w:szCs w:val="18"/>
                <w:b w:val="1"/>
                <w:bCs w:val="1"/>
                <w:color w:val="auto"/>
              </w:rPr>
              <w:t>Metal</w:t>
            </w:r>
          </w:p>
        </w:tc>
        <w:tc>
          <w:tcPr>
            <w:tcW w:w="6120" w:type="dxa"/>
            <w:vAlign w:val="bottom"/>
            <w:gridSpan w:val="2"/>
          </w:tcPr>
          <w:p>
            <w:pPr>
              <w:ind w:left="1960"/>
              <w:spacing w:after="0"/>
              <w:rPr>
                <w:sz w:val="20"/>
                <w:szCs w:val="20"/>
                <w:color w:val="auto"/>
              </w:rPr>
            </w:pPr>
            <w:r>
              <w:rPr>
                <w:rFonts w:ascii="Arial" w:cs="Arial" w:eastAsia="Arial" w:hAnsi="Arial"/>
                <w:sz w:val="18"/>
                <w:szCs w:val="18"/>
                <w:b w:val="1"/>
                <w:bCs w:val="1"/>
                <w:color w:val="auto"/>
              </w:rPr>
              <w:t>Smelter Reference List</w:t>
            </w:r>
          </w:p>
        </w:tc>
        <w:tc>
          <w:tcPr>
            <w:tcW w:w="3520" w:type="dxa"/>
            <w:vAlign w:val="bottom"/>
          </w:tcPr>
          <w:p>
            <w:pPr>
              <w:ind w:left="300"/>
              <w:spacing w:after="0"/>
              <w:rPr>
                <w:sz w:val="20"/>
                <w:szCs w:val="20"/>
                <w:color w:val="auto"/>
              </w:rPr>
            </w:pPr>
            <w:r>
              <w:rPr>
                <w:rFonts w:ascii="Arial" w:cs="Arial" w:eastAsia="Arial" w:hAnsi="Arial"/>
                <w:sz w:val="18"/>
                <w:szCs w:val="18"/>
                <w:b w:val="1"/>
                <w:bCs w:val="1"/>
                <w:color w:val="auto"/>
              </w:rPr>
              <w:t>Smelter Facility Location: Country</w:t>
            </w:r>
          </w:p>
        </w:tc>
      </w:tr>
      <w:tr>
        <w:trPr>
          <w:trHeight w:val="223"/>
        </w:trPr>
        <w:tc>
          <w:tcPr>
            <w:tcW w:w="1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Tin</w:t>
            </w:r>
          </w:p>
        </w:tc>
        <w:tc>
          <w:tcPr>
            <w:tcW w:w="240" w:type="dxa"/>
            <w:vAlign w:val="bottom"/>
          </w:tcPr>
          <w:p>
            <w:pPr>
              <w:spacing w:after="0"/>
              <w:rPr>
                <w:sz w:val="19"/>
                <w:szCs w:val="19"/>
                <w:color w:val="auto"/>
              </w:rPr>
            </w:pPr>
          </w:p>
        </w:tc>
        <w:tc>
          <w:tcPr>
            <w:tcW w:w="5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Fenix Metals</w:t>
            </w:r>
          </w:p>
        </w:tc>
        <w:tc>
          <w:tcPr>
            <w:tcW w:w="240" w:type="dxa"/>
            <w:vAlign w:val="bottom"/>
          </w:tcPr>
          <w:p>
            <w:pPr>
              <w:spacing w:after="0"/>
              <w:rPr>
                <w:sz w:val="19"/>
                <w:szCs w:val="19"/>
                <w:color w:val="auto"/>
              </w:rPr>
            </w:pPr>
          </w:p>
        </w:tc>
        <w:tc>
          <w:tcPr>
            <w:tcW w:w="35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POLAND</w:t>
            </w: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Gejiu City Fuxiang Industry and Trade Co.,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Gejiu Non-Ferrous Metal Processing Co., Ltd.</w:t>
            </w:r>
          </w:p>
        </w:tc>
        <w:tc>
          <w:tcPr>
            <w:tcW w:w="352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Gejiu Yunxin Nonferrous Electrolysis Co.,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Guangdong Hanhe Non-Ferrous Metal Co., Ltd.</w:t>
            </w:r>
          </w:p>
        </w:tc>
        <w:tc>
          <w:tcPr>
            <w:tcW w:w="352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GuangXi China Tin</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HuiChang Hill Tin Industry Co., Ltd.</w:t>
            </w:r>
          </w:p>
        </w:tc>
        <w:tc>
          <w:tcPr>
            <w:tcW w:w="352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Luna Smelter,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RWANDA</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Ma'anshan Weitai Tin Co., Ltd.</w:t>
            </w:r>
          </w:p>
        </w:tc>
        <w:tc>
          <w:tcPr>
            <w:tcW w:w="352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Magnu's Minerais Metais e Ligas Ltda.</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BRAZIL</w:t>
            </w: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Malaysia Smelting Corporation (MSC)</w:t>
            </w:r>
          </w:p>
        </w:tc>
        <w:tc>
          <w:tcPr>
            <w:tcW w:w="3520" w:type="dxa"/>
            <w:vAlign w:val="bottom"/>
          </w:tcPr>
          <w:p>
            <w:pPr>
              <w:ind w:left="20"/>
              <w:spacing w:after="0"/>
              <w:rPr>
                <w:sz w:val="20"/>
                <w:szCs w:val="20"/>
                <w:color w:val="auto"/>
              </w:rPr>
            </w:pPr>
            <w:r>
              <w:rPr>
                <w:rFonts w:ascii="Arial" w:cs="Arial" w:eastAsia="Arial" w:hAnsi="Arial"/>
                <w:sz w:val="18"/>
                <w:szCs w:val="18"/>
                <w:color w:val="auto"/>
              </w:rPr>
              <w:t>MALAYSIA</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Malaysia Smelting Corporation Berhad (Port Klang)</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MALAYSIA</w:t>
            </w: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Melt Metais e Ligas S.A.</w:t>
            </w:r>
          </w:p>
        </w:tc>
        <w:tc>
          <w:tcPr>
            <w:tcW w:w="352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Metallic Resources, Inc.</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Mineração Taboca S.A.</w:t>
            </w:r>
          </w:p>
        </w:tc>
        <w:tc>
          <w:tcPr>
            <w:tcW w:w="352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Mining Minerals Resources SARL</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CONGO</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Minsur</w:t>
            </w:r>
          </w:p>
        </w:tc>
        <w:tc>
          <w:tcPr>
            <w:tcW w:w="3520" w:type="dxa"/>
            <w:vAlign w:val="bottom"/>
          </w:tcPr>
          <w:p>
            <w:pPr>
              <w:ind w:left="20"/>
              <w:spacing w:after="0"/>
              <w:rPr>
                <w:sz w:val="20"/>
                <w:szCs w:val="20"/>
                <w:color w:val="auto"/>
              </w:rPr>
            </w:pPr>
            <w:r>
              <w:rPr>
                <w:rFonts w:ascii="Arial" w:cs="Arial" w:eastAsia="Arial" w:hAnsi="Arial"/>
                <w:sz w:val="18"/>
                <w:szCs w:val="18"/>
                <w:color w:val="auto"/>
              </w:rPr>
              <w:t>PERU</w:t>
            </w: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Mitsubishi Materials Corporation</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w:t>
            </w: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Modeltech Sdn Bhd</w:t>
            </w:r>
          </w:p>
        </w:tc>
        <w:tc>
          <w:tcPr>
            <w:tcW w:w="3520" w:type="dxa"/>
            <w:vAlign w:val="bottom"/>
          </w:tcPr>
          <w:p>
            <w:pPr>
              <w:ind w:left="20"/>
              <w:spacing w:after="0"/>
              <w:rPr>
                <w:sz w:val="20"/>
                <w:szCs w:val="20"/>
                <w:color w:val="auto"/>
              </w:rPr>
            </w:pPr>
            <w:r>
              <w:rPr>
                <w:rFonts w:ascii="Arial" w:cs="Arial" w:eastAsia="Arial" w:hAnsi="Arial"/>
                <w:sz w:val="18"/>
                <w:szCs w:val="18"/>
                <w:color w:val="auto"/>
              </w:rPr>
              <w:t>MALAYSIA</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O.M. Manufacturing (Thailand) Co.,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THAILAND</w:t>
            </w: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O.M Manufacturing Philippines, Inc.</w:t>
            </w:r>
          </w:p>
        </w:tc>
        <w:tc>
          <w:tcPr>
            <w:tcW w:w="3520" w:type="dxa"/>
            <w:vAlign w:val="bottom"/>
          </w:tcPr>
          <w:p>
            <w:pPr>
              <w:ind w:left="20"/>
              <w:spacing w:after="0"/>
              <w:rPr>
                <w:sz w:val="20"/>
                <w:szCs w:val="20"/>
                <w:color w:val="auto"/>
              </w:rPr>
            </w:pPr>
            <w:r>
              <w:rPr>
                <w:rFonts w:ascii="Arial" w:cs="Arial" w:eastAsia="Arial" w:hAnsi="Arial"/>
                <w:sz w:val="18"/>
                <w:szCs w:val="18"/>
                <w:color w:val="auto"/>
              </w:rPr>
              <w:t>PHILIPPINES</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OMSA</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BOLIVIA</w:t>
            </w: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Operaciones Metalurgical S.A.</w:t>
            </w:r>
          </w:p>
        </w:tc>
        <w:tc>
          <w:tcPr>
            <w:tcW w:w="3520" w:type="dxa"/>
            <w:vAlign w:val="bottom"/>
          </w:tcPr>
          <w:p>
            <w:pPr>
              <w:ind w:left="20"/>
              <w:spacing w:after="0"/>
              <w:rPr>
                <w:sz w:val="20"/>
                <w:szCs w:val="20"/>
                <w:color w:val="auto"/>
              </w:rPr>
            </w:pPr>
            <w:r>
              <w:rPr>
                <w:rFonts w:ascii="Arial" w:cs="Arial" w:eastAsia="Arial" w:hAnsi="Arial"/>
                <w:sz w:val="18"/>
                <w:szCs w:val="18"/>
                <w:color w:val="auto"/>
              </w:rPr>
              <w:t>BOLIVIA</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Pongpipat Company Limited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MYANMAR</w:t>
            </w: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Precious Minerals and Smelting Limited</w:t>
            </w:r>
          </w:p>
        </w:tc>
        <w:tc>
          <w:tcPr>
            <w:tcW w:w="352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PT Aries Kencana Sejahtera</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INDONESIA</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PT Artha Cipta Langgeng</w:t>
            </w:r>
          </w:p>
        </w:tc>
        <w:tc>
          <w:tcPr>
            <w:tcW w:w="3520" w:type="dxa"/>
            <w:vAlign w:val="bottom"/>
          </w:tcPr>
          <w:p>
            <w:pPr>
              <w:ind w:left="20"/>
              <w:spacing w:after="0"/>
              <w:rPr>
                <w:sz w:val="20"/>
                <w:szCs w:val="20"/>
                <w:color w:val="auto"/>
              </w:rPr>
            </w:pPr>
            <w:r>
              <w:rPr>
                <w:rFonts w:ascii="Arial" w:cs="Arial" w:eastAsia="Arial" w:hAnsi="Arial"/>
                <w:sz w:val="18"/>
                <w:szCs w:val="18"/>
                <w:color w:val="auto"/>
              </w:rPr>
              <w:t>INDONESIA</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PT ATD Makmur Mandiri Jaya</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INDONESIA</w:t>
            </w: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PT Babel Surya Alam Lestari</w:t>
            </w:r>
          </w:p>
        </w:tc>
        <w:tc>
          <w:tcPr>
            <w:tcW w:w="3520" w:type="dxa"/>
            <w:vAlign w:val="bottom"/>
          </w:tcPr>
          <w:p>
            <w:pPr>
              <w:ind w:left="20"/>
              <w:spacing w:after="0"/>
              <w:rPr>
                <w:sz w:val="20"/>
                <w:szCs w:val="20"/>
                <w:color w:val="auto"/>
              </w:rPr>
            </w:pPr>
            <w:r>
              <w:rPr>
                <w:rFonts w:ascii="Arial" w:cs="Arial" w:eastAsia="Arial" w:hAnsi="Arial"/>
                <w:sz w:val="18"/>
                <w:szCs w:val="18"/>
                <w:color w:val="auto"/>
              </w:rPr>
              <w:t>INDONESIA</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PT Babel Inti Perkasa</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INDONESIA</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PT Bangka Tin Industry</w:t>
            </w:r>
          </w:p>
        </w:tc>
        <w:tc>
          <w:tcPr>
            <w:tcW w:w="3520" w:type="dxa"/>
            <w:vAlign w:val="bottom"/>
          </w:tcPr>
          <w:p>
            <w:pPr>
              <w:ind w:left="20"/>
              <w:spacing w:after="0"/>
              <w:rPr>
                <w:sz w:val="20"/>
                <w:szCs w:val="20"/>
                <w:color w:val="auto"/>
              </w:rPr>
            </w:pPr>
            <w:r>
              <w:rPr>
                <w:rFonts w:ascii="Arial" w:cs="Arial" w:eastAsia="Arial" w:hAnsi="Arial"/>
                <w:sz w:val="18"/>
                <w:szCs w:val="18"/>
                <w:color w:val="auto"/>
              </w:rPr>
              <w:t>INDONESIA</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PT Bangka Prima Tin</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INDONESIA</w:t>
            </w: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PT Bangka Serumpun</w:t>
            </w:r>
          </w:p>
        </w:tc>
        <w:tc>
          <w:tcPr>
            <w:tcW w:w="3520" w:type="dxa"/>
            <w:vAlign w:val="bottom"/>
          </w:tcPr>
          <w:p>
            <w:pPr>
              <w:ind w:left="20"/>
              <w:spacing w:after="0"/>
              <w:rPr>
                <w:sz w:val="20"/>
                <w:szCs w:val="20"/>
                <w:color w:val="auto"/>
              </w:rPr>
            </w:pPr>
            <w:r>
              <w:rPr>
                <w:rFonts w:ascii="Arial" w:cs="Arial" w:eastAsia="Arial" w:hAnsi="Arial"/>
                <w:sz w:val="18"/>
                <w:szCs w:val="18"/>
                <w:color w:val="auto"/>
              </w:rPr>
              <w:t>INDONESIA</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PT Belitung Industri Sejahtera</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INDONESIA</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PT Bukit Timah</w:t>
            </w:r>
          </w:p>
        </w:tc>
        <w:tc>
          <w:tcPr>
            <w:tcW w:w="3520" w:type="dxa"/>
            <w:vAlign w:val="bottom"/>
          </w:tcPr>
          <w:p>
            <w:pPr>
              <w:ind w:left="20"/>
              <w:spacing w:after="0"/>
              <w:rPr>
                <w:sz w:val="20"/>
                <w:szCs w:val="20"/>
                <w:color w:val="auto"/>
              </w:rPr>
            </w:pPr>
            <w:r>
              <w:rPr>
                <w:rFonts w:ascii="Arial" w:cs="Arial" w:eastAsia="Arial" w:hAnsi="Arial"/>
                <w:sz w:val="18"/>
                <w:szCs w:val="18"/>
                <w:color w:val="auto"/>
              </w:rPr>
              <w:t>INDONESIA</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PT Cipta Persada Mulia</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INDONESIA</w:t>
            </w: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PT Menara Cipta Mulia</w:t>
            </w:r>
          </w:p>
        </w:tc>
        <w:tc>
          <w:tcPr>
            <w:tcW w:w="3520" w:type="dxa"/>
            <w:vAlign w:val="bottom"/>
          </w:tcPr>
          <w:p>
            <w:pPr>
              <w:ind w:left="20"/>
              <w:spacing w:after="0"/>
              <w:rPr>
                <w:sz w:val="20"/>
                <w:szCs w:val="20"/>
                <w:color w:val="auto"/>
              </w:rPr>
            </w:pPr>
            <w:r>
              <w:rPr>
                <w:rFonts w:ascii="Arial" w:cs="Arial" w:eastAsia="Arial" w:hAnsi="Arial"/>
                <w:sz w:val="18"/>
                <w:szCs w:val="18"/>
                <w:color w:val="auto"/>
              </w:rPr>
              <w:t>INDONESIA</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PT Mitra Stania Prima</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INDONESIA</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PT Mitra Sukses Globalindo</w:t>
            </w:r>
          </w:p>
        </w:tc>
        <w:tc>
          <w:tcPr>
            <w:tcW w:w="3520" w:type="dxa"/>
            <w:vAlign w:val="bottom"/>
          </w:tcPr>
          <w:p>
            <w:pPr>
              <w:ind w:left="20"/>
              <w:spacing w:after="0"/>
              <w:rPr>
                <w:sz w:val="20"/>
                <w:szCs w:val="20"/>
                <w:color w:val="auto"/>
              </w:rPr>
            </w:pPr>
            <w:r>
              <w:rPr>
                <w:rFonts w:ascii="Arial" w:cs="Arial" w:eastAsia="Arial" w:hAnsi="Arial"/>
                <w:sz w:val="18"/>
                <w:szCs w:val="18"/>
                <w:color w:val="auto"/>
              </w:rPr>
              <w:t>INDONESIA</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PT Panca Mega Persada</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INDONESIA</w:t>
            </w: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PT Putera Sarana Shakti (PT PSS)</w:t>
            </w:r>
          </w:p>
        </w:tc>
        <w:tc>
          <w:tcPr>
            <w:tcW w:w="3520" w:type="dxa"/>
            <w:vAlign w:val="bottom"/>
          </w:tcPr>
          <w:p>
            <w:pPr>
              <w:ind w:left="20"/>
              <w:spacing w:after="0"/>
              <w:rPr>
                <w:sz w:val="20"/>
                <w:szCs w:val="20"/>
                <w:color w:val="auto"/>
              </w:rPr>
            </w:pPr>
            <w:r>
              <w:rPr>
                <w:rFonts w:ascii="Arial" w:cs="Arial" w:eastAsia="Arial" w:hAnsi="Arial"/>
                <w:sz w:val="18"/>
                <w:szCs w:val="18"/>
                <w:color w:val="auto"/>
              </w:rPr>
              <w:t>INDONESIA</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PT Premium Tin Indonesia</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INDONESIA</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PT Prima Timah Utama</w:t>
            </w:r>
          </w:p>
        </w:tc>
        <w:tc>
          <w:tcPr>
            <w:tcW w:w="3520" w:type="dxa"/>
            <w:vAlign w:val="bottom"/>
          </w:tcPr>
          <w:p>
            <w:pPr>
              <w:ind w:left="20"/>
              <w:spacing w:after="0"/>
              <w:rPr>
                <w:sz w:val="20"/>
                <w:szCs w:val="20"/>
                <w:color w:val="auto"/>
              </w:rPr>
            </w:pPr>
            <w:r>
              <w:rPr>
                <w:rFonts w:ascii="Arial" w:cs="Arial" w:eastAsia="Arial" w:hAnsi="Arial"/>
                <w:sz w:val="18"/>
                <w:szCs w:val="18"/>
                <w:color w:val="auto"/>
              </w:rPr>
              <w:t>INDONESIA</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PT Rajehan Ariq</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INDONESIA</w:t>
            </w:r>
          </w:p>
        </w:tc>
      </w:tr>
      <w:tr>
        <w:trPr>
          <w:trHeight w:val="239"/>
        </w:trPr>
        <w:tc>
          <w:tcPr>
            <w:tcW w:w="1540" w:type="dxa"/>
            <w:vAlign w:val="bottom"/>
            <w:gridSpan w:val="2"/>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PT Rajawali Rimba Perkasa</w:t>
            </w:r>
          </w:p>
        </w:tc>
        <w:tc>
          <w:tcPr>
            <w:tcW w:w="3520" w:type="dxa"/>
            <w:vAlign w:val="bottom"/>
          </w:tcPr>
          <w:p>
            <w:pPr>
              <w:ind w:left="20"/>
              <w:spacing w:after="0"/>
              <w:rPr>
                <w:sz w:val="20"/>
                <w:szCs w:val="20"/>
                <w:color w:val="auto"/>
              </w:rPr>
            </w:pPr>
            <w:r>
              <w:rPr>
                <w:rFonts w:ascii="Arial" w:cs="Arial" w:eastAsia="Arial" w:hAnsi="Arial"/>
                <w:sz w:val="18"/>
                <w:szCs w:val="18"/>
                <w:color w:val="auto"/>
              </w:rPr>
              <w:t>INDONESIA</w:t>
            </w:r>
          </w:p>
        </w:tc>
      </w:tr>
    </w:tbl>
    <w:p>
      <w:pPr>
        <w:sectPr>
          <w:pgSz w:w="11900" w:h="16838" w:orient="portrait"/>
          <w:cols w:equalWidth="0" w:num="1">
            <w:col w:w="11180"/>
          </w:cols>
          <w:pgMar w:left="360" w:top="1025" w:right="35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540" w:type="dxa"/>
            <w:vAlign w:val="bottom"/>
            <w:gridSpan w:val="2"/>
          </w:tcPr>
          <w:p>
            <w:pPr>
              <w:ind w:left="420"/>
              <w:spacing w:after="0"/>
              <w:rPr>
                <w:sz w:val="20"/>
                <w:szCs w:val="20"/>
                <w:color w:val="auto"/>
              </w:rPr>
            </w:pPr>
            <w:r>
              <w:rPr>
                <w:rFonts w:ascii="Arial" w:cs="Arial" w:eastAsia="Arial" w:hAnsi="Arial"/>
                <w:sz w:val="18"/>
                <w:szCs w:val="18"/>
                <w:b w:val="1"/>
                <w:bCs w:val="1"/>
                <w:color w:val="auto"/>
              </w:rPr>
              <w:t>Metal</w:t>
            </w:r>
          </w:p>
        </w:tc>
        <w:tc>
          <w:tcPr>
            <w:tcW w:w="6120" w:type="dxa"/>
            <w:vAlign w:val="bottom"/>
            <w:gridSpan w:val="2"/>
          </w:tcPr>
          <w:p>
            <w:pPr>
              <w:ind w:left="1960"/>
              <w:spacing w:after="0"/>
              <w:rPr>
                <w:sz w:val="20"/>
                <w:szCs w:val="20"/>
                <w:color w:val="auto"/>
              </w:rPr>
            </w:pPr>
            <w:r>
              <w:rPr>
                <w:rFonts w:ascii="Arial" w:cs="Arial" w:eastAsia="Arial" w:hAnsi="Arial"/>
                <w:sz w:val="18"/>
                <w:szCs w:val="18"/>
                <w:b w:val="1"/>
                <w:bCs w:val="1"/>
                <w:color w:val="auto"/>
              </w:rPr>
              <w:t>Smelter Reference List</w:t>
            </w:r>
          </w:p>
        </w:tc>
        <w:tc>
          <w:tcPr>
            <w:tcW w:w="3520" w:type="dxa"/>
            <w:vAlign w:val="bottom"/>
          </w:tcPr>
          <w:p>
            <w:pPr>
              <w:ind w:left="300"/>
              <w:spacing w:after="0"/>
              <w:rPr>
                <w:sz w:val="20"/>
                <w:szCs w:val="20"/>
                <w:color w:val="auto"/>
              </w:rPr>
            </w:pPr>
            <w:r>
              <w:rPr>
                <w:rFonts w:ascii="Arial" w:cs="Arial" w:eastAsia="Arial" w:hAnsi="Arial"/>
                <w:sz w:val="18"/>
                <w:szCs w:val="18"/>
                <w:b w:val="1"/>
                <w:bCs w:val="1"/>
                <w:color w:val="auto"/>
              </w:rPr>
              <w:t>Smelter Facility Location: Country</w:t>
            </w:r>
          </w:p>
        </w:tc>
        <w:tc>
          <w:tcPr>
            <w:tcW w:w="0" w:type="dxa"/>
            <w:vAlign w:val="bottom"/>
          </w:tcPr>
          <w:p>
            <w:pPr>
              <w:spacing w:after="0"/>
              <w:rPr>
                <w:sz w:val="1"/>
                <w:szCs w:val="1"/>
                <w:color w:val="auto"/>
              </w:rPr>
            </w:pPr>
          </w:p>
        </w:tc>
      </w:tr>
      <w:tr>
        <w:trPr>
          <w:trHeight w:val="223"/>
        </w:trPr>
        <w:tc>
          <w:tcPr>
            <w:tcW w:w="1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Tin</w:t>
            </w:r>
          </w:p>
        </w:tc>
        <w:tc>
          <w:tcPr>
            <w:tcW w:w="240" w:type="dxa"/>
            <w:vAlign w:val="bottom"/>
            <w:tcBorders>
              <w:top w:val="single" w:sz="8" w:color="CCEEFF"/>
            </w:tcBorders>
            <w:shd w:val="clear" w:color="auto" w:fill="CCEEFF"/>
          </w:tcPr>
          <w:p>
            <w:pPr>
              <w:spacing w:after="0"/>
              <w:rPr>
                <w:sz w:val="19"/>
                <w:szCs w:val="19"/>
                <w:color w:val="auto"/>
              </w:rPr>
            </w:pPr>
          </w:p>
        </w:tc>
        <w:tc>
          <w:tcPr>
            <w:tcW w:w="5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PT Refined Bangka Tin</w:t>
            </w:r>
          </w:p>
        </w:tc>
        <w:tc>
          <w:tcPr>
            <w:tcW w:w="240" w:type="dxa"/>
            <w:vAlign w:val="bottom"/>
            <w:tcBorders>
              <w:top w:val="single" w:sz="8" w:color="CCEEFF"/>
            </w:tcBorders>
            <w:shd w:val="clear" w:color="auto" w:fill="CCEEFF"/>
          </w:tcPr>
          <w:p>
            <w:pPr>
              <w:spacing w:after="0"/>
              <w:rPr>
                <w:sz w:val="19"/>
                <w:szCs w:val="19"/>
                <w:color w:val="auto"/>
              </w:rPr>
            </w:pPr>
          </w:p>
        </w:tc>
        <w:tc>
          <w:tcPr>
            <w:tcW w:w="3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PT Sariwiguna Binasentosa</w:t>
            </w:r>
          </w:p>
        </w:tc>
        <w:tc>
          <w:tcPr>
            <w:tcW w:w="3520" w:type="dxa"/>
            <w:vAlign w:val="bottom"/>
          </w:tcPr>
          <w:p>
            <w:pPr>
              <w:ind w:left="2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PT Stanindo Inti Perkasa</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PT Sukses Inti Makmur (SIM)</w:t>
            </w:r>
          </w:p>
        </w:tc>
        <w:tc>
          <w:tcPr>
            <w:tcW w:w="3520" w:type="dxa"/>
            <w:vAlign w:val="bottom"/>
          </w:tcPr>
          <w:p>
            <w:pPr>
              <w:ind w:left="2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PT Timah Tbk Kundur</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PT Timah Tbk Mentok</w:t>
            </w:r>
          </w:p>
        </w:tc>
        <w:tc>
          <w:tcPr>
            <w:tcW w:w="3520" w:type="dxa"/>
            <w:vAlign w:val="bottom"/>
          </w:tcPr>
          <w:p>
            <w:pPr>
              <w:ind w:left="2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PT Tinindo Inter Nusa</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PT Tirus Putra Mandiri</w:t>
            </w:r>
          </w:p>
        </w:tc>
        <w:tc>
          <w:tcPr>
            <w:tcW w:w="3520" w:type="dxa"/>
            <w:vAlign w:val="bottom"/>
          </w:tcPr>
          <w:p>
            <w:pPr>
              <w:ind w:left="2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PT Tommy Utama</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Resind Industria e Comercio Ltda.</w:t>
            </w:r>
          </w:p>
        </w:tc>
        <w:tc>
          <w:tcPr>
            <w:tcW w:w="3520" w:type="dxa"/>
            <w:vAlign w:val="bottom"/>
          </w:tcPr>
          <w:p>
            <w:pPr>
              <w:ind w:left="2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Rui Da Hung</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TAIWAN</w:t>
            </w: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Super Ligas</w:t>
            </w:r>
          </w:p>
        </w:tc>
        <w:tc>
          <w:tcPr>
            <w:tcW w:w="3520" w:type="dxa"/>
            <w:vAlign w:val="bottom"/>
          </w:tcPr>
          <w:p>
            <w:pPr>
              <w:ind w:left="2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175"/>
        </w:trPr>
        <w:tc>
          <w:tcPr>
            <w:tcW w:w="15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Takehara PVD Materials Plant / PVD Materials Division of MITSUI</w:t>
            </w:r>
          </w:p>
        </w:tc>
        <w:tc>
          <w:tcPr>
            <w:tcW w:w="35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43"/>
        </w:trPr>
        <w:tc>
          <w:tcPr>
            <w:tcW w:w="1540" w:type="dxa"/>
            <w:vAlign w:val="bottom"/>
            <w:gridSpan w:val="2"/>
            <w:vMerge w:val="continue"/>
            <w:shd w:val="clear" w:color="auto" w:fill="CCEEFF"/>
          </w:tcPr>
          <w:p>
            <w:pPr>
              <w:spacing w:after="0"/>
              <w:rPr>
                <w:sz w:val="21"/>
                <w:szCs w:val="21"/>
                <w:color w:val="auto"/>
              </w:rPr>
            </w:pP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MINING &amp; SMELTING CO., LTD.</w:t>
            </w:r>
          </w:p>
        </w:tc>
        <w:tc>
          <w:tcPr>
            <w:tcW w:w="35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Thailand Smelting &amp; Refining Co Ltd</w:t>
            </w:r>
          </w:p>
        </w:tc>
        <w:tc>
          <w:tcPr>
            <w:tcW w:w="3520" w:type="dxa"/>
            <w:vAlign w:val="bottom"/>
          </w:tcPr>
          <w:p>
            <w:pPr>
              <w:ind w:left="20"/>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Tin Smelting Branch of Yunnan Tin Co.,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Tin Technology &amp; Refining</w:t>
            </w:r>
          </w:p>
        </w:tc>
        <w:tc>
          <w:tcPr>
            <w:tcW w:w="352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Thaisarco</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Tuyen Quang Non-Ferrous Metals Joint Stock Company</w:t>
            </w:r>
          </w:p>
        </w:tc>
        <w:tc>
          <w:tcPr>
            <w:tcW w:w="3520" w:type="dxa"/>
            <w:vAlign w:val="bottom"/>
          </w:tcPr>
          <w:p>
            <w:pPr>
              <w:ind w:left="20"/>
              <w:spacing w:after="0"/>
              <w:rPr>
                <w:sz w:val="20"/>
                <w:szCs w:val="20"/>
                <w:color w:val="auto"/>
              </w:rPr>
            </w:pPr>
            <w:r>
              <w:rPr>
                <w:rFonts w:ascii="Arial" w:cs="Arial" w:eastAsia="Arial" w:hAnsi="Arial"/>
                <w:sz w:val="18"/>
                <w:szCs w:val="18"/>
                <w:color w:val="auto"/>
              </w:rPr>
              <w:t>VIETNAM</w:t>
            </w:r>
          </w:p>
        </w:tc>
        <w:tc>
          <w:tcPr>
            <w:tcW w:w="0" w:type="dxa"/>
            <w:vAlign w:val="bottom"/>
          </w:tcPr>
          <w:p>
            <w:pPr>
              <w:spacing w:after="0"/>
              <w:rPr>
                <w:sz w:val="1"/>
                <w:szCs w:val="1"/>
                <w:color w:val="auto"/>
              </w:rPr>
            </w:pP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White Solder Metalurgia e Mineração Ltda.</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Woodcross Smelting Company Limited</w:t>
            </w:r>
          </w:p>
        </w:tc>
        <w:tc>
          <w:tcPr>
            <w:tcW w:w="3520" w:type="dxa"/>
            <w:vAlign w:val="bottom"/>
          </w:tcPr>
          <w:p>
            <w:pPr>
              <w:ind w:left="20"/>
              <w:spacing w:after="0"/>
              <w:rPr>
                <w:sz w:val="20"/>
                <w:szCs w:val="20"/>
                <w:color w:val="auto"/>
              </w:rPr>
            </w:pPr>
            <w:r>
              <w:rPr>
                <w:rFonts w:ascii="Arial" w:cs="Arial" w:eastAsia="Arial" w:hAnsi="Arial"/>
                <w:sz w:val="18"/>
                <w:szCs w:val="18"/>
                <w:color w:val="auto"/>
              </w:rPr>
              <w:t>UGANDA</w:t>
            </w:r>
          </w:p>
        </w:tc>
        <w:tc>
          <w:tcPr>
            <w:tcW w:w="0" w:type="dxa"/>
            <w:vAlign w:val="bottom"/>
          </w:tcPr>
          <w:p>
            <w:pPr>
              <w:spacing w:after="0"/>
              <w:rPr>
                <w:sz w:val="1"/>
                <w:szCs w:val="1"/>
                <w:color w:val="auto"/>
              </w:rPr>
            </w:pP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Yunnan Chengfeng Non-ferrous Metals Co.,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Yunnan Yunfan Non-ferrous Metals Co., Ltd.</w:t>
            </w:r>
          </w:p>
        </w:tc>
        <w:tc>
          <w:tcPr>
            <w:tcW w:w="3520" w:type="dxa"/>
            <w:vAlign w:val="bottom"/>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Yunnan Tin Company Limited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Tin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Zhejiang QLG Holding Co., ltd</w:t>
            </w:r>
          </w:p>
        </w:tc>
        <w:tc>
          <w:tcPr>
            <w:tcW w:w="3520" w:type="dxa"/>
            <w:vAlign w:val="bottom"/>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ACL Metais Eireli</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Albasteel Industria e Comercio de Ligas Para Fundicao Ltd.</w:t>
            </w:r>
          </w:p>
        </w:tc>
        <w:tc>
          <w:tcPr>
            <w:tcW w:w="3520" w:type="dxa"/>
            <w:vAlign w:val="bottom"/>
          </w:tcPr>
          <w:p>
            <w:pPr>
              <w:ind w:left="2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A.L.M.T. Corp.</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Asia Tungsten Products Vietnam Ltd.</w:t>
            </w:r>
          </w:p>
        </w:tc>
        <w:tc>
          <w:tcPr>
            <w:tcW w:w="3520" w:type="dxa"/>
            <w:vAlign w:val="bottom"/>
          </w:tcPr>
          <w:p>
            <w:pPr>
              <w:ind w:left="20"/>
              <w:spacing w:after="0"/>
              <w:rPr>
                <w:sz w:val="20"/>
                <w:szCs w:val="20"/>
                <w:color w:val="auto"/>
              </w:rPr>
            </w:pPr>
            <w:r>
              <w:rPr>
                <w:rFonts w:ascii="Arial" w:cs="Arial" w:eastAsia="Arial" w:hAnsi="Arial"/>
                <w:sz w:val="18"/>
                <w:szCs w:val="18"/>
                <w:color w:val="auto"/>
              </w:rPr>
              <w:t>VIETNAM</w:t>
            </w: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China Molybdenum Co.,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Chongyi Zhangyuan Tungsten Co., Ltd.</w:t>
            </w:r>
          </w:p>
        </w:tc>
        <w:tc>
          <w:tcPr>
            <w:tcW w:w="3520" w:type="dxa"/>
            <w:vAlign w:val="bottom"/>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CNMC (Guangxi) PGMA Co.,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Cronimet Brasil Ltda</w:t>
            </w:r>
          </w:p>
        </w:tc>
        <w:tc>
          <w:tcPr>
            <w:tcW w:w="3520" w:type="dxa"/>
            <w:vAlign w:val="bottom"/>
          </w:tcPr>
          <w:p>
            <w:pPr>
              <w:ind w:left="2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DONGKUK INDUSTRIES CO.,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KOREA, REPUBLIC OF</w:t>
            </w: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Fujian Xinlu Tungsten</w:t>
            </w:r>
          </w:p>
        </w:tc>
        <w:tc>
          <w:tcPr>
            <w:tcW w:w="3520" w:type="dxa"/>
            <w:vAlign w:val="bottom"/>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Ganzhou Jiangwu Ferrotungsten Co.,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Ganzhou Seadragon W &amp; Mo Co., Ltd.</w:t>
            </w:r>
          </w:p>
        </w:tc>
        <w:tc>
          <w:tcPr>
            <w:tcW w:w="3520" w:type="dxa"/>
            <w:vAlign w:val="bottom"/>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Global Tungsten &amp; Powders Corp.</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Guangdong Xianglu Tungsten Co., Ltd.</w:t>
            </w:r>
          </w:p>
        </w:tc>
        <w:tc>
          <w:tcPr>
            <w:tcW w:w="3520" w:type="dxa"/>
            <w:vAlign w:val="bottom"/>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HANNAE FOR T Co.,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KOREA, REPUBLIC OF</w:t>
            </w:r>
          </w:p>
        </w:tc>
        <w:tc>
          <w:tcPr>
            <w:tcW w:w="0" w:type="dxa"/>
            <w:vAlign w:val="bottom"/>
          </w:tcPr>
          <w:p>
            <w:pPr>
              <w:spacing w:after="0"/>
              <w:rPr>
                <w:sz w:val="1"/>
                <w:szCs w:val="1"/>
                <w:color w:val="auto"/>
              </w:rPr>
            </w:pP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HC Starck Tungsten GmBH</w:t>
            </w:r>
          </w:p>
        </w:tc>
        <w:tc>
          <w:tcPr>
            <w:tcW w:w="3520" w:type="dxa"/>
            <w:vAlign w:val="bottom"/>
          </w:tcPr>
          <w:p>
            <w:pPr>
              <w:ind w:left="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Hunan Chenzhou Mining Co.,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Hubei Green Tungsten Co., Ltd.</w:t>
            </w:r>
          </w:p>
        </w:tc>
        <w:tc>
          <w:tcPr>
            <w:tcW w:w="3520" w:type="dxa"/>
            <w:vAlign w:val="bottom"/>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Japan New Metals Co.,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39"/>
        </w:trPr>
        <w:tc>
          <w:tcPr>
            <w:tcW w:w="15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Jiangwu H.C. Starck Tungsten Products Co., Ltd.</w:t>
            </w:r>
          </w:p>
        </w:tc>
        <w:tc>
          <w:tcPr>
            <w:tcW w:w="3520" w:type="dxa"/>
            <w:vAlign w:val="bottom"/>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bl>
    <w:p>
      <w:pPr>
        <w:sectPr>
          <w:pgSz w:w="11900" w:h="16838" w:orient="portrait"/>
          <w:cols w:equalWidth="0" w:num="1">
            <w:col w:w="11180"/>
          </w:cols>
          <w:pgMar w:left="360" w:top="1025" w:right="35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540" w:type="dxa"/>
            <w:vAlign w:val="bottom"/>
            <w:gridSpan w:val="2"/>
          </w:tcPr>
          <w:p>
            <w:pPr>
              <w:ind w:left="420"/>
              <w:spacing w:after="0"/>
              <w:rPr>
                <w:sz w:val="20"/>
                <w:szCs w:val="20"/>
                <w:color w:val="auto"/>
              </w:rPr>
            </w:pPr>
            <w:r>
              <w:rPr>
                <w:rFonts w:ascii="Arial" w:cs="Arial" w:eastAsia="Arial" w:hAnsi="Arial"/>
                <w:sz w:val="18"/>
                <w:szCs w:val="18"/>
                <w:b w:val="1"/>
                <w:bCs w:val="1"/>
                <w:color w:val="auto"/>
              </w:rPr>
              <w:t>Metal</w:t>
            </w:r>
          </w:p>
        </w:tc>
        <w:tc>
          <w:tcPr>
            <w:tcW w:w="6120" w:type="dxa"/>
            <w:vAlign w:val="bottom"/>
            <w:gridSpan w:val="2"/>
          </w:tcPr>
          <w:p>
            <w:pPr>
              <w:ind w:left="1960"/>
              <w:spacing w:after="0"/>
              <w:rPr>
                <w:sz w:val="20"/>
                <w:szCs w:val="20"/>
                <w:color w:val="auto"/>
              </w:rPr>
            </w:pPr>
            <w:r>
              <w:rPr>
                <w:rFonts w:ascii="Arial" w:cs="Arial" w:eastAsia="Arial" w:hAnsi="Arial"/>
                <w:sz w:val="18"/>
                <w:szCs w:val="18"/>
                <w:b w:val="1"/>
                <w:bCs w:val="1"/>
                <w:color w:val="auto"/>
              </w:rPr>
              <w:t>Smelter Reference List</w:t>
            </w:r>
          </w:p>
        </w:tc>
        <w:tc>
          <w:tcPr>
            <w:tcW w:w="3520" w:type="dxa"/>
            <w:vAlign w:val="bottom"/>
          </w:tcPr>
          <w:p>
            <w:pPr>
              <w:ind w:left="300"/>
              <w:spacing w:after="0"/>
              <w:rPr>
                <w:sz w:val="20"/>
                <w:szCs w:val="20"/>
                <w:color w:val="auto"/>
              </w:rPr>
            </w:pPr>
            <w:r>
              <w:rPr>
                <w:rFonts w:ascii="Arial" w:cs="Arial" w:eastAsia="Arial" w:hAnsi="Arial"/>
                <w:sz w:val="18"/>
                <w:szCs w:val="18"/>
                <w:b w:val="1"/>
                <w:bCs w:val="1"/>
                <w:color w:val="auto"/>
              </w:rPr>
              <w:t>Smelter Facility Location: Country</w:t>
            </w:r>
          </w:p>
        </w:tc>
      </w:tr>
      <w:tr>
        <w:trPr>
          <w:trHeight w:val="223"/>
        </w:trPr>
        <w:tc>
          <w:tcPr>
            <w:tcW w:w="1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Tungsten</w:t>
            </w:r>
          </w:p>
        </w:tc>
        <w:tc>
          <w:tcPr>
            <w:tcW w:w="240" w:type="dxa"/>
            <w:vAlign w:val="bottom"/>
            <w:tcBorders>
              <w:top w:val="single" w:sz="8" w:color="CCEEFF"/>
            </w:tcBorders>
            <w:shd w:val="clear" w:color="auto" w:fill="CCEEFF"/>
          </w:tcPr>
          <w:p>
            <w:pPr>
              <w:spacing w:after="0"/>
              <w:rPr>
                <w:sz w:val="19"/>
                <w:szCs w:val="19"/>
                <w:color w:val="auto"/>
              </w:rPr>
            </w:pPr>
          </w:p>
        </w:tc>
        <w:tc>
          <w:tcPr>
            <w:tcW w:w="5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Jiangxi Gan Bei Tungsten Co., Ltd.</w:t>
            </w:r>
          </w:p>
        </w:tc>
        <w:tc>
          <w:tcPr>
            <w:tcW w:w="240" w:type="dxa"/>
            <w:vAlign w:val="bottom"/>
            <w:tcBorders>
              <w:top w:val="single" w:sz="8" w:color="CCEEFF"/>
            </w:tcBorders>
            <w:shd w:val="clear" w:color="auto" w:fill="CCEEFF"/>
          </w:tcPr>
          <w:p>
            <w:pPr>
              <w:spacing w:after="0"/>
              <w:rPr>
                <w:sz w:val="19"/>
                <w:szCs w:val="19"/>
                <w:color w:val="auto"/>
              </w:rPr>
            </w:pPr>
          </w:p>
        </w:tc>
        <w:tc>
          <w:tcPr>
            <w:tcW w:w="3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CHINA</w:t>
            </w: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Jiangxi Minmetals Gao'an Non-ferrous Metals Co., Ltd.</w:t>
            </w:r>
          </w:p>
        </w:tc>
        <w:tc>
          <w:tcPr>
            <w:tcW w:w="352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Jiangxi Tonggu Non-ferrous Metallurgical &amp; Chemical Co.,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Jiangxi Xinsheng Tungsten Industry Co., Ltd.</w:t>
            </w:r>
          </w:p>
        </w:tc>
        <w:tc>
          <w:tcPr>
            <w:tcW w:w="352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Jiangxi Yaosheng Tungsten Co.,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Kenee Mining Corporation Vietnam</w:t>
            </w:r>
          </w:p>
        </w:tc>
        <w:tc>
          <w:tcPr>
            <w:tcW w:w="3520" w:type="dxa"/>
            <w:vAlign w:val="bottom"/>
          </w:tcPr>
          <w:p>
            <w:pPr>
              <w:ind w:left="20"/>
              <w:spacing w:after="0"/>
              <w:rPr>
                <w:sz w:val="20"/>
                <w:szCs w:val="20"/>
                <w:color w:val="auto"/>
              </w:rPr>
            </w:pPr>
            <w:r>
              <w:rPr>
                <w:rFonts w:ascii="Arial" w:cs="Arial" w:eastAsia="Arial" w:hAnsi="Arial"/>
                <w:sz w:val="18"/>
                <w:szCs w:val="18"/>
                <w:color w:val="auto"/>
              </w:rPr>
              <w:t>VIETNAM</w:t>
            </w: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Kennametal Fallon</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Kennametal Huntsville</w:t>
            </w:r>
          </w:p>
        </w:tc>
        <w:tc>
          <w:tcPr>
            <w:tcW w:w="3520" w:type="dxa"/>
            <w:vAlign w:val="bottom"/>
          </w:tcPr>
          <w:p>
            <w:pPr>
              <w:ind w:left="20"/>
              <w:spacing w:after="0"/>
              <w:rPr>
                <w:sz w:val="20"/>
                <w:szCs w:val="20"/>
                <w:color w:val="auto"/>
              </w:rPr>
            </w:pPr>
            <w:r>
              <w:rPr>
                <w:rFonts w:ascii="Arial" w:cs="Arial" w:eastAsia="Arial" w:hAnsi="Arial"/>
                <w:sz w:val="18"/>
                <w:szCs w:val="18"/>
                <w:color w:val="auto"/>
              </w:rPr>
              <w:t>UNITED STATES</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Lianyou Metals Co.,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TAIWAN, PROVINCE OF CHINA</w:t>
            </w: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Lianyou Resources Co., Ltd.</w:t>
            </w:r>
          </w:p>
        </w:tc>
        <w:tc>
          <w:tcPr>
            <w:tcW w:w="3520" w:type="dxa"/>
            <w:vAlign w:val="bottom"/>
          </w:tcPr>
          <w:p>
            <w:pPr>
              <w:ind w:left="20"/>
              <w:spacing w:after="0"/>
              <w:rPr>
                <w:sz w:val="20"/>
                <w:szCs w:val="20"/>
                <w:color w:val="auto"/>
              </w:rPr>
            </w:pPr>
            <w:r>
              <w:rPr>
                <w:rFonts w:ascii="Arial" w:cs="Arial" w:eastAsia="Arial" w:hAnsi="Arial"/>
                <w:sz w:val="18"/>
                <w:szCs w:val="18"/>
                <w:color w:val="auto"/>
              </w:rPr>
              <w:t>TAIWAN, PROVINCE OF CHINA</w:t>
            </w: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MALAMET SMELTING SDN. BHD.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MALAYSIA</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Malipo Haiyu Tungsten Co., Ltd.</w:t>
            </w:r>
          </w:p>
        </w:tc>
        <w:tc>
          <w:tcPr>
            <w:tcW w:w="352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Masan High-Tech Materials</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VIETNAM</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Nam Viet Cromit Joint Stock Company</w:t>
            </w:r>
          </w:p>
        </w:tc>
        <w:tc>
          <w:tcPr>
            <w:tcW w:w="3520" w:type="dxa"/>
            <w:vAlign w:val="bottom"/>
          </w:tcPr>
          <w:p>
            <w:pPr>
              <w:ind w:left="20"/>
              <w:spacing w:after="0"/>
              <w:rPr>
                <w:sz w:val="20"/>
                <w:szCs w:val="20"/>
                <w:color w:val="auto"/>
              </w:rPr>
            </w:pPr>
            <w:r>
              <w:rPr>
                <w:rFonts w:ascii="Arial" w:cs="Arial" w:eastAsia="Arial" w:hAnsi="Arial"/>
                <w:sz w:val="18"/>
                <w:szCs w:val="18"/>
                <w:color w:val="auto"/>
              </w:rPr>
              <w:t>VIETNAM</w:t>
            </w: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Niagara Refining LLC</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Philippine Chuangxin Industrial Co., Inc.</w:t>
            </w:r>
          </w:p>
        </w:tc>
        <w:tc>
          <w:tcPr>
            <w:tcW w:w="3520" w:type="dxa"/>
            <w:vAlign w:val="bottom"/>
          </w:tcPr>
          <w:p>
            <w:pPr>
              <w:ind w:left="20"/>
              <w:spacing w:after="0"/>
              <w:rPr>
                <w:sz w:val="20"/>
                <w:szCs w:val="20"/>
                <w:color w:val="auto"/>
              </w:rPr>
            </w:pPr>
            <w:r>
              <w:rPr>
                <w:rFonts w:ascii="Arial" w:cs="Arial" w:eastAsia="Arial" w:hAnsi="Arial"/>
                <w:sz w:val="18"/>
                <w:szCs w:val="18"/>
                <w:color w:val="auto"/>
              </w:rPr>
              <w:t>PHILIPPINES</w:t>
            </w:r>
          </w:p>
        </w:tc>
      </w:tr>
      <w:tr>
        <w:trPr>
          <w:trHeight w:val="230"/>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Shinwon Tungsten (Fujian Shanghang) Co.,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TANIOBIS Smelting GmbH &amp; Co. KG</w:t>
            </w:r>
          </w:p>
        </w:tc>
        <w:tc>
          <w:tcPr>
            <w:tcW w:w="352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Tungsten Vietnam Joint Stock Company</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VIETNAM</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Wolfram Bergbau und Hütten AG</w:t>
            </w:r>
          </w:p>
        </w:tc>
        <w:tc>
          <w:tcPr>
            <w:tcW w:w="3520" w:type="dxa"/>
            <w:vAlign w:val="bottom"/>
          </w:tcPr>
          <w:p>
            <w:pPr>
              <w:ind w:left="20"/>
              <w:spacing w:after="0"/>
              <w:rPr>
                <w:sz w:val="20"/>
                <w:szCs w:val="20"/>
                <w:color w:val="auto"/>
              </w:rPr>
            </w:pPr>
            <w:r>
              <w:rPr>
                <w:rFonts w:ascii="Arial" w:cs="Arial" w:eastAsia="Arial" w:hAnsi="Arial"/>
                <w:sz w:val="18"/>
                <w:szCs w:val="18"/>
                <w:color w:val="auto"/>
              </w:rPr>
              <w:t>AUSTRIA</w:t>
            </w: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Xiamen Tungsten (H.C.) Co.,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Xiamen Tungsten Co., Ltd.</w:t>
            </w:r>
          </w:p>
        </w:tc>
        <w:tc>
          <w:tcPr>
            <w:tcW w:w="352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29"/>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w:t>
            </w: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YUDU ANSHENG TUNGSTEN CO., LTD.</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r>
    </w:tbl>
    <w:p>
      <w:pPr>
        <w:spacing w:after="0" w:line="1" w:lineRule="exact"/>
        <w:rPr>
          <w:sz w:val="20"/>
          <w:szCs w:val="20"/>
          <w:color w:val="auto"/>
        </w:rPr>
      </w:pPr>
    </w:p>
    <w:sectPr>
      <w:pgSz w:w="11900" w:h="16838" w:orient="portrait"/>
      <w:cols w:equalWidth="0" w:num="1">
        <w:col w:w="11180"/>
      </w:cols>
      <w:pgMar w:left="360" w:top="102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x"/>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lvl w:ilvl="1">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lvl w:ilvl="1">
      <w:lvlJc w:val="left"/>
      <w:lvlText w:val="•"/>
      <w:numFmt w:val="bullet"/>
      <w:start w:val="1"/>
    </w:lvl>
  </w:abstractNum>
  <w:abstractNum w:abstractNumId="5">
    <w:nsid w:val="507ED7AB"/>
    <w:multiLevelType w:val="hybridMultilevel"/>
    <w:lvl w:ilvl="0">
      <w:lvlJc w:val="left"/>
      <w:lvlText w:val="%1."/>
      <w:numFmt w:val="decimal"/>
      <w:start w:val="6"/>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2026-05-28T17:06:34Z</dcterms:created>
  <dcterms:modified xsi:type="dcterms:W3CDTF">2026-05-28T17:06:34Z</dcterms:modified>
</cp:coreProperties>
</file>