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166370</wp:posOffset>
            </wp:positionH>
            <wp:positionV relativeFrom="page">
              <wp:posOffset>380365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-156210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100330</wp:posOffset>
            </wp:positionV>
            <wp:extent cx="22898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3760" w:right="2360" w:hanging="3725"/>
        <w:spacing w:after="0" w:line="308" w:lineRule="auto"/>
        <w:tabs>
          <w:tab w:leader="none" w:pos="72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2019</w:t>
      </w: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3300" w:type="dxa"/>
            <w:vAlign w:val="bottom"/>
            <w:gridSpan w:val="3"/>
          </w:tcPr>
          <w:p>
            <w:pPr>
              <w:ind w:left="80"/>
              <w:spacing w:after="0"/>
              <w:rPr>
                <w:sz w:val="20"/>
                <w:szCs w:val="20"/>
                <w:color w:val="auto"/>
              </w:rPr>
            </w:pPr>
            <w:r>
              <w:rPr>
                <w:rFonts w:ascii="Arial" w:cs="Arial" w:eastAsia="Arial" w:hAnsi="Arial"/>
                <w:sz w:val="16"/>
                <w:szCs w:val="16"/>
                <w:b w:val="1"/>
                <w:bCs w:val="1"/>
                <w:color w:val="auto"/>
              </w:rPr>
              <w:t>For the transition period from</w:t>
            </w:r>
          </w:p>
        </w:tc>
        <w:tc>
          <w:tcPr>
            <w:tcW w:w="2840" w:type="dxa"/>
            <w:vAlign w:val="bottom"/>
            <w:gridSpan w:val="4"/>
          </w:tcPr>
          <w:p>
            <w:pPr>
              <w:ind w:left="40"/>
              <w:spacing w:after="0"/>
              <w:rPr>
                <w:sz w:val="20"/>
                <w:szCs w:val="20"/>
                <w:color w:val="auto"/>
              </w:rPr>
            </w:pPr>
            <w:r>
              <w:rPr>
                <w:rFonts w:ascii="Arial" w:cs="Arial" w:eastAsia="Arial" w:hAnsi="Arial"/>
                <w:sz w:val="16"/>
                <w:szCs w:val="16"/>
                <w:b w:val="1"/>
                <w:bCs w:val="1"/>
                <w:color w:val="auto"/>
              </w:rPr>
              <w:t>to</w:t>
            </w:r>
          </w:p>
        </w:tc>
      </w:tr>
      <w:tr>
        <w:trPr>
          <w:trHeight w:val="142"/>
        </w:trPr>
        <w:tc>
          <w:tcPr>
            <w:tcW w:w="2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700" w:type="dxa"/>
            <w:vAlign w:val="bottom"/>
          </w:tcPr>
          <w:p>
            <w:pPr>
              <w:spacing w:after="0"/>
              <w:rPr>
                <w:sz w:val="12"/>
                <w:szCs w:val="12"/>
                <w:color w:val="auto"/>
              </w:rPr>
            </w:pPr>
          </w:p>
        </w:tc>
      </w:tr>
      <w:tr>
        <w:trPr>
          <w:trHeight w:val="454"/>
        </w:trPr>
        <w:tc>
          <w:tcPr>
            <w:tcW w:w="2140" w:type="dxa"/>
            <w:vAlign w:val="bottom"/>
          </w:tcPr>
          <w:p>
            <w:pPr>
              <w:spacing w:after="0"/>
              <w:rPr>
                <w:sz w:val="24"/>
                <w:szCs w:val="24"/>
                <w:color w:val="auto"/>
              </w:rPr>
            </w:pPr>
          </w:p>
        </w:tc>
        <w:tc>
          <w:tcPr>
            <w:tcW w:w="6140" w:type="dxa"/>
            <w:vAlign w:val="bottom"/>
            <w:gridSpan w:val="7"/>
          </w:tcPr>
          <w:p>
            <w:pPr>
              <w:jc w:val="center"/>
              <w:ind w:right="1568"/>
              <w:spacing w:after="0"/>
              <w:rPr>
                <w:sz w:val="20"/>
                <w:szCs w:val="20"/>
                <w:color w:val="auto"/>
              </w:rPr>
            </w:pPr>
            <w:r>
              <w:rPr>
                <w:rFonts w:ascii="Arial" w:cs="Arial" w:eastAsia="Arial" w:hAnsi="Arial"/>
                <w:sz w:val="22"/>
                <w:szCs w:val="22"/>
                <w:b w:val="1"/>
                <w:bCs w:val="1"/>
                <w:color w:val="auto"/>
                <w:w w:val="97"/>
              </w:rPr>
              <w:t>COMPASS DIVERSIFIED HOLDINGS</w:t>
            </w:r>
          </w:p>
        </w:tc>
      </w:tr>
      <w:tr>
        <w:trPr>
          <w:trHeight w:val="225"/>
        </w:trPr>
        <w:tc>
          <w:tcPr>
            <w:tcW w:w="2140" w:type="dxa"/>
            <w:vAlign w:val="bottom"/>
          </w:tcPr>
          <w:p>
            <w:pPr>
              <w:spacing w:after="0"/>
              <w:rPr>
                <w:sz w:val="19"/>
                <w:szCs w:val="19"/>
                <w:color w:val="auto"/>
              </w:rPr>
            </w:pPr>
          </w:p>
        </w:tc>
        <w:tc>
          <w:tcPr>
            <w:tcW w:w="6140" w:type="dxa"/>
            <w:vAlign w:val="bottom"/>
            <w:gridSpan w:val="7"/>
          </w:tcPr>
          <w:p>
            <w:pPr>
              <w:jc w:val="center"/>
              <w:ind w:right="1548"/>
              <w:spacing w:after="0"/>
              <w:rPr>
                <w:sz w:val="20"/>
                <w:szCs w:val="20"/>
                <w:color w:val="auto"/>
              </w:rPr>
            </w:pPr>
            <w:r>
              <w:rPr>
                <w:rFonts w:ascii="Arial" w:cs="Arial" w:eastAsia="Arial" w:hAnsi="Arial"/>
                <w:sz w:val="17"/>
                <w:szCs w:val="17"/>
                <w:b w:val="1"/>
                <w:bCs w:val="1"/>
                <w:color w:val="auto"/>
              </w:rPr>
              <w:t>(Exact name of registrant as specified in its charter)</w:t>
            </w:r>
          </w:p>
        </w:tc>
      </w:tr>
      <w:tr>
        <w:trPr>
          <w:trHeight w:val="343"/>
        </w:trPr>
        <w:tc>
          <w:tcPr>
            <w:tcW w:w="2140" w:type="dxa"/>
            <w:vAlign w:val="bottom"/>
          </w:tcPr>
          <w:p>
            <w:pPr>
              <w:jc w:val="center"/>
              <w:ind w:right="3"/>
              <w:spacing w:after="0"/>
              <w:rPr>
                <w:sz w:val="20"/>
                <w:szCs w:val="20"/>
                <w:color w:val="auto"/>
              </w:rPr>
            </w:pPr>
            <w:r>
              <w:rPr>
                <w:rFonts w:ascii="Arial" w:cs="Arial" w:eastAsia="Arial" w:hAnsi="Arial"/>
                <w:sz w:val="14"/>
                <w:szCs w:val="14"/>
                <w:b w:val="1"/>
                <w:bCs w:val="1"/>
                <w:color w:val="auto"/>
              </w:rPr>
              <w:t>Delaware</w:t>
            </w:r>
          </w:p>
        </w:tc>
        <w:tc>
          <w:tcPr>
            <w:tcW w:w="3300" w:type="dxa"/>
            <w:vAlign w:val="bottom"/>
            <w:gridSpan w:val="3"/>
          </w:tcPr>
          <w:p>
            <w:pPr>
              <w:jc w:val="center"/>
              <w:ind w:left="916"/>
              <w:spacing w:after="0"/>
              <w:rPr>
                <w:sz w:val="20"/>
                <w:szCs w:val="20"/>
                <w:color w:val="auto"/>
              </w:rPr>
            </w:pPr>
            <w:r>
              <w:rPr>
                <w:rFonts w:ascii="Arial" w:cs="Arial" w:eastAsia="Arial" w:hAnsi="Arial"/>
                <w:sz w:val="14"/>
                <w:szCs w:val="14"/>
                <w:b w:val="1"/>
                <w:bCs w:val="1"/>
                <w:color w:val="auto"/>
              </w:rPr>
              <w:t>001-34927</w:t>
            </w:r>
          </w:p>
        </w:tc>
        <w:tc>
          <w:tcPr>
            <w:tcW w:w="2840" w:type="dxa"/>
            <w:vAlign w:val="bottom"/>
            <w:gridSpan w:val="4"/>
          </w:tcPr>
          <w:p>
            <w:pPr>
              <w:jc w:val="center"/>
              <w:ind w:left="1245"/>
              <w:spacing w:after="0"/>
              <w:rPr>
                <w:sz w:val="20"/>
                <w:szCs w:val="20"/>
                <w:color w:val="auto"/>
              </w:rPr>
            </w:pPr>
            <w:r>
              <w:rPr>
                <w:rFonts w:ascii="Arial" w:cs="Arial" w:eastAsia="Arial" w:hAnsi="Arial"/>
                <w:sz w:val="14"/>
                <w:szCs w:val="14"/>
                <w:b w:val="1"/>
                <w:bCs w:val="1"/>
                <w:color w:val="auto"/>
              </w:rPr>
              <w:t>57-6218917</w:t>
            </w:r>
          </w:p>
        </w:tc>
      </w:tr>
      <w:tr>
        <w:trPr>
          <w:trHeight w:val="242"/>
        </w:trPr>
        <w:tc>
          <w:tcPr>
            <w:tcW w:w="2140" w:type="dxa"/>
            <w:vAlign w:val="bottom"/>
          </w:tcPr>
          <w:p>
            <w:pPr>
              <w:jc w:val="center"/>
              <w:ind w:right="3"/>
              <w:spacing w:after="0"/>
              <w:rPr>
                <w:sz w:val="20"/>
                <w:szCs w:val="20"/>
                <w:color w:val="auto"/>
              </w:rPr>
            </w:pPr>
            <w:r>
              <w:rPr>
                <w:rFonts w:ascii="Arial" w:cs="Arial" w:eastAsia="Arial" w:hAnsi="Arial"/>
                <w:sz w:val="14"/>
                <w:szCs w:val="14"/>
                <w:b w:val="1"/>
                <w:bCs w:val="1"/>
                <w:color w:val="auto"/>
              </w:rPr>
              <w:t>(State or other jurisdiction of</w:t>
            </w:r>
          </w:p>
        </w:tc>
        <w:tc>
          <w:tcPr>
            <w:tcW w:w="460" w:type="dxa"/>
            <w:vAlign w:val="bottom"/>
          </w:tcPr>
          <w:p>
            <w:pPr>
              <w:spacing w:after="0"/>
              <w:rPr>
                <w:sz w:val="21"/>
                <w:szCs w:val="21"/>
                <w:color w:val="auto"/>
              </w:rPr>
            </w:pPr>
          </w:p>
        </w:tc>
        <w:tc>
          <w:tcPr>
            <w:tcW w:w="28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(Commission</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center"/>
              <w:ind w:left="10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140" w:type="dxa"/>
            <w:vAlign w:val="bottom"/>
          </w:tcPr>
          <w:p>
            <w:pPr>
              <w:jc w:val="center"/>
              <w:ind w:right="3"/>
              <w:spacing w:after="0"/>
              <w:rPr>
                <w:sz w:val="20"/>
                <w:szCs w:val="20"/>
                <w:color w:val="auto"/>
              </w:rPr>
            </w:pPr>
            <w:r>
              <w:rPr>
                <w:rFonts w:ascii="Arial" w:cs="Arial" w:eastAsia="Arial" w:hAnsi="Arial"/>
                <w:sz w:val="14"/>
                <w:szCs w:val="14"/>
                <w:b w:val="1"/>
                <w:bCs w:val="1"/>
                <w:color w:val="auto"/>
              </w:rPr>
              <w:t>incorporation or organization)</w:t>
            </w:r>
          </w:p>
        </w:tc>
        <w:tc>
          <w:tcPr>
            <w:tcW w:w="460" w:type="dxa"/>
            <w:vAlign w:val="bottom"/>
          </w:tcPr>
          <w:p>
            <w:pPr>
              <w:spacing w:after="0"/>
              <w:rPr>
                <w:sz w:val="16"/>
                <w:szCs w:val="16"/>
                <w:color w:val="auto"/>
              </w:rPr>
            </w:pPr>
          </w:p>
        </w:tc>
        <w:tc>
          <w:tcPr>
            <w:tcW w:w="28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file number)</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jc w:val="center"/>
              <w:ind w:left="108"/>
              <w:spacing w:after="0"/>
              <w:rPr>
                <w:sz w:val="20"/>
                <w:szCs w:val="20"/>
                <w:color w:val="auto"/>
              </w:rPr>
            </w:pPr>
            <w:r>
              <w:rPr>
                <w:rFonts w:ascii="Arial" w:cs="Arial" w:eastAsia="Arial" w:hAnsi="Arial"/>
                <w:sz w:val="14"/>
                <w:szCs w:val="14"/>
                <w:b w:val="1"/>
                <w:bCs w:val="1"/>
                <w:color w:val="auto"/>
              </w:rPr>
              <w:t>identification number)</w:t>
            </w:r>
          </w:p>
        </w:tc>
      </w:tr>
      <w:tr>
        <w:trPr>
          <w:trHeight w:val="147"/>
        </w:trPr>
        <w:tc>
          <w:tcPr>
            <w:tcW w:w="2600" w:type="dxa"/>
            <w:vAlign w:val="bottom"/>
            <w:gridSpan w:val="2"/>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399"/>
        </w:trPr>
        <w:tc>
          <w:tcPr>
            <w:tcW w:w="8280" w:type="dxa"/>
            <w:vAlign w:val="bottom"/>
            <w:gridSpan w:val="8"/>
          </w:tcPr>
          <w:p>
            <w:pPr>
              <w:jc w:val="center"/>
              <w:ind w:left="423"/>
              <w:spacing w:after="0"/>
              <w:rPr>
                <w:sz w:val="20"/>
                <w:szCs w:val="20"/>
                <w:color w:val="auto"/>
              </w:rPr>
            </w:pPr>
            <w:r>
              <w:rPr>
                <w:rFonts w:ascii="Arial" w:cs="Arial" w:eastAsia="Arial" w:hAnsi="Arial"/>
                <w:sz w:val="22"/>
                <w:szCs w:val="22"/>
                <w:b w:val="1"/>
                <w:bCs w:val="1"/>
                <w:color w:val="auto"/>
                <w:w w:val="97"/>
              </w:rPr>
              <w:t>COMPASS GROUP DIVERSIFIED HOLDINGS LLC</w:t>
            </w:r>
          </w:p>
        </w:tc>
      </w:tr>
      <w:tr>
        <w:trPr>
          <w:trHeight w:val="225"/>
        </w:trPr>
        <w:tc>
          <w:tcPr>
            <w:tcW w:w="2140" w:type="dxa"/>
            <w:vAlign w:val="bottom"/>
          </w:tcPr>
          <w:p>
            <w:pPr>
              <w:spacing w:after="0"/>
              <w:rPr>
                <w:sz w:val="19"/>
                <w:szCs w:val="19"/>
                <w:color w:val="auto"/>
              </w:rPr>
            </w:pPr>
          </w:p>
        </w:tc>
        <w:tc>
          <w:tcPr>
            <w:tcW w:w="6140" w:type="dxa"/>
            <w:vAlign w:val="bottom"/>
            <w:gridSpan w:val="7"/>
          </w:tcPr>
          <w:p>
            <w:pPr>
              <w:jc w:val="center"/>
              <w:ind w:right="1548"/>
              <w:spacing w:after="0"/>
              <w:rPr>
                <w:sz w:val="20"/>
                <w:szCs w:val="20"/>
                <w:color w:val="auto"/>
              </w:rPr>
            </w:pPr>
            <w:r>
              <w:rPr>
                <w:rFonts w:ascii="Arial" w:cs="Arial" w:eastAsia="Arial" w:hAnsi="Arial"/>
                <w:sz w:val="17"/>
                <w:szCs w:val="17"/>
                <w:b w:val="1"/>
                <w:bCs w:val="1"/>
                <w:color w:val="auto"/>
              </w:rPr>
              <w:t>(Exact name of registrant as specified in its charter)</w:t>
            </w:r>
          </w:p>
        </w:tc>
      </w:tr>
      <w:tr>
        <w:trPr>
          <w:trHeight w:val="343"/>
        </w:trPr>
        <w:tc>
          <w:tcPr>
            <w:tcW w:w="2140" w:type="dxa"/>
            <w:vAlign w:val="bottom"/>
          </w:tcPr>
          <w:p>
            <w:pPr>
              <w:jc w:val="center"/>
              <w:ind w:right="3"/>
              <w:spacing w:after="0"/>
              <w:rPr>
                <w:sz w:val="20"/>
                <w:szCs w:val="20"/>
                <w:color w:val="auto"/>
              </w:rPr>
            </w:pPr>
            <w:r>
              <w:rPr>
                <w:rFonts w:ascii="Arial" w:cs="Arial" w:eastAsia="Arial" w:hAnsi="Arial"/>
                <w:sz w:val="14"/>
                <w:szCs w:val="14"/>
                <w:b w:val="1"/>
                <w:bCs w:val="1"/>
                <w:color w:val="auto"/>
              </w:rPr>
              <w:t>Delaware</w:t>
            </w:r>
          </w:p>
        </w:tc>
        <w:tc>
          <w:tcPr>
            <w:tcW w:w="3300" w:type="dxa"/>
            <w:vAlign w:val="bottom"/>
            <w:gridSpan w:val="3"/>
          </w:tcPr>
          <w:p>
            <w:pPr>
              <w:jc w:val="center"/>
              <w:ind w:left="916"/>
              <w:spacing w:after="0"/>
              <w:rPr>
                <w:sz w:val="20"/>
                <w:szCs w:val="20"/>
                <w:color w:val="auto"/>
              </w:rPr>
            </w:pPr>
            <w:r>
              <w:rPr>
                <w:rFonts w:ascii="Arial" w:cs="Arial" w:eastAsia="Arial" w:hAnsi="Arial"/>
                <w:sz w:val="14"/>
                <w:szCs w:val="14"/>
                <w:b w:val="1"/>
                <w:bCs w:val="1"/>
                <w:color w:val="auto"/>
              </w:rPr>
              <w:t>001-34926</w:t>
            </w:r>
          </w:p>
        </w:tc>
        <w:tc>
          <w:tcPr>
            <w:tcW w:w="2840" w:type="dxa"/>
            <w:vAlign w:val="bottom"/>
            <w:gridSpan w:val="4"/>
          </w:tcPr>
          <w:p>
            <w:pPr>
              <w:jc w:val="center"/>
              <w:ind w:left="1245"/>
              <w:spacing w:after="0"/>
              <w:rPr>
                <w:sz w:val="20"/>
                <w:szCs w:val="20"/>
                <w:color w:val="auto"/>
              </w:rPr>
            </w:pPr>
            <w:r>
              <w:rPr>
                <w:rFonts w:ascii="Arial" w:cs="Arial" w:eastAsia="Arial" w:hAnsi="Arial"/>
                <w:sz w:val="14"/>
                <w:szCs w:val="14"/>
                <w:b w:val="1"/>
                <w:bCs w:val="1"/>
                <w:color w:val="auto"/>
              </w:rPr>
              <w:t>20-3812051</w:t>
            </w:r>
          </w:p>
        </w:tc>
      </w:tr>
      <w:tr>
        <w:trPr>
          <w:trHeight w:val="242"/>
        </w:trPr>
        <w:tc>
          <w:tcPr>
            <w:tcW w:w="2140" w:type="dxa"/>
            <w:vAlign w:val="bottom"/>
          </w:tcPr>
          <w:p>
            <w:pPr>
              <w:jc w:val="center"/>
              <w:ind w:right="3"/>
              <w:spacing w:after="0"/>
              <w:rPr>
                <w:sz w:val="20"/>
                <w:szCs w:val="20"/>
                <w:color w:val="auto"/>
              </w:rPr>
            </w:pPr>
            <w:r>
              <w:rPr>
                <w:rFonts w:ascii="Arial" w:cs="Arial" w:eastAsia="Arial" w:hAnsi="Arial"/>
                <w:sz w:val="14"/>
                <w:szCs w:val="14"/>
                <w:b w:val="1"/>
                <w:bCs w:val="1"/>
                <w:color w:val="auto"/>
              </w:rPr>
              <w:t>(State or other jurisdiction of</w:t>
            </w:r>
          </w:p>
        </w:tc>
        <w:tc>
          <w:tcPr>
            <w:tcW w:w="460" w:type="dxa"/>
            <w:vAlign w:val="bottom"/>
          </w:tcPr>
          <w:p>
            <w:pPr>
              <w:spacing w:after="0"/>
              <w:rPr>
                <w:sz w:val="21"/>
                <w:szCs w:val="21"/>
                <w:color w:val="auto"/>
              </w:rPr>
            </w:pPr>
          </w:p>
        </w:tc>
        <w:tc>
          <w:tcPr>
            <w:tcW w:w="28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(Commission</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center"/>
              <w:ind w:left="10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140" w:type="dxa"/>
            <w:vAlign w:val="bottom"/>
          </w:tcPr>
          <w:p>
            <w:pPr>
              <w:jc w:val="center"/>
              <w:ind w:right="3"/>
              <w:spacing w:after="0"/>
              <w:rPr>
                <w:sz w:val="20"/>
                <w:szCs w:val="20"/>
                <w:color w:val="auto"/>
              </w:rPr>
            </w:pPr>
            <w:r>
              <w:rPr>
                <w:rFonts w:ascii="Arial" w:cs="Arial" w:eastAsia="Arial" w:hAnsi="Arial"/>
                <w:sz w:val="14"/>
                <w:szCs w:val="14"/>
                <w:b w:val="1"/>
                <w:bCs w:val="1"/>
                <w:color w:val="auto"/>
              </w:rPr>
              <w:t>incorporation or organization)</w:t>
            </w:r>
          </w:p>
        </w:tc>
        <w:tc>
          <w:tcPr>
            <w:tcW w:w="460" w:type="dxa"/>
            <w:vAlign w:val="bottom"/>
          </w:tcPr>
          <w:p>
            <w:pPr>
              <w:spacing w:after="0"/>
              <w:rPr>
                <w:sz w:val="16"/>
                <w:szCs w:val="16"/>
                <w:color w:val="auto"/>
              </w:rPr>
            </w:pPr>
          </w:p>
        </w:tc>
        <w:tc>
          <w:tcPr>
            <w:tcW w:w="28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file number)</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jc w:val="center"/>
              <w:ind w:left="108"/>
              <w:spacing w:after="0"/>
              <w:rPr>
                <w:sz w:val="20"/>
                <w:szCs w:val="20"/>
                <w:color w:val="auto"/>
              </w:rPr>
            </w:pPr>
            <w:r>
              <w:rPr>
                <w:rFonts w:ascii="Arial" w:cs="Arial" w:eastAsia="Arial" w:hAnsi="Arial"/>
                <w:sz w:val="14"/>
                <w:szCs w:val="14"/>
                <w:b w:val="1"/>
                <w:bCs w:val="1"/>
                <w:color w:val="auto"/>
              </w:rPr>
              <w:t>identification number)</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301 Riverside Avenue, Second Floor, Westport, CT 06880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203</w:t>
      </w:r>
      <w:r>
        <w:rPr>
          <w:rFonts w:ascii="Arial" w:cs="Arial" w:eastAsia="Arial" w:hAnsi="Arial"/>
          <w:sz w:val="18"/>
          <w:szCs w:val="18"/>
          <w:color w:val="auto"/>
        </w:rPr>
        <w:t xml:space="preserve">) </w:t>
      </w:r>
      <w:r>
        <w:rPr>
          <w:rFonts w:ascii="Arial" w:cs="Arial" w:eastAsia="Arial" w:hAnsi="Arial"/>
          <w:sz w:val="16"/>
          <w:szCs w:val="16"/>
          <w:b w:val="1"/>
          <w:bCs w:val="1"/>
          <w:color w:val="auto"/>
        </w:rPr>
        <w:t>221-1703</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94615</wp:posOffset>
            </wp:positionV>
            <wp:extent cx="22898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22" w:lineRule="exact"/>
        <w:rPr>
          <w:sz w:val="24"/>
          <w:szCs w:val="24"/>
          <w:color w:val="auto"/>
        </w:rPr>
      </w:pPr>
    </w:p>
    <w:tbl>
      <w:tblPr>
        <w:tblLayout w:type="fixed"/>
        <w:tblInd w:w="70" w:type="dxa"/>
        <w:tblCellMar>
          <w:top w:w="0" w:type="dxa"/>
          <w:left w:w="0" w:type="dxa"/>
          <w:bottom w:w="0" w:type="dxa"/>
          <w:right w:w="0" w:type="dxa"/>
        </w:tblCellMar>
      </w:tblPr>
      <w:tr>
        <w:trPr>
          <w:trHeight w:val="189"/>
        </w:trPr>
        <w:tc>
          <w:tcPr>
            <w:tcW w:w="5840" w:type="dxa"/>
            <w:vAlign w:val="bottom"/>
            <w:tcBorders>
              <w:top w:val="single" w:sz="8" w:color="auto"/>
              <w:left w:val="single" w:sz="8" w:color="auto"/>
            </w:tcBorders>
          </w:tcPr>
          <w:p>
            <w:pPr>
              <w:spacing w:after="0"/>
              <w:rPr>
                <w:sz w:val="16"/>
                <w:szCs w:val="16"/>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Trading</w:t>
            </w:r>
          </w:p>
        </w:tc>
        <w:tc>
          <w:tcPr>
            <w:tcW w:w="40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tcBorders>
              <w:left w:val="single" w:sz="8" w:color="auto"/>
              <w:bottom w:val="single" w:sz="8" w:color="auto"/>
            </w:tcBorders>
          </w:tcPr>
          <w:p>
            <w:pPr>
              <w:ind w:left="2300"/>
              <w:spacing w:after="0"/>
              <w:rPr>
                <w:sz w:val="20"/>
                <w:szCs w:val="20"/>
                <w:color w:val="auto"/>
              </w:rPr>
            </w:pPr>
            <w:r>
              <w:rPr>
                <w:rFonts w:ascii="Arial" w:cs="Arial" w:eastAsia="Arial" w:hAnsi="Arial"/>
                <w:sz w:val="14"/>
                <w:szCs w:val="14"/>
                <w:b w:val="1"/>
                <w:bCs w:val="1"/>
                <w:color w:val="auto"/>
              </w:rPr>
              <w:t>Title of Each Class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4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64"/>
        </w:trPr>
        <w:tc>
          <w:tcPr>
            <w:tcW w:w="5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CODI</w:t>
            </w:r>
          </w:p>
        </w:tc>
        <w:tc>
          <w:tcPr>
            <w:tcW w:w="4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3"/>
        </w:trPr>
        <w:tc>
          <w:tcPr>
            <w:tcW w:w="58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Series A Preferred Shares representing Series A Trust Preferred Interest in Compass</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rPr>
              <w:t>CODI PR A</w:t>
            </w:r>
          </w:p>
        </w:tc>
        <w:tc>
          <w:tcPr>
            <w:tcW w:w="4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584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Diversified Holdings</w:t>
            </w:r>
          </w:p>
        </w:tc>
        <w:tc>
          <w:tcPr>
            <w:tcW w:w="1480" w:type="dxa"/>
            <w:vAlign w:val="bottom"/>
            <w:vMerge w:val="continue"/>
          </w:tcPr>
          <w:p>
            <w:pPr>
              <w:spacing w:after="0"/>
              <w:rPr>
                <w:sz w:val="7"/>
                <w:szCs w:val="7"/>
                <w:color w:val="auto"/>
              </w:rPr>
            </w:pPr>
          </w:p>
        </w:tc>
        <w:tc>
          <w:tcPr>
            <w:tcW w:w="402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87"/>
        </w:trPr>
        <w:tc>
          <w:tcPr>
            <w:tcW w:w="5840" w:type="dxa"/>
            <w:vAlign w:val="bottom"/>
            <w:tcBorders>
              <w:left w:val="single" w:sz="8" w:color="auto"/>
              <w:bottom w:val="single" w:sz="8" w:color="auto"/>
            </w:tcBorders>
            <w:vMerge w:val="continue"/>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0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58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Series B Preferred Shares representing Series B Trust Preferred Interest in Compass</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rPr>
              <w:t>CODI PR B</w:t>
            </w:r>
          </w:p>
        </w:tc>
        <w:tc>
          <w:tcPr>
            <w:tcW w:w="4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584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Diversified Holdings</w:t>
            </w:r>
          </w:p>
        </w:tc>
        <w:tc>
          <w:tcPr>
            <w:tcW w:w="1480" w:type="dxa"/>
            <w:vAlign w:val="bottom"/>
            <w:vMerge w:val="continue"/>
          </w:tcPr>
          <w:p>
            <w:pPr>
              <w:spacing w:after="0"/>
              <w:rPr>
                <w:sz w:val="7"/>
                <w:szCs w:val="7"/>
                <w:color w:val="auto"/>
              </w:rPr>
            </w:pPr>
          </w:p>
        </w:tc>
        <w:tc>
          <w:tcPr>
            <w:tcW w:w="402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87"/>
        </w:trPr>
        <w:tc>
          <w:tcPr>
            <w:tcW w:w="5840" w:type="dxa"/>
            <w:vAlign w:val="bottom"/>
            <w:tcBorders>
              <w:left w:val="single" w:sz="8" w:color="auto"/>
              <w:bottom w:val="single" w:sz="8" w:color="auto"/>
            </w:tcBorders>
            <w:vMerge w:val="continue"/>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0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48" w:lineRule="exact"/>
        <w:rPr>
          <w:sz w:val="24"/>
          <w:szCs w:val="24"/>
          <w:color w:val="auto"/>
        </w:rPr>
      </w:pPr>
    </w:p>
    <w:p>
      <w:pPr>
        <w:ind w:right="420"/>
        <w:spacing w:after="0" w:line="28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07" w:lineRule="exact"/>
        <w:tabs>
          <w:tab w:leader="none" w:pos="700" w:val="left"/>
          <w:tab w:leader="none" w:pos="13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MS PGothic" w:cs="MS PGothic" w:eastAsia="MS PGothic" w:hAnsi="MS PGothic"/>
          <w:sz w:val="18"/>
          <w:szCs w:val="18"/>
          <w:color w:val="auto"/>
        </w:rPr>
        <w:t>☐</w:t>
      </w:r>
    </w:p>
    <w:p>
      <w:pPr>
        <w:spacing w:after="0" w:line="161" w:lineRule="exact"/>
        <w:rPr>
          <w:sz w:val="24"/>
          <w:szCs w:val="24"/>
          <w:color w:val="auto"/>
        </w:rPr>
      </w:pPr>
    </w:p>
    <w:p>
      <w:pPr>
        <w:spacing w:after="0" w:line="21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120" w:lineRule="exact"/>
        <w:rPr>
          <w:sz w:val="24"/>
          <w:szCs w:val="24"/>
          <w:color w:val="auto"/>
        </w:rPr>
      </w:pPr>
    </w:p>
    <w:p>
      <w:pPr>
        <w:ind w:right="380"/>
        <w:spacing w:after="0" w:line="3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728" w:right="259" w:bottom="1440" w:gutter="0" w:footer="0" w:header="0"/>
        </w:sectPr>
      </w:pPr>
    </w:p>
    <w:p>
      <w:pPr>
        <w:spacing w:after="0" w:line="168" w:lineRule="exact"/>
        <w:rPr>
          <w:sz w:val="24"/>
          <w:szCs w:val="24"/>
          <w:color w:val="auto"/>
        </w:rPr>
      </w:pPr>
    </w:p>
    <w:p>
      <w:pPr>
        <w:jc w:val="center"/>
        <w:ind w:left="7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6">
            <w:col w:w="3040" w:space="720"/>
            <w:col w:w="80" w:space="500"/>
            <w:col w:w="1860" w:space="720"/>
            <w:col w:w="140" w:space="180"/>
            <w:col w:w="1640" w:space="720"/>
            <w:col w:w="1800"/>
          </w:cols>
          <w:pgMar w:left="240" w:top="728" w:right="259" w:bottom="1440" w:gutter="0" w:footer="0" w:header="0"/>
          <w:type w:val="continuous"/>
        </w:sectPr>
      </w:pPr>
    </w:p>
    <w:p>
      <w:pPr>
        <w:spacing w:after="0" w:line="53" w:lineRule="exact"/>
        <w:rPr>
          <w:sz w:val="24"/>
          <w:szCs w:val="24"/>
          <w:color w:val="auto"/>
        </w:rPr>
      </w:pPr>
    </w:p>
    <w:p>
      <w:pPr>
        <w:ind w:left="1160"/>
        <w:spacing w:after="0" w:line="181" w:lineRule="exact"/>
        <w:tabs>
          <w:tab w:leader="none" w:pos="3740" w:val="left"/>
          <w:tab w:leader="none" w:pos="4320" w:val="left"/>
        </w:tabs>
        <w:rPr>
          <w:sz w:val="20"/>
          <w:szCs w:val="20"/>
          <w:color w:val="auto"/>
        </w:rPr>
      </w:pP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6200" w:space="720"/>
            <w:col w:w="4480"/>
          </w:cols>
          <w:pgMar w:left="240" w:top="728" w:right="259" w:bottom="1440" w:gutter="0" w:footer="0" w:header="0"/>
          <w:type w:val="continuous"/>
        </w:sectPr>
      </w:pPr>
    </w:p>
    <w:p>
      <w:pPr>
        <w:ind w:right="460"/>
        <w:spacing w:after="0" w:line="21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736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MS PGothic" w:cs="MS PGothic" w:eastAsia="MS PGothic" w:hAnsi="MS PGothic"/>
          <w:sz w:val="18"/>
          <w:szCs w:val="18"/>
          <w:color w:val="auto"/>
        </w:rPr>
        <w:t>☒</w:t>
      </w:r>
    </w:p>
    <w:p>
      <w:pPr>
        <w:spacing w:after="0" w:line="256" w:lineRule="exact"/>
        <w:rPr>
          <w:sz w:val="24"/>
          <w:szCs w:val="24"/>
          <w:color w:val="auto"/>
        </w:rPr>
      </w:pPr>
    </w:p>
    <w:p>
      <w:pPr>
        <w:ind w:left="2020"/>
        <w:spacing w:after="0"/>
        <w:rPr>
          <w:sz w:val="20"/>
          <w:szCs w:val="20"/>
          <w:color w:val="auto"/>
        </w:rPr>
      </w:pPr>
      <w:r>
        <w:rPr>
          <w:rFonts w:ascii="Arial" w:cs="Arial" w:eastAsia="Arial" w:hAnsi="Arial"/>
          <w:sz w:val="15"/>
          <w:szCs w:val="15"/>
          <w:color w:val="auto"/>
        </w:rPr>
        <w:t>As of October 28, 2019, there were 59,900,000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175895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90170</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728"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2"/>
                <w:szCs w:val="22"/>
                <w:b w:val="1"/>
                <w:bCs w:val="1"/>
                <w:color w:val="auto"/>
                <w:w w:val="97"/>
              </w:rPr>
              <w:t>COMPASS DIVERSIFIED HOLDINGS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0"/>
                <w:szCs w:val="20"/>
                <w:b w:val="1"/>
                <w:bCs w:val="1"/>
                <w:color w:val="auto"/>
                <w:w w:val="98"/>
              </w:rPr>
              <w:t>QUARTERLY REPORT ON FORM 10-Q</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0"/>
                <w:szCs w:val="20"/>
                <w:b w:val="1"/>
                <w:bCs w:val="1"/>
                <w:color w:val="auto"/>
                <w:w w:val="98"/>
              </w:rPr>
              <w:t>For the period ended September 30, 2019</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40" w:type="dxa"/>
            <w:vAlign w:val="bottom"/>
            <w:gridSpan w:val="10"/>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176"/>
        </w:trPr>
        <w:tc>
          <w:tcPr>
            <w:tcW w:w="2880" w:type="dxa"/>
            <w:vAlign w:val="bottom"/>
            <w:tcBorders>
              <w:bottom w:val="single" w:sz="8" w:color="0000EE"/>
            </w:tcBorders>
            <w:gridSpan w:val="7"/>
          </w:tcPr>
          <w:p>
            <w:pPr>
              <w:spacing w:after="0" w:line="156" w:lineRule="exact"/>
              <w:rPr>
                <w:rFonts w:ascii="Arial" w:cs="Arial" w:eastAsia="Arial" w:hAnsi="Arial"/>
                <w:sz w:val="17"/>
                <w:szCs w:val="17"/>
                <w:color w:val="0000EE"/>
                <w:w w:val="98"/>
              </w:rPr>
            </w:pPr>
            <w:hyperlink w:anchor="page4">
              <w:r>
                <w:rPr>
                  <w:rFonts w:ascii="Arial" w:cs="Arial" w:eastAsia="Arial" w:hAnsi="Arial"/>
                  <w:sz w:val="17"/>
                  <w:szCs w:val="17"/>
                  <w:color w:val="0000EE"/>
                  <w:w w:val="98"/>
                </w:rPr>
                <w:t>FORWARD-LOOKING STATEMENTS</w:t>
              </w:r>
            </w:hyperlink>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gridSpan w:val="2"/>
          </w:tcPr>
          <w:p>
            <w:pPr>
              <w:jc w:val="center"/>
              <w:ind w:left="375"/>
              <w:spacing w:after="0" w:line="169" w:lineRule="exact"/>
              <w:rPr>
                <w:rFonts w:ascii="Arial" w:cs="Arial" w:eastAsia="Arial" w:hAnsi="Arial"/>
                <w:sz w:val="17"/>
                <w:szCs w:val="17"/>
                <w:color w:val="0000EE"/>
              </w:rPr>
            </w:pPr>
            <w:hyperlink w:anchor="page4">
              <w:r>
                <w:rPr>
                  <w:rFonts w:ascii="Arial" w:cs="Arial" w:eastAsia="Arial" w:hAnsi="Arial"/>
                  <w:sz w:val="17"/>
                  <w:szCs w:val="17"/>
                  <w:color w:val="0000EE"/>
                </w:rPr>
                <w:t>4</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360" w:type="dxa"/>
            <w:vAlign w:val="bottom"/>
            <w:gridSpan w:val="19"/>
            <w:vMerge w:val="restart"/>
          </w:tcPr>
          <w:p>
            <w:pPr>
              <w:spacing w:after="0"/>
              <w:rPr>
                <w:sz w:val="20"/>
                <w:szCs w:val="20"/>
                <w:color w:val="auto"/>
              </w:rPr>
            </w:pPr>
            <w:r>
              <w:rPr>
                <w:rFonts w:ascii="Arial" w:cs="Arial" w:eastAsia="Arial" w:hAnsi="Arial"/>
                <w:sz w:val="17"/>
                <w:szCs w:val="17"/>
                <w:b w:val="1"/>
                <w:bCs w:val="1"/>
                <w:color w:val="auto"/>
              </w:rPr>
              <w:t>PART I. FINANCIAL INFORMATION</w:t>
            </w:r>
          </w:p>
        </w:tc>
        <w:tc>
          <w:tcPr>
            <w:tcW w:w="46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10360" w:type="dxa"/>
            <w:vAlign w:val="bottom"/>
            <w:gridSpan w:val="19"/>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600" w:type="dxa"/>
            <w:vAlign w:val="bottom"/>
            <w:gridSpan w:val="3"/>
          </w:tcPr>
          <w:p>
            <w:pPr>
              <w:spacing w:after="0"/>
              <w:rPr>
                <w:sz w:val="20"/>
                <w:szCs w:val="20"/>
                <w:color w:val="auto"/>
              </w:rPr>
            </w:pPr>
            <w:r>
              <w:rPr>
                <w:rFonts w:ascii="Arial" w:cs="Arial" w:eastAsia="Arial" w:hAnsi="Arial"/>
                <w:sz w:val="17"/>
                <w:szCs w:val="17"/>
                <w:color w:val="auto"/>
              </w:rPr>
              <w:t>ITEM 1.</w:t>
            </w:r>
          </w:p>
        </w:tc>
        <w:tc>
          <w:tcPr>
            <w:tcW w:w="8760" w:type="dxa"/>
            <w:vAlign w:val="bottom"/>
            <w:gridSpan w:val="16"/>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FINANCIAL STATEMENTS (UNAUDITED)</w:t>
              </w:r>
            </w:hyperlink>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60" w:type="dxa"/>
            <w:vAlign w:val="bottom"/>
            <w:gridSpan w:val="8"/>
          </w:tcPr>
          <w:p>
            <w:pPr>
              <w:spacing w:after="0"/>
              <w:rPr>
                <w:rFonts w:ascii="Arial" w:cs="Arial" w:eastAsia="Arial" w:hAnsi="Arial"/>
                <w:sz w:val="17"/>
                <w:szCs w:val="17"/>
                <w:color w:val="0000EE"/>
                <w:w w:val="99"/>
              </w:rPr>
            </w:pPr>
            <w:hyperlink w:anchor="page5">
              <w:r>
                <w:rPr>
                  <w:rFonts w:ascii="Arial" w:cs="Arial" w:eastAsia="Arial" w:hAnsi="Arial"/>
                  <w:sz w:val="17"/>
                  <w:szCs w:val="17"/>
                  <w:color w:val="0000EE"/>
                  <w:w w:val="99"/>
                </w:rPr>
                <w:t>CONDENSED CONSOLIDATED BALANCE SHEETS</w:t>
              </w:r>
            </w:hyperlink>
          </w:p>
        </w:tc>
        <w:tc>
          <w:tcPr>
            <w:tcW w:w="4700" w:type="dxa"/>
            <w:vAlign w:val="bottom"/>
            <w:gridSpan w:val="8"/>
          </w:tcPr>
          <w:p>
            <w:pPr>
              <w:spacing w:after="0"/>
              <w:rPr>
                <w:sz w:val="21"/>
                <w:szCs w:val="21"/>
                <w:color w:val="auto"/>
              </w:rPr>
            </w:pPr>
          </w:p>
        </w:tc>
        <w:tc>
          <w:tcPr>
            <w:tcW w:w="560" w:type="dxa"/>
            <w:vAlign w:val="bottom"/>
            <w:gridSpan w:val="2"/>
          </w:tcPr>
          <w:p>
            <w:pPr>
              <w:jc w:val="center"/>
              <w:ind w:left="375"/>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760" w:type="dxa"/>
            <w:vAlign w:val="bottom"/>
            <w:gridSpan w:val="16"/>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OPERATIONS</w:t>
              </w:r>
            </w:hyperlink>
          </w:p>
        </w:tc>
        <w:tc>
          <w:tcPr>
            <w:tcW w:w="560" w:type="dxa"/>
            <w:vAlign w:val="bottom"/>
            <w:gridSpan w:val="2"/>
          </w:tcPr>
          <w:p>
            <w:pPr>
              <w:jc w:val="center"/>
              <w:ind w:left="375"/>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40" w:type="dxa"/>
            <w:vAlign w:val="bottom"/>
            <w:gridSpan w:val="14"/>
          </w:tcPr>
          <w:p>
            <w:pPr>
              <w:spacing w:after="0"/>
              <w:rPr>
                <w:rFonts w:ascii="Arial" w:cs="Arial" w:eastAsia="Arial" w:hAnsi="Arial"/>
                <w:sz w:val="17"/>
                <w:szCs w:val="17"/>
                <w:color w:val="0000EE"/>
                <w:w w:val="99"/>
              </w:rPr>
            </w:pPr>
            <w:hyperlink w:anchor="page7">
              <w:r>
                <w:rPr>
                  <w:rFonts w:ascii="Arial" w:cs="Arial" w:eastAsia="Arial" w:hAnsi="Arial"/>
                  <w:sz w:val="17"/>
                  <w:szCs w:val="17"/>
                  <w:color w:val="0000EE"/>
                  <w:w w:val="99"/>
                </w:rPr>
                <w:t>CONDENSED CONSOLIDATED STATEMENTS OF COMPREHENSIVE INCOME (LOSS)</w:t>
              </w:r>
            </w:hyperlink>
          </w:p>
        </w:tc>
        <w:tc>
          <w:tcPr>
            <w:tcW w:w="1920" w:type="dxa"/>
            <w:vAlign w:val="bottom"/>
            <w:gridSpan w:val="2"/>
          </w:tcPr>
          <w:p>
            <w:pPr>
              <w:spacing w:after="0"/>
              <w:rPr>
                <w:sz w:val="21"/>
                <w:szCs w:val="21"/>
                <w:color w:val="auto"/>
              </w:rPr>
            </w:pPr>
          </w:p>
        </w:tc>
        <w:tc>
          <w:tcPr>
            <w:tcW w:w="560" w:type="dxa"/>
            <w:vAlign w:val="bottom"/>
            <w:gridSpan w:val="2"/>
          </w:tcPr>
          <w:p>
            <w:pPr>
              <w:jc w:val="center"/>
              <w:ind w:left="375"/>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0" w:type="dxa"/>
            <w:vAlign w:val="bottom"/>
            <w:gridSpan w:val="13"/>
          </w:tcPr>
          <w:p>
            <w:pPr>
              <w:spacing w:after="0"/>
              <w:rPr>
                <w:rFonts w:ascii="Arial" w:cs="Arial" w:eastAsia="Arial" w:hAnsi="Arial"/>
                <w:sz w:val="17"/>
                <w:szCs w:val="17"/>
                <w:color w:val="0000EE"/>
                <w:w w:val="99"/>
              </w:rPr>
            </w:pPr>
            <w:hyperlink w:anchor="page8">
              <w:r>
                <w:rPr>
                  <w:rFonts w:ascii="Arial" w:cs="Arial" w:eastAsia="Arial" w:hAnsi="Arial"/>
                  <w:sz w:val="17"/>
                  <w:szCs w:val="17"/>
                  <w:color w:val="0000EE"/>
                  <w:w w:val="99"/>
                </w:rPr>
                <w:t>CONDENSED CONSOLIDATED STATEMENT OF STOCKHOLDERS' EQUITY</w:t>
              </w:r>
            </w:hyperlink>
          </w:p>
        </w:tc>
        <w:tc>
          <w:tcPr>
            <w:tcW w:w="840" w:type="dxa"/>
            <w:vAlign w:val="bottom"/>
          </w:tcPr>
          <w:p>
            <w:pPr>
              <w:spacing w:after="0"/>
              <w:rPr>
                <w:sz w:val="21"/>
                <w:szCs w:val="21"/>
                <w:color w:val="auto"/>
              </w:rPr>
            </w:pPr>
          </w:p>
        </w:tc>
        <w:tc>
          <w:tcPr>
            <w:tcW w:w="1920" w:type="dxa"/>
            <w:vAlign w:val="bottom"/>
            <w:gridSpan w:val="2"/>
          </w:tcPr>
          <w:p>
            <w:pPr>
              <w:spacing w:after="0"/>
              <w:rPr>
                <w:sz w:val="21"/>
                <w:szCs w:val="21"/>
                <w:color w:val="auto"/>
              </w:rPr>
            </w:pPr>
          </w:p>
        </w:tc>
        <w:tc>
          <w:tcPr>
            <w:tcW w:w="560" w:type="dxa"/>
            <w:vAlign w:val="bottom"/>
            <w:gridSpan w:val="2"/>
          </w:tcPr>
          <w:p>
            <w:pPr>
              <w:jc w:val="center"/>
              <w:ind w:left="375"/>
              <w:spacing w:after="0"/>
              <w:rPr>
                <w:rFonts w:ascii="Arial" w:cs="Arial" w:eastAsia="Arial" w:hAnsi="Arial"/>
                <w:sz w:val="17"/>
                <w:szCs w:val="17"/>
                <w:color w:val="0000EE"/>
              </w:rPr>
            </w:pPr>
            <w:hyperlink w:anchor="page8">
              <w:r>
                <w:rPr>
                  <w:rFonts w:ascii="Arial" w:cs="Arial" w:eastAsia="Arial" w:hAnsi="Arial"/>
                  <w:sz w:val="17"/>
                  <w:szCs w:val="17"/>
                  <w:color w:val="0000EE"/>
                </w:rPr>
                <w:t>8</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0" w:type="dxa"/>
            <w:vAlign w:val="bottom"/>
            <w:gridSpan w:val="9"/>
          </w:tcPr>
          <w:p>
            <w:pPr>
              <w:spacing w:after="0"/>
              <w:rPr>
                <w:rFonts w:ascii="Arial" w:cs="Arial" w:eastAsia="Arial" w:hAnsi="Arial"/>
                <w:sz w:val="17"/>
                <w:szCs w:val="17"/>
                <w:color w:val="0000EE"/>
                <w:w w:val="99"/>
              </w:rPr>
            </w:pPr>
            <w:hyperlink w:anchor="page10">
              <w:r>
                <w:rPr>
                  <w:rFonts w:ascii="Arial" w:cs="Arial" w:eastAsia="Arial" w:hAnsi="Arial"/>
                  <w:sz w:val="17"/>
                  <w:szCs w:val="17"/>
                  <w:color w:val="0000EE"/>
                  <w:w w:val="99"/>
                </w:rPr>
                <w:t>CONDENSED CONSOLIDATED STATEMENT OF CASH FLOWS</w:t>
              </w:r>
            </w:hyperlink>
          </w:p>
        </w:tc>
        <w:tc>
          <w:tcPr>
            <w:tcW w:w="1000" w:type="dxa"/>
            <w:vAlign w:val="bottom"/>
            <w:gridSpan w:val="4"/>
          </w:tcPr>
          <w:p>
            <w:pPr>
              <w:spacing w:after="0"/>
              <w:rPr>
                <w:sz w:val="21"/>
                <w:szCs w:val="21"/>
                <w:color w:val="auto"/>
              </w:rPr>
            </w:pPr>
          </w:p>
        </w:tc>
        <w:tc>
          <w:tcPr>
            <w:tcW w:w="2760" w:type="dxa"/>
            <w:vAlign w:val="bottom"/>
            <w:gridSpan w:val="3"/>
          </w:tcPr>
          <w:p>
            <w:pPr>
              <w:spacing w:after="0"/>
              <w:rPr>
                <w:sz w:val="21"/>
                <w:szCs w:val="21"/>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10">
              <w:r>
                <w:rPr>
                  <w:rFonts w:ascii="Arial" w:cs="Arial" w:eastAsia="Arial" w:hAnsi="Arial"/>
                  <w:sz w:val="17"/>
                  <w:szCs w:val="17"/>
                  <w:color w:val="0000EE"/>
                  <w:w w:val="94"/>
                </w:rPr>
                <w:t>10</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760" w:type="dxa"/>
            <w:vAlign w:val="bottom"/>
            <w:gridSpan w:val="16"/>
          </w:tcPr>
          <w:p>
            <w:pPr>
              <w:spacing w:after="0"/>
              <w:rPr>
                <w:rFonts w:ascii="Arial" w:cs="Arial" w:eastAsia="Arial" w:hAnsi="Arial"/>
                <w:sz w:val="17"/>
                <w:szCs w:val="17"/>
                <w:color w:val="0000EE"/>
              </w:rPr>
            </w:pPr>
            <w:hyperlink w:anchor="page12">
              <w:r>
                <w:rPr>
                  <w:rFonts w:ascii="Arial" w:cs="Arial" w:eastAsia="Arial" w:hAnsi="Arial"/>
                  <w:sz w:val="17"/>
                  <w:szCs w:val="17"/>
                  <w:color w:val="0000EE"/>
                </w:rPr>
                <w:t>NOTES TO CONDENSED CONSOLIDATED FINANCIAL STATEMENTS</w:t>
              </w:r>
            </w:hyperlink>
          </w:p>
        </w:tc>
        <w:tc>
          <w:tcPr>
            <w:tcW w:w="560" w:type="dxa"/>
            <w:vAlign w:val="bottom"/>
            <w:gridSpan w:val="2"/>
          </w:tcPr>
          <w:p>
            <w:pPr>
              <w:jc w:val="center"/>
              <w:ind w:left="295"/>
              <w:spacing w:after="0"/>
              <w:rPr>
                <w:rFonts w:ascii="Arial" w:cs="Arial" w:eastAsia="Arial" w:hAnsi="Arial"/>
                <w:sz w:val="17"/>
                <w:szCs w:val="17"/>
                <w:color w:val="0000EE"/>
                <w:w w:val="94"/>
              </w:rPr>
            </w:pPr>
            <w:hyperlink w:anchor="page12">
              <w:r>
                <w:rPr>
                  <w:rFonts w:ascii="Arial" w:cs="Arial" w:eastAsia="Arial" w:hAnsi="Arial"/>
                  <w:sz w:val="17"/>
                  <w:szCs w:val="17"/>
                  <w:color w:val="0000EE"/>
                  <w:w w:val="94"/>
                </w:rPr>
                <w:t>12</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8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600" w:type="dxa"/>
            <w:vAlign w:val="bottom"/>
            <w:gridSpan w:val="3"/>
          </w:tcPr>
          <w:p>
            <w:pPr>
              <w:spacing w:after="0"/>
              <w:rPr>
                <w:sz w:val="20"/>
                <w:szCs w:val="20"/>
                <w:color w:val="auto"/>
              </w:rPr>
            </w:pPr>
            <w:r>
              <w:rPr>
                <w:rFonts w:ascii="Arial" w:cs="Arial" w:eastAsia="Arial" w:hAnsi="Arial"/>
                <w:sz w:val="17"/>
                <w:szCs w:val="17"/>
                <w:color w:val="auto"/>
              </w:rPr>
              <w:t>ITEM 2.</w:t>
            </w:r>
          </w:p>
        </w:tc>
        <w:tc>
          <w:tcPr>
            <w:tcW w:w="7520" w:type="dxa"/>
            <w:vAlign w:val="bottom"/>
            <w:tcBorders>
              <w:bottom w:val="single" w:sz="8" w:color="0000EE"/>
            </w:tcBorders>
            <w:gridSpan w:val="15"/>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MANAGEMENT'S DISCUSSION AND ANALYSIS OF FINANCIAL CONDITION AND RESULTS OF</w:t>
              </w:r>
            </w:hyperlink>
          </w:p>
        </w:tc>
        <w:tc>
          <w:tcPr>
            <w:tcW w:w="1240" w:type="dxa"/>
            <w:vAlign w:val="bottom"/>
          </w:tcPr>
          <w:p>
            <w:pPr>
              <w:spacing w:after="0"/>
              <w:rPr>
                <w:sz w:val="24"/>
                <w:szCs w:val="24"/>
                <w:color w:val="auto"/>
              </w:rPr>
            </w:pPr>
          </w:p>
        </w:tc>
        <w:tc>
          <w:tcPr>
            <w:tcW w:w="560" w:type="dxa"/>
            <w:vAlign w:val="bottom"/>
            <w:gridSpan w:val="2"/>
            <w:vMerge w:val="restart"/>
          </w:tcPr>
          <w:p>
            <w:pPr>
              <w:jc w:val="center"/>
              <w:ind w:left="295"/>
              <w:spacing w:after="0"/>
              <w:rPr>
                <w:rFonts w:ascii="Arial" w:cs="Arial" w:eastAsia="Arial" w:hAnsi="Arial"/>
                <w:sz w:val="17"/>
                <w:szCs w:val="17"/>
                <w:color w:val="0000EE"/>
                <w:w w:val="94"/>
              </w:rPr>
            </w:pPr>
            <w:hyperlink w:anchor="page37">
              <w:r>
                <w:rPr>
                  <w:rFonts w:ascii="Arial" w:cs="Arial" w:eastAsia="Arial" w:hAnsi="Arial"/>
                  <w:sz w:val="17"/>
                  <w:szCs w:val="17"/>
                  <w:color w:val="0000EE"/>
                  <w:w w:val="94"/>
                </w:rPr>
                <w:t>37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3.</w:t>
            </w:r>
          </w:p>
        </w:tc>
        <w:tc>
          <w:tcPr>
            <w:tcW w:w="1120" w:type="dxa"/>
            <w:vAlign w:val="bottom"/>
            <w:gridSpan w:val="2"/>
            <w:vMerge w:val="restart"/>
          </w:tcPr>
          <w:p>
            <w:pPr>
              <w:spacing w:after="0" w:line="169" w:lineRule="exact"/>
              <w:rPr>
                <w:rFonts w:ascii="Arial" w:cs="Arial" w:eastAsia="Arial" w:hAnsi="Arial"/>
                <w:sz w:val="17"/>
                <w:szCs w:val="17"/>
                <w:color w:val="0000EE"/>
                <w:w w:val="98"/>
              </w:rPr>
            </w:pPr>
            <w:hyperlink w:anchor="page37">
              <w:r>
                <w:rPr>
                  <w:rFonts w:ascii="Arial" w:cs="Arial" w:eastAsia="Arial" w:hAnsi="Arial"/>
                  <w:sz w:val="17"/>
                  <w:szCs w:val="17"/>
                  <w:color w:val="0000EE"/>
                  <w:w w:val="98"/>
                </w:rPr>
                <w:t>OPERATIONS</w:t>
              </w:r>
            </w:hyperlink>
          </w:p>
        </w:tc>
        <w:tc>
          <w:tcPr>
            <w:tcW w:w="7640" w:type="dxa"/>
            <w:vAlign w:val="bottom"/>
            <w:gridSpan w:val="14"/>
            <w:vMerge w:val="restart"/>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600" w:type="dxa"/>
            <w:vAlign w:val="bottom"/>
            <w:gridSpan w:val="3"/>
            <w:vMerge w:val="continue"/>
          </w:tcPr>
          <w:p>
            <w:pPr>
              <w:spacing w:after="0"/>
              <w:rPr>
                <w:sz w:val="6"/>
                <w:szCs w:val="6"/>
                <w:color w:val="auto"/>
              </w:rPr>
            </w:pPr>
          </w:p>
        </w:tc>
        <w:tc>
          <w:tcPr>
            <w:tcW w:w="1120" w:type="dxa"/>
            <w:vAlign w:val="bottom"/>
            <w:tcBorders>
              <w:bottom w:val="single" w:sz="8" w:color="0000EE"/>
            </w:tcBorders>
            <w:gridSpan w:val="2"/>
            <w:vMerge w:val="continue"/>
          </w:tcPr>
          <w:p>
            <w:pPr>
              <w:spacing w:after="0"/>
              <w:rPr>
                <w:sz w:val="6"/>
                <w:szCs w:val="6"/>
                <w:color w:val="auto"/>
              </w:rPr>
            </w:pPr>
          </w:p>
        </w:tc>
        <w:tc>
          <w:tcPr>
            <w:tcW w:w="7640" w:type="dxa"/>
            <w:vAlign w:val="bottom"/>
            <w:gridSpan w:val="14"/>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00" w:type="dxa"/>
            <w:vAlign w:val="bottom"/>
            <w:gridSpan w:val="3"/>
            <w:vMerge w:val="continue"/>
          </w:tcPr>
          <w:p>
            <w:pPr>
              <w:spacing w:after="0"/>
              <w:rPr>
                <w:sz w:val="21"/>
                <w:szCs w:val="21"/>
                <w:color w:val="auto"/>
              </w:rPr>
            </w:pPr>
          </w:p>
        </w:tc>
        <w:tc>
          <w:tcPr>
            <w:tcW w:w="5880" w:type="dxa"/>
            <w:vAlign w:val="bottom"/>
            <w:gridSpan w:val="12"/>
          </w:tcPr>
          <w:p>
            <w:pPr>
              <w:spacing w:after="0"/>
              <w:rPr>
                <w:rFonts w:ascii="Arial" w:cs="Arial" w:eastAsia="Arial" w:hAnsi="Arial"/>
                <w:sz w:val="17"/>
                <w:szCs w:val="17"/>
                <w:color w:val="0000EE"/>
                <w:w w:val="99"/>
              </w:rPr>
            </w:pPr>
            <w:hyperlink w:anchor="page65">
              <w:r>
                <w:rPr>
                  <w:rFonts w:ascii="Arial" w:cs="Arial" w:eastAsia="Arial" w:hAnsi="Arial"/>
                  <w:sz w:val="17"/>
                  <w:szCs w:val="17"/>
                  <w:color w:val="0000EE"/>
                  <w:w w:val="99"/>
                </w:rPr>
                <w:t>QUANTITATIVE AND QUALITATIVE DISCLOSURES ABOUT MARKET RISK</w:t>
              </w:r>
            </w:hyperlink>
          </w:p>
        </w:tc>
        <w:tc>
          <w:tcPr>
            <w:tcW w:w="2880" w:type="dxa"/>
            <w:vAlign w:val="bottom"/>
            <w:gridSpan w:val="4"/>
          </w:tcPr>
          <w:p>
            <w:pPr>
              <w:spacing w:after="0"/>
              <w:rPr>
                <w:sz w:val="21"/>
                <w:szCs w:val="21"/>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65">
              <w:r>
                <w:rPr>
                  <w:rFonts w:ascii="Arial" w:cs="Arial" w:eastAsia="Arial" w:hAnsi="Arial"/>
                  <w:sz w:val="17"/>
                  <w:szCs w:val="17"/>
                  <w:color w:val="0000EE"/>
                  <w:w w:val="94"/>
                </w:rPr>
                <w:t>65</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4.</w:t>
            </w:r>
          </w:p>
        </w:tc>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60" w:type="dxa"/>
            <w:vAlign w:val="bottom"/>
            <w:gridSpan w:val="6"/>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600" w:type="dxa"/>
            <w:vAlign w:val="bottom"/>
            <w:gridSpan w:val="3"/>
            <w:vMerge w:val="continue"/>
          </w:tcPr>
          <w:p>
            <w:pPr>
              <w:spacing w:after="0"/>
              <w:rPr>
                <w:sz w:val="24"/>
                <w:szCs w:val="24"/>
                <w:color w:val="auto"/>
              </w:rPr>
            </w:pPr>
          </w:p>
        </w:tc>
        <w:tc>
          <w:tcPr>
            <w:tcW w:w="2620" w:type="dxa"/>
            <w:vAlign w:val="bottom"/>
            <w:gridSpan w:val="6"/>
          </w:tcPr>
          <w:p>
            <w:pPr>
              <w:spacing w:after="0"/>
              <w:rPr>
                <w:rFonts w:ascii="Arial" w:cs="Arial" w:eastAsia="Arial" w:hAnsi="Arial"/>
                <w:sz w:val="17"/>
                <w:szCs w:val="17"/>
                <w:color w:val="0000EE"/>
              </w:rPr>
            </w:pPr>
            <w:hyperlink w:anchor="page66">
              <w:r>
                <w:rPr>
                  <w:rFonts w:ascii="Arial" w:cs="Arial" w:eastAsia="Arial" w:hAnsi="Arial"/>
                  <w:sz w:val="17"/>
                  <w:szCs w:val="17"/>
                  <w:color w:val="0000EE"/>
                </w:rPr>
                <w:t>CONTROLS AND PROCEDURES</w:t>
              </w:r>
            </w:hyperlink>
          </w:p>
        </w:tc>
        <w:tc>
          <w:tcPr>
            <w:tcW w:w="3260" w:type="dxa"/>
            <w:vAlign w:val="bottom"/>
            <w:gridSpan w:val="6"/>
          </w:tcPr>
          <w:p>
            <w:pPr>
              <w:spacing w:after="0"/>
              <w:rPr>
                <w:sz w:val="24"/>
                <w:szCs w:val="24"/>
                <w:color w:val="auto"/>
              </w:rPr>
            </w:pPr>
          </w:p>
        </w:tc>
        <w:tc>
          <w:tcPr>
            <w:tcW w:w="2880" w:type="dxa"/>
            <w:vAlign w:val="bottom"/>
            <w:gridSpan w:val="4"/>
          </w:tcPr>
          <w:p>
            <w:pPr>
              <w:spacing w:after="0"/>
              <w:rPr>
                <w:sz w:val="24"/>
                <w:szCs w:val="24"/>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66">
              <w:r>
                <w:rPr>
                  <w:rFonts w:ascii="Arial" w:cs="Arial" w:eastAsia="Arial" w:hAnsi="Arial"/>
                  <w:sz w:val="17"/>
                  <w:szCs w:val="17"/>
                  <w:color w:val="0000EE"/>
                  <w:w w:val="94"/>
                </w:rPr>
                <w:t>66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360" w:type="dxa"/>
            <w:vAlign w:val="bottom"/>
            <w:gridSpan w:val="19"/>
          </w:tcPr>
          <w:p>
            <w:pPr>
              <w:spacing w:after="0"/>
              <w:rPr>
                <w:sz w:val="20"/>
                <w:szCs w:val="20"/>
                <w:color w:val="auto"/>
              </w:rPr>
            </w:pPr>
            <w:r>
              <w:rPr>
                <w:rFonts w:ascii="Arial" w:cs="Arial" w:eastAsia="Arial" w:hAnsi="Arial"/>
                <w:sz w:val="17"/>
                <w:szCs w:val="17"/>
                <w:b w:val="1"/>
                <w:bCs w:val="1"/>
                <w:color w:val="auto"/>
              </w:rPr>
              <w:t>PART II. OTHER INFORMATION</w:t>
            </w:r>
          </w:p>
        </w:tc>
        <w:tc>
          <w:tcPr>
            <w:tcW w:w="560" w:type="dxa"/>
            <w:vAlign w:val="bottom"/>
            <w:gridSpan w:val="2"/>
          </w:tcPr>
          <w:p>
            <w:pPr>
              <w:jc w:val="center"/>
              <w:ind w:left="295"/>
              <w:spacing w:after="0"/>
              <w:rPr>
                <w:rFonts w:ascii="Arial" w:cs="Arial" w:eastAsia="Arial" w:hAnsi="Arial"/>
                <w:sz w:val="17"/>
                <w:szCs w:val="17"/>
                <w:color w:val="0000EE"/>
                <w:w w:val="94"/>
              </w:rPr>
            </w:pPr>
            <w:hyperlink w:anchor="page67">
              <w:r>
                <w:rPr>
                  <w:rFonts w:ascii="Arial" w:cs="Arial" w:eastAsia="Arial" w:hAnsi="Arial"/>
                  <w:sz w:val="17"/>
                  <w:szCs w:val="17"/>
                  <w:color w:val="0000EE"/>
                  <w:w w:val="94"/>
                </w:rPr>
                <w:t>67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1.</w:t>
            </w:r>
          </w:p>
        </w:tc>
        <w:tc>
          <w:tcPr>
            <w:tcW w:w="7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3"/>
            <w:vMerge w:val="continue"/>
          </w:tcPr>
          <w:p>
            <w:pPr>
              <w:spacing w:after="0"/>
              <w:rPr>
                <w:sz w:val="21"/>
                <w:szCs w:val="21"/>
                <w:color w:val="auto"/>
              </w:rPr>
            </w:pPr>
          </w:p>
        </w:tc>
        <w:tc>
          <w:tcPr>
            <w:tcW w:w="8760" w:type="dxa"/>
            <w:vAlign w:val="bottom"/>
            <w:gridSpan w:val="16"/>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LEGAL PROCEEDINGS</w:t>
              </w:r>
            </w:hyperlink>
          </w:p>
        </w:tc>
        <w:tc>
          <w:tcPr>
            <w:tcW w:w="560" w:type="dxa"/>
            <w:vAlign w:val="bottom"/>
            <w:gridSpan w:val="2"/>
          </w:tcPr>
          <w:p>
            <w:pPr>
              <w:jc w:val="center"/>
              <w:ind w:left="295"/>
              <w:spacing w:after="0"/>
              <w:rPr>
                <w:rFonts w:ascii="Arial" w:cs="Arial" w:eastAsia="Arial" w:hAnsi="Arial"/>
                <w:sz w:val="17"/>
                <w:szCs w:val="17"/>
                <w:color w:val="0000EE"/>
                <w:w w:val="94"/>
              </w:rPr>
            </w:pPr>
            <w:hyperlink w:anchor="page67">
              <w:r>
                <w:rPr>
                  <w:rFonts w:ascii="Arial" w:cs="Arial" w:eastAsia="Arial" w:hAnsi="Arial"/>
                  <w:sz w:val="17"/>
                  <w:szCs w:val="17"/>
                  <w:color w:val="0000EE"/>
                  <w:w w:val="94"/>
                </w:rPr>
                <w:t>67</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1A.</w:t>
            </w:r>
          </w:p>
        </w:tc>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600" w:type="dxa"/>
            <w:vAlign w:val="bottom"/>
            <w:gridSpan w:val="3"/>
            <w:vMerge w:val="continue"/>
          </w:tcPr>
          <w:p>
            <w:pPr>
              <w:spacing w:after="0"/>
              <w:rPr>
                <w:sz w:val="24"/>
                <w:szCs w:val="24"/>
                <w:color w:val="auto"/>
              </w:rPr>
            </w:pPr>
          </w:p>
        </w:tc>
        <w:tc>
          <w:tcPr>
            <w:tcW w:w="1260" w:type="dxa"/>
            <w:vAlign w:val="bottom"/>
            <w:gridSpan w:val="3"/>
          </w:tcPr>
          <w:p>
            <w:pPr>
              <w:spacing w:after="0"/>
              <w:rPr>
                <w:rFonts w:ascii="Arial" w:cs="Arial" w:eastAsia="Arial" w:hAnsi="Arial"/>
                <w:sz w:val="17"/>
                <w:szCs w:val="17"/>
                <w:color w:val="0000EE"/>
                <w:w w:val="98"/>
              </w:rPr>
            </w:pPr>
            <w:hyperlink w:anchor="page67">
              <w:r>
                <w:rPr>
                  <w:rFonts w:ascii="Arial" w:cs="Arial" w:eastAsia="Arial" w:hAnsi="Arial"/>
                  <w:sz w:val="17"/>
                  <w:szCs w:val="17"/>
                  <w:color w:val="0000EE"/>
                  <w:w w:val="98"/>
                </w:rPr>
                <w:t>RISK FACTORS</w:t>
              </w:r>
            </w:hyperlink>
          </w:p>
        </w:tc>
        <w:tc>
          <w:tcPr>
            <w:tcW w:w="600" w:type="dxa"/>
            <w:vAlign w:val="bottom"/>
            <w:gridSpan w:val="2"/>
          </w:tcPr>
          <w:p>
            <w:pPr>
              <w:spacing w:after="0"/>
              <w:rPr>
                <w:sz w:val="24"/>
                <w:szCs w:val="24"/>
                <w:color w:val="auto"/>
              </w:rPr>
            </w:pPr>
          </w:p>
        </w:tc>
        <w:tc>
          <w:tcPr>
            <w:tcW w:w="6900" w:type="dxa"/>
            <w:vAlign w:val="bottom"/>
            <w:gridSpan w:val="11"/>
          </w:tcPr>
          <w:p>
            <w:pPr>
              <w:spacing w:after="0"/>
              <w:rPr>
                <w:sz w:val="24"/>
                <w:szCs w:val="24"/>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67">
              <w:r>
                <w:rPr>
                  <w:rFonts w:ascii="Arial" w:cs="Arial" w:eastAsia="Arial" w:hAnsi="Arial"/>
                  <w:sz w:val="17"/>
                  <w:szCs w:val="17"/>
                  <w:color w:val="0000EE"/>
                  <w:w w:val="94"/>
                </w:rPr>
                <w:t>67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6.</w:t>
            </w:r>
          </w:p>
        </w:tc>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500" w:type="dxa"/>
            <w:vAlign w:val="bottom"/>
            <w:gridSpan w:val="13"/>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600" w:type="dxa"/>
            <w:vAlign w:val="bottom"/>
            <w:gridSpan w:val="3"/>
            <w:vMerge w:val="continue"/>
          </w:tcPr>
          <w:p>
            <w:pPr>
              <w:spacing w:after="0"/>
              <w:rPr>
                <w:sz w:val="24"/>
                <w:szCs w:val="24"/>
                <w:color w:val="auto"/>
              </w:rPr>
            </w:pPr>
          </w:p>
        </w:tc>
        <w:tc>
          <w:tcPr>
            <w:tcW w:w="1260" w:type="dxa"/>
            <w:vAlign w:val="bottom"/>
            <w:gridSpan w:val="3"/>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EXHIBITS</w:t>
              </w:r>
            </w:hyperlink>
          </w:p>
        </w:tc>
        <w:tc>
          <w:tcPr>
            <w:tcW w:w="7500" w:type="dxa"/>
            <w:vAlign w:val="bottom"/>
            <w:gridSpan w:val="13"/>
          </w:tcPr>
          <w:p>
            <w:pPr>
              <w:spacing w:after="0"/>
              <w:rPr>
                <w:sz w:val="24"/>
                <w:szCs w:val="24"/>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67">
              <w:r>
                <w:rPr>
                  <w:rFonts w:ascii="Arial" w:cs="Arial" w:eastAsia="Arial" w:hAnsi="Arial"/>
                  <w:sz w:val="17"/>
                  <w:szCs w:val="17"/>
                  <w:color w:val="0000EE"/>
                  <w:w w:val="94"/>
                </w:rPr>
                <w:t>67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vMerge w:val="restart"/>
          </w:tcPr>
          <w:p>
            <w:pPr>
              <w:spacing w:after="0"/>
              <w:rPr>
                <w:rFonts w:ascii="Arial" w:cs="Arial" w:eastAsia="Arial" w:hAnsi="Arial"/>
                <w:sz w:val="17"/>
                <w:szCs w:val="17"/>
                <w:color w:val="0000EE"/>
                <w:w w:val="95"/>
              </w:rPr>
            </w:pPr>
            <w:hyperlink w:anchor="page68">
              <w:r>
                <w:rPr>
                  <w:rFonts w:ascii="Arial" w:cs="Arial" w:eastAsia="Arial" w:hAnsi="Arial"/>
                  <w:sz w:val="17"/>
                  <w:szCs w:val="17"/>
                  <w:color w:val="0000EE"/>
                  <w:w w:val="95"/>
                </w:rPr>
                <w:t>SIGNATURES</w:t>
              </w:r>
            </w:hyperlink>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1080" w:type="dxa"/>
            <w:vAlign w:val="bottom"/>
            <w:tcBorders>
              <w:bottom w:val="single" w:sz="8" w:color="0000EE"/>
            </w:tcBorders>
            <w:vMerge w:val="continue"/>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68">
              <w:r>
                <w:rPr>
                  <w:rFonts w:ascii="Arial" w:cs="Arial" w:eastAsia="Arial" w:hAnsi="Arial"/>
                  <w:sz w:val="17"/>
                  <w:szCs w:val="17"/>
                  <w:color w:val="0000EE"/>
                  <w:w w:val="94"/>
                </w:rPr>
                <w:t>68</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0" w:type="dxa"/>
            <w:vAlign w:val="bottom"/>
            <w:gridSpan w:val="9"/>
            <w:vMerge w:val="restart"/>
          </w:tcPr>
          <w:p>
            <w:pPr>
              <w:jc w:val="center"/>
              <w:ind w:left="3055"/>
              <w:spacing w:after="0"/>
              <w:rPr>
                <w:sz w:val="20"/>
                <w:szCs w:val="20"/>
                <w:color w:val="auto"/>
              </w:rPr>
            </w:pPr>
            <w:r>
              <w:rPr>
                <w:rFonts w:ascii="Arial" w:cs="Arial" w:eastAsia="Arial" w:hAnsi="Arial"/>
                <w:sz w:val="16"/>
                <w:szCs w:val="16"/>
                <w:color w:val="auto"/>
              </w:rPr>
              <w:t>2</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0" w:type="dxa"/>
            <w:vAlign w:val="bottom"/>
            <w:gridSpan w:val="9"/>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TO READER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77"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 to Compass Group Diversified Holdings LLC;</w:t>
      </w:r>
    </w:p>
    <w:p>
      <w:pPr>
        <w:spacing w:after="0" w:line="76" w:lineRule="exact"/>
        <w:rPr>
          <w:rFonts w:ascii="Arial" w:cs="Arial" w:eastAsia="Arial" w:hAnsi="Arial"/>
          <w:sz w:val="18"/>
          <w:szCs w:val="18"/>
          <w:color w:val="auto"/>
        </w:rPr>
      </w:pPr>
    </w:p>
    <w:p>
      <w:pPr>
        <w:ind w:left="640" w:right="840" w:hanging="321"/>
        <w:spacing w:after="0" w:line="262"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refer to, collectively, the businesses controlled by the Company;</w:t>
      </w:r>
    </w:p>
    <w:p>
      <w:pPr>
        <w:spacing w:after="0" w:line="47"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 to Compass Group Management LLC ("CGM");</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 to the Second Amended and Restated Trust Agreement of the Trust dated as of December 6, 2016;</w:t>
      </w:r>
    </w:p>
    <w:p>
      <w:pPr>
        <w:spacing w:after="0" w:line="76"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"2014 Credit Facility" refer to the credit agreement, as amended, entered into on June 14, 2014 with a group of lenders led by Bank of America N.A. as administrative agent, as amended from time to time, which provides for a Revolving Credit Facility and a Term Loan;</w:t>
      </w:r>
    </w:p>
    <w:p>
      <w:pPr>
        <w:spacing w:after="0" w:line="5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"2018 Credit Facility" refer to the amended and restated credit agreement entered into on April 18, 2018 among the Company, the Lenders from time to time party thereto (the "Lenders"), Bank of America, N.A., as Administrative Agent, Swing Line Lender and L/C Issuer (the "agent") and other agents party thereto.</w:t>
      </w:r>
    </w:p>
    <w:p>
      <w:pPr>
        <w:spacing w:after="0" w:line="53"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"2018 Revolving Credit Facility" refers to the $600 million in revolving loans, swing line loans and letters of credit provided by the 2018 Credit Facility that matures in 2023;</w:t>
      </w:r>
    </w:p>
    <w:p>
      <w:pPr>
        <w:spacing w:after="0" w:line="47"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Term Loan" refer to the $500 million term loan provided by the 2018 Credit Facility that matures in April 2025;</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 to the fifth amended and restated operating agreement of the Company dated as of December 6, 2016; and</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6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Forward-looking statements in this Quarterly Report on Form 10-Q are subject to a number of risks and uncertainties, some of which are beyond our control, including, among other things:</w:t>
      </w:r>
    </w:p>
    <w:p>
      <w:pPr>
        <w:spacing w:after="0" w:line="150"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operate our businesses on a combined basis, and to effectively integrate and improve future acquisitions;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remove CGM and CGM’s right to resign;</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organizational structure, which may limit our ability to meet our dividend and distribution policy;</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and comply with the terms of our indebtedness;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cash flow available for distribution and reinvestment and our ability to make distributions in the future to our shareholders;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the management fee and profit allocation if and when due;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and finance future acquisitions;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acquisition and management strategies;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environment in which our businesses operate;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in the industries in which our businesses operate;</w:t>
      </w:r>
    </w:p>
    <w:p>
      <w:pPr>
        <w:spacing w:after="0" w:line="63" w:lineRule="exact"/>
        <w:rPr>
          <w:rFonts w:ascii="Arial" w:cs="Arial" w:eastAsia="Arial" w:hAnsi="Arial"/>
          <w:sz w:val="18"/>
          <w:szCs w:val="18"/>
          <w:color w:val="auto"/>
        </w:rPr>
      </w:pPr>
    </w:p>
    <w:p>
      <w:pPr>
        <w:ind w:left="500" w:right="20" w:hanging="330"/>
        <w:spacing w:after="0" w:line="26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or business conditions or economic or demographic trends in the United States and other countries in which we have a presence, including changes in interest rates and inflation;</w:t>
      </w:r>
    </w:p>
    <w:p>
      <w:pPr>
        <w:spacing w:after="0" w:line="34"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risks affecting the business or operations of our businesses;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and CGM’s ability to retain or replace qualified employees of our businesses and CGM;</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legal and administrative proceedings, settlements, investigations and claims; and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extraordinary or force majeure events affecting the business or operations of our businesses.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Quarterly Report on Form 10-Q may not occur. These forward-looking statements are made as of the date of this Quarterly Report on Form 10-Q. We undertake no obligation to publicly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40" w:type="dxa"/>
            <w:vAlign w:val="bottom"/>
          </w:tcPr>
          <w:p>
            <w:pPr>
              <w:jc w:val="right"/>
              <w:ind w:right="35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3"/>
        </w:trPr>
        <w:tc>
          <w:tcPr>
            <w:tcW w:w="79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2"/>
                <w:szCs w:val="22"/>
                <w:color w:val="auto"/>
              </w:rPr>
            </w:pPr>
          </w:p>
        </w:tc>
        <w:tc>
          <w:tcPr>
            <w:tcW w:w="1600" w:type="dxa"/>
            <w:vAlign w:val="bottom"/>
            <w:gridSpan w:val="2"/>
          </w:tcPr>
          <w:p>
            <w:pPr>
              <w:ind w:left="2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7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7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285,838</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48,771</w:t>
            </w:r>
          </w:p>
        </w:tc>
        <w:tc>
          <w:tcPr>
            <w:tcW w:w="0" w:type="dxa"/>
            <w:vAlign w:val="bottom"/>
          </w:tcPr>
          <w:p>
            <w:pPr>
              <w:spacing w:after="0"/>
              <w:rPr>
                <w:sz w:val="1"/>
                <w:szCs w:val="1"/>
                <w:color w:val="auto"/>
              </w:rPr>
            </w:pPr>
          </w:p>
        </w:tc>
      </w:tr>
      <w:tr>
        <w:trPr>
          <w:trHeight w:val="82"/>
        </w:trPr>
        <w:tc>
          <w:tcPr>
            <w:tcW w:w="790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4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6"/>
                <w:szCs w:val="16"/>
                <w:color w:val="auto"/>
              </w:rPr>
            </w:pPr>
          </w:p>
        </w:tc>
        <w:tc>
          <w:tcPr>
            <w:tcW w:w="1480" w:type="dxa"/>
            <w:vAlign w:val="bottom"/>
            <w:vMerge w:val="restart"/>
          </w:tcPr>
          <w:p>
            <w:pPr>
              <w:jc w:val="right"/>
              <w:ind w:right="52"/>
              <w:spacing w:after="0"/>
              <w:rPr>
                <w:sz w:val="20"/>
                <w:szCs w:val="20"/>
                <w:color w:val="auto"/>
              </w:rPr>
            </w:pPr>
            <w:r>
              <w:rPr>
                <w:rFonts w:ascii="Arial" w:cs="Arial" w:eastAsia="Arial" w:hAnsi="Arial"/>
                <w:sz w:val="14"/>
                <w:szCs w:val="14"/>
                <w:color w:val="auto"/>
              </w:rPr>
              <w:t>221,423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32"/>
              <w:spacing w:after="0"/>
              <w:rPr>
                <w:sz w:val="20"/>
                <w:szCs w:val="20"/>
                <w:color w:val="auto"/>
              </w:rPr>
            </w:pPr>
            <w:r>
              <w:rPr>
                <w:rFonts w:ascii="Arial" w:cs="Arial" w:eastAsia="Arial" w:hAnsi="Arial"/>
                <w:sz w:val="14"/>
                <w:szCs w:val="14"/>
                <w:color w:val="auto"/>
              </w:rPr>
              <w:t>205,545</w:t>
            </w:r>
          </w:p>
        </w:tc>
        <w:tc>
          <w:tcPr>
            <w:tcW w:w="0" w:type="dxa"/>
            <w:vAlign w:val="bottom"/>
          </w:tcPr>
          <w:p>
            <w:pPr>
              <w:spacing w:after="0"/>
              <w:rPr>
                <w:sz w:val="1"/>
                <w:szCs w:val="1"/>
                <w:color w:val="auto"/>
              </w:rPr>
            </w:pPr>
          </w:p>
        </w:tc>
      </w:tr>
      <w:tr>
        <w:trPr>
          <w:trHeight w:val="75"/>
        </w:trPr>
        <w:tc>
          <w:tcPr>
            <w:tcW w:w="7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332,221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307,437</w:t>
            </w:r>
          </w:p>
        </w:tc>
        <w:tc>
          <w:tcPr>
            <w:tcW w:w="0" w:type="dxa"/>
            <w:vAlign w:val="bottom"/>
          </w:tcPr>
          <w:p>
            <w:pPr>
              <w:spacing w:after="0"/>
              <w:rPr>
                <w:sz w:val="1"/>
                <w:szCs w:val="1"/>
                <w:color w:val="auto"/>
              </w:rPr>
            </w:pPr>
          </w:p>
        </w:tc>
      </w:tr>
      <w:tr>
        <w:trPr>
          <w:trHeight w:val="82"/>
        </w:trPr>
        <w:tc>
          <w:tcPr>
            <w:tcW w:w="7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6"/>
                <w:szCs w:val="16"/>
                <w:color w:val="auto"/>
              </w:rPr>
            </w:pPr>
          </w:p>
        </w:tc>
        <w:tc>
          <w:tcPr>
            <w:tcW w:w="1480" w:type="dxa"/>
            <w:vAlign w:val="bottom"/>
            <w:vMerge w:val="restart"/>
          </w:tcPr>
          <w:p>
            <w:pPr>
              <w:jc w:val="right"/>
              <w:ind w:right="52"/>
              <w:spacing w:after="0"/>
              <w:rPr>
                <w:sz w:val="20"/>
                <w:szCs w:val="20"/>
                <w:color w:val="auto"/>
              </w:rPr>
            </w:pPr>
            <w:r>
              <w:rPr>
                <w:rFonts w:ascii="Arial" w:cs="Arial" w:eastAsia="Arial" w:hAnsi="Arial"/>
                <w:sz w:val="14"/>
                <w:szCs w:val="14"/>
                <w:color w:val="auto"/>
              </w:rPr>
              <w:t>41,975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32"/>
              <w:spacing w:after="0"/>
              <w:rPr>
                <w:sz w:val="20"/>
                <w:szCs w:val="20"/>
                <w:color w:val="auto"/>
              </w:rPr>
            </w:pPr>
            <w:r>
              <w:rPr>
                <w:rFonts w:ascii="Arial" w:cs="Arial" w:eastAsia="Arial" w:hAnsi="Arial"/>
                <w:sz w:val="14"/>
                <w:szCs w:val="14"/>
                <w:color w:val="auto"/>
              </w:rPr>
              <w:t>29,670</w:t>
            </w:r>
          </w:p>
        </w:tc>
        <w:tc>
          <w:tcPr>
            <w:tcW w:w="0" w:type="dxa"/>
            <w:vAlign w:val="bottom"/>
          </w:tcPr>
          <w:p>
            <w:pPr>
              <w:spacing w:after="0"/>
              <w:rPr>
                <w:sz w:val="1"/>
                <w:szCs w:val="1"/>
                <w:color w:val="auto"/>
              </w:rPr>
            </w:pPr>
          </w:p>
        </w:tc>
      </w:tr>
      <w:tr>
        <w:trPr>
          <w:trHeight w:val="75"/>
        </w:trPr>
        <w:tc>
          <w:tcPr>
            <w:tcW w:w="7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 of discontinued operations</w:t>
            </w:r>
          </w:p>
        </w:tc>
        <w:tc>
          <w:tcPr>
            <w:tcW w:w="240" w:type="dxa"/>
            <w:vAlign w:val="bottom"/>
            <w:shd w:val="clear" w:color="auto" w:fill="CCEEFF"/>
          </w:tcPr>
          <w:p>
            <w:pPr>
              <w:spacing w:after="0"/>
              <w:rPr>
                <w:sz w:val="17"/>
                <w:szCs w:val="17"/>
                <w:color w:val="auto"/>
              </w:rPr>
            </w:pPr>
          </w:p>
        </w:tc>
        <w:tc>
          <w:tcPr>
            <w:tcW w:w="1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89,762</w:t>
            </w:r>
          </w:p>
        </w:tc>
        <w:tc>
          <w:tcPr>
            <w:tcW w:w="0" w:type="dxa"/>
            <w:vAlign w:val="bottom"/>
          </w:tcPr>
          <w:p>
            <w:pPr>
              <w:spacing w:after="0"/>
              <w:rPr>
                <w:sz w:val="1"/>
                <w:szCs w:val="1"/>
                <w:color w:val="auto"/>
              </w:rPr>
            </w:pPr>
          </w:p>
        </w:tc>
      </w:tr>
      <w:tr>
        <w:trPr>
          <w:trHeight w:val="82"/>
        </w:trPr>
        <w:tc>
          <w:tcPr>
            <w:tcW w:w="7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790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881,457</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681,185</w:t>
            </w:r>
          </w:p>
        </w:tc>
        <w:tc>
          <w:tcPr>
            <w:tcW w:w="0" w:type="dxa"/>
            <w:vAlign w:val="bottom"/>
          </w:tcPr>
          <w:p>
            <w:pPr>
              <w:spacing w:after="0"/>
              <w:rPr>
                <w:sz w:val="1"/>
                <w:szCs w:val="1"/>
                <w:color w:val="auto"/>
              </w:rPr>
            </w:pPr>
          </w:p>
        </w:tc>
      </w:tr>
      <w:tr>
        <w:trPr>
          <w:trHeight w:val="75"/>
        </w:trPr>
        <w:tc>
          <w:tcPr>
            <w:tcW w:w="7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142,291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146,601</w:t>
            </w:r>
          </w:p>
        </w:tc>
        <w:tc>
          <w:tcPr>
            <w:tcW w:w="0" w:type="dxa"/>
            <w:vAlign w:val="bottom"/>
          </w:tcPr>
          <w:p>
            <w:pPr>
              <w:spacing w:after="0"/>
              <w:rPr>
                <w:sz w:val="1"/>
                <w:szCs w:val="1"/>
                <w:color w:val="auto"/>
              </w:rPr>
            </w:pPr>
          </w:p>
        </w:tc>
      </w:tr>
      <w:tr>
        <w:trPr>
          <w:trHeight w:val="82"/>
        </w:trPr>
        <w:tc>
          <w:tcPr>
            <w:tcW w:w="7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1480" w:type="dxa"/>
            <w:vAlign w:val="bottom"/>
            <w:vMerge w:val="restart"/>
          </w:tcPr>
          <w:p>
            <w:pPr>
              <w:jc w:val="right"/>
              <w:ind w:right="52"/>
              <w:spacing w:after="0"/>
              <w:rPr>
                <w:sz w:val="20"/>
                <w:szCs w:val="20"/>
                <w:color w:val="auto"/>
              </w:rPr>
            </w:pPr>
            <w:r>
              <w:rPr>
                <w:rFonts w:ascii="Arial" w:cs="Arial" w:eastAsia="Arial" w:hAnsi="Arial"/>
                <w:sz w:val="14"/>
                <w:szCs w:val="14"/>
                <w:color w:val="auto"/>
              </w:rPr>
              <w:t>438,019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32"/>
              <w:spacing w:after="0"/>
              <w:rPr>
                <w:sz w:val="20"/>
                <w:szCs w:val="20"/>
                <w:color w:val="auto"/>
              </w:rPr>
            </w:pPr>
            <w:r>
              <w:rPr>
                <w:rFonts w:ascii="Arial" w:cs="Arial" w:eastAsia="Arial" w:hAnsi="Arial"/>
                <w:sz w:val="14"/>
                <w:szCs w:val="14"/>
                <w:color w:val="auto"/>
              </w:rPr>
              <w:t>471,115</w:t>
            </w:r>
          </w:p>
        </w:tc>
        <w:tc>
          <w:tcPr>
            <w:tcW w:w="0" w:type="dxa"/>
            <w:vAlign w:val="bottom"/>
          </w:tcPr>
          <w:p>
            <w:pPr>
              <w:spacing w:after="0"/>
              <w:rPr>
                <w:sz w:val="1"/>
                <w:szCs w:val="1"/>
                <w:color w:val="auto"/>
              </w:rPr>
            </w:pPr>
          </w:p>
        </w:tc>
      </w:tr>
      <w:tr>
        <w:trPr>
          <w:trHeight w:val="75"/>
        </w:trPr>
        <w:tc>
          <w:tcPr>
            <w:tcW w:w="7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575,354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615,592</w:t>
            </w:r>
          </w:p>
        </w:tc>
        <w:tc>
          <w:tcPr>
            <w:tcW w:w="0" w:type="dxa"/>
            <w:vAlign w:val="bottom"/>
          </w:tcPr>
          <w:p>
            <w:pPr>
              <w:spacing w:after="0"/>
              <w:rPr>
                <w:sz w:val="1"/>
                <w:szCs w:val="1"/>
                <w:color w:val="auto"/>
              </w:rPr>
            </w:pPr>
          </w:p>
        </w:tc>
      </w:tr>
      <w:tr>
        <w:trPr>
          <w:trHeight w:val="82"/>
        </w:trPr>
        <w:tc>
          <w:tcPr>
            <w:tcW w:w="7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40"/>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6"/>
                <w:szCs w:val="16"/>
                <w:color w:val="auto"/>
              </w:rPr>
            </w:pPr>
          </w:p>
        </w:tc>
        <w:tc>
          <w:tcPr>
            <w:tcW w:w="1480" w:type="dxa"/>
            <w:vAlign w:val="bottom"/>
            <w:vMerge w:val="restart"/>
          </w:tcPr>
          <w:p>
            <w:pPr>
              <w:jc w:val="right"/>
              <w:ind w:right="52"/>
              <w:spacing w:after="0"/>
              <w:rPr>
                <w:sz w:val="20"/>
                <w:szCs w:val="20"/>
                <w:color w:val="auto"/>
              </w:rPr>
            </w:pPr>
            <w:r>
              <w:rPr>
                <w:rFonts w:ascii="Arial" w:cs="Arial" w:eastAsia="Arial" w:hAnsi="Arial"/>
                <w:sz w:val="14"/>
                <w:szCs w:val="14"/>
                <w:color w:val="auto"/>
              </w:rPr>
              <w:t>97,099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32"/>
              <w:spacing w:after="0"/>
              <w:rPr>
                <w:sz w:val="20"/>
                <w:szCs w:val="20"/>
                <w:color w:val="auto"/>
              </w:rPr>
            </w:pPr>
            <w:r>
              <w:rPr>
                <w:rFonts w:ascii="Arial" w:cs="Arial" w:eastAsia="Arial" w:hAnsi="Arial"/>
                <w:sz w:val="14"/>
                <w:szCs w:val="14"/>
                <w:color w:val="auto"/>
              </w:rPr>
              <w:t>8,378</w:t>
            </w:r>
          </w:p>
        </w:tc>
        <w:tc>
          <w:tcPr>
            <w:tcW w:w="0" w:type="dxa"/>
            <w:vAlign w:val="bottom"/>
          </w:tcPr>
          <w:p>
            <w:pPr>
              <w:spacing w:after="0"/>
              <w:rPr>
                <w:sz w:val="1"/>
                <w:szCs w:val="1"/>
                <w:color w:val="auto"/>
              </w:rPr>
            </w:pPr>
          </w:p>
        </w:tc>
      </w:tr>
      <w:tr>
        <w:trPr>
          <w:trHeight w:val="75"/>
        </w:trPr>
        <w:tc>
          <w:tcPr>
            <w:tcW w:w="7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assets of discontinued operations</w:t>
            </w:r>
          </w:p>
        </w:tc>
        <w:tc>
          <w:tcPr>
            <w:tcW w:w="240" w:type="dxa"/>
            <w:vAlign w:val="bottom"/>
            <w:shd w:val="clear" w:color="auto" w:fill="CCEEFF"/>
          </w:tcPr>
          <w:p>
            <w:pPr>
              <w:spacing w:after="0"/>
              <w:rPr>
                <w:sz w:val="17"/>
                <w:szCs w:val="17"/>
                <w:color w:val="auto"/>
              </w:rPr>
            </w:pPr>
          </w:p>
        </w:tc>
        <w:tc>
          <w:tcPr>
            <w:tcW w:w="1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449,464</w:t>
            </w:r>
          </w:p>
        </w:tc>
        <w:tc>
          <w:tcPr>
            <w:tcW w:w="0" w:type="dxa"/>
            <w:vAlign w:val="bottom"/>
          </w:tcPr>
          <w:p>
            <w:pPr>
              <w:spacing w:after="0"/>
              <w:rPr>
                <w:sz w:val="1"/>
                <w:szCs w:val="1"/>
                <w:color w:val="auto"/>
              </w:rPr>
            </w:pPr>
          </w:p>
        </w:tc>
      </w:tr>
      <w:tr>
        <w:trPr>
          <w:trHeight w:val="82"/>
        </w:trPr>
        <w:tc>
          <w:tcPr>
            <w:tcW w:w="7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2,134,220</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2,372,335</w:t>
            </w: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7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7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40"/>
              <w:spacing w:after="0"/>
              <w:rPr>
                <w:sz w:val="20"/>
                <w:szCs w:val="20"/>
                <w:color w:val="auto"/>
              </w:rPr>
            </w:pPr>
            <w:r>
              <w:rPr>
                <w:rFonts w:ascii="Arial" w:cs="Arial" w:eastAsia="Arial" w:hAnsi="Arial"/>
                <w:sz w:val="14"/>
                <w:szCs w:val="14"/>
                <w:color w:val="auto"/>
              </w:rPr>
              <w:t>Accounts payable</w:t>
            </w:r>
          </w:p>
        </w:tc>
        <w:tc>
          <w:tcPr>
            <w:tcW w:w="24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52"/>
              <w:spacing w:after="0"/>
              <w:rPr>
                <w:sz w:val="20"/>
                <w:szCs w:val="20"/>
                <w:color w:val="auto"/>
              </w:rPr>
            </w:pPr>
            <w:r>
              <w:rPr>
                <w:rFonts w:ascii="Arial" w:cs="Arial" w:eastAsia="Arial" w:hAnsi="Arial"/>
                <w:sz w:val="14"/>
                <w:szCs w:val="14"/>
                <w:color w:val="auto"/>
              </w:rPr>
              <w:t>87,753</w:t>
            </w:r>
          </w:p>
        </w:tc>
        <w:tc>
          <w:tcPr>
            <w:tcW w:w="120" w:type="dxa"/>
            <w:vAlign w:val="bottom"/>
          </w:tcPr>
          <w:p>
            <w:pPr>
              <w:spacing w:after="0"/>
              <w:rPr>
                <w:sz w:val="16"/>
                <w:szCs w:val="16"/>
                <w:color w:val="auto"/>
              </w:rPr>
            </w:pPr>
          </w:p>
        </w:tc>
        <w:tc>
          <w:tcPr>
            <w:tcW w:w="24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32"/>
              <w:spacing w:after="0"/>
              <w:rPr>
                <w:sz w:val="20"/>
                <w:szCs w:val="20"/>
                <w:color w:val="auto"/>
              </w:rPr>
            </w:pPr>
            <w:r>
              <w:rPr>
                <w:rFonts w:ascii="Arial" w:cs="Arial" w:eastAsia="Arial" w:hAnsi="Arial"/>
                <w:sz w:val="14"/>
                <w:szCs w:val="14"/>
                <w:color w:val="auto"/>
              </w:rPr>
              <w:t>77,169</w:t>
            </w:r>
          </w:p>
        </w:tc>
        <w:tc>
          <w:tcPr>
            <w:tcW w:w="0" w:type="dxa"/>
            <w:vAlign w:val="bottom"/>
          </w:tcPr>
          <w:p>
            <w:pPr>
              <w:spacing w:after="0"/>
              <w:rPr>
                <w:sz w:val="1"/>
                <w:szCs w:val="1"/>
                <w:color w:val="auto"/>
              </w:rPr>
            </w:pPr>
          </w:p>
        </w:tc>
      </w:tr>
      <w:tr>
        <w:trPr>
          <w:trHeight w:val="75"/>
        </w:trPr>
        <w:tc>
          <w:tcPr>
            <w:tcW w:w="79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expenses</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123,207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106,612</w:t>
            </w:r>
          </w:p>
        </w:tc>
        <w:tc>
          <w:tcPr>
            <w:tcW w:w="0" w:type="dxa"/>
            <w:vAlign w:val="bottom"/>
          </w:tcPr>
          <w:p>
            <w:pPr>
              <w:spacing w:after="0"/>
              <w:rPr>
                <w:sz w:val="1"/>
                <w:szCs w:val="1"/>
                <w:color w:val="auto"/>
              </w:rPr>
            </w:pPr>
          </w:p>
        </w:tc>
      </w:tr>
      <w:tr>
        <w:trPr>
          <w:trHeight w:val="82"/>
        </w:trPr>
        <w:tc>
          <w:tcPr>
            <w:tcW w:w="7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40"/>
              <w:spacing w:after="0"/>
              <w:rPr>
                <w:sz w:val="20"/>
                <w:szCs w:val="20"/>
                <w:color w:val="auto"/>
              </w:rPr>
            </w:pPr>
            <w:r>
              <w:rPr>
                <w:rFonts w:ascii="Arial" w:cs="Arial" w:eastAsia="Arial" w:hAnsi="Arial"/>
                <w:sz w:val="14"/>
                <w:szCs w:val="14"/>
                <w:color w:val="auto"/>
              </w:rPr>
              <w:t>Due to related party</w:t>
            </w:r>
          </w:p>
        </w:tc>
        <w:tc>
          <w:tcPr>
            <w:tcW w:w="240" w:type="dxa"/>
            <w:vAlign w:val="bottom"/>
          </w:tcPr>
          <w:p>
            <w:pPr>
              <w:spacing w:after="0"/>
              <w:rPr>
                <w:sz w:val="16"/>
                <w:szCs w:val="16"/>
                <w:color w:val="auto"/>
              </w:rPr>
            </w:pPr>
          </w:p>
        </w:tc>
        <w:tc>
          <w:tcPr>
            <w:tcW w:w="1480" w:type="dxa"/>
            <w:vAlign w:val="bottom"/>
            <w:vMerge w:val="restart"/>
          </w:tcPr>
          <w:p>
            <w:pPr>
              <w:jc w:val="right"/>
              <w:ind w:right="52"/>
              <w:spacing w:after="0"/>
              <w:rPr>
                <w:sz w:val="20"/>
                <w:szCs w:val="20"/>
                <w:color w:val="auto"/>
              </w:rPr>
            </w:pPr>
            <w:r>
              <w:rPr>
                <w:rFonts w:ascii="Arial" w:cs="Arial" w:eastAsia="Arial" w:hAnsi="Arial"/>
                <w:sz w:val="14"/>
                <w:szCs w:val="14"/>
                <w:color w:val="auto"/>
              </w:rPr>
              <w:t>8,142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32"/>
              <w:spacing w:after="0"/>
              <w:rPr>
                <w:sz w:val="20"/>
                <w:szCs w:val="20"/>
                <w:color w:val="auto"/>
              </w:rPr>
            </w:pPr>
            <w:r>
              <w:rPr>
                <w:rFonts w:ascii="Arial" w:cs="Arial" w:eastAsia="Arial" w:hAnsi="Arial"/>
                <w:sz w:val="14"/>
                <w:szCs w:val="14"/>
                <w:color w:val="auto"/>
              </w:rPr>
              <w:t>11,093</w:t>
            </w:r>
          </w:p>
        </w:tc>
        <w:tc>
          <w:tcPr>
            <w:tcW w:w="0" w:type="dxa"/>
            <w:vAlign w:val="bottom"/>
          </w:tcPr>
          <w:p>
            <w:pPr>
              <w:spacing w:after="0"/>
              <w:rPr>
                <w:sz w:val="1"/>
                <w:szCs w:val="1"/>
                <w:color w:val="auto"/>
              </w:rPr>
            </w:pPr>
          </w:p>
        </w:tc>
      </w:tr>
      <w:tr>
        <w:trPr>
          <w:trHeight w:val="75"/>
        </w:trPr>
        <w:tc>
          <w:tcPr>
            <w:tcW w:w="7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portion, long-term debt</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82"/>
        </w:trPr>
        <w:tc>
          <w:tcPr>
            <w:tcW w:w="7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40"/>
              <w:spacing w:after="0"/>
              <w:rPr>
                <w:sz w:val="20"/>
                <w:szCs w:val="20"/>
                <w:color w:val="auto"/>
              </w:rPr>
            </w:pPr>
            <w:r>
              <w:rPr>
                <w:rFonts w:ascii="Arial" w:cs="Arial" w:eastAsia="Arial" w:hAnsi="Arial"/>
                <w:sz w:val="14"/>
                <w:szCs w:val="14"/>
                <w:color w:val="auto"/>
              </w:rPr>
              <w:t>Other current liabilities</w:t>
            </w:r>
          </w:p>
        </w:tc>
        <w:tc>
          <w:tcPr>
            <w:tcW w:w="240" w:type="dxa"/>
            <w:vAlign w:val="bottom"/>
          </w:tcPr>
          <w:p>
            <w:pPr>
              <w:spacing w:after="0"/>
              <w:rPr>
                <w:sz w:val="16"/>
                <w:szCs w:val="16"/>
                <w:color w:val="auto"/>
              </w:rPr>
            </w:pPr>
          </w:p>
        </w:tc>
        <w:tc>
          <w:tcPr>
            <w:tcW w:w="1480" w:type="dxa"/>
            <w:vAlign w:val="bottom"/>
            <w:vMerge w:val="restart"/>
          </w:tcPr>
          <w:p>
            <w:pPr>
              <w:jc w:val="right"/>
              <w:ind w:right="52"/>
              <w:spacing w:after="0"/>
              <w:rPr>
                <w:sz w:val="20"/>
                <w:szCs w:val="20"/>
                <w:color w:val="auto"/>
              </w:rPr>
            </w:pPr>
            <w:r>
              <w:rPr>
                <w:rFonts w:ascii="Arial" w:cs="Arial" w:eastAsia="Arial" w:hAnsi="Arial"/>
                <w:sz w:val="14"/>
                <w:szCs w:val="14"/>
                <w:color w:val="auto"/>
              </w:rPr>
              <w:t>30,648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32"/>
              <w:spacing w:after="0"/>
              <w:rPr>
                <w:sz w:val="20"/>
                <w:szCs w:val="20"/>
                <w:color w:val="auto"/>
              </w:rPr>
            </w:pPr>
            <w:r>
              <w:rPr>
                <w:rFonts w:ascii="Arial" w:cs="Arial" w:eastAsia="Arial" w:hAnsi="Arial"/>
                <w:sz w:val="14"/>
                <w:szCs w:val="14"/>
                <w:color w:val="auto"/>
              </w:rPr>
              <w:t>6,912</w:t>
            </w:r>
          </w:p>
        </w:tc>
        <w:tc>
          <w:tcPr>
            <w:tcW w:w="0" w:type="dxa"/>
            <w:vAlign w:val="bottom"/>
          </w:tcPr>
          <w:p>
            <w:pPr>
              <w:spacing w:after="0"/>
              <w:rPr>
                <w:sz w:val="1"/>
                <w:szCs w:val="1"/>
                <w:color w:val="auto"/>
              </w:rPr>
            </w:pPr>
          </w:p>
        </w:tc>
      </w:tr>
      <w:tr>
        <w:trPr>
          <w:trHeight w:val="75"/>
        </w:trPr>
        <w:tc>
          <w:tcPr>
            <w:tcW w:w="7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 of discontinued operations</w:t>
            </w:r>
          </w:p>
        </w:tc>
        <w:tc>
          <w:tcPr>
            <w:tcW w:w="240" w:type="dxa"/>
            <w:vAlign w:val="bottom"/>
            <w:shd w:val="clear" w:color="auto" w:fill="CCEEFF"/>
          </w:tcPr>
          <w:p>
            <w:pPr>
              <w:spacing w:after="0"/>
              <w:rPr>
                <w:sz w:val="17"/>
                <w:szCs w:val="17"/>
                <w:color w:val="auto"/>
              </w:rPr>
            </w:pPr>
          </w:p>
        </w:tc>
        <w:tc>
          <w:tcPr>
            <w:tcW w:w="1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52,494</w:t>
            </w:r>
          </w:p>
        </w:tc>
        <w:tc>
          <w:tcPr>
            <w:tcW w:w="0" w:type="dxa"/>
            <w:vAlign w:val="bottom"/>
          </w:tcPr>
          <w:p>
            <w:pPr>
              <w:spacing w:after="0"/>
              <w:rPr>
                <w:sz w:val="1"/>
                <w:szCs w:val="1"/>
                <w:color w:val="auto"/>
              </w:rPr>
            </w:pPr>
          </w:p>
        </w:tc>
      </w:tr>
      <w:tr>
        <w:trPr>
          <w:trHeight w:val="82"/>
        </w:trPr>
        <w:tc>
          <w:tcPr>
            <w:tcW w:w="7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790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254,750</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259,280</w:t>
            </w:r>
          </w:p>
        </w:tc>
        <w:tc>
          <w:tcPr>
            <w:tcW w:w="0" w:type="dxa"/>
            <w:vAlign w:val="bottom"/>
          </w:tcPr>
          <w:p>
            <w:pPr>
              <w:spacing w:after="0"/>
              <w:rPr>
                <w:sz w:val="1"/>
                <w:szCs w:val="1"/>
                <w:color w:val="auto"/>
              </w:rPr>
            </w:pPr>
          </w:p>
        </w:tc>
      </w:tr>
      <w:tr>
        <w:trPr>
          <w:trHeight w:val="75"/>
        </w:trPr>
        <w:tc>
          <w:tcPr>
            <w:tcW w:w="7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31,275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33,984</w:t>
            </w:r>
          </w:p>
        </w:tc>
        <w:tc>
          <w:tcPr>
            <w:tcW w:w="0" w:type="dxa"/>
            <w:vAlign w:val="bottom"/>
          </w:tcPr>
          <w:p>
            <w:pPr>
              <w:spacing w:after="0"/>
              <w:rPr>
                <w:sz w:val="1"/>
                <w:szCs w:val="1"/>
                <w:color w:val="auto"/>
              </w:rPr>
            </w:pPr>
          </w:p>
        </w:tc>
      </w:tr>
      <w:tr>
        <w:trPr>
          <w:trHeight w:val="82"/>
        </w:trPr>
        <w:tc>
          <w:tcPr>
            <w:tcW w:w="7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6"/>
                <w:szCs w:val="16"/>
                <w:color w:val="auto"/>
              </w:rPr>
            </w:pPr>
          </w:p>
        </w:tc>
        <w:tc>
          <w:tcPr>
            <w:tcW w:w="1480" w:type="dxa"/>
            <w:vAlign w:val="bottom"/>
            <w:vMerge w:val="restart"/>
          </w:tcPr>
          <w:p>
            <w:pPr>
              <w:jc w:val="right"/>
              <w:ind w:right="52"/>
              <w:spacing w:after="0"/>
              <w:rPr>
                <w:sz w:val="20"/>
                <w:szCs w:val="20"/>
                <w:color w:val="auto"/>
              </w:rPr>
            </w:pPr>
            <w:r>
              <w:rPr>
                <w:rFonts w:ascii="Arial" w:cs="Arial" w:eastAsia="Arial" w:hAnsi="Arial"/>
                <w:sz w:val="14"/>
                <w:szCs w:val="14"/>
                <w:color w:val="auto"/>
              </w:rPr>
              <w:t>680,513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32"/>
              <w:spacing w:after="0"/>
              <w:rPr>
                <w:sz w:val="20"/>
                <w:szCs w:val="20"/>
                <w:color w:val="auto"/>
              </w:rPr>
            </w:pPr>
            <w:r>
              <w:rPr>
                <w:rFonts w:ascii="Arial" w:cs="Arial" w:eastAsia="Arial" w:hAnsi="Arial"/>
                <w:sz w:val="14"/>
                <w:szCs w:val="14"/>
                <w:color w:val="auto"/>
              </w:rPr>
              <w:t>1,098,871</w:t>
            </w:r>
          </w:p>
        </w:tc>
        <w:tc>
          <w:tcPr>
            <w:tcW w:w="0" w:type="dxa"/>
            <w:vAlign w:val="bottom"/>
          </w:tcPr>
          <w:p>
            <w:pPr>
              <w:spacing w:after="0"/>
              <w:rPr>
                <w:sz w:val="1"/>
                <w:szCs w:val="1"/>
                <w:color w:val="auto"/>
              </w:rPr>
            </w:pPr>
          </w:p>
        </w:tc>
      </w:tr>
      <w:tr>
        <w:trPr>
          <w:trHeight w:val="75"/>
        </w:trPr>
        <w:tc>
          <w:tcPr>
            <w:tcW w:w="7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87,427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12,615</w:t>
            </w:r>
          </w:p>
        </w:tc>
        <w:tc>
          <w:tcPr>
            <w:tcW w:w="0" w:type="dxa"/>
            <w:vAlign w:val="bottom"/>
          </w:tcPr>
          <w:p>
            <w:pPr>
              <w:spacing w:after="0"/>
              <w:rPr>
                <w:sz w:val="1"/>
                <w:szCs w:val="1"/>
                <w:color w:val="auto"/>
              </w:rPr>
            </w:pPr>
          </w:p>
        </w:tc>
      </w:tr>
      <w:tr>
        <w:trPr>
          <w:trHeight w:val="82"/>
        </w:trPr>
        <w:tc>
          <w:tcPr>
            <w:tcW w:w="7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40"/>
              <w:spacing w:after="0"/>
              <w:rPr>
                <w:sz w:val="20"/>
                <w:szCs w:val="20"/>
                <w:color w:val="auto"/>
              </w:rPr>
            </w:pPr>
            <w:r>
              <w:rPr>
                <w:rFonts w:ascii="Arial" w:cs="Arial" w:eastAsia="Arial" w:hAnsi="Arial"/>
                <w:sz w:val="14"/>
                <w:szCs w:val="14"/>
                <w:color w:val="auto"/>
              </w:rPr>
              <w:t>Non-current liabilities of discontinued operations</w:t>
            </w:r>
          </w:p>
        </w:tc>
        <w:tc>
          <w:tcPr>
            <w:tcW w:w="240" w:type="dxa"/>
            <w:vAlign w:val="bottom"/>
          </w:tcPr>
          <w:p>
            <w:pPr>
              <w:spacing w:after="0"/>
              <w:rPr>
                <w:sz w:val="16"/>
                <w:szCs w:val="16"/>
                <w:color w:val="auto"/>
              </w:rPr>
            </w:pPr>
          </w:p>
        </w:tc>
        <w:tc>
          <w:tcPr>
            <w:tcW w:w="16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40" w:type="dxa"/>
            <w:vAlign w:val="bottom"/>
            <w:vMerge w:val="restart"/>
          </w:tcPr>
          <w:p>
            <w:pPr>
              <w:jc w:val="right"/>
              <w:ind w:right="32"/>
              <w:spacing w:after="0"/>
              <w:rPr>
                <w:sz w:val="20"/>
                <w:szCs w:val="20"/>
                <w:color w:val="auto"/>
              </w:rPr>
            </w:pPr>
            <w:r>
              <w:rPr>
                <w:rFonts w:ascii="Arial" w:cs="Arial" w:eastAsia="Arial" w:hAnsi="Arial"/>
                <w:sz w:val="14"/>
                <w:szCs w:val="14"/>
                <w:color w:val="auto"/>
              </w:rPr>
              <w:t>48,243</w:t>
            </w:r>
          </w:p>
        </w:tc>
        <w:tc>
          <w:tcPr>
            <w:tcW w:w="0" w:type="dxa"/>
            <w:vAlign w:val="bottom"/>
          </w:tcPr>
          <w:p>
            <w:pPr>
              <w:spacing w:after="0"/>
              <w:rPr>
                <w:sz w:val="1"/>
                <w:szCs w:val="1"/>
                <w:color w:val="auto"/>
              </w:rPr>
            </w:pPr>
          </w:p>
        </w:tc>
      </w:tr>
      <w:tr>
        <w:trPr>
          <w:trHeight w:val="75"/>
        </w:trPr>
        <w:tc>
          <w:tcPr>
            <w:tcW w:w="7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1,053,965</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1,452,993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Stockholders’ equity</w:t>
      </w:r>
    </w:p>
    <w:p>
      <w:pPr>
        <w:spacing w:after="0" w:line="125" w:lineRule="exact"/>
        <w:rPr>
          <w:sz w:val="20"/>
          <w:szCs w:val="20"/>
          <w:color w:val="auto"/>
        </w:rPr>
      </w:pPr>
    </w:p>
    <w:p>
      <w:pPr>
        <w:jc w:val="right"/>
        <w:ind w:right="480"/>
        <w:spacing w:after="0"/>
        <w:rPr>
          <w:sz w:val="20"/>
          <w:szCs w:val="20"/>
          <w:color w:val="auto"/>
        </w:rPr>
      </w:pPr>
      <w:r>
        <w:rPr>
          <w:rFonts w:ascii="Arial" w:cs="Arial" w:eastAsia="Arial" w:hAnsi="Arial"/>
          <w:sz w:val="12"/>
          <w:szCs w:val="12"/>
          <w:color w:val="auto"/>
        </w:rPr>
        <w:t>Trust preferred shares, 50,000 authorized; 8,000 shares issued and outstanding at September 30,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2" w:lineRule="exact"/>
        <w:rPr>
          <w:sz w:val="20"/>
          <w:szCs w:val="20"/>
          <w:color w:val="auto"/>
        </w:rPr>
      </w:pPr>
    </w:p>
    <w:p>
      <w:pPr>
        <w:jc w:val="right"/>
        <w:ind w:right="480"/>
        <w:spacing w:after="0"/>
        <w:rPr>
          <w:sz w:val="20"/>
          <w:szCs w:val="20"/>
          <w:color w:val="auto"/>
        </w:rPr>
      </w:pPr>
      <w:r>
        <w:rPr>
          <w:rFonts w:ascii="Arial" w:cs="Arial" w:eastAsia="Arial" w:hAnsi="Arial"/>
          <w:sz w:val="12"/>
          <w:szCs w:val="12"/>
          <w:color w:val="auto"/>
        </w:rPr>
        <w:t>Series A preferred shares, no par value; 4,000 shares issued and outstanding at September 30, 2019 and December 31, 2018</w:t>
      </w:r>
    </w:p>
    <w:p>
      <w:pPr>
        <w:spacing w:after="0" w:line="132" w:lineRule="exact"/>
        <w:rPr>
          <w:sz w:val="20"/>
          <w:szCs w:val="20"/>
          <w:color w:val="auto"/>
        </w:rPr>
      </w:pPr>
    </w:p>
    <w:p>
      <w:pPr>
        <w:jc w:val="right"/>
        <w:ind w:right="480"/>
        <w:spacing w:after="0"/>
        <w:rPr>
          <w:sz w:val="20"/>
          <w:szCs w:val="20"/>
          <w:color w:val="auto"/>
        </w:rPr>
      </w:pPr>
      <w:r>
        <w:rPr>
          <w:rFonts w:ascii="Arial" w:cs="Arial" w:eastAsia="Arial" w:hAnsi="Arial"/>
          <w:sz w:val="12"/>
          <w:szCs w:val="12"/>
          <w:color w:val="auto"/>
        </w:rPr>
        <w:t>Series B preferred shares, no par value; 4,000 shares issued and outstanding at September 30,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12" w:lineRule="exact"/>
        <w:rPr>
          <w:sz w:val="20"/>
          <w:szCs w:val="20"/>
          <w:color w:val="auto"/>
        </w:rPr>
      </w:pPr>
    </w:p>
    <w:p>
      <w:pPr>
        <w:ind w:left="40" w:right="440"/>
        <w:spacing w:after="0" w:line="231" w:lineRule="auto"/>
        <w:rPr>
          <w:sz w:val="20"/>
          <w:szCs w:val="20"/>
          <w:color w:val="auto"/>
        </w:rPr>
      </w:pPr>
      <w:r>
        <w:rPr>
          <w:rFonts w:ascii="Arial" w:cs="Arial" w:eastAsia="Arial" w:hAnsi="Arial"/>
          <w:sz w:val="14"/>
          <w:szCs w:val="14"/>
          <w:color w:val="auto"/>
        </w:rPr>
        <w:t>Trust common shares, no par value, 500,000 authorized; 59,900 shares issued and outstanding at September 30, 2019 and December 31, 2018</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Accumulated deficit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stockholders’ equity attributable to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stockholders’ equity</w:t>
      </w:r>
    </w:p>
    <w:p>
      <w:pPr>
        <w:spacing w:after="0" w:line="1"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4"/>
          <w:szCs w:val="14"/>
          <w:b w:val="1"/>
          <w:bCs w:val="1"/>
          <w:color w:val="auto"/>
        </w:rPr>
        <w:t>Total liabilities and stockholders’ equity</w:t>
      </w:r>
      <w:r>
        <w:rPr>
          <w:sz w:val="20"/>
          <w:szCs w:val="20"/>
          <w:color w:val="auto"/>
        </w:rPr>
        <w:tab/>
      </w:r>
      <w:r>
        <w:rPr>
          <w:rFonts w:ascii="Arial" w:cs="Arial" w:eastAsia="Arial" w:hAnsi="Arial"/>
          <w:sz w:val="21"/>
          <w:szCs w:val="21"/>
          <w:color w:val="auto"/>
          <w:vertAlign w:val="sub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ind w:right="172"/>
              <w:spacing w:after="0"/>
              <w:rPr>
                <w:sz w:val="20"/>
                <w:szCs w:val="20"/>
                <w:color w:val="auto"/>
              </w:rPr>
            </w:pPr>
            <w:r>
              <w:rPr>
                <w:rFonts w:ascii="Arial" w:cs="Arial" w:eastAsia="Arial" w:hAnsi="Arial"/>
                <w:sz w:val="14"/>
                <w:szCs w:val="14"/>
                <w:color w:val="auto"/>
              </w:rPr>
              <w:t>96,417</w:t>
            </w:r>
          </w:p>
        </w:tc>
        <w:tc>
          <w:tcPr>
            <w:tcW w:w="540" w:type="dxa"/>
            <w:vAlign w:val="bottom"/>
          </w:tcPr>
          <w:p>
            <w:pPr>
              <w:spacing w:after="0"/>
              <w:rPr>
                <w:sz w:val="14"/>
                <w:szCs w:val="14"/>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96,417</w:t>
            </w:r>
          </w:p>
        </w:tc>
      </w:tr>
      <w:tr>
        <w:trPr>
          <w:trHeight w:val="270"/>
        </w:trPr>
        <w:tc>
          <w:tcPr>
            <w:tcW w:w="840" w:type="dxa"/>
            <w:vAlign w:val="bottom"/>
          </w:tcPr>
          <w:p>
            <w:pPr>
              <w:jc w:val="right"/>
              <w:ind w:right="172"/>
              <w:spacing w:after="0"/>
              <w:rPr>
                <w:sz w:val="20"/>
                <w:szCs w:val="20"/>
                <w:color w:val="auto"/>
              </w:rPr>
            </w:pPr>
            <w:r>
              <w:rPr>
                <w:rFonts w:ascii="Arial" w:cs="Arial" w:eastAsia="Arial" w:hAnsi="Arial"/>
                <w:sz w:val="14"/>
                <w:szCs w:val="14"/>
                <w:color w:val="auto"/>
              </w:rPr>
              <w:t>96,504</w:t>
            </w:r>
          </w:p>
        </w:tc>
        <w:tc>
          <w:tcPr>
            <w:tcW w:w="54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96,504</w:t>
            </w:r>
          </w:p>
        </w:tc>
      </w:tr>
      <w:tr>
        <w:trPr>
          <w:trHeight w:val="351"/>
        </w:trPr>
        <w:tc>
          <w:tcPr>
            <w:tcW w:w="840" w:type="dxa"/>
            <w:vAlign w:val="bottom"/>
          </w:tcPr>
          <w:p>
            <w:pPr>
              <w:jc w:val="right"/>
              <w:ind w:right="172"/>
              <w:spacing w:after="0"/>
              <w:rPr>
                <w:sz w:val="20"/>
                <w:szCs w:val="20"/>
                <w:color w:val="auto"/>
              </w:rPr>
            </w:pPr>
            <w:r>
              <w:rPr>
                <w:rFonts w:ascii="Arial" w:cs="Arial" w:eastAsia="Arial" w:hAnsi="Arial"/>
                <w:sz w:val="14"/>
                <w:szCs w:val="14"/>
                <w:color w:val="auto"/>
              </w:rPr>
              <w:t>924,680</w:t>
            </w:r>
          </w:p>
        </w:tc>
        <w:tc>
          <w:tcPr>
            <w:tcW w:w="54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924,680</w:t>
            </w:r>
          </w:p>
        </w:tc>
      </w:tr>
      <w:tr>
        <w:trPr>
          <w:trHeight w:val="270"/>
        </w:trPr>
        <w:tc>
          <w:tcPr>
            <w:tcW w:w="840" w:type="dxa"/>
            <w:vAlign w:val="bottom"/>
          </w:tcPr>
          <w:p>
            <w:pPr>
              <w:jc w:val="right"/>
              <w:ind w:right="132"/>
              <w:spacing w:after="0"/>
              <w:rPr>
                <w:sz w:val="20"/>
                <w:szCs w:val="20"/>
                <w:color w:val="auto"/>
              </w:rPr>
            </w:pPr>
            <w:r>
              <w:rPr>
                <w:rFonts w:ascii="Arial" w:cs="Arial" w:eastAsia="Arial" w:hAnsi="Arial"/>
                <w:sz w:val="14"/>
                <w:szCs w:val="14"/>
                <w:color w:val="auto"/>
              </w:rPr>
              <w:t>(6,063)</w:t>
            </w: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(8,776)</w:t>
            </w:r>
          </w:p>
        </w:tc>
      </w:tr>
      <w:tr>
        <w:trPr>
          <w:trHeight w:val="278"/>
        </w:trPr>
        <w:tc>
          <w:tcPr>
            <w:tcW w:w="840" w:type="dxa"/>
            <w:vAlign w:val="bottom"/>
          </w:tcPr>
          <w:p>
            <w:pPr>
              <w:jc w:val="right"/>
              <w:ind w:right="132"/>
              <w:spacing w:after="0"/>
              <w:rPr>
                <w:sz w:val="20"/>
                <w:szCs w:val="20"/>
                <w:color w:val="auto"/>
              </w:rPr>
            </w:pPr>
            <w:r>
              <w:rPr>
                <w:rFonts w:ascii="Arial" w:cs="Arial" w:eastAsia="Arial" w:hAnsi="Arial"/>
                <w:sz w:val="14"/>
                <w:szCs w:val="14"/>
                <w:color w:val="auto"/>
              </w:rPr>
              <w:t>(78,728)</w:t>
            </w: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(249,453)</w:t>
            </w:r>
          </w:p>
        </w:tc>
      </w:tr>
      <w:tr>
        <w:trPr>
          <w:trHeight w:val="243"/>
        </w:trPr>
        <w:tc>
          <w:tcPr>
            <w:tcW w:w="840" w:type="dxa"/>
            <w:vAlign w:val="bottom"/>
          </w:tcPr>
          <w:p>
            <w:pPr>
              <w:jc w:val="right"/>
              <w:ind w:right="172"/>
              <w:spacing w:after="0"/>
              <w:rPr>
                <w:sz w:val="20"/>
                <w:szCs w:val="20"/>
                <w:color w:val="auto"/>
              </w:rPr>
            </w:pPr>
            <w:r>
              <w:rPr>
                <w:rFonts w:ascii="Arial" w:cs="Arial" w:eastAsia="Arial" w:hAnsi="Arial"/>
                <w:sz w:val="14"/>
                <w:szCs w:val="14"/>
                <w:color w:val="auto"/>
                <w:w w:val="93"/>
              </w:rPr>
              <w:t>1,032,810</w:t>
            </w:r>
          </w:p>
        </w:tc>
        <w:tc>
          <w:tcPr>
            <w:tcW w:w="5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859,372</w:t>
            </w:r>
          </w:p>
        </w:tc>
      </w:tr>
      <w:tr>
        <w:trPr>
          <w:trHeight w:val="270"/>
        </w:trPr>
        <w:tc>
          <w:tcPr>
            <w:tcW w:w="840" w:type="dxa"/>
            <w:vAlign w:val="bottom"/>
          </w:tcPr>
          <w:p>
            <w:pPr>
              <w:jc w:val="right"/>
              <w:ind w:right="172"/>
              <w:spacing w:after="0"/>
              <w:rPr>
                <w:sz w:val="20"/>
                <w:szCs w:val="20"/>
                <w:color w:val="auto"/>
              </w:rPr>
            </w:pPr>
            <w:r>
              <w:rPr>
                <w:rFonts w:ascii="Arial" w:cs="Arial" w:eastAsia="Arial" w:hAnsi="Arial"/>
                <w:sz w:val="14"/>
                <w:szCs w:val="14"/>
                <w:color w:val="auto"/>
              </w:rPr>
              <w:t>47,445</w:t>
            </w:r>
          </w:p>
        </w:tc>
        <w:tc>
          <w:tcPr>
            <w:tcW w:w="54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39,922</w:t>
            </w:r>
          </w:p>
        </w:tc>
      </w:tr>
      <w:tr>
        <w:trPr>
          <w:trHeight w:val="278"/>
        </w:trPr>
        <w:tc>
          <w:tcPr>
            <w:tcW w:w="8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20,048</w:t>
            </w:r>
          </w:p>
        </w:tc>
      </w:tr>
      <w:tr>
        <w:trPr>
          <w:trHeight w:val="250"/>
        </w:trPr>
        <w:tc>
          <w:tcPr>
            <w:tcW w:w="840" w:type="dxa"/>
            <w:vAlign w:val="bottom"/>
          </w:tcPr>
          <w:p>
            <w:pPr>
              <w:jc w:val="right"/>
              <w:ind w:right="172"/>
              <w:spacing w:after="0"/>
              <w:rPr>
                <w:sz w:val="20"/>
                <w:szCs w:val="20"/>
                <w:color w:val="auto"/>
              </w:rPr>
            </w:pPr>
            <w:r>
              <w:rPr>
                <w:rFonts w:ascii="Arial" w:cs="Arial" w:eastAsia="Arial" w:hAnsi="Arial"/>
                <w:sz w:val="14"/>
                <w:szCs w:val="14"/>
                <w:color w:val="auto"/>
                <w:w w:val="93"/>
              </w:rPr>
              <w:t>1,080,255</w:t>
            </w: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919,342</w:t>
            </w:r>
          </w:p>
        </w:tc>
      </w:tr>
      <w:tr>
        <w:trPr>
          <w:trHeight w:val="237"/>
        </w:trPr>
        <w:tc>
          <w:tcPr>
            <w:tcW w:w="840" w:type="dxa"/>
            <w:vAlign w:val="bottom"/>
          </w:tcPr>
          <w:p>
            <w:pPr>
              <w:jc w:val="right"/>
              <w:ind w:right="172"/>
              <w:spacing w:after="0"/>
              <w:rPr>
                <w:sz w:val="20"/>
                <w:szCs w:val="20"/>
                <w:color w:val="auto"/>
              </w:rPr>
            </w:pPr>
            <w:r>
              <w:rPr>
                <w:rFonts w:ascii="Arial" w:cs="Arial" w:eastAsia="Arial" w:hAnsi="Arial"/>
                <w:sz w:val="14"/>
                <w:szCs w:val="14"/>
                <w:color w:val="auto"/>
                <w:w w:val="93"/>
              </w:rPr>
              <w:t>2,134,220</w:t>
            </w:r>
          </w:p>
        </w:tc>
        <w:tc>
          <w:tcPr>
            <w:tcW w:w="5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2,372,335</w:t>
            </w:r>
          </w:p>
        </w:tc>
      </w:tr>
      <w:tr>
        <w:trPr>
          <w:trHeight w:val="20"/>
        </w:trPr>
        <w:tc>
          <w:tcPr>
            <w:tcW w:w="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-25400</wp:posOffset>
            </wp:positionV>
            <wp:extent cx="10979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-8255</wp:posOffset>
            </wp:positionV>
            <wp:extent cx="10979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-187960</wp:posOffset>
            </wp:positionV>
            <wp:extent cx="10979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-874395</wp:posOffset>
            </wp:positionV>
            <wp:extent cx="10979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80" w:space="720"/>
            <w:col w:w="2520"/>
          </w:cols>
          <w:pgMar w:left="240" w:top="360" w:right="239" w:bottom="1440" w:gutter="0" w:footer="0" w:header="0"/>
          <w:type w:val="continuous"/>
        </w:sectPr>
      </w:pP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360" w:right="239"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6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COMPASS DIVERSIFIED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28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523"/>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ind w:left="54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7"/>
                <w:szCs w:val="17"/>
                <w:color w:val="auto"/>
              </w:rPr>
            </w:pPr>
          </w:p>
        </w:tc>
        <w:tc>
          <w:tcPr>
            <w:tcW w:w="2340" w:type="dxa"/>
            <w:vAlign w:val="bottom"/>
            <w:gridSpan w:val="4"/>
          </w:tcPr>
          <w:p>
            <w:pPr>
              <w:jc w:val="right"/>
              <w:ind w:right="683"/>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92"/>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revenues</w:t>
            </w: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388,313</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360,283</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1,063,254</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986,402</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5"/>
                <w:szCs w:val="15"/>
                <w:color w:val="auto"/>
              </w:rPr>
              <w:t>Cost of revenues</w:t>
            </w: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251,778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236,286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684,601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640,039</w:t>
            </w:r>
          </w:p>
        </w:tc>
        <w:tc>
          <w:tcPr>
            <w:tcW w:w="0" w:type="dxa"/>
            <w:vAlign w:val="bottom"/>
          </w:tcPr>
          <w:p>
            <w:pPr>
              <w:spacing w:after="0"/>
              <w:rPr>
                <w:sz w:val="1"/>
                <w:szCs w:val="1"/>
                <w:color w:val="auto"/>
              </w:rPr>
            </w:pPr>
          </w:p>
        </w:tc>
      </w:tr>
      <w:tr>
        <w:trPr>
          <w:trHeight w:val="58"/>
        </w:trPr>
        <w:tc>
          <w:tcPr>
            <w:tcW w:w="6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Gross profit</w:t>
            </w: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136,535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123,997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378,653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346,363</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5"/>
                <w:szCs w:val="15"/>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Selling, general and administrative expense</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82,027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79,577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243,736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241,253</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80"/>
              <w:spacing w:after="0"/>
              <w:rPr>
                <w:sz w:val="20"/>
                <w:szCs w:val="20"/>
                <w:color w:val="auto"/>
              </w:rPr>
            </w:pPr>
            <w:r>
              <w:rPr>
                <w:rFonts w:ascii="Arial" w:cs="Arial" w:eastAsia="Arial" w:hAnsi="Arial"/>
                <w:sz w:val="15"/>
                <w:szCs w:val="15"/>
                <w:color w:val="auto"/>
              </w:rPr>
              <w:t>Management fees</w:t>
            </w: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8,874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10,768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28,352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32,204</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Amortization expense</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13,520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12,788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40,632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35,533</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80"/>
              <w:spacing w:after="0"/>
              <w:rPr>
                <w:sz w:val="20"/>
                <w:szCs w:val="20"/>
                <w:color w:val="auto"/>
              </w:rPr>
            </w:pPr>
            <w:r>
              <w:rPr>
                <w:rFonts w:ascii="Arial" w:cs="Arial" w:eastAsia="Arial" w:hAnsi="Arial"/>
                <w:sz w:val="15"/>
                <w:szCs w:val="15"/>
                <w:color w:val="auto"/>
              </w:rPr>
              <w:t>Impairment expense</w:t>
            </w: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33,381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33,381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Operating income (loss)</w:t>
            </w: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(1,267)</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20,864</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32,552</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37,373</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5"/>
                <w:szCs w:val="15"/>
                <w:color w:val="auto"/>
              </w:rPr>
              <w:t>Other income (expense):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Interest expense, net</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(11,525)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(15,635)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(48,424)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(35,227)</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80"/>
              <w:spacing w:after="0"/>
              <w:rPr>
                <w:sz w:val="20"/>
                <w:szCs w:val="20"/>
                <w:color w:val="auto"/>
              </w:rPr>
            </w:pPr>
            <w:r>
              <w:rPr>
                <w:rFonts w:ascii="Arial" w:cs="Arial" w:eastAsia="Arial" w:hAnsi="Arial"/>
                <w:sz w:val="15"/>
                <w:szCs w:val="15"/>
                <w:color w:val="auto"/>
              </w:rPr>
              <w:t>Loss on sale of securities (refer to Note C)</w:t>
            </w: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(4,893)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(10,193)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Amortization of debt issuance costs</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(2,978)</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80"/>
              <w:spacing w:after="0"/>
              <w:rPr>
                <w:sz w:val="20"/>
                <w:szCs w:val="20"/>
                <w:color w:val="auto"/>
              </w:rPr>
            </w:pPr>
            <w:r>
              <w:rPr>
                <w:rFonts w:ascii="Arial" w:cs="Arial" w:eastAsia="Arial" w:hAnsi="Arial"/>
                <w:sz w:val="15"/>
                <w:szCs w:val="15"/>
                <w:color w:val="auto"/>
              </w:rPr>
              <w:t>Loss on debt extinguishment</w:t>
            </w: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(5,038)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(5,038)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income (expense), net</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(2,285)</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060" w:type="dxa"/>
            <w:vAlign w:val="bottom"/>
          </w:tcPr>
          <w:p>
            <w:pPr>
              <w:ind w:left="40"/>
              <w:spacing w:after="0"/>
              <w:rPr>
                <w:sz w:val="20"/>
                <w:szCs w:val="20"/>
                <w:color w:val="auto"/>
              </w:rPr>
            </w:pPr>
            <w:r>
              <w:rPr>
                <w:rFonts w:ascii="Arial" w:cs="Arial" w:eastAsia="Arial" w:hAnsi="Arial"/>
                <w:sz w:val="15"/>
                <w:szCs w:val="15"/>
                <w:b w:val="1"/>
                <w:bCs w:val="1"/>
                <w:color w:val="auto"/>
              </w:rPr>
              <w:t>Income (loss) from continuing operations before income taxes</w:t>
            </w: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(24,182)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4,813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(34,941)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(3,861)</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Provision for income taxes</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4,400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5,470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10,375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7,557</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060" w:type="dxa"/>
            <w:vAlign w:val="bottom"/>
          </w:tcPr>
          <w:p>
            <w:pPr>
              <w:ind w:left="40"/>
              <w:spacing w:after="0"/>
              <w:rPr>
                <w:sz w:val="20"/>
                <w:szCs w:val="20"/>
                <w:color w:val="auto"/>
              </w:rPr>
            </w:pPr>
            <w:r>
              <w:rPr>
                <w:rFonts w:ascii="Arial" w:cs="Arial" w:eastAsia="Arial" w:hAnsi="Arial"/>
                <w:sz w:val="15"/>
                <w:szCs w:val="15"/>
                <w:b w:val="1"/>
                <w:bCs w:val="1"/>
                <w:color w:val="auto"/>
              </w:rPr>
              <w:t>Income (loss) from continuing operations</w:t>
            </w: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(28,582)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(657)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(45,316)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(11,418)</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Income from discontinued operations, net of income tax</w:t>
            </w:r>
          </w:p>
        </w:tc>
        <w:tc>
          <w:tcPr>
            <w:tcW w:w="28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6,423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16,901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14,931</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80"/>
              <w:spacing w:after="0"/>
              <w:rPr>
                <w:sz w:val="20"/>
                <w:szCs w:val="20"/>
                <w:color w:val="auto"/>
              </w:rPr>
            </w:pPr>
            <w:r>
              <w:rPr>
                <w:rFonts w:ascii="Arial" w:cs="Arial" w:eastAsia="Arial" w:hAnsi="Arial"/>
                <w:sz w:val="15"/>
                <w:szCs w:val="15"/>
                <w:color w:val="auto"/>
              </w:rPr>
              <w:t>Gain on sale of discontinued operations</w:t>
            </w: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2,039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330,203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1,165</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(loss)</w:t>
            </w: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(26,543)</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5,766</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301,788</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4,678</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80"/>
              <w:spacing w:after="0"/>
              <w:rPr>
                <w:sz w:val="20"/>
                <w:szCs w:val="20"/>
                <w:color w:val="auto"/>
              </w:rPr>
            </w:pPr>
            <w:r>
              <w:rPr>
                <w:rFonts w:ascii="Arial" w:cs="Arial" w:eastAsia="Arial" w:hAnsi="Arial"/>
                <w:sz w:val="15"/>
                <w:szCs w:val="15"/>
                <w:color w:val="auto"/>
              </w:rPr>
              <w:t>Less: Net income from continuing operations attributable to noncontrolling interest</w:t>
            </w: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1,242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688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3,997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2,475</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Net income (loss) from discontinued operations attributable to noncontrolling</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interest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726</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5"/>
                <w:szCs w:val="15"/>
                <w:b w:val="1"/>
                <w:bCs w:val="1"/>
                <w:color w:val="auto"/>
              </w:rPr>
              <w:t>Net income (loss) attributable to Holdings</w:t>
            </w: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(27,785)</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4,726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298,057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1,477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Amounts attributable to Holdings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6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Income (loss) from continuing operations</w:t>
            </w: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(29,824)</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(1,345)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(49,313)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(13,893)</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380"/>
              <w:spacing w:after="0"/>
              <w:rPr>
                <w:sz w:val="20"/>
                <w:szCs w:val="20"/>
                <w:color w:val="auto"/>
              </w:rPr>
            </w:pPr>
            <w:r>
              <w:rPr>
                <w:rFonts w:ascii="Arial" w:cs="Arial" w:eastAsia="Arial" w:hAnsi="Arial"/>
                <w:sz w:val="15"/>
                <w:szCs w:val="15"/>
                <w:color w:val="auto"/>
              </w:rPr>
              <w:t>Income from discontinued operations, net of income tax</w:t>
            </w:r>
          </w:p>
        </w:tc>
        <w:tc>
          <w:tcPr>
            <w:tcW w:w="28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6,071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5"/>
                <w:szCs w:val="15"/>
                <w:color w:val="auto"/>
              </w:rPr>
              <w:t>17,167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5"/>
                <w:szCs w:val="15"/>
                <w:color w:val="auto"/>
              </w:rPr>
              <w:t>14,205</w:t>
            </w: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Gain on sale of discontinued operations, net of income tax</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2,039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330,203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1,165</w:t>
            </w:r>
          </w:p>
        </w:tc>
        <w:tc>
          <w:tcPr>
            <w:tcW w:w="0" w:type="dxa"/>
            <w:vAlign w:val="bottom"/>
          </w:tcPr>
          <w:p>
            <w:pPr>
              <w:spacing w:after="0"/>
              <w:rPr>
                <w:sz w:val="1"/>
                <w:szCs w:val="1"/>
                <w:color w:val="auto"/>
              </w:rPr>
            </w:pPr>
          </w:p>
        </w:tc>
      </w:tr>
      <w:tr>
        <w:trPr>
          <w:trHeight w:val="62"/>
        </w:trPr>
        <w:tc>
          <w:tcPr>
            <w:tcW w:w="6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5"/>
                <w:szCs w:val="15"/>
                <w:color w:val="auto"/>
              </w:rPr>
              <w:t>Net income (loss) attributable to Holdings</w:t>
            </w: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(27,785)</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4,726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298,057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1,477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Basic income (loss) per common share attributable to Holdings (refer to Note J)</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Continuing operations</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(0.45)</w:t>
            </w:r>
          </w:p>
        </w:tc>
        <w:tc>
          <w:tcPr>
            <w:tcW w:w="0" w:type="dxa"/>
            <w:vAlign w:val="bottom"/>
          </w:tcPr>
          <w:p>
            <w:pPr>
              <w:spacing w:after="0"/>
              <w:rPr>
                <w:sz w:val="1"/>
                <w:szCs w:val="1"/>
                <w:color w:val="auto"/>
              </w:rPr>
            </w:pPr>
          </w:p>
        </w:tc>
      </w:tr>
      <w:tr>
        <w:trPr>
          <w:trHeight w:val="266"/>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Discontinued operations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0.03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0.09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5.80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0.25</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59,900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59,900</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5"/>
                <w:szCs w:val="15"/>
                <w:color w:val="auto"/>
              </w:rPr>
              <w:t>Cash distributions declared per Trust common share (refer to Note J)</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0.36</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0.36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4"/>
          </w:tcPr>
          <w:p>
            <w:pPr>
              <w:jc w:val="right"/>
              <w:ind w:right="36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8"/>
        </w:trPr>
        <w:tc>
          <w:tcPr>
            <w:tcW w:w="6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5"/>
          </w:tcPr>
          <w:p>
            <w:pPr>
              <w:ind w:left="40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9"/>
                <w:szCs w:val="19"/>
                <w:color w:val="auto"/>
              </w:rPr>
            </w:pPr>
          </w:p>
        </w:tc>
        <w:tc>
          <w:tcPr>
            <w:tcW w:w="2120" w:type="dxa"/>
            <w:vAlign w:val="bottom"/>
            <w:gridSpan w:val="4"/>
          </w:tcPr>
          <w:p>
            <w:pPr>
              <w:jc w:val="right"/>
              <w:ind w:right="52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22"/>
        </w:trPr>
        <w:tc>
          <w:tcPr>
            <w:tcW w:w="6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(loss)</w:t>
            </w:r>
          </w:p>
        </w:tc>
        <w:tc>
          <w:tcPr>
            <w:tcW w:w="26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(26,543)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5"/>
                <w:szCs w:val="15"/>
                <w:color w:val="auto"/>
              </w:rPr>
              <w:t>5,766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301,788</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ind w:right="21"/>
              <w:spacing w:after="0"/>
              <w:rPr>
                <w:sz w:val="20"/>
                <w:szCs w:val="20"/>
                <w:color w:val="auto"/>
              </w:rPr>
            </w:pPr>
            <w:r>
              <w:rPr>
                <w:rFonts w:ascii="Arial" w:cs="Arial" w:eastAsia="Arial" w:hAnsi="Arial"/>
                <w:sz w:val="15"/>
                <w:szCs w:val="15"/>
                <w:color w:val="auto"/>
              </w:rPr>
              <w:t>4,678</w:t>
            </w:r>
          </w:p>
        </w:tc>
        <w:tc>
          <w:tcPr>
            <w:tcW w:w="0" w:type="dxa"/>
            <w:vAlign w:val="bottom"/>
          </w:tcPr>
          <w:p>
            <w:pPr>
              <w:spacing w:after="0"/>
              <w:rPr>
                <w:sz w:val="1"/>
                <w:szCs w:val="1"/>
                <w:color w:val="auto"/>
              </w:rPr>
            </w:pPr>
          </w:p>
        </w:tc>
      </w:tr>
      <w:tr>
        <w:trPr>
          <w:trHeight w:val="62"/>
        </w:trPr>
        <w:tc>
          <w:tcPr>
            <w:tcW w:w="65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Foreign currency translation adjustments</w:t>
      </w:r>
    </w:p>
    <w:p>
      <w:pPr>
        <w:spacing w:after="0" w:line="98" w:lineRule="exact"/>
        <w:rPr>
          <w:sz w:val="20"/>
          <w:szCs w:val="20"/>
          <w:color w:val="auto"/>
        </w:rPr>
      </w:pPr>
    </w:p>
    <w:p>
      <w:pPr>
        <w:ind w:left="380"/>
        <w:spacing w:after="0" w:line="242" w:lineRule="auto"/>
        <w:rPr>
          <w:sz w:val="20"/>
          <w:szCs w:val="20"/>
          <w:color w:val="auto"/>
        </w:rPr>
      </w:pPr>
      <w:r>
        <w:rPr>
          <w:rFonts w:ascii="Arial" w:cs="Arial" w:eastAsia="Arial" w:hAnsi="Arial"/>
          <w:sz w:val="15"/>
          <w:szCs w:val="15"/>
          <w:color w:val="auto"/>
        </w:rPr>
        <w:t>Foreign currency amounts reclassified from accumulated other comprehensive income (loss) that increase (decrease)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Disposition of Manitoba Harvest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Pension benefit liability,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Other comprehensive income (loss)</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Total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Less: Net income attributable to noncontrolling interests</w:t>
      </w:r>
    </w:p>
    <w:p>
      <w:pPr>
        <w:spacing w:after="0" w:line="125" w:lineRule="exact"/>
        <w:rPr>
          <w:sz w:val="20"/>
          <w:szCs w:val="20"/>
          <w:color w:val="auto"/>
        </w:rPr>
      </w:pPr>
    </w:p>
    <w:p>
      <w:pPr>
        <w:ind w:left="40" w:right="800"/>
        <w:spacing w:after="0" w:line="430" w:lineRule="auto"/>
        <w:rPr>
          <w:sz w:val="20"/>
          <w:szCs w:val="20"/>
          <w:color w:val="auto"/>
        </w:rPr>
      </w:pPr>
      <w:r>
        <w:rPr>
          <w:rFonts w:ascii="Arial" w:cs="Arial" w:eastAsia="Arial" w:hAnsi="Arial"/>
          <w:sz w:val="15"/>
          <w:szCs w:val="15"/>
          <w:color w:val="auto"/>
        </w:rPr>
        <w:t xml:space="preserve">Less: Other comprehensive income (loss) attributable to noncontrolling interests </w:t>
      </w:r>
      <w:r>
        <w:rPr>
          <w:rFonts w:ascii="Arial" w:cs="Arial" w:eastAsia="Arial" w:hAnsi="Arial"/>
          <w:sz w:val="15"/>
          <w:szCs w:val="15"/>
          <w:b w:val="1"/>
          <w:bCs w:val="1"/>
          <w:color w:val="auto"/>
        </w:rPr>
        <w:t>Total comprehensive income (loss) attributable to Holdings,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(861)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1,603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(2,424)</w:t>
            </w:r>
          </w:p>
        </w:tc>
      </w:tr>
      <w:tr>
        <w:trPr>
          <w:trHeight w:val="648"/>
        </w:trPr>
        <w:tc>
          <w:tcPr>
            <w:tcW w:w="3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4,791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(690)</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(1,470)</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643</w:t>
            </w:r>
          </w:p>
        </w:tc>
      </w:tr>
      <w:tr>
        <w:trPr>
          <w:trHeight w:val="250"/>
        </w:trPr>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(1,551)</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1,637</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2,713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(1,781)</w:t>
            </w:r>
          </w:p>
        </w:tc>
      </w:tr>
      <w:tr>
        <w:trPr>
          <w:trHeight w:val="246"/>
        </w:trPr>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(28,094)</w:t>
            </w:r>
          </w:p>
        </w:tc>
        <w:tc>
          <w:tcPr>
            <w:tcW w:w="100" w:type="dxa"/>
            <w:vAlign w:val="bottom"/>
          </w:tcPr>
          <w:p>
            <w:pPr>
              <w:spacing w:after="0"/>
              <w:rPr>
                <w:sz w:val="21"/>
                <w:szCs w:val="21"/>
                <w:color w:val="auto"/>
              </w:rPr>
            </w:pP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7,403</w:t>
            </w:r>
          </w:p>
        </w:tc>
        <w:tc>
          <w:tcPr>
            <w:tcW w:w="100" w:type="dxa"/>
            <w:vAlign w:val="bottom"/>
          </w:tcPr>
          <w:p>
            <w:pPr>
              <w:spacing w:after="0"/>
              <w:rPr>
                <w:sz w:val="21"/>
                <w:szCs w:val="21"/>
                <w:color w:val="auto"/>
              </w:rPr>
            </w:pP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304,501</w:t>
            </w:r>
          </w:p>
        </w:tc>
        <w:tc>
          <w:tcPr>
            <w:tcW w:w="100" w:type="dxa"/>
            <w:vAlign w:val="bottom"/>
          </w:tcPr>
          <w:p>
            <w:pPr>
              <w:spacing w:after="0"/>
              <w:rPr>
                <w:sz w:val="21"/>
                <w:szCs w:val="21"/>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2,897</w:t>
            </w:r>
          </w:p>
        </w:tc>
      </w:tr>
      <w:tr>
        <w:trPr>
          <w:trHeight w:val="270"/>
        </w:trPr>
        <w:tc>
          <w:tcPr>
            <w:tcW w:w="32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1,242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1,040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3,731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3,201</w:t>
            </w:r>
          </w:p>
        </w:tc>
      </w:tr>
      <w:tr>
        <w:trPr>
          <w:trHeight w:val="274"/>
        </w:trPr>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266</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w:t>
            </w:r>
          </w:p>
        </w:tc>
      </w:tr>
      <w:tr>
        <w:trPr>
          <w:trHeight w:val="237"/>
        </w:trPr>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(29,269)</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6,097</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300,867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ectPr>
          <w:pgSz w:w="11900" w:h="16838" w:orient="portrait"/>
          <w:cols w:equalWidth="0" w:num="2">
            <w:col w:w="6240" w:space="280"/>
            <w:col w:w="4900"/>
          </w:cols>
          <w:pgMar w:left="240" w:top="360" w:right="239" w:bottom="1440" w:gutter="0" w:footer="0" w:header="0"/>
          <w:type w:val="continuous"/>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6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74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1660" w:type="dxa"/>
            <w:vAlign w:val="bottom"/>
            <w:gridSpan w:val="4"/>
          </w:tcPr>
          <w:p>
            <w:pPr>
              <w:ind w:left="60"/>
              <w:spacing w:after="0"/>
              <w:rPr>
                <w:sz w:val="20"/>
                <w:szCs w:val="20"/>
                <w:color w:val="auto"/>
              </w:rPr>
            </w:pPr>
            <w:r>
              <w:rPr>
                <w:rFonts w:ascii="Arial" w:cs="Arial" w:eastAsia="Arial" w:hAnsi="Arial"/>
                <w:sz w:val="14"/>
                <w:szCs w:val="14"/>
                <w:b w:val="1"/>
                <w:bCs w:val="1"/>
                <w:color w:val="auto"/>
              </w:rPr>
              <w:t>Trust Preferred Shares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Accumulated</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Stockholders'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Controlling</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100"/>
              <w:spacing w:after="0" w:line="132" w:lineRule="exact"/>
              <w:rPr>
                <w:sz w:val="20"/>
                <w:szCs w:val="20"/>
                <w:color w:val="auto"/>
              </w:rPr>
            </w:pPr>
            <w:r>
              <w:rPr>
                <w:rFonts w:ascii="Arial" w:cs="Arial" w:eastAsia="Arial" w:hAnsi="Arial"/>
                <w:sz w:val="14"/>
                <w:szCs w:val="14"/>
                <w:b w:val="1"/>
                <w:bCs w:val="1"/>
                <w:color w:val="auto"/>
                <w:w w:val="97"/>
              </w:rPr>
              <w:t>Trust</w:t>
            </w:r>
          </w:p>
        </w:tc>
        <w:tc>
          <w:tcPr>
            <w:tcW w:w="140" w:type="dxa"/>
            <w:vAlign w:val="bottom"/>
          </w:tcPr>
          <w:p>
            <w:pPr>
              <w:spacing w:after="0"/>
              <w:rPr>
                <w:sz w:val="4"/>
                <w:szCs w:val="4"/>
                <w:color w:val="auto"/>
              </w:rPr>
            </w:pPr>
          </w:p>
        </w:tc>
        <w:tc>
          <w:tcPr>
            <w:tcW w:w="900" w:type="dxa"/>
            <w:vAlign w:val="bottom"/>
            <w:gridSpan w:val="2"/>
            <w:vMerge w:val="restart"/>
          </w:tcPr>
          <w:p>
            <w:pPr>
              <w:jc w:val="center"/>
              <w:ind w:right="240"/>
              <w:spacing w:after="0" w:line="132" w:lineRule="exact"/>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00"/>
              <w:spacing w:after="0" w:line="132"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4"/>
                <w:szCs w:val="4"/>
                <w:color w:val="auto"/>
              </w:rPr>
            </w:pPr>
          </w:p>
        </w:tc>
        <w:tc>
          <w:tcPr>
            <w:tcW w:w="880" w:type="dxa"/>
            <w:vAlign w:val="bottom"/>
            <w:gridSpan w:val="2"/>
            <w:vMerge w:val="restart"/>
          </w:tcPr>
          <w:p>
            <w:pPr>
              <w:jc w:val="center"/>
              <w:ind w:right="260"/>
              <w:spacing w:after="0" w:line="132"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4"/>
                <w:szCs w:val="4"/>
                <w:color w:val="auto"/>
              </w:rPr>
            </w:pPr>
          </w:p>
        </w:tc>
        <w:tc>
          <w:tcPr>
            <w:tcW w:w="760" w:type="dxa"/>
            <w:vAlign w:val="bottom"/>
            <w:gridSpan w:val="2"/>
            <w:vMerge w:val="restart"/>
          </w:tcPr>
          <w:p>
            <w:pPr>
              <w:jc w:val="center"/>
              <w:ind w:right="220"/>
              <w:spacing w:after="0" w:line="132"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4"/>
                <w:szCs w:val="4"/>
                <w:color w:val="auto"/>
              </w:rPr>
            </w:pPr>
          </w:p>
        </w:tc>
        <w:tc>
          <w:tcPr>
            <w:tcW w:w="840" w:type="dxa"/>
            <w:vAlign w:val="bottom"/>
            <w:gridSpan w:val="2"/>
            <w:vMerge w:val="restart"/>
          </w:tcPr>
          <w:p>
            <w:pPr>
              <w:jc w:val="center"/>
              <w:ind w:right="260"/>
              <w:spacing w:after="0" w:line="132" w:lineRule="exact"/>
              <w:rPr>
                <w:sz w:val="20"/>
                <w:szCs w:val="20"/>
                <w:color w:val="auto"/>
              </w:rPr>
            </w:pPr>
            <w:r>
              <w:rPr>
                <w:rFonts w:ascii="Arial" w:cs="Arial" w:eastAsia="Arial" w:hAnsi="Arial"/>
                <w:sz w:val="14"/>
                <w:szCs w:val="14"/>
                <w:b w:val="1"/>
                <w:bCs w:val="1"/>
                <w:color w:val="auto"/>
                <w:w w:val="98"/>
              </w:rPr>
              <w:t>Interest</w:t>
            </w:r>
          </w:p>
        </w:tc>
        <w:tc>
          <w:tcPr>
            <w:tcW w:w="200" w:type="dxa"/>
            <w:vAlign w:val="bottom"/>
          </w:tcPr>
          <w:p>
            <w:pPr>
              <w:spacing w:after="0"/>
              <w:rPr>
                <w:sz w:val="4"/>
                <w:szCs w:val="4"/>
                <w:color w:val="auto"/>
              </w:rPr>
            </w:pPr>
          </w:p>
        </w:tc>
        <w:tc>
          <w:tcPr>
            <w:tcW w:w="820" w:type="dxa"/>
            <w:vAlign w:val="bottom"/>
            <w:vMerge w:val="restart"/>
          </w:tcPr>
          <w:p>
            <w:pPr>
              <w:jc w:val="center"/>
              <w:ind w:right="130"/>
              <w:spacing w:after="0" w:line="13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Series A</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B</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Controlling</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Attributable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Shares</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Loss</w:t>
            </w: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to Holdings</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to Disc. Ops.</w:t>
            </w:r>
          </w:p>
        </w:tc>
        <w:tc>
          <w:tcPr>
            <w:tcW w:w="200" w:type="dxa"/>
            <w:vAlign w:val="bottom"/>
          </w:tcPr>
          <w:p>
            <w:pPr>
              <w:spacing w:after="0"/>
              <w:rPr>
                <w:sz w:val="16"/>
                <w:szCs w:val="16"/>
                <w:color w:val="auto"/>
              </w:rPr>
            </w:pPr>
          </w:p>
        </w:tc>
        <w:tc>
          <w:tcPr>
            <w:tcW w:w="820" w:type="dxa"/>
            <w:vAlign w:val="bottom"/>
          </w:tcPr>
          <w:p>
            <w:pPr>
              <w:jc w:val="center"/>
              <w:ind w:right="13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 July 1, 2018</w:t>
            </w:r>
          </w:p>
        </w:tc>
        <w:tc>
          <w:tcPr>
            <w:tcW w:w="72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$ 96,417</w:t>
            </w: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$ 96,504</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$ 924,680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(195,318)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(5,991)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916,292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34,284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19,456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970,032</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4"/>
                <w:szCs w:val="14"/>
                <w:color w:val="auto"/>
              </w:rPr>
              <w:t>4,726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4,726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5,766</w:t>
            </w: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income, net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1,637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1,637</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740" w:type="dxa"/>
            <w:vAlign w:val="bottom"/>
          </w:tcPr>
          <w:p>
            <w:pPr>
              <w:ind w:left="40"/>
              <w:spacing w:after="0"/>
              <w:rPr>
                <w:sz w:val="20"/>
                <w:szCs w:val="20"/>
                <w:color w:val="auto"/>
              </w:rPr>
            </w:pPr>
            <w:r>
              <w:rPr>
                <w:rFonts w:ascii="Arial" w:cs="Arial" w:eastAsia="Arial" w:hAnsi="Arial"/>
                <w:sz w:val="14"/>
                <w:szCs w:val="14"/>
                <w:color w:val="auto"/>
              </w:rPr>
              <w:t>Option activity attributable to</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40"/>
              <w:spacing w:after="0"/>
              <w:rPr>
                <w:sz w:val="20"/>
                <w:szCs w:val="20"/>
                <w:color w:val="auto"/>
              </w:rPr>
            </w:pPr>
            <w:r>
              <w:rPr>
                <w:rFonts w:ascii="Arial" w:cs="Arial" w:eastAsia="Arial" w:hAnsi="Arial"/>
                <w:sz w:val="14"/>
                <w:szCs w:val="14"/>
                <w:color w:val="auto"/>
              </w:rPr>
              <w:t>noncontrolling shareholders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2,529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2,529</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subsidiary stock option exercise</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6,772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6,772</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740" w:type="dxa"/>
            <w:vAlign w:val="bottom"/>
          </w:tcPr>
          <w:p>
            <w:pPr>
              <w:ind w:left="40"/>
              <w:spacing w:after="0"/>
              <w:rPr>
                <w:sz w:val="20"/>
                <w:szCs w:val="20"/>
                <w:color w:val="auto"/>
              </w:rPr>
            </w:pPr>
            <w:r>
              <w:rPr>
                <w:rFonts w:ascii="Arial" w:cs="Arial" w:eastAsia="Arial" w:hAnsi="Arial"/>
                <w:sz w:val="14"/>
                <w:szCs w:val="14"/>
                <w:color w:val="auto"/>
              </w:rPr>
              <w:t>Purchase of noncontrolling interest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(6,372)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(6,372)</w:t>
            </w: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Trust Common Shares</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paid - Trust Preferred</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40"/>
              <w:spacing w:after="0"/>
              <w:rPr>
                <w:sz w:val="20"/>
                <w:szCs w:val="20"/>
                <w:color w:val="auto"/>
              </w:rPr>
            </w:pPr>
            <w:r>
              <w:rPr>
                <w:rFonts w:ascii="Arial" w:cs="Arial" w:eastAsia="Arial" w:hAnsi="Arial"/>
                <w:sz w:val="14"/>
                <w:szCs w:val="14"/>
                <w:color w:val="auto"/>
              </w:rPr>
              <w:t>Shares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(4,773)</w:t>
            </w: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 September 30, 2018</w:t>
            </w:r>
          </w:p>
        </w:tc>
        <w:tc>
          <w:tcPr>
            <w:tcW w:w="7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$ 96,417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$ 96,504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$ 924,680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(216,929)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896,318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37,901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19,808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954,027</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 July 1, 2019</w:t>
            </w: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740" w:type="dxa"/>
            <w:vAlign w:val="bottom"/>
            <w:vMerge w:val="continue"/>
          </w:tcPr>
          <w:p>
            <w:pPr>
              <w:spacing w:after="0"/>
              <w:rPr>
                <w:sz w:val="24"/>
                <w:szCs w:val="24"/>
                <w:color w:val="auto"/>
              </w:rPr>
            </w:pPr>
          </w:p>
        </w:tc>
        <w:tc>
          <w:tcPr>
            <w:tcW w:w="720" w:type="dxa"/>
            <w:vAlign w:val="bottom"/>
            <w:vMerge w:val="restart"/>
          </w:tcPr>
          <w:p>
            <w:pPr>
              <w:jc w:val="right"/>
              <w:ind w:right="50"/>
              <w:spacing w:after="0"/>
              <w:rPr>
                <w:sz w:val="20"/>
                <w:szCs w:val="20"/>
                <w:color w:val="auto"/>
              </w:rPr>
            </w:pPr>
            <w:r>
              <w:rPr>
                <w:rFonts w:ascii="Arial" w:cs="Arial" w:eastAsia="Arial" w:hAnsi="Arial"/>
                <w:sz w:val="14"/>
                <w:szCs w:val="14"/>
                <w:color w:val="auto"/>
              </w:rPr>
              <w:t>$ 96,417</w:t>
            </w:r>
          </w:p>
        </w:tc>
        <w:tc>
          <w:tcPr>
            <w:tcW w:w="120" w:type="dxa"/>
            <w:vAlign w:val="bottom"/>
          </w:tcPr>
          <w:p>
            <w:pPr>
              <w:spacing w:after="0"/>
              <w:rPr>
                <w:sz w:val="24"/>
                <w:szCs w:val="24"/>
                <w:color w:val="auto"/>
              </w:rPr>
            </w:pPr>
          </w:p>
        </w:tc>
        <w:tc>
          <w:tcPr>
            <w:tcW w:w="700" w:type="dxa"/>
            <w:vAlign w:val="bottom"/>
            <w:vMerge w:val="restart"/>
          </w:tcPr>
          <w:p>
            <w:pPr>
              <w:jc w:val="right"/>
              <w:ind w:right="50"/>
              <w:spacing w:after="0"/>
              <w:rPr>
                <w:sz w:val="20"/>
                <w:szCs w:val="20"/>
                <w:color w:val="auto"/>
              </w:rPr>
            </w:pPr>
            <w:r>
              <w:rPr>
                <w:rFonts w:ascii="Arial" w:cs="Arial" w:eastAsia="Arial" w:hAnsi="Arial"/>
                <w:sz w:val="14"/>
                <w:szCs w:val="14"/>
                <w:color w:val="auto"/>
              </w:rPr>
              <w:t>$ 96,504</w:t>
            </w:r>
          </w:p>
        </w:tc>
        <w:tc>
          <w:tcPr>
            <w:tcW w:w="120" w:type="dxa"/>
            <w:vAlign w:val="bottom"/>
          </w:tcPr>
          <w:p>
            <w:pPr>
              <w:spacing w:after="0"/>
              <w:rPr>
                <w:sz w:val="24"/>
                <w:szCs w:val="24"/>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4"/>
                <w:szCs w:val="14"/>
                <w:color w:val="auto"/>
              </w:rPr>
              <w:t>$ 924,680</w:t>
            </w:r>
          </w:p>
        </w:tc>
        <w:tc>
          <w:tcPr>
            <w:tcW w:w="100" w:type="dxa"/>
            <w:vAlign w:val="bottom"/>
          </w:tcPr>
          <w:p>
            <w:pPr>
              <w:spacing w:after="0"/>
              <w:rPr>
                <w:sz w:val="24"/>
                <w:szCs w:val="24"/>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1"/>
              <w:spacing w:after="0"/>
              <w:rPr>
                <w:sz w:val="20"/>
                <w:szCs w:val="20"/>
                <w:color w:val="auto"/>
              </w:rPr>
            </w:pPr>
            <w:r>
              <w:rPr>
                <w:rFonts w:ascii="Arial" w:cs="Arial" w:eastAsia="Arial" w:hAnsi="Arial"/>
                <w:sz w:val="14"/>
                <w:szCs w:val="14"/>
                <w:color w:val="auto"/>
              </w:rPr>
              <w:t>17,715</w:t>
            </w:r>
          </w:p>
        </w:tc>
        <w:tc>
          <w:tcPr>
            <w:tcW w:w="100" w:type="dxa"/>
            <w:vAlign w:val="bottom"/>
          </w:tcPr>
          <w:p>
            <w:pPr>
              <w:spacing w:after="0"/>
              <w:rPr>
                <w:sz w:val="24"/>
                <w:szCs w:val="24"/>
                <w:color w:val="auto"/>
              </w:rPr>
            </w:pP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(4,512)</w:t>
            </w:r>
          </w:p>
        </w:tc>
        <w:tc>
          <w:tcPr>
            <w:tcW w:w="10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1,130,804</w:t>
            </w:r>
          </w:p>
        </w:tc>
        <w:tc>
          <w:tcPr>
            <w:tcW w:w="120" w:type="dxa"/>
            <w:vAlign w:val="bottom"/>
          </w:tcPr>
          <w:p>
            <w:pPr>
              <w:spacing w:after="0"/>
              <w:rPr>
                <w:sz w:val="24"/>
                <w:szCs w:val="24"/>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45,977</w:t>
            </w:r>
          </w:p>
        </w:tc>
        <w:tc>
          <w:tcPr>
            <w:tcW w:w="10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1,176,781</w:t>
            </w: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(26,543)</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Total comprehensive loss, net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 activity attributable to</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shareholders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Purchase of noncontrolling interest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Allocation Interests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(43,313)</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paid - Trust Common Shares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(21,564)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(21,564)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Trust Preferred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 September 30, 2019</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$ 96,417</w:t>
            </w:r>
          </w:p>
        </w:tc>
        <w:tc>
          <w:tcPr>
            <w:tcW w:w="12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$ 96,504</w:t>
            </w:r>
          </w:p>
        </w:tc>
        <w:tc>
          <w:tcPr>
            <w:tcW w:w="12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$ 924,680</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(78,728)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(6,063)</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1,032,810</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47,445</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1,080,255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74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1660" w:type="dxa"/>
            <w:vAlign w:val="bottom"/>
            <w:gridSpan w:val="5"/>
          </w:tcPr>
          <w:p>
            <w:pPr>
              <w:ind w:left="60"/>
              <w:spacing w:after="0"/>
              <w:rPr>
                <w:sz w:val="20"/>
                <w:szCs w:val="20"/>
                <w:color w:val="auto"/>
              </w:rPr>
            </w:pPr>
            <w:r>
              <w:rPr>
                <w:rFonts w:ascii="Arial" w:cs="Arial" w:eastAsia="Arial" w:hAnsi="Arial"/>
                <w:sz w:val="14"/>
                <w:szCs w:val="14"/>
                <w:b w:val="1"/>
                <w:bCs w:val="1"/>
                <w:color w:val="auto"/>
              </w:rPr>
              <w:t>Trust Preferred Shares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Accumulated</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Stockholders'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Controlling</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100"/>
              <w:spacing w:after="0" w:line="132" w:lineRule="exact"/>
              <w:rPr>
                <w:sz w:val="20"/>
                <w:szCs w:val="20"/>
                <w:color w:val="auto"/>
              </w:rPr>
            </w:pPr>
            <w:r>
              <w:rPr>
                <w:rFonts w:ascii="Arial" w:cs="Arial" w:eastAsia="Arial" w:hAnsi="Arial"/>
                <w:sz w:val="14"/>
                <w:szCs w:val="14"/>
                <w:b w:val="1"/>
                <w:bCs w:val="1"/>
                <w:color w:val="auto"/>
                <w:w w:val="97"/>
              </w:rPr>
              <w:t>Trust</w:t>
            </w:r>
          </w:p>
        </w:tc>
        <w:tc>
          <w:tcPr>
            <w:tcW w:w="140" w:type="dxa"/>
            <w:vAlign w:val="bottom"/>
          </w:tcPr>
          <w:p>
            <w:pPr>
              <w:spacing w:after="0"/>
              <w:rPr>
                <w:sz w:val="4"/>
                <w:szCs w:val="4"/>
                <w:color w:val="auto"/>
              </w:rPr>
            </w:pPr>
          </w:p>
        </w:tc>
        <w:tc>
          <w:tcPr>
            <w:tcW w:w="900" w:type="dxa"/>
            <w:vAlign w:val="bottom"/>
            <w:gridSpan w:val="2"/>
            <w:vMerge w:val="restart"/>
          </w:tcPr>
          <w:p>
            <w:pPr>
              <w:jc w:val="center"/>
              <w:ind w:right="240"/>
              <w:spacing w:after="0" w:line="132" w:lineRule="exact"/>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00"/>
              <w:spacing w:after="0" w:line="132"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4"/>
                <w:szCs w:val="4"/>
                <w:color w:val="auto"/>
              </w:rPr>
            </w:pPr>
          </w:p>
        </w:tc>
        <w:tc>
          <w:tcPr>
            <w:tcW w:w="880" w:type="dxa"/>
            <w:vAlign w:val="bottom"/>
            <w:gridSpan w:val="2"/>
            <w:vMerge w:val="restart"/>
          </w:tcPr>
          <w:p>
            <w:pPr>
              <w:jc w:val="center"/>
              <w:ind w:right="260"/>
              <w:spacing w:after="0" w:line="132"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4"/>
                <w:szCs w:val="4"/>
                <w:color w:val="auto"/>
              </w:rPr>
            </w:pPr>
          </w:p>
        </w:tc>
        <w:tc>
          <w:tcPr>
            <w:tcW w:w="760" w:type="dxa"/>
            <w:vAlign w:val="bottom"/>
            <w:gridSpan w:val="2"/>
            <w:vMerge w:val="restart"/>
          </w:tcPr>
          <w:p>
            <w:pPr>
              <w:ind w:left="120"/>
              <w:spacing w:after="0" w:line="132"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4"/>
                <w:szCs w:val="4"/>
                <w:color w:val="auto"/>
              </w:rPr>
            </w:pPr>
          </w:p>
        </w:tc>
        <w:tc>
          <w:tcPr>
            <w:tcW w:w="840" w:type="dxa"/>
            <w:vAlign w:val="bottom"/>
            <w:gridSpan w:val="2"/>
            <w:vMerge w:val="restart"/>
          </w:tcPr>
          <w:p>
            <w:pPr>
              <w:jc w:val="center"/>
              <w:ind w:right="260"/>
              <w:spacing w:after="0" w:line="132" w:lineRule="exact"/>
              <w:rPr>
                <w:sz w:val="20"/>
                <w:szCs w:val="20"/>
                <w:color w:val="auto"/>
              </w:rPr>
            </w:pPr>
            <w:r>
              <w:rPr>
                <w:rFonts w:ascii="Arial" w:cs="Arial" w:eastAsia="Arial" w:hAnsi="Arial"/>
                <w:sz w:val="14"/>
                <w:szCs w:val="14"/>
                <w:b w:val="1"/>
                <w:bCs w:val="1"/>
                <w:color w:val="auto"/>
                <w:w w:val="98"/>
              </w:rPr>
              <w:t>Interest</w:t>
            </w:r>
          </w:p>
        </w:tc>
        <w:tc>
          <w:tcPr>
            <w:tcW w:w="200" w:type="dxa"/>
            <w:vAlign w:val="bottom"/>
          </w:tcPr>
          <w:p>
            <w:pPr>
              <w:spacing w:after="0"/>
              <w:rPr>
                <w:sz w:val="4"/>
                <w:szCs w:val="4"/>
                <w:color w:val="auto"/>
              </w:rPr>
            </w:pPr>
          </w:p>
        </w:tc>
        <w:tc>
          <w:tcPr>
            <w:tcW w:w="820" w:type="dxa"/>
            <w:vAlign w:val="bottom"/>
            <w:vMerge w:val="restart"/>
          </w:tcPr>
          <w:p>
            <w:pPr>
              <w:jc w:val="center"/>
              <w:ind w:right="130"/>
              <w:spacing w:after="0" w:line="13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Series A</w:t>
            </w:r>
          </w:p>
        </w:tc>
        <w:tc>
          <w:tcPr>
            <w:tcW w:w="120" w:type="dxa"/>
            <w:vAlign w:val="bottom"/>
            <w:vMerge w:val="restart"/>
          </w:tcPr>
          <w:p>
            <w:pPr>
              <w:spacing w:after="0"/>
              <w:rPr>
                <w:sz w:val="12"/>
                <w:szCs w:val="12"/>
                <w:color w:val="auto"/>
              </w:rPr>
            </w:pP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Series B</w:t>
            </w:r>
          </w:p>
        </w:tc>
        <w:tc>
          <w:tcPr>
            <w:tcW w:w="120" w:type="dxa"/>
            <w:vAlign w:val="bottom"/>
            <w:vMerge w:val="restart"/>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Controlling</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Attributable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to Holdings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to Disc. Ops.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January 1, 2018</w:t>
            </w:r>
          </w:p>
        </w:tc>
        <w:tc>
          <w:tcPr>
            <w:tcW w:w="7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$ 96,417</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$ 924,680</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(145,316)</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(2,573)</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873,208</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33,709</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19,082</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925,999</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4"/>
                <w:szCs w:val="14"/>
                <w:color w:val="auto"/>
              </w:rPr>
              <w:t>1,477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1,477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2,475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4,678</w:t>
            </w: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loss, net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(1,781)</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740" w:type="dxa"/>
            <w:vAlign w:val="bottom"/>
          </w:tcPr>
          <w:p>
            <w:pPr>
              <w:ind w:left="40"/>
              <w:spacing w:after="0"/>
              <w:rPr>
                <w:sz w:val="20"/>
                <w:szCs w:val="20"/>
                <w:color w:val="auto"/>
              </w:rPr>
            </w:pPr>
            <w:r>
              <w:rPr>
                <w:rFonts w:ascii="Arial" w:cs="Arial" w:eastAsia="Arial" w:hAnsi="Arial"/>
                <w:sz w:val="14"/>
                <w:szCs w:val="14"/>
                <w:color w:val="auto"/>
              </w:rPr>
              <w:t>Issuance of Trust preferred shares, net of</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40"/>
              <w:spacing w:after="0"/>
              <w:rPr>
                <w:sz w:val="20"/>
                <w:szCs w:val="20"/>
                <w:color w:val="auto"/>
              </w:rPr>
            </w:pPr>
            <w:r>
              <w:rPr>
                <w:rFonts w:ascii="Arial" w:cs="Arial" w:eastAsia="Arial" w:hAnsi="Arial"/>
                <w:sz w:val="14"/>
                <w:szCs w:val="14"/>
                <w:color w:val="auto"/>
              </w:rPr>
              <w:t>offering costs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96,504</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96,504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96,504</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 activity attributable to</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shareholders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7,694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7,694</w:t>
            </w:r>
          </w:p>
        </w:tc>
        <w:tc>
          <w:tcPr>
            <w:tcW w:w="0" w:type="dxa"/>
            <w:vAlign w:val="bottom"/>
          </w:tcPr>
          <w:p>
            <w:pPr>
              <w:spacing w:after="0"/>
              <w:rPr>
                <w:sz w:val="1"/>
                <w:szCs w:val="1"/>
                <w:color w:val="auto"/>
              </w:rPr>
            </w:pPr>
          </w:p>
        </w:tc>
      </w:tr>
      <w:tr>
        <w:trPr>
          <w:trHeight w:val="204"/>
        </w:trPr>
        <w:tc>
          <w:tcPr>
            <w:tcW w:w="2740" w:type="dxa"/>
            <w:vAlign w:val="bottom"/>
          </w:tcPr>
          <w:p>
            <w:pPr>
              <w:ind w:left="40"/>
              <w:spacing w:after="0"/>
              <w:rPr>
                <w:sz w:val="20"/>
                <w:szCs w:val="20"/>
                <w:color w:val="auto"/>
              </w:rPr>
            </w:pPr>
            <w:r>
              <w:rPr>
                <w:rFonts w:ascii="Arial" w:cs="Arial" w:eastAsia="Arial" w:hAnsi="Arial"/>
                <w:sz w:val="14"/>
                <w:szCs w:val="14"/>
                <w:color w:val="auto"/>
              </w:rPr>
              <w:t>Effect of subsidiary stock option exercise</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noncontrolling interest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(6,372)</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paid - Trust Common Shares</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(64,692)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(64,692)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(64,692)</w:t>
            </w: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Trust Preferred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(8,398)</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 September 30, 2018</w:t>
            </w: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$ 96,417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96,504</w:t>
            </w:r>
          </w:p>
        </w:tc>
        <w:tc>
          <w:tcPr>
            <w:tcW w:w="1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$ 924,680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(216,929)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(4,354)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896,318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37,901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19,808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954,027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January 1, 2019</w:t>
            </w:r>
          </w:p>
        </w:tc>
        <w:tc>
          <w:tcPr>
            <w:tcW w:w="7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$ 96,417</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96,504</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$ 924,680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(249,453)</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(8,776)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859,372</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39,922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20,048</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919,342</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298,057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298,057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3,997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301,788</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income, net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94"/>
        </w:trPr>
        <w:tc>
          <w:tcPr>
            <w:tcW w:w="2740" w:type="dxa"/>
            <w:vAlign w:val="bottom"/>
          </w:tcPr>
          <w:p>
            <w:pPr>
              <w:ind w:left="40"/>
              <w:spacing w:after="0"/>
              <w:rPr>
                <w:sz w:val="20"/>
                <w:szCs w:val="20"/>
                <w:color w:val="auto"/>
              </w:rPr>
            </w:pPr>
            <w:r>
              <w:rPr>
                <w:rFonts w:ascii="Arial" w:cs="Arial" w:eastAsia="Arial" w:hAnsi="Arial"/>
                <w:sz w:val="14"/>
                <w:szCs w:val="14"/>
                <w:color w:val="auto"/>
              </w:rPr>
              <w:t>Option activity attributable to</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40"/>
              <w:spacing w:after="0"/>
              <w:rPr>
                <w:sz w:val="20"/>
                <w:szCs w:val="20"/>
                <w:color w:val="auto"/>
              </w:rPr>
            </w:pPr>
            <w:r>
              <w:rPr>
                <w:rFonts w:ascii="Arial" w:cs="Arial" w:eastAsia="Arial" w:hAnsi="Arial"/>
                <w:sz w:val="14"/>
                <w:szCs w:val="14"/>
                <w:color w:val="auto"/>
              </w:rPr>
              <w:t>noncontrolling shareholders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4,265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1,939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6,204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subsidiary stock option exercise</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Purchase of noncontrolling interest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Disposition of Manitoba Harvest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(10,799)</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Disposition of Clean Earth</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(10,922)</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Allocation Interests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(51,296)</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paid - Trust Common Shares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(64,692)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(64,692)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(64,692)</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Trust Preferred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(11,344)</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 September 30, 2019</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$ 96,417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96,504</w:t>
            </w:r>
          </w:p>
        </w:tc>
        <w:tc>
          <w:tcPr>
            <w:tcW w:w="12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$ 924,680</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(78,728)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(6,063)</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1,032,810</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47,445</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1,080,255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6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ind w:left="8280"/>
        <w:spacing w:after="0"/>
        <w:rPr>
          <w:sz w:val="20"/>
          <w:szCs w:val="20"/>
          <w:color w:val="auto"/>
        </w:rPr>
      </w:pPr>
      <w:r>
        <w:rPr>
          <w:rFonts w:ascii="Arial" w:cs="Arial" w:eastAsia="Arial" w:hAnsi="Arial"/>
          <w:sz w:val="15"/>
          <w:szCs w:val="15"/>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24130</wp:posOffset>
            </wp:positionV>
            <wp:extent cx="2058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Net income</w:t>
            </w:r>
          </w:p>
        </w:tc>
        <w:tc>
          <w:tcPr>
            <w:tcW w:w="360" w:type="dxa"/>
            <w:vAlign w:val="bottom"/>
            <w:vMerge w:val="restart"/>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301,788</w:t>
            </w:r>
          </w:p>
        </w:tc>
        <w:tc>
          <w:tcPr>
            <w:tcW w:w="100" w:type="dxa"/>
            <w:vAlign w:val="bottom"/>
          </w:tcPr>
          <w:p>
            <w:pPr>
              <w:spacing w:after="0"/>
              <w:rPr>
                <w:sz w:val="18"/>
                <w:szCs w:val="18"/>
                <w:color w:val="auto"/>
              </w:rPr>
            </w:pPr>
          </w:p>
        </w:tc>
        <w:tc>
          <w:tcPr>
            <w:tcW w:w="360" w:type="dxa"/>
            <w:vAlign w:val="bottom"/>
            <w:vMerge w:val="restart"/>
          </w:tcPr>
          <w:p>
            <w:pPr>
              <w:jc w:val="right"/>
              <w:ind w:right="163"/>
              <w:spacing w:after="0"/>
              <w:rPr>
                <w:sz w:val="20"/>
                <w:szCs w:val="20"/>
                <w:color w:val="auto"/>
              </w:rPr>
            </w:pPr>
            <w:r>
              <w:rPr>
                <w:rFonts w:ascii="Arial" w:cs="Arial" w:eastAsia="Arial" w:hAnsi="Arial"/>
                <w:sz w:val="15"/>
                <w:szCs w:val="15"/>
                <w:color w:val="auto"/>
              </w:rPr>
              <w:t>$</w:t>
            </w: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4,678</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from discontinued operations, net of income tax</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16,901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14,931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Gain on sale of discontinued operations</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330,203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1,165</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Loss from continuing operations</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(45,316)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(11,418)</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7900" w:type="dxa"/>
            <w:vAlign w:val="bottom"/>
          </w:tcPr>
          <w:p>
            <w:pPr>
              <w:ind w:left="16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7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Depreciation expense</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24,628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22,826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Amortization expense</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40,632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42,860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Impairment expense</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33,381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Amortization of debt issuance costs and original issue discount</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3,022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3,403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Unrealized (gain) loss on interest rate swap</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3,486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(4,649)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Noncontrolling stockholder stock based compensation</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4,265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5,973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Provision for loss on receivables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2,539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481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Deferred taxes</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(2,208)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Loss on debt extinguishment</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5,038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Other</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853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(431)</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Changes in operating assets and liabilities, net of acquisitions: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Accounts receivable</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(19,187)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(28,181)</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Inventories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(24,863)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(26,514)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Other current and non-current assets</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(11,826)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(4,786)</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Accounts payable and accrued expenses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27,278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35,805</w:t>
            </w:r>
          </w:p>
        </w:tc>
        <w:tc>
          <w:tcPr>
            <w:tcW w:w="0" w:type="dxa"/>
            <w:vAlign w:val="bottom"/>
          </w:tcPr>
          <w:p>
            <w:pPr>
              <w:spacing w:after="0"/>
              <w:rPr>
                <w:sz w:val="1"/>
                <w:szCs w:val="1"/>
                <w:color w:val="auto"/>
              </w:rPr>
            </w:pPr>
          </w:p>
        </w:tc>
      </w:tr>
      <w:tr>
        <w:trPr>
          <w:trHeight w:val="188"/>
        </w:trPr>
        <w:tc>
          <w:tcPr>
            <w:tcW w:w="7900" w:type="dxa"/>
            <w:vAlign w:val="bottom"/>
          </w:tcPr>
          <w:p>
            <w:pPr>
              <w:ind w:left="700"/>
              <w:spacing w:after="0"/>
              <w:rPr>
                <w:sz w:val="20"/>
                <w:szCs w:val="20"/>
                <w:color w:val="auto"/>
              </w:rPr>
            </w:pPr>
            <w:r>
              <w:rPr>
                <w:rFonts w:ascii="Arial" w:cs="Arial" w:eastAsia="Arial" w:hAnsi="Arial"/>
                <w:sz w:val="15"/>
                <w:szCs w:val="15"/>
                <w:color w:val="auto"/>
              </w:rPr>
              <w:t>Cash provided by operating activities - continuing operations</w:t>
            </w:r>
          </w:p>
        </w:tc>
        <w:tc>
          <w:tcPr>
            <w:tcW w:w="360" w:type="dxa"/>
            <w:vAlign w:val="bottom"/>
          </w:tcPr>
          <w:p>
            <w:pPr>
              <w:spacing w:after="0"/>
              <w:rPr>
                <w:sz w:val="16"/>
                <w:szCs w:val="16"/>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41,722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36,090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Cash (used in) provided by operating activities - discontinued operations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(10,138)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22,682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700"/>
              <w:spacing w:after="0"/>
              <w:rPr>
                <w:sz w:val="20"/>
                <w:szCs w:val="20"/>
                <w:color w:val="auto"/>
              </w:rPr>
            </w:pPr>
            <w:r>
              <w:rPr>
                <w:rFonts w:ascii="Arial" w:cs="Arial" w:eastAsia="Arial" w:hAnsi="Arial"/>
                <w:sz w:val="15"/>
                <w:szCs w:val="15"/>
                <w:color w:val="auto"/>
              </w:rPr>
              <w:t>Cash provided by operating activities</w:t>
            </w:r>
          </w:p>
        </w:tc>
        <w:tc>
          <w:tcPr>
            <w:tcW w:w="360" w:type="dxa"/>
            <w:vAlign w:val="bottom"/>
          </w:tcPr>
          <w:p>
            <w:pPr>
              <w:spacing w:after="0"/>
              <w:rPr>
                <w:sz w:val="16"/>
                <w:szCs w:val="16"/>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31,584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58,772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Acquisitions, net of cash acquired</w:t>
            </w:r>
          </w:p>
        </w:tc>
        <w:tc>
          <w:tcPr>
            <w:tcW w:w="360" w:type="dxa"/>
            <w:vAlign w:val="bottom"/>
          </w:tcPr>
          <w:p>
            <w:pPr>
              <w:spacing w:after="0"/>
              <w:rPr>
                <w:sz w:val="18"/>
                <w:szCs w:val="18"/>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(495,136)</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Purchases of property and equipment</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(21,964)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(34,690)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Payment of interest rate swap</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(675)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(1,444)</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Proceeds from sale of businesses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501,895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Other investing activities</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1,673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Cash provided by (used in) investing activities - continuing operations</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480,929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(531,279)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700"/>
              <w:spacing w:after="0"/>
              <w:rPr>
                <w:sz w:val="20"/>
                <w:szCs w:val="20"/>
                <w:color w:val="auto"/>
              </w:rPr>
            </w:pPr>
            <w:r>
              <w:rPr>
                <w:rFonts w:ascii="Arial" w:cs="Arial" w:eastAsia="Arial" w:hAnsi="Arial"/>
                <w:sz w:val="15"/>
                <w:szCs w:val="15"/>
                <w:color w:val="auto"/>
              </w:rPr>
              <w:t>Cash provided by (used in) investing activities - discontinued operations</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279,219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(63,426)</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Cash provided by (used in) investing activities</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760,148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(594,705)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40"/>
          </w:cols>
          <w:pgMar w:left="380" w:top="1197" w:right="379" w:bottom="1440" w:gutter="0" w:footer="0" w:header="0"/>
        </w:sectPr>
      </w:pPr>
    </w:p>
    <w:bookmarkStart w:id="10" w:name="page11"/>
    <w:bookmarkEnd w:id="10"/>
    <w:p>
      <w:pPr>
        <w:jc w:val="center"/>
        <w:ind w:right="-131"/>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131"/>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72"/>
          </w:cols>
          <w:pgMar w:left="248" w:top="549" w:right="37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72"/>
        <w:spacing w:after="0"/>
        <w:rPr>
          <w:sz w:val="20"/>
          <w:szCs w:val="20"/>
          <w:color w:val="auto"/>
        </w:rPr>
      </w:pPr>
      <w:r>
        <w:rPr>
          <w:rFonts w:ascii="Arial" w:cs="Arial" w:eastAsia="Arial" w:hAnsi="Arial"/>
          <w:sz w:val="14"/>
          <w:szCs w:val="14"/>
          <w:i w:val="1"/>
          <w:iCs w:val="1"/>
          <w:color w:val="auto"/>
        </w:rPr>
        <w:t>(in thousands)</w:t>
      </w:r>
    </w:p>
    <w:p>
      <w:pPr>
        <w:spacing w:after="0" w:line="62" w:lineRule="exact"/>
        <w:rPr>
          <w:sz w:val="20"/>
          <w:szCs w:val="20"/>
          <w:color w:val="auto"/>
        </w:rPr>
      </w:pPr>
    </w:p>
    <w:p>
      <w:pPr>
        <w:ind w:left="172"/>
        <w:spacing w:after="0"/>
        <w:rPr>
          <w:sz w:val="20"/>
          <w:szCs w:val="20"/>
          <w:color w:val="auto"/>
        </w:rPr>
      </w:pPr>
      <w:r>
        <w:rPr>
          <w:rFonts w:ascii="Arial" w:cs="Arial" w:eastAsia="Arial" w:hAnsi="Arial"/>
          <w:sz w:val="15"/>
          <w:szCs w:val="15"/>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50165</wp:posOffset>
            </wp:positionV>
            <wp:extent cx="707517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82" w:lineRule="exact"/>
        <w:rPr>
          <w:sz w:val="20"/>
          <w:szCs w:val="20"/>
          <w:color w:val="auto"/>
        </w:rPr>
      </w:pPr>
    </w:p>
    <w:p>
      <w:pPr>
        <w:ind w:left="292"/>
        <w:spacing w:after="0"/>
        <w:rPr>
          <w:sz w:val="20"/>
          <w:szCs w:val="20"/>
          <w:color w:val="auto"/>
        </w:rPr>
      </w:pPr>
      <w:r>
        <w:rPr>
          <w:rFonts w:ascii="Arial" w:cs="Arial" w:eastAsia="Arial" w:hAnsi="Arial"/>
          <w:sz w:val="15"/>
          <w:szCs w:val="15"/>
          <w:color w:val="auto"/>
        </w:rPr>
        <w:t>Proceeds from the issuance of Trust preferred shares, net</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Borrowings under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Repayments under credit facility</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Issuance of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common shares</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allocation interests</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Net proceeds provided by noncontrolling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Repurchases of subsidiary stock</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Other</w:t>
      </w:r>
    </w:p>
    <w:p>
      <w:pPr>
        <w:spacing w:after="0" w:line="98" w:lineRule="exact"/>
        <w:rPr>
          <w:sz w:val="20"/>
          <w:szCs w:val="20"/>
          <w:color w:val="auto"/>
        </w:rPr>
      </w:pPr>
    </w:p>
    <w:p>
      <w:pPr>
        <w:ind w:left="832"/>
        <w:spacing w:after="0"/>
        <w:rPr>
          <w:sz w:val="20"/>
          <w:szCs w:val="20"/>
          <w:color w:val="auto"/>
        </w:rPr>
      </w:pPr>
      <w:r>
        <w:rPr>
          <w:rFonts w:ascii="Arial" w:cs="Arial" w:eastAsia="Arial" w:hAnsi="Arial"/>
          <w:sz w:val="15"/>
          <w:szCs w:val="15"/>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Foreign currency impact on cash</w:t>
      </w:r>
    </w:p>
    <w:p>
      <w:pPr>
        <w:spacing w:after="0" w:line="98" w:lineRule="exact"/>
        <w:rPr>
          <w:sz w:val="20"/>
          <w:szCs w:val="20"/>
          <w:color w:val="auto"/>
        </w:rPr>
      </w:pPr>
    </w:p>
    <w:p>
      <w:pPr>
        <w:jc w:val="right"/>
        <w:ind w:right="2840"/>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 xml:space="preserve">Cash and cash equivalents — beginning of period </w:t>
      </w:r>
      <w:r>
        <w:rPr>
          <w:rFonts w:ascii="Arial" w:cs="Arial" w:eastAsia="Arial" w:hAnsi="Arial"/>
          <w:sz w:val="12"/>
          <w:szCs w:val="12"/>
          <w:color w:val="auto"/>
        </w:rPr>
        <w:t>(1)</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2058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91" w:lineRule="exact"/>
        <w:rPr>
          <w:sz w:val="20"/>
          <w:szCs w:val="20"/>
          <w:color w:val="auto"/>
        </w:rPr>
      </w:pPr>
    </w:p>
    <w:p>
      <w:pPr>
        <w:ind w:left="620"/>
        <w:spacing w:after="0"/>
        <w:tabs>
          <w:tab w:leader="none" w:pos="2280"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20580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96,504</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108,000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1,252,750</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(533,500)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(1,125,473)</w:t>
            </w:r>
          </w:p>
        </w:tc>
      </w:tr>
      <w:tr>
        <w:trPr>
          <w:trHeight w:val="270"/>
        </w:trPr>
        <w:tc>
          <w:tcPr>
            <w:tcW w:w="4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400,000</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(64,692)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(64,692)</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(11,344)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(8,398)</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(51,296)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395</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(778)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(6,372)</w:t>
            </w:r>
          </w:p>
        </w:tc>
      </w:tr>
      <w:tr>
        <w:trPr>
          <w:trHeight w:val="270"/>
        </w:trPr>
        <w:tc>
          <w:tcPr>
            <w:tcW w:w="4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(14,887)</w:t>
            </w:r>
          </w:p>
        </w:tc>
      </w:tr>
      <w:tr>
        <w:trPr>
          <w:trHeight w:val="274"/>
        </w:trPr>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(3,549)</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1,461</w:t>
            </w:r>
          </w:p>
        </w:tc>
      </w:tr>
      <w:tr>
        <w:trPr>
          <w:trHeight w:val="250"/>
        </w:trPr>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(557,118)</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531,288</w:t>
            </w:r>
          </w:p>
        </w:tc>
      </w:tr>
      <w:tr>
        <w:trPr>
          <w:trHeight w:val="246"/>
        </w:trPr>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916</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232,512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(3,729)</w:t>
            </w:r>
          </w:p>
        </w:tc>
      </w:tr>
      <w:tr>
        <w:trPr>
          <w:trHeight w:val="274"/>
        </w:trPr>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53,326</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39,885</w:t>
            </w:r>
          </w:p>
        </w:tc>
      </w:tr>
      <w:tr>
        <w:trPr>
          <w:trHeight w:val="237"/>
        </w:trPr>
        <w:tc>
          <w:tcPr>
            <w:tcW w:w="4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285,838</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36,156</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12" w:space="720"/>
            <w:col w:w="3240"/>
          </w:cols>
          <w:pgMar w:left="248" w:top="549" w:right="379" w:bottom="1440" w:gutter="0" w:footer="0" w:header="0"/>
          <w:type w:val="continuous"/>
        </w:sectPr>
      </w:pPr>
    </w:p>
    <w:p>
      <w:pPr>
        <w:spacing w:after="0" w:line="201" w:lineRule="exact"/>
        <w:rPr>
          <w:sz w:val="20"/>
          <w:szCs w:val="20"/>
          <w:color w:val="auto"/>
        </w:rPr>
      </w:pPr>
    </w:p>
    <w:p>
      <w:pPr>
        <w:ind w:left="172" w:hanging="172"/>
        <w:spacing w:after="0"/>
        <w:tabs>
          <w:tab w:leader="none" w:pos="172" w:val="left"/>
        </w:tabs>
        <w:numPr>
          <w:ilvl w:val="0"/>
          <w:numId w:val="5"/>
        </w:numPr>
        <w:rPr>
          <w:rFonts w:ascii="Arial" w:cs="Arial" w:eastAsia="Arial" w:hAnsi="Arial"/>
          <w:sz w:val="21"/>
          <w:szCs w:val="21"/>
          <w:b w:val="1"/>
          <w:bCs w:val="1"/>
          <w:color w:val="auto"/>
          <w:vertAlign w:val="superscript"/>
        </w:rPr>
      </w:pPr>
      <w:r>
        <w:rPr>
          <w:rFonts w:ascii="Arial" w:cs="Arial" w:eastAsia="Arial" w:hAnsi="Arial"/>
          <w:sz w:val="15"/>
          <w:szCs w:val="15"/>
          <w:color w:val="auto"/>
        </w:rPr>
        <w:t>Includes cash from discontinued operations of $4.6 million at January 1, 2019 and $4.2 million at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31"/>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8" w:lineRule="exact"/>
        <w:rPr>
          <w:sz w:val="20"/>
          <w:szCs w:val="20"/>
          <w:color w:val="auto"/>
        </w:rPr>
      </w:pPr>
    </w:p>
    <w:p>
      <w:pPr>
        <w:jc w:val="center"/>
        <w:ind w:right="-13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72"/>
          </w:cols>
          <w:pgMar w:left="248" w:top="549" w:right="37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a Delaware statutory trust (the "Trust" or "Holdings") and Compass Group Diversified Holdings LLC, a Delaware limited liability company (the "Company"), were formed to acquire and manage a group of small and middle-market businesses headquartered in North America. In accordance with the second amended and restated Trust Agreement, dated as of December 6, 2016 (as amended and restated, the "Trust Agreement"), the Trust is sole owner of 100% of the Trust Interests (as defined in the Company’s fifth amended and restated operating agreement, dated as of December 6, 2016 (as amended and restated, the "LLC Agreement")) of the Company and, pursuant to the LLC Agreement, the Company has, outstanding, the identical number of Trust Interests as the number of outstanding shares of the Trust. The Company is the operating entity with a board of directors and other corporate governance responsibilities, similar to that of a Delaware corporation.</w:t>
      </w:r>
    </w:p>
    <w:p>
      <w:pPr>
        <w:spacing w:after="0" w:line="152"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 is a controlling owner of eight businesses, or reportable operating segments, at September 30, 2019. The segments are as follows: 5.11 Acquisition Corp. ("5.11" or "5.11 Tactical"), Velocity Outdoor, Inc. (formerly Crosman Corp.) ("Velocity Outdoor" or "Velocity"), The Ergo Baby Carrier, Inc. ("Ergobaby"), Liberty Safe and Security Products, Inc. ("Liberty Safe" or "Liberty"), Compass AC Holdings, Inc. ("ACI" or "Advanced Circuits"), AMT Acquisition Corporation ("Arnold"), FFI Compass, Inc. ("Foam Fabricators" or "Foam") and The Sterno Group, LLC ("Sterno"). Refer to </w:t>
      </w:r>
      <w:hyperlink w:anchor="page19">
        <w:r>
          <w:rPr>
            <w:rFonts w:ascii="Arial" w:cs="Arial" w:eastAsia="Arial" w:hAnsi="Arial"/>
            <w:sz w:val="18"/>
            <w:szCs w:val="18"/>
            <w:u w:val="single" w:color="auto"/>
            <w:color w:val="0000EE"/>
          </w:rPr>
          <w:t>Note E - "Operating Segment Data"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the operating segments. Compass Group Management LLC, a Delaware limited liability company ("CGM" or the "Manager"), manages the day to day operations of the Company and oversees the management and operations of our businesses pursuant to a Management Services Agreement ("MSA").</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for the three and nine month periods ended September 30, 2019 and September 30, 2018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These interim condensed consolidated financial statements should be read in conjunction with the consolidated financial statements and accompanying notes included in the Company’s Annual Report on Form 10-K for the year ended December 31,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condensed consolidated financial statements include the accounts of Holdings and all majority owned subsidiaries. All significant intercompany transactions and balances have been eliminated in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35"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During the first quarter of 2019, the Company completed the sale of Fresh Hemp Foods Ltd. ("Manitoba Harvest"). Additionally, during the second quarter of 2019, the Company completed the sale of Clean Earth Holdings, Inc. ("Clean Earth"). The results of operations of Manitoba Harvest and Clean Earth are reported as discontinued operations in the condensed consolidated statements of operations for the nine months ended September 30, 2019. Refer to </w:t>
      </w:r>
      <w:hyperlink w:anchor="page15">
        <w:r>
          <w:rPr>
            <w:rFonts w:ascii="Arial" w:cs="Arial" w:eastAsia="Arial" w:hAnsi="Arial"/>
            <w:sz w:val="18"/>
            <w:szCs w:val="18"/>
            <w:u w:val="single" w:color="auto"/>
            <w:color w:val="0000EE"/>
          </w:rPr>
          <w:t>Note C - "Discontinued Operations"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Unless otherwise indicated, the disclosures accompanying the condensed consolidated financial statements reflect the Company's continuing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6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January 1, 2019, the Company adopted Accounting Standards Update ("ASU") No. 2016-02, Leases ("Topic 842"). The new standard requires an entity to recognize right-of-use assets and lease liabilities on its balance sheet and disclose key information about leasing arrangements. The standard update offers specific accounting guidance for a lessee, a lessor and sale and leaseback transactions. Lessees and lessors are required to disclose qualitative and quantitative information about leasing arrangements to enable a user of financial statements to assess the amount, timing and uncertainty of cash flows arising from leases. In July 2018, the Financial Accounting Standards Board ("FASB") issued two updates to Topic 842 to clarify how to apply certain aspects of the new lease standard, and to give entities another option for transition and to provide lessors with a practical expedient to reduce the cost and complexity of implementing the new standard. The transition option allows entities to not apply the new lease standard in the comparative periods presented in the financial statements in the year of adoption. The Company adopted the new standard using the optional transition method. The reported results for reporting periods after January 1, 2019 are presented under the new lease guidance while prior period amounts were prepared under the previous lease guidance.</w:t>
      </w:r>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new standard provides a number of optional practical expedients in transition. The Company elected to use the package of practical expedients that allows us to not reassess: (i) whether any expired or existing contracts are or contain leases, (ii) lease classification for any expired or existing leases and (iii) initial direct costs for any expired or existing leases. We additionally elected to use the practical expedient that allows lessees to treat the lease and non-lease components of leases as a single lease component and the practical expedient pertaining to land easements. In addition, the new standard provides for an accounting election that permits a lessee to elect not to apply the recognition requirements of Topic 842 to short-term leases by class of underlying asset. The Company adopted this accounting election for all classes of assets.</w:t>
      </w:r>
    </w:p>
    <w:p>
      <w:pPr>
        <w:spacing w:after="0" w:line="261"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The Company has performed an assessment of the impact of the adoption of Topic 842 on the Company's consolidated financial position and results of operations for the Company's leases, which consist of manufacturing facilities, warehouses, office facilities, retail stores, equipment and vehicle leases. The adoption of the new lease standard on January 1, 2019 resulted in the recognition of right-of-use assets of approximately $90.6 million and lease liabilities for operating leases of approximately $97.4 million on our Consolidated Balance Sheets, with no material impact to its Consolidated Statements of Operations or Consolidated Statement of Cash Flows. We implemented processes and a lease accounting system to ensure adequate internal controls were in place to assess our leasing arrangements and enable proper accounting and reporting of financial information upon adoption. No cumulative effect adjustment was recognized as the amount was not material. Refer to "</w:t>
      </w:r>
      <w:hyperlink w:anchor="page34">
        <w:r>
          <w:rPr>
            <w:rFonts w:ascii="Arial" w:cs="Arial" w:eastAsia="Arial" w:hAnsi="Arial"/>
            <w:sz w:val="18"/>
            <w:szCs w:val="18"/>
            <w:u w:val="single" w:color="auto"/>
            <w:color w:val="0000EE"/>
          </w:rPr>
          <w:t>Note O - Commitments and Contingencies</w:t>
        </w:r>
      </w:hyperlink>
      <w:r>
        <w:rPr>
          <w:rFonts w:ascii="Arial" w:cs="Arial" w:eastAsia="Arial" w:hAnsi="Arial"/>
          <w:sz w:val="18"/>
          <w:szCs w:val="18"/>
          <w:color w:val="auto"/>
        </w:rPr>
        <w:t>" for additional information regarding the Company's adoption of Topic 842.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the FASB issued ASU No. 2016-13, Financial Instruments—Credit Losses, which will require companies to present assets held at amortized cost and available for sale debt securities net of the amount expected to be collected. The guidance requires the measurement of expected credit losses to be based on relevant information from past events, including historical experiences, current conditions and reasonable and supportable forecasts that affect collectibility. The guidance will be effective for fiscal years and interim periods beginning after December 15, 2019 and early adoption is permitted. The adoption of this guidance is not expected to have a material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Foam Fabricators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15, 2018, pursuant to an agreement entered into on January 18, 2018, the Company, through a wholly owned subsidiary, FFI Compass, Inc. (“Buyer”), entered into a Stock Purchase Agreement (the “Purchase Agreement”) with Warren F. Florkiewicz (“Seller”) pursuant to which Buyer acquired all of the issued and outstanding capital stock of Foam Fabricators, Inc., a Delaware corporation (“Foam Fabricators”). Foam Fabricators is a leading designer and manufacturer of custom molded protective foam solutions and original equipment manufacturer ("OEM") components made from expanded polymers such as expanded polystyrene (EPS) and expanded polypropylene (EPP). Founded in 1957 and headquartered in Scottsdale, Arizona, it operates 13 molding and fabricating facilities across North America and provides products to a variety of end-markets, including appliances and electronics, pharmaceuticals, health and wellness, automotive, building and other products.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26" w:right="239" w:bottom="1440" w:gutter="0" w:footer="0" w:header="0"/>
        </w:sectPr>
      </w:pPr>
    </w:p>
    <w:bookmarkStart w:id="13" w:name="page14"/>
    <w:bookmarkEnd w:id="13"/>
    <w:p>
      <w:pPr>
        <w:jc w:val="both"/>
        <w:spacing w:after="0" w:line="252" w:lineRule="auto"/>
        <w:rPr>
          <w:sz w:val="20"/>
          <w:szCs w:val="20"/>
          <w:color w:val="auto"/>
        </w:rPr>
      </w:pPr>
      <w:r>
        <w:rPr>
          <w:rFonts w:ascii="Arial" w:cs="Arial" w:eastAsia="Arial" w:hAnsi="Arial"/>
          <w:sz w:val="18"/>
          <w:szCs w:val="18"/>
          <w:color w:val="auto"/>
        </w:rPr>
        <w:t>The Company made loans to, and purchased a 100% controlling interest in Foam Fabricators. The final purchase price, after the working capital settlement and net of transaction costs, was approximately $253.4 million. The Company funded the acquisition through a draw on the 2014 Revolving Credit Facility. The transaction was accounted for as a business combination. CGM acted as an advisor to the Company in the acquisition and provided integration services during the first year of the Company's ownership. CGM received integration service fees of $2.25 million payable over a twelve month period as services were rendered. The Company incurred $1.6 million of transaction costs in conjunction with the Foam Fabricators acquisition, which was included in selling, general and administrative expense in the consolidated results of operations in the quarter ended March 31, 2018. The results of operations of Foam Fabricators have been included in the consolidated results of operations since the date of acquisition. Foam Fabricator's results of operations are reported as a separate operating segment.</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which was finalized during the fourth quarter of 2018, was based upon management's estimate of the fair values using valuation techniques including income, cost and market approaches. In estimating the fair value of the acquired assets and assumed liabilities, the fair value estimates were based on, but not limited to, expected future revenue and cash flows, expected future growth rates and estimated discount rates. Current and noncurrent assets and current and other liabilities were estimated at their historical carrying values. Property, plant and equipment was valued through a purchase price appraisal and will be depreciated on a straight-line basis over the respective remaining useful lives. Goodwill was calculated as the excess of the consideration transferred over the fair value of the identifiable net assets and represents the future economic benefits expected to arise from other intangible assets acquired that do not qualify for separate recognition, including assembled workforce and non-contractual relationships, as well as expected future synergies. The tradename was valued at $4.2 million using a relief from royalty methodology, in which an asset is valuable to the extent that the ownership of the asset relieves the company from the obligation of paying royalties for the benefits generated by the asset. The customer relationships intangible asset was valued at $114.1 million using an excess earnings methodology, in which an asset is valuable to the extent it enables its owners to earn a return in excess of the required returns on the other assets utilized in the business. The customer relationships intangible asset was derived using a risk adjusted discount rate.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Rimports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26, 2018, the Company's Sterno subsidiary acquired all of the issued and outstanding capital stock of Rimports, Inc., a Utah corporation (“Rimports”), pursuant to a Stock Purchase Agreement, dated January 23, 2018, by and among Sterno and Jeffery W. Palmer, individually and in his capacity as Seller Representative, the Jeffery Wayne Palmer Dynasty Trust dated December 26, 2011, the Angela Marie Palmer Irrevocable Trust dated December 26, 2011, the Angela Marie Palmer Charitable Lead Trust, the Fidelity Investments Charitable Gift Fund, the TAK Irrevocable Trust dated June 7, 2012, and the SAK Irrevocable Trust dated June 7, 2012. Headquartered in Provo, Utah, Rimports is a manufacturer and distributor of branded and private label scented wickless candle products used for home décor and fragrance. Rimports offers an extensive line of wax warmers, scented wax cubes, essential oils and diffusers, and other home fragrance systems, through the mass retailer channel.</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Sterno purchased a 100% controlling interest in Rimports. The purchase price, after the working capital settlement and net of transaction costs, was approximately $154.4 million. The purchase price of Rimports included a potential earn-out of up to $25 million contingent on the attainment of certain future performance criteria of Rimports for the twelve-month period from May 1, 2017 to April 30, 2018 and the fourteen month period from March 1, 2018 to April 30, 2019. The fair value of the contingent consideration was estimated at $ 4.8 million. Sterno funded the acquisition through their intercompany credit facility with the Company. The transaction was accounted for as a business combination. Sterno incurred $0.6 million of transaction costs in conjunction with the acquisition of Rimports, which was included in selling, general and administrative expense in the consolidated results of operations in the quarter ended March 31, 2018. The results of operations of Rimports have been included in the consolidated results of operations since the date of acquisition. Rimport's results of operations are included in the Sterno operating segment.</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which was finalized during the fourth quarter of 2018, was based upon management's estimate of the fair values using valuation techniques including income, cost and market approaches. In estimating the fair value of the acquired assets and assumed liabilities, the fair value estimates were based on, but not limited to, expected future revenue and cash flows, expected future growth rates and estimated discount rates. Current and noncurrent assets and current and other liabilities were estimated at their historical carrying values. Property, plant and equipment was valued through a purchase price appraisal and will be depreciated on a straight-line basis over the respective remaining useful lives. Goodwill was calculated as the excess of the consideration transferred over the fair value of the identifiable net assets and represents the future economic benefits expected to arise from other intangible assets acquired that do not qualify for separate recognition, including assembled workforce and non-contractual relationships, as well as expected future synergies. The tradename was valued at $6.6 million using a relief from royalty methodology, in which an asset is valuable to the extent that the ownership of the asset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90" w:right="239" w:bottom="1440" w:gutter="0" w:footer="0" w:header="0"/>
        </w:sectPr>
      </w:pPr>
    </w:p>
    <w:bookmarkStart w:id="14" w:name="page15"/>
    <w:bookmarkEnd w:id="14"/>
    <w:p>
      <w:pPr>
        <w:jc w:val="both"/>
        <w:spacing w:after="0" w:line="254" w:lineRule="auto"/>
        <w:rPr>
          <w:sz w:val="20"/>
          <w:szCs w:val="20"/>
          <w:color w:val="auto"/>
        </w:rPr>
      </w:pPr>
      <w:r>
        <w:rPr>
          <w:rFonts w:ascii="Arial" w:cs="Arial" w:eastAsia="Arial" w:hAnsi="Arial"/>
          <w:sz w:val="18"/>
          <w:szCs w:val="18"/>
          <w:color w:val="auto"/>
        </w:rPr>
        <w:t>relieves the company from the obligation of paying royalties for the benefits generated by the asset. The customer relationships intangible asset was valued at $79.1 million using an excess earnings methodology, in which an asset is valuable to the extent it enables its owners to earn a return in excess of the required returns on the other assets utilized in the business. The customer relationships intangible asset was derived using a risk adjusted discount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unaudited pro forma data for the nine months ended September 30, 2018 gives effect to the acquisition of Foam Fabricators and Sterno's acquisition of Rimports, as described above, and the disposition of Manitoba Harvest and Clean Earth, as if these transactions had been completed as of January 1, 2018. The pro forma data gives effect to historical operating results with adjustments to interest expense, amortization and depreciation expense, management fees and related tax effects. The information is provided for illustrative purposes only and is not necessarily indicative of the operating results that would have occurred if the transaction had been consummated on the date indicated, nor is it necessarily indicative of future operating results of the consolidated companies and should not be construed as representing results for any future period.</w:t>
      </w:r>
    </w:p>
    <w:p>
      <w:pPr>
        <w:spacing w:after="0" w:line="298" w:lineRule="exact"/>
        <w:rPr>
          <w:sz w:val="20"/>
          <w:szCs w:val="20"/>
          <w:color w:val="auto"/>
        </w:rPr>
      </w:pPr>
    </w:p>
    <w:tbl>
      <w:tblPr>
        <w:tblLayout w:type="fixed"/>
        <w:tblInd w:w="216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Pr>
          <w:p>
            <w:pPr>
              <w:jc w:val="right"/>
              <w:ind w:right="299"/>
              <w:spacing w:after="0"/>
              <w:rPr>
                <w:sz w:val="20"/>
                <w:szCs w:val="20"/>
                <w:color w:val="auto"/>
              </w:rPr>
            </w:pPr>
            <w:r>
              <w:rPr>
                <w:rFonts w:ascii="Arial" w:cs="Arial" w:eastAsia="Arial" w:hAnsi="Arial"/>
                <w:sz w:val="16"/>
                <w:szCs w:val="16"/>
                <w:b w:val="1"/>
                <w:bCs w:val="1"/>
                <w:color w:val="auto"/>
              </w:rPr>
              <w:t>Nine months ended</w:t>
            </w:r>
          </w:p>
        </w:tc>
      </w:tr>
      <w:tr>
        <w:trPr>
          <w:trHeight w:val="228"/>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September 30, 2018</w:t>
            </w:r>
          </w:p>
        </w:tc>
      </w:tr>
      <w:tr>
        <w:trPr>
          <w:trHeight w:val="257"/>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1,026,230</w:t>
            </w:r>
          </w:p>
        </w:tc>
      </w:tr>
      <w:tr>
        <w:trPr>
          <w:trHeight w:val="260"/>
        </w:trPr>
        <w:tc>
          <w:tcPr>
            <w:tcW w:w="48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356,782</w:t>
            </w:r>
          </w:p>
        </w:tc>
      </w:tr>
      <w:tr>
        <w:trPr>
          <w:trHeight w:val="280"/>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40,481</w:t>
            </w:r>
          </w:p>
        </w:tc>
      </w:tr>
      <w:tr>
        <w:trPr>
          <w:trHeight w:val="260"/>
        </w:trPr>
        <w:tc>
          <w:tcPr>
            <w:tcW w:w="48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(13,055)</w:t>
            </w:r>
          </w:p>
        </w:tc>
      </w:tr>
      <w:tr>
        <w:trPr>
          <w:trHeight w:val="280"/>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Holdings</w:t>
            </w:r>
          </w:p>
        </w:tc>
        <w:tc>
          <w:tcPr>
            <w:tcW w:w="24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(15,530)</w:t>
            </w:r>
          </w:p>
        </w:tc>
      </w:tr>
      <w:tr>
        <w:trPr>
          <w:trHeight w:val="251"/>
        </w:trPr>
        <w:tc>
          <w:tcPr>
            <w:tcW w:w="4880" w:type="dxa"/>
            <w:vAlign w:val="bottom"/>
          </w:tcPr>
          <w:p>
            <w:pPr>
              <w:ind w:left="20"/>
              <w:spacing w:after="0"/>
              <w:rPr>
                <w:sz w:val="20"/>
                <w:szCs w:val="20"/>
                <w:color w:val="auto"/>
              </w:rPr>
            </w:pPr>
            <w:r>
              <w:rPr>
                <w:rFonts w:ascii="Arial" w:cs="Arial" w:eastAsia="Arial" w:hAnsi="Arial"/>
                <w:sz w:val="16"/>
                <w:szCs w:val="16"/>
                <w:color w:val="auto"/>
              </w:rPr>
              <w:t>Basic and fully diluted net loss per share attributable to Holdings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(0.49)</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Velocity Outdoor</w:t>
      </w: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Ravin Crossbows </w:t>
      </w:r>
      <w:r>
        <w:rPr>
          <w:rFonts w:ascii="Arial" w:cs="Arial" w:eastAsia="Arial" w:hAnsi="Arial"/>
          <w:sz w:val="18"/>
          <w:szCs w:val="18"/>
          <w:color w:val="auto"/>
        </w:rPr>
        <w:t>- On September 4, 2018, Velocity Outdoor (formerly Crosman Corp.) acquired all of the outstanding membership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Ravin Crossbows, LLC ("Ravin" or "Ravin Crossbows") for a purchase price of approximately $98.0 million, net of transaction costs, plus a potential earn-out of up to $25.0 million based on gross profit levels for the trailing twelve month period ending December 31, 2018. Velocity funded the acquisition and payment of related transaction costs through the issuance of an additional $38.9 million in intercompany loans and the issuance of additional equity to the Company of $60.6 million. Velocity recorded a purchase price allocation for Ravin comprised of $67.5 million in intangible assets ($14.1 million in finite lived trade name, $42.6 million in technologies valued using an excess earnings methodology, and $10.8 million in customer relationships), $2.5 million in inventory step-up, and $13.3 million in goodwill which is expected to be deductible for income tax purposes. The remainder of the purchase consideration was allocated to net assets acquired. The potential earn-out was valued at $4.7 million as part of the purchase price allocation. Velocity incurred transaction costs of $1.4 million related to the Ravin acquisition, which were recorded as selling, general and administrative costs in the accompanying statement of operations as of December 31, 2018. The purchase price allocation was finalized during the first quarter of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Clean Earth</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8, 2019, the Company, as majority stockholder of CEHI Acquisition Corporation (“CEHI”) and as Sellers’ Representative, entered into a definitive Stock Purchase Agreement (the “Purchase Agreement”) with Calrissian Holdings, LLC (“Buyer”), CEHI, the other holders of stock and options of CEHI and, as Buyer’s guarantor, Harsco Corporation, pursuant to which Buyer would acquire all of the issued and outstanding securities of CEHI, the parent company of the operating entity, Clean Earth, Inc.</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28, 2019, Buyer completed the acquisition of all of the issued and outstanding securities of CEHI pursuant to the Purchase Agreement. The sale price for CEHI was based on an aggregate total enterprise value of $625 million and is subject to customary working capital adjustments. After the allocation of the sale proceeds to CEHI non-controlling equity holders, the repayment of intercompany loans to the Company (including accrued interest) of $224.6 million, and the payment of transaction expenses of approximately $10.7 million, the Company received approximately $327.3 million of total proceeds at closing related to our equity interests in CEHI. The Company recognized a gain 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90" w:right="239" w:bottom="1440" w:gutter="0" w:footer="0" w:header="0"/>
        </w:sectPr>
      </w:pPr>
    </w:p>
    <w:bookmarkStart w:id="15" w:name="page16"/>
    <w:bookmarkEnd w:id="15"/>
    <w:p>
      <w:pPr>
        <w:spacing w:after="0" w:line="262" w:lineRule="auto"/>
        <w:rPr>
          <w:sz w:val="20"/>
          <w:szCs w:val="20"/>
          <w:color w:val="auto"/>
        </w:rPr>
      </w:pPr>
      <w:r>
        <w:rPr>
          <w:rFonts w:ascii="Arial" w:cs="Arial" w:eastAsia="Arial" w:hAnsi="Arial"/>
          <w:sz w:val="18"/>
          <w:szCs w:val="18"/>
          <w:color w:val="auto"/>
        </w:rPr>
        <w:t>the sale of CEHI of $206.3 million in the second quarter of 2019. During the third quarter of 2019, the Company received the working capital settlement from the Buyer and recorded an additional $2.2 million gain related to the sale of Clean Earth.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of operations of Clean Earth for the nine months ended September 30, 2019 and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through the date of disposition are as follows (in thousands):</w:t>
      </w:r>
    </w:p>
    <w:p>
      <w:pPr>
        <w:spacing w:after="0" w:line="302"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Three months</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For the period</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340"/>
              <w:spacing w:after="0" w:line="162" w:lineRule="exact"/>
              <w:rPr>
                <w:sz w:val="20"/>
                <w:szCs w:val="20"/>
                <w:color w:val="auto"/>
              </w:rPr>
            </w:pPr>
            <w:r>
              <w:rPr>
                <w:rFonts w:ascii="Arial" w:cs="Arial" w:eastAsia="Arial" w:hAnsi="Arial"/>
                <w:sz w:val="15"/>
                <w:szCs w:val="15"/>
                <w:b w:val="1"/>
                <w:bCs w:val="1"/>
                <w:color w:val="auto"/>
              </w:rPr>
              <w:t>ended</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rPr>
              <w:t>January 1, 2019</w:t>
            </w:r>
          </w:p>
        </w:tc>
        <w:tc>
          <w:tcPr>
            <w:tcW w:w="1580" w:type="dxa"/>
            <w:vAlign w:val="bottom"/>
            <w:gridSpan w:val="2"/>
          </w:tcPr>
          <w:p>
            <w:pPr>
              <w:jc w:val="right"/>
              <w:ind w:right="19"/>
              <w:spacing w:after="0" w:line="162" w:lineRule="exact"/>
              <w:rPr>
                <w:sz w:val="20"/>
                <w:szCs w:val="20"/>
                <w:color w:val="auto"/>
              </w:rPr>
            </w:pPr>
            <w:r>
              <w:rPr>
                <w:rFonts w:ascii="Arial" w:cs="Arial" w:eastAsia="Arial" w:hAnsi="Arial"/>
                <w:sz w:val="15"/>
                <w:szCs w:val="15"/>
                <w:b w:val="1"/>
                <w:bCs w:val="1"/>
                <w:color w:val="auto"/>
              </w:rPr>
              <w:t>Nine months ended</w:t>
            </w:r>
          </w:p>
        </w:tc>
      </w:tr>
      <w:tr>
        <w:trPr>
          <w:trHeight w:val="206"/>
        </w:trPr>
        <w:tc>
          <w:tcPr>
            <w:tcW w:w="4200" w:type="dxa"/>
            <w:vAlign w:val="bottom"/>
          </w:tcPr>
          <w:p>
            <w:pPr>
              <w:spacing w:after="0"/>
              <w:rPr>
                <w:sz w:val="17"/>
                <w:szCs w:val="17"/>
                <w:color w:val="auto"/>
              </w:rPr>
            </w:pPr>
          </w:p>
        </w:tc>
        <w:tc>
          <w:tcPr>
            <w:tcW w:w="168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rPr>
              <w:t>September 30, 2018</w:t>
            </w:r>
          </w:p>
        </w:tc>
        <w:tc>
          <w:tcPr>
            <w:tcW w:w="16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through disposition</w:t>
            </w:r>
          </w:p>
        </w:tc>
        <w:tc>
          <w:tcPr>
            <w:tcW w:w="1580" w:type="dxa"/>
            <w:vAlign w:val="bottom"/>
            <w:gridSpan w:val="2"/>
          </w:tcPr>
          <w:p>
            <w:pPr>
              <w:jc w:val="right"/>
              <w:spacing w:after="0"/>
              <w:rPr>
                <w:sz w:val="20"/>
                <w:szCs w:val="20"/>
                <w:color w:val="auto"/>
              </w:rPr>
            </w:pPr>
            <w:r>
              <w:rPr>
                <w:rFonts w:ascii="Arial" w:cs="Arial" w:eastAsia="Arial" w:hAnsi="Arial"/>
                <w:sz w:val="15"/>
                <w:szCs w:val="15"/>
                <w:b w:val="1"/>
                <w:bCs w:val="1"/>
                <w:color w:val="auto"/>
              </w:rPr>
              <w:t>September 30, 2018</w:t>
            </w:r>
          </w:p>
        </w:tc>
      </w:tr>
      <w:tr>
        <w:trPr>
          <w:trHeight w:val="25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71,116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132,737</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199,579</w:t>
            </w:r>
          </w:p>
        </w:tc>
      </w:tr>
      <w:tr>
        <w:trPr>
          <w:trHeight w:val="260"/>
        </w:trPr>
        <w:tc>
          <w:tcPr>
            <w:tcW w:w="42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39,678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56,589</w:t>
            </w:r>
          </w:p>
        </w:tc>
      </w:tr>
      <w:tr>
        <w:trPr>
          <w:trHeight w:val="280"/>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12,495</w:t>
            </w:r>
          </w:p>
        </w:tc>
      </w:tr>
      <w:tr>
        <w:trPr>
          <w:trHeight w:val="260"/>
        </w:trPr>
        <w:tc>
          <w:tcPr>
            <w:tcW w:w="4200" w:type="dxa"/>
            <w:vAlign w:val="bottom"/>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5,880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12,215</w:t>
            </w:r>
          </w:p>
        </w:tc>
      </w:tr>
      <w:tr>
        <w:trPr>
          <w:trHeight w:val="280"/>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w:t>
            </w:r>
          </w:p>
        </w:tc>
      </w:tr>
      <w:tr>
        <w:trPr>
          <w:trHeight w:val="327"/>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Income from discontinued operations </w:t>
            </w:r>
            <w:r>
              <w:rPr>
                <w:rFonts w:ascii="Arial" w:cs="Arial" w:eastAsia="Arial" w:hAnsi="Arial"/>
                <w:sz w:val="21"/>
                <w:szCs w:val="21"/>
                <w:b w:val="1"/>
                <w:bCs w:val="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6,829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17,487</w:t>
            </w:r>
          </w:p>
        </w:tc>
        <w:tc>
          <w:tcPr>
            <w:tcW w:w="100" w:type="dxa"/>
            <w:vAlign w:val="bottom"/>
          </w:tcPr>
          <w:p>
            <w:pPr>
              <w:spacing w:after="0"/>
              <w:rPr>
                <w:sz w:val="24"/>
                <w:szCs w:val="24"/>
                <w:color w:val="auto"/>
              </w:rPr>
            </w:pPr>
          </w:p>
        </w:tc>
        <w:tc>
          <w:tcPr>
            <w:tcW w:w="5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14,462</w:t>
            </w:r>
          </w:p>
        </w:tc>
      </w:tr>
    </w:tbl>
    <w:p>
      <w:pPr>
        <w:spacing w:after="0" w:line="120" w:lineRule="exact"/>
        <w:rPr>
          <w:sz w:val="20"/>
          <w:szCs w:val="20"/>
          <w:color w:val="auto"/>
        </w:rPr>
      </w:pPr>
    </w:p>
    <w:p>
      <w:pPr>
        <w:ind w:right="240" w:firstLine="8"/>
        <w:spacing w:after="0" w:line="303" w:lineRule="auto"/>
        <w:tabs>
          <w:tab w:leader="none" w:pos="162" w:val="left"/>
        </w:tabs>
        <w:numPr>
          <w:ilvl w:val="0"/>
          <w:numId w:val="6"/>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results of operations for the periods from January 1, 2019 through the date of disposition, and the three and nine months ended September 30, 2018, each exclude $10.2 million and $4.5 million and $12.2 million, respectively, of intercompany interest expense.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Manitoba Harvest</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19, 2019, the Company, as majority shareholder of Manitoba Harvest and as Shareholder Representative, entered into a definitive agreement (the “Arrangement Agreement”) with Tilray, Inc. ("Tilray"), the other shareholders of Manitoba Harvest and a wholly-owned subsidiary of Tilray, 1197879 B.C. Ltd. (“Tilray Subco”), to sell to Tilray, through Tilray Subco, all of the issued and outstanding securities of Manitoba Harvest.</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28, 2019, Tilray Subco completed the acquisition of all the issued and outstanding securities of Manitoba Harvest pursuant to the Arrangement Agreement. Subject to certain customary adjustments, the shareholders of Manitoba Harvest, including the Company, received or will receive the following from Tilray as consideration for their shares of Manitoba Harvest: (i) C$150 million in cash to the holders of preferred shares of Manitoba Harvest and the holders of common shares of Manitoba Harvest (“Common Holders”) and C$127.5 million in shares of class 2 Common Stock of Tilray (“Tilray Common Stock”) to the Common Holders on the closing date of the sale (the “Closing Date Consideration”), and (ii) C$50 million in cash and C$42.5 million in Tilray Common Stock to the Common Holders on the date that is six months after the closing date of the arrangement (the “Deferred Consideration”). The sale consideration also includes a potential earnout of up to C$ 49 million in Tilray Common Stock to the Common Holders, if Manitoba Harvest achieves certain levels of U.S. branded gross sales of edible or topical products containing broad spectrum hemp extracts or cannabidiols prior to December 31, 2019.</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cash portion of the Closing Date Consideration was reduced by the amount of the net indebtedness (including accrued interest) of Manitoba Harvest on the closing date of C $71.3 million ($ 53.7 million) and transaction expenses of approximately C$5.0 million. The Company's share of the net proceeds after accounting for the redemption of the noncontrolling shareholders and the payment of net indebtedness of Manitoba Harvest and transaction expenses was approximately $124.2 million in cash proceeds and in Tilray Common Stock. We recorded a receivable of $48.2 million as of March 31, 2019 related to the Deferred Consideration portion of the proceeds. The Company recognized a gain on the sale of Manitoba Harvest of $121.7 million in the three months ended March 31, 2019. In August 2019, the Company received the Deferred Consideration related to the sale. The Company's portion of the Deferred Consideration totaled $28.4 million in cash proceeds and $19.6 million in Tilray Common Stock. No amount has been recorded related to the potential earnout as of September 30, 2019 based on an assessment of probability at the end of the quarter.</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Tilray Common Stock consideration was issued in reliance on the exemption from the registration requirements of the Securities Act of 1933, as amended (the "Securities Act") and pursuant to exemptions from applicable securities laws of any state of the United States, such that any shares of Tilray Common Stock received by the Common Holders were freely tradeable. The Company sold the Tilray Common Stock received as Closing Date Consideration during March 2019, recognizing a net loss of $5.3 million in Other income/ (expense) during the quarter ended March 31,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90" w:right="239" w:bottom="1440" w:gutter="0" w:footer="0" w:header="0"/>
        </w:sectPr>
      </w:pPr>
    </w:p>
    <w:bookmarkStart w:id="16" w:name="page17"/>
    <w:bookmarkEnd w:id="16"/>
    <w:p>
      <w:pPr>
        <w:spacing w:after="0" w:line="262" w:lineRule="auto"/>
        <w:rPr>
          <w:sz w:val="20"/>
          <w:szCs w:val="20"/>
          <w:color w:val="auto"/>
        </w:rPr>
      </w:pPr>
      <w:r>
        <w:rPr>
          <w:rFonts w:ascii="Arial" w:cs="Arial" w:eastAsia="Arial" w:hAnsi="Arial"/>
          <w:sz w:val="18"/>
          <w:szCs w:val="18"/>
          <w:color w:val="auto"/>
        </w:rPr>
        <w:t>2019. In August 2019, the Company sold the Tilray Common Stock received as part of the Deferred Consideration, recognizing a loss of $4.9 million in Other income/ (expense) during the quarter ended September 30,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of operations of Manitoba Harvest for the nine months ended September 30, 2019 and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through the date of disposition are as follows (in thousands):</w:t>
      </w:r>
    </w:p>
    <w:p>
      <w:pPr>
        <w:spacing w:after="0" w:line="302"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Arial" w:cs="Arial" w:eastAsia="Arial" w:hAnsi="Arial"/>
                <w:sz w:val="15"/>
                <w:szCs w:val="15"/>
                <w:b w:val="1"/>
                <w:bCs w:val="1"/>
                <w:color w:val="auto"/>
              </w:rPr>
              <w:t>For the period January</w:t>
            </w: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1760" w:type="dxa"/>
            <w:vAlign w:val="bottom"/>
            <w:gridSpan w:val="2"/>
          </w:tcPr>
          <w:p>
            <w:pPr>
              <w:jc w:val="right"/>
              <w:ind w:right="100"/>
              <w:spacing w:after="0" w:line="162" w:lineRule="exact"/>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1560" w:type="dxa"/>
            <w:vAlign w:val="bottom"/>
          </w:tcPr>
          <w:p>
            <w:pPr>
              <w:jc w:val="right"/>
              <w:ind w:right="260"/>
              <w:spacing w:after="0" w:line="162" w:lineRule="exact"/>
              <w:rPr>
                <w:sz w:val="20"/>
                <w:szCs w:val="20"/>
                <w:color w:val="auto"/>
              </w:rPr>
            </w:pPr>
            <w:r>
              <w:rPr>
                <w:rFonts w:ascii="Arial" w:cs="Arial" w:eastAsia="Arial" w:hAnsi="Arial"/>
                <w:sz w:val="15"/>
                <w:szCs w:val="15"/>
                <w:b w:val="1"/>
                <w:bCs w:val="1"/>
                <w:color w:val="auto"/>
              </w:rPr>
              <w:t>1, 2019 through</w:t>
            </w:r>
          </w:p>
        </w:tc>
        <w:tc>
          <w:tcPr>
            <w:tcW w:w="180" w:type="dxa"/>
            <w:vAlign w:val="bottom"/>
          </w:tcPr>
          <w:p>
            <w:pPr>
              <w:spacing w:after="0"/>
              <w:rPr>
                <w:sz w:val="14"/>
                <w:szCs w:val="14"/>
                <w:color w:val="auto"/>
              </w:rPr>
            </w:pPr>
          </w:p>
        </w:tc>
        <w:tc>
          <w:tcPr>
            <w:tcW w:w="1620" w:type="dxa"/>
            <w:vAlign w:val="bottom"/>
          </w:tcPr>
          <w:p>
            <w:pPr>
              <w:jc w:val="right"/>
              <w:ind w:right="100"/>
              <w:spacing w:after="0" w:line="162" w:lineRule="exact"/>
              <w:rPr>
                <w:sz w:val="20"/>
                <w:szCs w:val="20"/>
                <w:color w:val="auto"/>
              </w:rPr>
            </w:pPr>
            <w:r>
              <w:rPr>
                <w:rFonts w:ascii="Arial" w:cs="Arial" w:eastAsia="Arial" w:hAnsi="Arial"/>
                <w:sz w:val="15"/>
                <w:szCs w:val="15"/>
                <w:b w:val="1"/>
                <w:bCs w:val="1"/>
                <w:color w:val="auto"/>
              </w:rPr>
              <w:t>Nine months ended</w:t>
            </w:r>
          </w:p>
        </w:tc>
      </w:tr>
      <w:tr>
        <w:trPr>
          <w:trHeight w:val="206"/>
        </w:trPr>
        <w:tc>
          <w:tcPr>
            <w:tcW w:w="4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b w:val="1"/>
                <w:bCs w:val="1"/>
                <w:color w:val="auto"/>
              </w:rPr>
              <w:t>September 30, 2018</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disposition</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rPr>
              <w:t>September 30, 2018</w:t>
            </w:r>
          </w:p>
        </w:tc>
      </w:tr>
      <w:tr>
        <w:trPr>
          <w:trHeight w:val="268"/>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17,300</w:t>
            </w:r>
          </w:p>
        </w:tc>
        <w:tc>
          <w:tcPr>
            <w:tcW w:w="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10,024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53,169</w:t>
            </w:r>
          </w:p>
        </w:tc>
      </w:tr>
      <w:tr>
        <w:trPr>
          <w:trHeight w:val="260"/>
        </w:trPr>
        <w:tc>
          <w:tcPr>
            <w:tcW w:w="41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22"/>
                <w:szCs w:val="22"/>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7,097</w:t>
            </w:r>
          </w:p>
        </w:tc>
        <w:tc>
          <w:tcPr>
            <w:tcW w:w="280" w:type="dxa"/>
            <w:vAlign w:val="bottom"/>
          </w:tcPr>
          <w:p>
            <w:pPr>
              <w:spacing w:after="0"/>
              <w:rPr>
                <w:sz w:val="22"/>
                <w:szCs w:val="22"/>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4,874</w:t>
            </w:r>
          </w:p>
        </w:tc>
        <w:tc>
          <w:tcPr>
            <w:tcW w:w="180" w:type="dxa"/>
            <w:vAlign w:val="bottom"/>
          </w:tcPr>
          <w:p>
            <w:pPr>
              <w:spacing w:after="0"/>
              <w:rPr>
                <w:sz w:val="22"/>
                <w:szCs w:val="22"/>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23,545</w:t>
            </w:r>
          </w:p>
        </w:tc>
      </w:tr>
      <w:tr>
        <w:trPr>
          <w:trHeight w:val="28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260"/>
        </w:trPr>
        <w:tc>
          <w:tcPr>
            <w:tcW w:w="41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(896)</w:t>
            </w:r>
          </w:p>
        </w:tc>
        <w:tc>
          <w:tcPr>
            <w:tcW w:w="2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(1,127)</w:t>
            </w: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28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r>
      <w:tr>
        <w:trPr>
          <w:trHeight w:val="327"/>
        </w:trPr>
        <w:tc>
          <w:tcPr>
            <w:tcW w:w="4120" w:type="dxa"/>
            <w:vAlign w:val="bottom"/>
          </w:tcPr>
          <w:p>
            <w:pPr>
              <w:ind w:left="20"/>
              <w:spacing w:after="0"/>
              <w:rPr>
                <w:sz w:val="20"/>
                <w:szCs w:val="20"/>
                <w:color w:val="auto"/>
              </w:rPr>
            </w:pPr>
            <w:r>
              <w:rPr>
                <w:rFonts w:ascii="Arial" w:cs="Arial" w:eastAsia="Arial" w:hAnsi="Arial"/>
                <w:sz w:val="16"/>
                <w:szCs w:val="16"/>
                <w:color w:val="auto"/>
              </w:rPr>
              <w:t xml:space="preserve">Income (loss) from discontinued operations </w:t>
            </w:r>
            <w:r>
              <w:rPr>
                <w:rFonts w:ascii="Arial" w:cs="Arial" w:eastAsia="Arial" w:hAnsi="Arial"/>
                <w:sz w:val="21"/>
                <w:szCs w:val="21"/>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(406)</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(586)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469</w:t>
            </w:r>
          </w:p>
        </w:tc>
      </w:tr>
    </w:tbl>
    <w:p>
      <w:pPr>
        <w:spacing w:after="0" w:line="174" w:lineRule="exact"/>
        <w:rPr>
          <w:sz w:val="20"/>
          <w:szCs w:val="20"/>
          <w:color w:val="auto"/>
        </w:rPr>
      </w:pPr>
    </w:p>
    <w:p>
      <w:pPr>
        <w:ind w:firstLine="8"/>
        <w:spacing w:after="0" w:line="228" w:lineRule="auto"/>
        <w:tabs>
          <w:tab w:leader="none" w:pos="182" w:val="left"/>
        </w:tabs>
        <w:numPr>
          <w:ilvl w:val="0"/>
          <w:numId w:val="7"/>
        </w:numPr>
        <w:rPr>
          <w:rFonts w:ascii="Arial" w:cs="Arial" w:eastAsia="Arial" w:hAnsi="Arial"/>
          <w:sz w:val="21"/>
          <w:szCs w:val="21"/>
          <w:b w:val="1"/>
          <w:bCs w:val="1"/>
          <w:color w:val="auto"/>
          <w:vertAlign w:val="superscript"/>
        </w:rPr>
      </w:pPr>
      <w:r>
        <w:rPr>
          <w:rFonts w:ascii="Arial" w:cs="Arial" w:eastAsia="Arial" w:hAnsi="Arial"/>
          <w:sz w:val="15"/>
          <w:szCs w:val="15"/>
          <w:color w:val="auto"/>
        </w:rPr>
        <w:t>The results of operations for the periods from January 1, 2019 through the date of disposition and the three and nine months ended September 30, 2018 exclude $1.0 million</w:t>
      </w:r>
      <w:r>
        <w:rPr>
          <w:rFonts w:ascii="Arial" w:cs="Arial" w:eastAsia="Arial" w:hAnsi="Arial"/>
          <w:sz w:val="17"/>
          <w:szCs w:val="17"/>
          <w:color w:val="auto"/>
        </w:rPr>
        <w:t>,</w:t>
      </w:r>
      <w:r>
        <w:rPr>
          <w:rFonts w:ascii="Arial" w:cs="Arial" w:eastAsia="Arial" w:hAnsi="Arial"/>
          <w:sz w:val="15"/>
          <w:szCs w:val="15"/>
          <w:color w:val="auto"/>
        </w:rPr>
        <w:t xml:space="preserve"> $1.3 million and $3.8 million, respectively, of intercompany interest expense.</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summary balance sheet information of the Clean Earth and Manitoba Harvest businesses that is presented as discontinued operations as of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60"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December 31, 2018</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6"/>
                <w:szCs w:val="16"/>
                <w:b w:val="1"/>
                <w:bCs w:val="1"/>
                <w:color w:val="auto"/>
              </w:rPr>
              <w:t>Manitoba Harvest</w:t>
            </w:r>
          </w:p>
        </w:tc>
        <w:tc>
          <w:tcPr>
            <w:tcW w:w="26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Clean Earth</w:t>
            </w:r>
          </w:p>
        </w:tc>
        <w:tc>
          <w:tcPr>
            <w:tcW w:w="400" w:type="dxa"/>
            <w:vAlign w:val="bottom"/>
          </w:tcPr>
          <w:p>
            <w:pPr>
              <w:spacing w:after="0"/>
              <w:rPr>
                <w:sz w:val="22"/>
                <w:szCs w:val="22"/>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7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476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2,577</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1,978</w:t>
            </w:r>
          </w:p>
        </w:tc>
        <w:tc>
          <w:tcPr>
            <w:tcW w:w="120" w:type="dxa"/>
            <w:vAlign w:val="bottom"/>
          </w:tcPr>
          <w:p>
            <w:pPr>
              <w:spacing w:after="0"/>
              <w:rPr>
                <w:sz w:val="22"/>
                <w:szCs w:val="22"/>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4,555</w:t>
            </w:r>
          </w:p>
        </w:tc>
        <w:tc>
          <w:tcPr>
            <w:tcW w:w="0" w:type="dxa"/>
            <w:vAlign w:val="bottom"/>
          </w:tcPr>
          <w:p>
            <w:pPr>
              <w:spacing w:after="0"/>
              <w:rPr>
                <w:sz w:val="1"/>
                <w:szCs w:val="1"/>
                <w:color w:val="auto"/>
              </w:rPr>
            </w:pPr>
          </w:p>
        </w:tc>
      </w:tr>
      <w:tr>
        <w:trPr>
          <w:trHeight w:val="280"/>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59,689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66,858</w:t>
            </w:r>
          </w:p>
        </w:tc>
        <w:tc>
          <w:tcPr>
            <w:tcW w:w="0" w:type="dxa"/>
            <w:vAlign w:val="bottom"/>
          </w:tcPr>
          <w:p>
            <w:pPr>
              <w:spacing w:after="0"/>
              <w:rPr>
                <w:sz w:val="1"/>
                <w:szCs w:val="1"/>
                <w:color w:val="auto"/>
              </w:rPr>
            </w:pPr>
          </w:p>
        </w:tc>
      </w:tr>
      <w:tr>
        <w:trPr>
          <w:trHeight w:val="260"/>
        </w:trPr>
        <w:tc>
          <w:tcPr>
            <w:tcW w:w="4760" w:type="dxa"/>
            <w:vAlign w:val="bottom"/>
          </w:tcPr>
          <w:p>
            <w:pPr>
              <w:ind w:left="16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11,436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11,436</w:t>
            </w:r>
          </w:p>
        </w:tc>
        <w:tc>
          <w:tcPr>
            <w:tcW w:w="0" w:type="dxa"/>
            <w:vAlign w:val="bottom"/>
          </w:tcPr>
          <w:p>
            <w:pPr>
              <w:spacing w:after="0"/>
              <w:rPr>
                <w:sz w:val="1"/>
                <w:szCs w:val="1"/>
                <w:color w:val="auto"/>
              </w:rPr>
            </w:pPr>
          </w:p>
        </w:tc>
      </w:tr>
      <w:tr>
        <w:trPr>
          <w:trHeight w:val="280"/>
        </w:trPr>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773</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6,140</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6,913</w:t>
            </w:r>
          </w:p>
        </w:tc>
        <w:tc>
          <w:tcPr>
            <w:tcW w:w="0" w:type="dxa"/>
            <w:vAlign w:val="bottom"/>
          </w:tcPr>
          <w:p>
            <w:pPr>
              <w:spacing w:after="0"/>
              <w:rPr>
                <w:sz w:val="1"/>
                <w:szCs w:val="1"/>
                <w:color w:val="auto"/>
              </w:rPr>
            </w:pPr>
          </w:p>
        </w:tc>
      </w:tr>
      <w:tr>
        <w:trPr>
          <w:trHeight w:val="270"/>
        </w:trPr>
        <w:tc>
          <w:tcPr>
            <w:tcW w:w="47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Current assets of discontinued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21,955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67,807</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89,762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18,157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62,060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80,217</w:t>
            </w:r>
          </w:p>
        </w:tc>
        <w:tc>
          <w:tcPr>
            <w:tcW w:w="0" w:type="dxa"/>
            <w:vAlign w:val="bottom"/>
          </w:tcPr>
          <w:p>
            <w:pPr>
              <w:spacing w:after="0"/>
              <w:rPr>
                <w:sz w:val="1"/>
                <w:szCs w:val="1"/>
                <w:color w:val="auto"/>
              </w:rPr>
            </w:pPr>
          </w:p>
        </w:tc>
      </w:tr>
      <w:tr>
        <w:trPr>
          <w:trHeight w:val="260"/>
        </w:trPr>
        <w:tc>
          <w:tcPr>
            <w:tcW w:w="4760" w:type="dxa"/>
            <w:vAlign w:val="bottom"/>
          </w:tcPr>
          <w:p>
            <w:pPr>
              <w:ind w:left="16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37,777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144,778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182,555</w:t>
            </w:r>
          </w:p>
        </w:tc>
        <w:tc>
          <w:tcPr>
            <w:tcW w:w="0" w:type="dxa"/>
            <w:vAlign w:val="bottom"/>
          </w:tcPr>
          <w:p>
            <w:pPr>
              <w:spacing w:after="0"/>
              <w:rPr>
                <w:sz w:val="1"/>
                <w:szCs w:val="1"/>
                <w:color w:val="auto"/>
              </w:rPr>
            </w:pPr>
          </w:p>
        </w:tc>
      </w:tr>
      <w:tr>
        <w:trPr>
          <w:trHeight w:val="280"/>
        </w:trPr>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129,530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183,063</w:t>
            </w:r>
          </w:p>
        </w:tc>
        <w:tc>
          <w:tcPr>
            <w:tcW w:w="0" w:type="dxa"/>
            <w:vAlign w:val="bottom"/>
          </w:tcPr>
          <w:p>
            <w:pPr>
              <w:spacing w:after="0"/>
              <w:rPr>
                <w:sz w:val="1"/>
                <w:szCs w:val="1"/>
                <w:color w:val="auto"/>
              </w:rPr>
            </w:pPr>
          </w:p>
        </w:tc>
      </w:tr>
      <w:tr>
        <w:trPr>
          <w:trHeight w:val="264"/>
        </w:trPr>
        <w:tc>
          <w:tcPr>
            <w:tcW w:w="4760" w:type="dxa"/>
            <w:vAlign w:val="bottom"/>
          </w:tcPr>
          <w:p>
            <w:pPr>
              <w:ind w:left="160"/>
              <w:spacing w:after="0"/>
              <w:rPr>
                <w:sz w:val="20"/>
                <w:szCs w:val="20"/>
                <w:color w:val="auto"/>
              </w:rPr>
            </w:pPr>
            <w:r>
              <w:rPr>
                <w:rFonts w:ascii="Arial" w:cs="Arial" w:eastAsia="Arial" w:hAnsi="Arial"/>
                <w:sz w:val="16"/>
                <w:szCs w:val="16"/>
                <w:color w:val="auto"/>
              </w:rPr>
              <w:t>Other non-current assets</w:t>
            </w:r>
          </w:p>
        </w:tc>
        <w:tc>
          <w:tcPr>
            <w:tcW w:w="200" w:type="dxa"/>
            <w:vAlign w:val="bottom"/>
          </w:tcPr>
          <w:p>
            <w:pPr>
              <w:spacing w:after="0"/>
              <w:rPr>
                <w:sz w:val="22"/>
                <w:szCs w:val="22"/>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3,629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237"/>
        </w:trPr>
        <w:tc>
          <w:tcPr>
            <w:tcW w:w="47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Non-current assets of discontinued operations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109,467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339,997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449,464</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26,135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30,394</w:t>
            </w:r>
          </w:p>
        </w:tc>
        <w:tc>
          <w:tcPr>
            <w:tcW w:w="0" w:type="dxa"/>
            <w:vAlign w:val="bottom"/>
          </w:tcPr>
          <w:p>
            <w:pPr>
              <w:spacing w:after="0"/>
              <w:rPr>
                <w:sz w:val="1"/>
                <w:szCs w:val="1"/>
                <w:color w:val="auto"/>
              </w:rPr>
            </w:pPr>
          </w:p>
        </w:tc>
      </w:tr>
      <w:tr>
        <w:trPr>
          <w:trHeight w:val="260"/>
        </w:trPr>
        <w:tc>
          <w:tcPr>
            <w:tcW w:w="4760" w:type="dxa"/>
            <w:vAlign w:val="bottom"/>
          </w:tcPr>
          <w:p>
            <w:pPr>
              <w:ind w:left="140"/>
              <w:spacing w:after="0"/>
              <w:rPr>
                <w:sz w:val="20"/>
                <w:szCs w:val="20"/>
                <w:color w:val="auto"/>
              </w:rPr>
            </w:pPr>
            <w:r>
              <w:rPr>
                <w:rFonts w:ascii="Arial" w:cs="Arial" w:eastAsia="Arial" w:hAnsi="Arial"/>
                <w:sz w:val="15"/>
                <w:szCs w:val="15"/>
                <w:color w:val="auto"/>
              </w:rPr>
              <w:t>Accrued expenses</w:t>
            </w:r>
          </w:p>
        </w:tc>
        <w:tc>
          <w:tcPr>
            <w:tcW w:w="20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4,313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16,063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20,376</w:t>
            </w:r>
          </w:p>
        </w:tc>
        <w:tc>
          <w:tcPr>
            <w:tcW w:w="0" w:type="dxa"/>
            <w:vAlign w:val="bottom"/>
          </w:tcPr>
          <w:p>
            <w:pPr>
              <w:spacing w:after="0"/>
              <w:rPr>
                <w:sz w:val="1"/>
                <w:szCs w:val="1"/>
                <w:color w:val="auto"/>
              </w:rPr>
            </w:pPr>
          </w:p>
        </w:tc>
      </w:tr>
      <w:tr>
        <w:trPr>
          <w:trHeight w:val="280"/>
        </w:trPr>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Due to related party</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current liabilities</w:t>
            </w:r>
          </w:p>
        </w:tc>
        <w:tc>
          <w:tcPr>
            <w:tcW w:w="2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Current liabilities of discontinued operations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43,065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52,494</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140"/>
              <w:spacing w:after="0"/>
              <w:rPr>
                <w:sz w:val="20"/>
                <w:szCs w:val="20"/>
                <w:color w:val="auto"/>
              </w:rPr>
            </w:pPr>
            <w:r>
              <w:rPr>
                <w:rFonts w:ascii="Arial" w:cs="Arial" w:eastAsia="Arial" w:hAnsi="Arial"/>
                <w:sz w:val="15"/>
                <w:szCs w:val="15"/>
                <w:color w:val="auto"/>
              </w:rPr>
              <w:t>Deferred income taxes</w:t>
            </w: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12,675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28,300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40,975</w:t>
            </w:r>
          </w:p>
        </w:tc>
        <w:tc>
          <w:tcPr>
            <w:tcW w:w="0" w:type="dxa"/>
            <w:vAlign w:val="bottom"/>
          </w:tcPr>
          <w:p>
            <w:pPr>
              <w:spacing w:after="0"/>
              <w:rPr>
                <w:sz w:val="1"/>
                <w:szCs w:val="1"/>
                <w:color w:val="auto"/>
              </w:rPr>
            </w:pPr>
          </w:p>
        </w:tc>
      </w:tr>
      <w:tr>
        <w:trPr>
          <w:trHeight w:val="280"/>
        </w:trPr>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non-current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2,093</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5,175</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7,268</w:t>
            </w:r>
          </w:p>
        </w:tc>
        <w:tc>
          <w:tcPr>
            <w:tcW w:w="0" w:type="dxa"/>
            <w:vAlign w:val="bottom"/>
          </w:tcPr>
          <w:p>
            <w:pPr>
              <w:spacing w:after="0"/>
              <w:rPr>
                <w:sz w:val="1"/>
                <w:szCs w:val="1"/>
                <w:color w:val="auto"/>
              </w:rPr>
            </w:pPr>
          </w:p>
        </w:tc>
      </w:tr>
      <w:tr>
        <w:trPr>
          <w:trHeight w:val="270"/>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Non-current liabilities of discontinued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14,768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33,475</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48,243</w:t>
            </w:r>
          </w:p>
        </w:tc>
        <w:tc>
          <w:tcPr>
            <w:tcW w:w="0" w:type="dxa"/>
            <w:vAlign w:val="bottom"/>
          </w:tcPr>
          <w:p>
            <w:pPr>
              <w:spacing w:after="0"/>
              <w:rPr>
                <w:sz w:val="1"/>
                <w:szCs w:val="1"/>
                <w:color w:val="auto"/>
              </w:rPr>
            </w:pPr>
          </w:p>
        </w:tc>
      </w:tr>
      <w:tr>
        <w:trPr>
          <w:trHeight w:val="224"/>
        </w:trPr>
        <w:tc>
          <w:tcPr>
            <w:tcW w:w="4760" w:type="dxa"/>
            <w:vAlign w:val="bottom"/>
            <w:tcBorders>
              <w:bottom w:val="single" w:sz="8" w:color="CCEEFF"/>
            </w:tcBorders>
            <w:shd w:val="clear" w:color="auto" w:fill="CCEEFF"/>
          </w:tcPr>
          <w:p>
            <w:pPr>
              <w:ind w:left="20"/>
              <w:spacing w:after="0" w:line="168" w:lineRule="exact"/>
              <w:rPr>
                <w:sz w:val="20"/>
                <w:szCs w:val="20"/>
                <w:color w:val="auto"/>
              </w:rPr>
            </w:pPr>
            <w:r>
              <w:rPr>
                <w:rFonts w:ascii="Arial" w:cs="Arial" w:eastAsia="Arial" w:hAnsi="Arial"/>
                <w:sz w:val="15"/>
                <w:szCs w:val="15"/>
                <w:color w:val="auto"/>
              </w:rPr>
              <w:t>Noncontrolling interest of discontinued operations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11,160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8,888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20,048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Revenue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January 1, 2018, the Company adopted the provisions of Revenue from Contracts with Customers, or ASC 606. The adoption of the new revenue guidance represents a change in accounting principle that will more closely align revenue recognition with the transfer of control of the Company's goods and services and will provide financial</w:t>
      </w:r>
    </w:p>
    <w:p>
      <w:pPr>
        <w:sectPr>
          <w:pgSz w:w="11900" w:h="16838" w:orient="portrait"/>
          <w:cols w:equalWidth="0" w:num="1">
            <w:col w:w="11420"/>
          </w:cols>
          <w:pgMar w:left="240" w:top="544"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44" w:right="239" w:bottom="1440" w:gutter="0" w:footer="0" w:header="0"/>
          <w:type w:val="continuous"/>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statement readers with enhanced disclosures. In accordance with the new revenue guidance, revenue is recognized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12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Disaggregated Revenue - Revenue Streams and Timing of Revenue Recognition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disaggregates revenue by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unit and by geography for each strategic business unit which are categories that depict how the nature, amount and uncertainty of revenue and cash flows are affected by economic factors.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tables provide disaggregation of revenue by reportable segment geography for the three and nine months ended September 30, 2019 and 2018 (in thousands):</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Three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31750</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69"/>
              <w:spacing w:after="0"/>
              <w:rPr>
                <w:sz w:val="20"/>
                <w:szCs w:val="20"/>
                <w:color w:val="auto"/>
              </w:rPr>
            </w:pPr>
            <w:r>
              <w:rPr>
                <w:rFonts w:ascii="Arial" w:cs="Arial" w:eastAsia="Arial" w:hAnsi="Arial"/>
                <w:sz w:val="13"/>
                <w:szCs w:val="13"/>
                <w:b w:val="1"/>
                <w:bCs w:val="1"/>
                <w:color w:val="auto"/>
              </w:rPr>
              <w:t>5.11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Ergo</w:t>
            </w: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Liberty</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Velocity</w:t>
            </w:r>
          </w:p>
        </w:tc>
        <w:tc>
          <w:tcPr>
            <w:tcW w:w="22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ACI</w:t>
            </w: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Arnold</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Foam</w:t>
            </w: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Sterno</w:t>
            </w: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Arial" w:cs="Arial" w:eastAsia="Arial" w:hAnsi="Arial"/>
                <w:sz w:val="13"/>
                <w:szCs w:val="13"/>
                <w:b w:val="1"/>
                <w:bCs w:val="1"/>
                <w:color w:val="auto"/>
              </w:rPr>
              <w:t>Total</w:t>
            </w:r>
          </w:p>
        </w:tc>
      </w:tr>
      <w:tr>
        <w:trPr>
          <w:trHeight w:val="257"/>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77,783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6,505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24,061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42,126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21,897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18,227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25,833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105,260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321,692</w:t>
            </w: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Canada</w:t>
            </w:r>
          </w:p>
        </w:tc>
        <w:tc>
          <w:tcPr>
            <w:tcW w:w="2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1,981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4,145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9,750</w:t>
            </w: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9,758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26,080</w:t>
            </w: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2,429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8,820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1,678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1,565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14,731</w:t>
            </w:r>
          </w:p>
        </w:tc>
      </w:tr>
      <w:tr>
        <w:trPr>
          <w:trHeight w:val="270"/>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8,440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1,079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16,060</w:t>
            </w:r>
          </w:p>
        </w:tc>
      </w:tr>
      <w:tr>
        <w:trPr>
          <w:trHeight w:val="237"/>
        </w:trPr>
        <w:tc>
          <w:tcPr>
            <w:tcW w:w="21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98,053</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23,318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24,729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46,647</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21,897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30,895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31,304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111,470</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388,313</w:t>
            </w:r>
          </w:p>
        </w:tc>
      </w:tr>
      <w:tr>
        <w:trPr>
          <w:trHeight w:val="20"/>
        </w:trPr>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31750</wp:posOffset>
            </wp:positionV>
            <wp:extent cx="58318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69"/>
              <w:spacing w:after="0"/>
              <w:rPr>
                <w:sz w:val="20"/>
                <w:szCs w:val="20"/>
                <w:color w:val="auto"/>
              </w:rPr>
            </w:pPr>
            <w:r>
              <w:rPr>
                <w:rFonts w:ascii="Arial" w:cs="Arial" w:eastAsia="Arial" w:hAnsi="Arial"/>
                <w:sz w:val="13"/>
                <w:szCs w:val="13"/>
                <w:b w:val="1"/>
                <w:bCs w:val="1"/>
                <w:color w:val="auto"/>
              </w:rPr>
              <w:t>5.11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3"/>
                <w:szCs w:val="13"/>
                <w:b w:val="1"/>
                <w:bCs w:val="1"/>
                <w:color w:val="auto"/>
              </w:rPr>
              <w:t>Ergo</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Liberty</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Velocity</w:t>
            </w:r>
          </w:p>
        </w:tc>
        <w:tc>
          <w:tcPr>
            <w:tcW w:w="20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ACI</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Arnold</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Foam</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Sterno</w:t>
            </w: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Arial" w:cs="Arial" w:eastAsia="Arial" w:hAnsi="Arial"/>
                <w:sz w:val="13"/>
                <w:szCs w:val="13"/>
                <w:b w:val="1"/>
                <w:bCs w:val="1"/>
                <w:color w:val="auto"/>
              </w:rPr>
              <w:t>Total</w:t>
            </w:r>
          </w:p>
        </w:tc>
      </w:tr>
      <w:tr>
        <w:trPr>
          <w:trHeight w:val="257"/>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62,085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8,190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17,263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29,862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23,424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18,202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28,378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110,274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297,678</w:t>
            </w: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Canada</w:t>
            </w: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2,062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2,934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8,031</w:t>
            </w: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7,962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25,702</w:t>
            </w: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3,919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7,176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1,311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12,891</w:t>
            </w:r>
          </w:p>
        </w:tc>
      </w:tr>
      <w:tr>
        <w:trPr>
          <w:trHeight w:val="270"/>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9,002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4,959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15,981</w:t>
            </w:r>
          </w:p>
        </w:tc>
      </w:tr>
      <w:tr>
        <w:trPr>
          <w:trHeight w:val="237"/>
        </w:trPr>
        <w:tc>
          <w:tcPr>
            <w:tcW w:w="21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83,342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24,260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17,872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34,289</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23,424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29,891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33,337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113,868</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360,283</w:t>
            </w:r>
          </w:p>
        </w:tc>
      </w:tr>
      <w:tr>
        <w:trPr>
          <w:trHeight w:val="20"/>
        </w:trPr>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31750</wp:posOffset>
            </wp:positionV>
            <wp:extent cx="58489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69"/>
              <w:spacing w:after="0"/>
              <w:rPr>
                <w:sz w:val="20"/>
                <w:szCs w:val="20"/>
                <w:color w:val="auto"/>
              </w:rPr>
            </w:pPr>
            <w:r>
              <w:rPr>
                <w:rFonts w:ascii="Arial" w:cs="Arial" w:eastAsia="Arial" w:hAnsi="Arial"/>
                <w:sz w:val="13"/>
                <w:szCs w:val="13"/>
                <w:b w:val="1"/>
                <w:bCs w:val="1"/>
                <w:color w:val="auto"/>
              </w:rPr>
              <w:t>5.11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Ergo</w:t>
            </w: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Liberty</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Velocity</w:t>
            </w:r>
          </w:p>
        </w:tc>
        <w:tc>
          <w:tcPr>
            <w:tcW w:w="22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ACI</w:t>
            </w: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Arnold</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Foam</w:t>
            </w: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Sterno</w:t>
            </w:r>
          </w:p>
        </w:tc>
        <w:tc>
          <w:tcPr>
            <w:tcW w:w="180" w:type="dxa"/>
            <w:vAlign w:val="bottom"/>
          </w:tcPr>
          <w:p>
            <w:pPr>
              <w:spacing w:after="0"/>
              <w:rPr>
                <w:sz w:val="15"/>
                <w:szCs w:val="15"/>
                <w:color w:val="auto"/>
              </w:rPr>
            </w:pPr>
          </w:p>
        </w:tc>
        <w:tc>
          <w:tcPr>
            <w:tcW w:w="820" w:type="dxa"/>
            <w:vAlign w:val="bottom"/>
          </w:tcPr>
          <w:p>
            <w:pPr>
              <w:jc w:val="right"/>
              <w:ind w:right="289"/>
              <w:spacing w:after="0"/>
              <w:rPr>
                <w:sz w:val="20"/>
                <w:szCs w:val="20"/>
                <w:color w:val="auto"/>
              </w:rPr>
            </w:pPr>
            <w:r>
              <w:rPr>
                <w:rFonts w:ascii="Arial" w:cs="Arial" w:eastAsia="Arial" w:hAnsi="Arial"/>
                <w:sz w:val="13"/>
                <w:szCs w:val="13"/>
                <w:b w:val="1"/>
                <w:bCs w:val="1"/>
                <w:color w:val="auto"/>
              </w:rPr>
              <w:t>Total</w:t>
            </w:r>
          </w:p>
        </w:tc>
      </w:tr>
      <w:tr>
        <w:trPr>
          <w:trHeight w:val="270"/>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225,124</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20,738</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65,797</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93,243</w:t>
            </w:r>
          </w:p>
        </w:tc>
        <w:tc>
          <w:tcPr>
            <w:tcW w:w="1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67,405</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53,778</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78,508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273,002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877,595</w:t>
            </w:r>
          </w:p>
        </w:tc>
      </w:tr>
      <w:tr>
        <w:trPr>
          <w:trHeight w:val="264"/>
        </w:trPr>
        <w:tc>
          <w:tcPr>
            <w:tcW w:w="2180" w:type="dxa"/>
            <w:vAlign w:val="bottom"/>
          </w:tcPr>
          <w:p>
            <w:pPr>
              <w:ind w:left="20"/>
              <w:spacing w:after="0"/>
              <w:rPr>
                <w:sz w:val="20"/>
                <w:szCs w:val="20"/>
                <w:color w:val="auto"/>
              </w:rPr>
            </w:pPr>
            <w:r>
              <w:rPr>
                <w:rFonts w:ascii="Arial" w:cs="Arial" w:eastAsia="Arial" w:hAnsi="Arial"/>
                <w:sz w:val="14"/>
                <w:szCs w:val="14"/>
                <w:color w:val="auto"/>
              </w:rPr>
              <w:t>Canada</w:t>
            </w: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6,211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2,552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1,769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5,232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12,361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28,641</w:t>
            </w:r>
          </w:p>
        </w:tc>
      </w:tr>
      <w:tr>
        <w:trPr>
          <w:trHeight w:val="276"/>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20,658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21,026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28,584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76,904</w:t>
            </w:r>
          </w:p>
        </w:tc>
      </w:tr>
      <w:tr>
        <w:trPr>
          <w:trHeight w:val="264"/>
        </w:trPr>
        <w:tc>
          <w:tcPr>
            <w:tcW w:w="21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9,007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23,656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4,479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2,273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40,086</w:t>
            </w:r>
          </w:p>
        </w:tc>
      </w:tr>
      <w:tr>
        <w:trPr>
          <w:trHeight w:val="270"/>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17,978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2,996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15,126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40,028</w:t>
            </w:r>
          </w:p>
        </w:tc>
      </w:tr>
      <w:tr>
        <w:trPr>
          <w:trHeight w:val="250"/>
        </w:trPr>
        <w:tc>
          <w:tcPr>
            <w:tcW w:w="21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278,978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68,741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67,566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107,395</w:t>
            </w: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67,405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90,404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93,634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289,131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1,063,254</w:t>
            </w:r>
          </w:p>
        </w:tc>
      </w:tr>
      <w:tr>
        <w:trPr>
          <w:trHeight w:val="20"/>
        </w:trPr>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44" w:right="239" w:bottom="1440" w:gutter="0" w:footer="0" w:header="0"/>
        </w:sectPr>
      </w:pPr>
    </w:p>
    <w:bookmarkStart w:id="18" w:name="page19"/>
    <w:bookmarkEnd w:id="18"/>
    <w:p>
      <w:pPr>
        <w:ind w:left="5280"/>
        <w:spacing w:after="0"/>
        <w:rPr>
          <w:sz w:val="20"/>
          <w:szCs w:val="20"/>
          <w:color w:val="auto"/>
        </w:rPr>
      </w:pPr>
      <w:r>
        <w:rPr>
          <w:rFonts w:ascii="Arial" w:cs="Arial" w:eastAsia="Arial" w:hAnsi="Arial"/>
          <w:sz w:val="16"/>
          <w:szCs w:val="16"/>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31750</wp:posOffset>
            </wp:positionV>
            <wp:extent cx="5848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69"/>
              <w:spacing w:after="0"/>
              <w:rPr>
                <w:sz w:val="20"/>
                <w:szCs w:val="20"/>
                <w:color w:val="auto"/>
              </w:rPr>
            </w:pPr>
            <w:r>
              <w:rPr>
                <w:rFonts w:ascii="Arial" w:cs="Arial" w:eastAsia="Arial" w:hAnsi="Arial"/>
                <w:sz w:val="13"/>
                <w:szCs w:val="13"/>
                <w:b w:val="1"/>
                <w:bCs w:val="1"/>
                <w:color w:val="auto"/>
              </w:rPr>
              <w:t>5.11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Ergo</w:t>
            </w: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Liberty</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Velocity</w:t>
            </w:r>
          </w:p>
        </w:tc>
        <w:tc>
          <w:tcPr>
            <w:tcW w:w="22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ACI</w:t>
            </w: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Arnold</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Foam</w:t>
            </w: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Sterno</w:t>
            </w: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Arial" w:cs="Arial" w:eastAsia="Arial" w:hAnsi="Arial"/>
                <w:sz w:val="13"/>
                <w:szCs w:val="13"/>
                <w:b w:val="1"/>
                <w:bCs w:val="1"/>
                <w:color w:val="auto"/>
              </w:rPr>
              <w:t>Total</w:t>
            </w:r>
          </w:p>
        </w:tc>
      </w:tr>
      <w:tr>
        <w:trPr>
          <w:trHeight w:val="257"/>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192,382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25,790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60,126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80,629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68,454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54,417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70,604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255,054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807,456</w:t>
            </w:r>
          </w:p>
        </w:tc>
      </w:tr>
      <w:tr>
        <w:trPr>
          <w:trHeight w:val="264"/>
        </w:trPr>
        <w:tc>
          <w:tcPr>
            <w:tcW w:w="2180" w:type="dxa"/>
            <w:vAlign w:val="bottom"/>
          </w:tcPr>
          <w:p>
            <w:pPr>
              <w:ind w:left="20"/>
              <w:spacing w:after="0"/>
              <w:rPr>
                <w:sz w:val="20"/>
                <w:szCs w:val="20"/>
                <w:color w:val="auto"/>
              </w:rPr>
            </w:pPr>
            <w:r>
              <w:rPr>
                <w:rFonts w:ascii="Arial" w:cs="Arial" w:eastAsia="Arial" w:hAnsi="Arial"/>
                <w:sz w:val="14"/>
                <w:szCs w:val="14"/>
                <w:color w:val="auto"/>
              </w:rPr>
              <w:t>Canada</w:t>
            </w: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5,938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2,277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1,615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5,118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9,750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25,676</w:t>
            </w:r>
          </w:p>
        </w:tc>
      </w:tr>
      <w:tr>
        <w:trPr>
          <w:trHeight w:val="276"/>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23,334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21,795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4,377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29,065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79,781</w:t>
            </w:r>
          </w:p>
        </w:tc>
      </w:tr>
      <w:tr>
        <w:trPr>
          <w:trHeight w:val="264"/>
        </w:trPr>
        <w:tc>
          <w:tcPr>
            <w:tcW w:w="21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12,344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19,713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3,803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37,319</w:t>
            </w:r>
          </w:p>
        </w:tc>
      </w:tr>
      <w:tr>
        <w:trPr>
          <w:trHeight w:val="270"/>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18,024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3,164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11,384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36,170</w:t>
            </w:r>
          </w:p>
        </w:tc>
      </w:tr>
      <w:tr>
        <w:trPr>
          <w:trHeight w:val="237"/>
        </w:trPr>
        <w:tc>
          <w:tcPr>
            <w:tcW w:w="21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252,022</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70,376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61,741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94,266</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68,454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90,486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81,988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267,069</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986,402</w:t>
            </w:r>
          </w:p>
        </w:tc>
      </w:tr>
      <w:tr>
        <w:trPr>
          <w:trHeight w:val="20"/>
        </w:trPr>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Operating Segment Data</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September 30, 2019, the Company had eight reportable operating segments. Each operating segment represents a platform acquisition. The Company’s operating segments are strategic business units that offer different products and services. They are managed separately because each business requires different technology and marketing strategies. A description of each of the reportable segments and the types of products and services from which each segment derives its revenues is as follows:</w:t>
      </w:r>
    </w:p>
    <w:p>
      <w:pPr>
        <w:spacing w:after="0" w:line="150" w:lineRule="exact"/>
        <w:rPr>
          <w:sz w:val="20"/>
          <w:szCs w:val="20"/>
          <w:color w:val="auto"/>
        </w:rPr>
      </w:pPr>
    </w:p>
    <w:p>
      <w:pPr>
        <w:ind w:left="420" w:hanging="331"/>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5.11 Tactical</w:t>
      </w:r>
      <w:r>
        <w:rPr>
          <w:rFonts w:ascii="Arial" w:cs="Arial" w:eastAsia="Arial" w:hAnsi="Arial"/>
          <w:sz w:val="18"/>
          <w:szCs w:val="18"/>
          <w:color w:val="auto"/>
        </w:rPr>
        <w:t xml:space="preserve"> is a leading provider of purpose-built tactical apparel and gear for law enforcement, firefighters, EMS, and military special</w:t>
      </w:r>
    </w:p>
    <w:p>
      <w:pPr>
        <w:spacing w:after="0" w:line="9" w:lineRule="exact"/>
        <w:rPr>
          <w:sz w:val="20"/>
          <w:szCs w:val="20"/>
          <w:color w:val="auto"/>
        </w:rPr>
      </w:pPr>
    </w:p>
    <w:p>
      <w:pPr>
        <w:jc w:val="both"/>
        <w:ind w:left="420"/>
        <w:spacing w:after="0" w:line="253" w:lineRule="auto"/>
        <w:rPr>
          <w:sz w:val="20"/>
          <w:szCs w:val="20"/>
          <w:color w:val="auto"/>
        </w:rPr>
      </w:pPr>
      <w:r>
        <w:rPr>
          <w:rFonts w:ascii="Arial" w:cs="Arial" w:eastAsia="Arial" w:hAnsi="Arial"/>
          <w:sz w:val="18"/>
          <w:szCs w:val="18"/>
          <w:color w:val="auto"/>
        </w:rPr>
        <w:t>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152" w:lineRule="exact"/>
        <w:rPr>
          <w:sz w:val="20"/>
          <w:szCs w:val="20"/>
          <w:color w:val="auto"/>
        </w:rPr>
      </w:pPr>
    </w:p>
    <w:p>
      <w:pPr>
        <w:jc w:val="both"/>
        <w:ind w:left="420" w:hanging="331"/>
        <w:spacing w:after="0" w:line="25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Ergobaby</w:t>
      </w:r>
      <w:r>
        <w:rPr>
          <w:rFonts w:ascii="Arial" w:cs="Arial" w:eastAsia="Arial" w:hAnsi="Arial"/>
          <w:sz w:val="18"/>
          <w:szCs w:val="18"/>
          <w:color w:val="auto"/>
        </w:rPr>
        <w:t xml:space="preserve"> is a designer, marketer and distributor of wearable baby carriers and accessories, blankets and swaddlers, nursing pillows, and related products. Ergobaby primarily sells its Ergobaby and Baby Tula branded products through brick-and-mortar retailers, national chain stores, online retailers, its own websites and distributors and derives more than 50% of its sales from outside of the United States. Ergobaby is headquartered in Los Angeles, California.</w:t>
      </w:r>
    </w:p>
    <w:p>
      <w:pPr>
        <w:spacing w:after="0" w:line="150" w:lineRule="exact"/>
        <w:rPr>
          <w:rFonts w:ascii="Arial" w:cs="Arial" w:eastAsia="Arial" w:hAnsi="Arial"/>
          <w:sz w:val="18"/>
          <w:szCs w:val="18"/>
          <w:color w:val="auto"/>
        </w:rPr>
      </w:pPr>
    </w:p>
    <w:p>
      <w:pPr>
        <w:jc w:val="both"/>
        <w:ind w:left="420" w:hanging="331"/>
        <w:spacing w:after="0" w:line="256"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Liberty Safe</w:t>
      </w:r>
      <w:r>
        <w:rPr>
          <w:rFonts w:ascii="Arial" w:cs="Arial" w:eastAsia="Arial" w:hAnsi="Arial"/>
          <w:sz w:val="18"/>
          <w:szCs w:val="18"/>
          <w:color w:val="auto"/>
        </w:rPr>
        <w:t xml:space="preserve"> is a designer, manufacturer and marketer of premium home, gun and office safes in North America. From its over 300,000 square foot manufacturing facility, Liberty produces a wide range of home and gun safe models in a broad assortment of sizes, features and styles. Liberty is headquartered in Payson, Utah.</w:t>
      </w:r>
    </w:p>
    <w:p>
      <w:pPr>
        <w:spacing w:after="0" w:line="147"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airguns, archery products, laser aiming devices and related accessories. Velocity Outdoor offers its products under the highly recognizable Crosman, Benjamin, Ravin, LaserMax and CenterPoint brands that are available through national retail chains, mass merchants, dealer and distributor networks. Velocity Outdoor is headquartered in Bloomfield, New York.</w:t>
      </w:r>
    </w:p>
    <w:p>
      <w:pPr>
        <w:spacing w:after="0" w:line="150" w:lineRule="exact"/>
        <w:rPr>
          <w:rFonts w:ascii="Arial" w:cs="Arial" w:eastAsia="Arial" w:hAnsi="Arial"/>
          <w:sz w:val="18"/>
          <w:szCs w:val="18"/>
          <w:color w:val="auto"/>
        </w:rPr>
      </w:pPr>
    </w:p>
    <w:p>
      <w:pPr>
        <w:jc w:val="both"/>
        <w:ind w:left="420" w:hanging="331"/>
        <w:spacing w:after="0" w:line="256"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8"/>
          <w:szCs w:val="18"/>
          <w:u w:val="single" w:color="auto"/>
          <w:color w:val="auto"/>
        </w:rPr>
        <w:t>Advanced Circuits</w:t>
      </w:r>
      <w:r>
        <w:rPr>
          <w:rFonts w:ascii="Arial" w:cs="Arial" w:eastAsia="Arial" w:hAnsi="Arial"/>
          <w:sz w:val="18"/>
          <w:szCs w:val="18"/>
          <w:color w:val="auto"/>
        </w:rPr>
        <w:t xml:space="preserve"> is an electronic components manufacturing company that provides small-run, quick-turn and volume production rigid printed circuit boards. ACI manufactures and delivers custom printed circuit boards to customers primarily in North America. ACI is headquartered in Aurora, Colorado.</w:t>
      </w:r>
    </w:p>
    <w:p>
      <w:pPr>
        <w:spacing w:after="0" w:line="147" w:lineRule="exact"/>
        <w:rPr>
          <w:rFonts w:ascii="Arial" w:cs="Arial" w:eastAsia="Arial" w:hAnsi="Arial"/>
          <w:sz w:val="17"/>
          <w:szCs w:val="17"/>
          <w:color w:val="auto"/>
        </w:rPr>
      </w:pPr>
    </w:p>
    <w:p>
      <w:pPr>
        <w:jc w:val="both"/>
        <w:ind w:left="420" w:hanging="331"/>
        <w:spacing w:after="0" w:line="252"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manufacturer of engineered magnetic solutions for a wide range of specialty applications and end-markets, including aerospace and defense, motorsport/automotive, oil and gas, medical, general industrial, electric utility, reprographics and advertising specialty markets. Arnold produces high performance permanent magnets (PMAG),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clients worldwide. Arnold is headquartered in Rochester, New York.</w:t>
      </w:r>
    </w:p>
    <w:p>
      <w:pPr>
        <w:spacing w:after="0" w:line="154"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Foam Fabricators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Foam Fabricators provides products to a variety of end markets, including appliances and electronics, pharmaceuticals, health and wellness, automotive, building and other products. Foam Fabricators is headquartered in Scottsdale, Arizona and operates 13 molding and fabricating facilities across North America.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54" w:right="239" w:bottom="1440" w:gutter="0" w:footer="0" w:header="0"/>
        </w:sectPr>
      </w:pPr>
    </w:p>
    <w:bookmarkStart w:id="19" w:name="page20"/>
    <w:bookmarkEnd w:id="19"/>
    <w:p>
      <w:pPr>
        <w:jc w:val="both"/>
        <w:ind w:left="420" w:hanging="331"/>
        <w:spacing w:after="0" w:line="25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manufacturer and marketer of portable food warming fuel and creative table lighting solutions for the food service industry and flameless candles, outdoor lighting products, scented wax cubes and warmer products for consumers. Sterno's products include wick and gel chafing fuels, butane stoves and accessories, liquid and traditional wax candles, scented wax cubes and warmer products used for home decor and fragrance systems, catering equipment and outdoor lighting products. Sterno is headquartered in Corona, California.</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results of operations of each of the operating segments are included in consolidated operating results as of their date of acquisition. There were no significant inter-segment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20" w:type="dxa"/>
            <w:vAlign w:val="bottom"/>
          </w:tcPr>
          <w:p>
            <w:pPr>
              <w:ind w:left="40"/>
              <w:spacing w:after="0"/>
              <w:rPr>
                <w:sz w:val="20"/>
                <w:szCs w:val="20"/>
                <w:color w:val="auto"/>
              </w:rPr>
            </w:pPr>
            <w:r>
              <w:rPr>
                <w:rFonts w:ascii="Arial" w:cs="Arial" w:eastAsia="Arial" w:hAnsi="Arial"/>
                <w:sz w:val="15"/>
                <w:szCs w:val="15"/>
                <w:b w:val="1"/>
                <w:bCs w:val="1"/>
                <w:color w:val="auto"/>
              </w:rPr>
              <w:t>Net Revenues</w:t>
            </w:r>
          </w:p>
        </w:tc>
        <w:tc>
          <w:tcPr>
            <w:tcW w:w="120" w:type="dxa"/>
            <w:vAlign w:val="bottom"/>
          </w:tcPr>
          <w:p>
            <w:pPr>
              <w:spacing w:after="0"/>
              <w:rPr>
                <w:sz w:val="17"/>
                <w:szCs w:val="17"/>
                <w:color w:val="auto"/>
              </w:rPr>
            </w:pPr>
          </w:p>
        </w:tc>
        <w:tc>
          <w:tcPr>
            <w:tcW w:w="2840" w:type="dxa"/>
            <w:vAlign w:val="bottom"/>
            <w:gridSpan w:val="5"/>
          </w:tcPr>
          <w:p>
            <w:pPr>
              <w:ind w:left="2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17"/>
                <w:szCs w:val="17"/>
                <w:color w:val="auto"/>
              </w:rPr>
            </w:pPr>
          </w:p>
        </w:tc>
        <w:tc>
          <w:tcPr>
            <w:tcW w:w="2680" w:type="dxa"/>
            <w:vAlign w:val="bottom"/>
            <w:gridSpan w:val="4"/>
          </w:tcPr>
          <w:p>
            <w:pPr>
              <w:jc w:val="right"/>
              <w:ind w:right="79"/>
              <w:spacing w:after="0"/>
              <w:rPr>
                <w:sz w:val="20"/>
                <w:szCs w:val="20"/>
                <w:color w:val="auto"/>
              </w:rPr>
            </w:pPr>
            <w:r>
              <w:rPr>
                <w:rFonts w:ascii="Arial" w:cs="Arial" w:eastAsia="Arial" w:hAnsi="Arial"/>
                <w:sz w:val="15"/>
                <w:szCs w:val="15"/>
                <w:b w:val="1"/>
                <w:bCs w:val="1"/>
                <w:color w:val="auto"/>
              </w:rPr>
              <w:t>Nine months ended September 30,</w:t>
            </w:r>
          </w:p>
        </w:tc>
      </w:tr>
      <w:tr>
        <w:trPr>
          <w:trHeight w:val="264"/>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5"/>
                <w:szCs w:val="15"/>
                <w:b w:val="1"/>
                <w:bCs w:val="1"/>
                <w:color w:val="auto"/>
              </w:rPr>
              <w:t>2018</w:t>
            </w:r>
          </w:p>
        </w:tc>
      </w:tr>
      <w:tr>
        <w:trPr>
          <w:trHeight w:val="119"/>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5.11 Tactical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98,053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83,342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278,978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252,022</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Ergobaby</w:t>
            </w:r>
          </w:p>
        </w:tc>
        <w:tc>
          <w:tcPr>
            <w:tcW w:w="1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23,318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24,260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68,741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70,376</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24,729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67,566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61,741</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Velocity Outdoor</w:t>
            </w:r>
          </w:p>
        </w:tc>
        <w:tc>
          <w:tcPr>
            <w:tcW w:w="1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46,647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34,289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107,395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94,266</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ACI</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21,897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67,405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68,454</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Arnold</w:t>
            </w:r>
          </w:p>
        </w:tc>
        <w:tc>
          <w:tcPr>
            <w:tcW w:w="1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30,895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29,891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90,404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90,486</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Foam Fabricators</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31,304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33,337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93,634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81,988</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Sterno</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111,470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113,868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289,131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267,069</w:t>
            </w:r>
          </w:p>
        </w:tc>
      </w:tr>
      <w:tr>
        <w:trPr>
          <w:trHeight w:val="257"/>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segment revenue</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388,313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360,283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1,063,254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986,402</w:t>
            </w: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consolidated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388,313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360,283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1,063,254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986,402</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20" w:type="dxa"/>
            <w:vAlign w:val="bottom"/>
          </w:tcPr>
          <w:p>
            <w:pPr>
              <w:ind w:left="40"/>
              <w:spacing w:after="0"/>
              <w:rPr>
                <w:sz w:val="20"/>
                <w:szCs w:val="20"/>
                <w:color w:val="auto"/>
              </w:rPr>
            </w:pPr>
            <w:r>
              <w:rPr>
                <w:rFonts w:ascii="Arial" w:cs="Arial" w:eastAsia="Arial" w:hAnsi="Arial"/>
                <w:sz w:val="15"/>
                <w:szCs w:val="15"/>
                <w:b w:val="1"/>
                <w:bCs w:val="1"/>
                <w:color w:val="auto"/>
              </w:rPr>
              <w:t xml:space="preserve">Segment profit (loss) </w:t>
            </w:r>
            <w:r>
              <w:rPr>
                <w:rFonts w:ascii="Arial" w:cs="Arial" w:eastAsia="Arial" w:hAnsi="Arial"/>
                <w:sz w:val="12"/>
                <w:szCs w:val="12"/>
                <w:b w:val="1"/>
                <w:bCs w:val="1"/>
                <w:color w:val="auto"/>
              </w:rPr>
              <w:t>(1)</w:t>
            </w:r>
          </w:p>
        </w:tc>
        <w:tc>
          <w:tcPr>
            <w:tcW w:w="120" w:type="dxa"/>
            <w:vAlign w:val="bottom"/>
          </w:tcPr>
          <w:p>
            <w:pPr>
              <w:spacing w:after="0"/>
              <w:rPr>
                <w:sz w:val="17"/>
                <w:szCs w:val="17"/>
                <w:color w:val="auto"/>
              </w:rPr>
            </w:pPr>
          </w:p>
        </w:tc>
        <w:tc>
          <w:tcPr>
            <w:tcW w:w="2840" w:type="dxa"/>
            <w:vAlign w:val="bottom"/>
            <w:gridSpan w:val="5"/>
          </w:tcPr>
          <w:p>
            <w:pPr>
              <w:ind w:left="2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17"/>
                <w:szCs w:val="17"/>
                <w:color w:val="auto"/>
              </w:rPr>
            </w:pPr>
          </w:p>
        </w:tc>
        <w:tc>
          <w:tcPr>
            <w:tcW w:w="2680" w:type="dxa"/>
            <w:vAlign w:val="bottom"/>
            <w:gridSpan w:val="3"/>
          </w:tcPr>
          <w:p>
            <w:pPr>
              <w:jc w:val="right"/>
              <w:ind w:right="79"/>
              <w:spacing w:after="0"/>
              <w:rPr>
                <w:sz w:val="20"/>
                <w:szCs w:val="20"/>
                <w:color w:val="auto"/>
              </w:rPr>
            </w:pPr>
            <w:r>
              <w:rPr>
                <w:rFonts w:ascii="Arial" w:cs="Arial" w:eastAsia="Arial" w:hAnsi="Arial"/>
                <w:sz w:val="15"/>
                <w:szCs w:val="15"/>
                <w:b w:val="1"/>
                <w:bCs w:val="1"/>
                <w:color w:val="auto"/>
              </w:rPr>
              <w:t>Nine months ended September 30,</w:t>
            </w:r>
          </w:p>
        </w:tc>
      </w:tr>
      <w:tr>
        <w:trPr>
          <w:trHeight w:val="264"/>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2019</w:t>
            </w: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5"/>
                <w:szCs w:val="15"/>
                <w:b w:val="1"/>
                <w:bCs w:val="1"/>
                <w:color w:val="auto"/>
              </w:rPr>
              <w:t>2018</w:t>
            </w:r>
          </w:p>
        </w:tc>
      </w:tr>
      <w:tr>
        <w:trPr>
          <w:trHeight w:val="119"/>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5.11 Tactical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5,977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13,388</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3,143</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Ergobaby</w:t>
            </w:r>
          </w:p>
        </w:tc>
        <w:tc>
          <w:tcPr>
            <w:tcW w:w="1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3,220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4,191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9,151</w:t>
            </w:r>
          </w:p>
        </w:tc>
        <w:tc>
          <w:tcPr>
            <w:tcW w:w="4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10,106</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5,812</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4,894</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Velocity Outdoor </w:t>
            </w:r>
            <w:r>
              <w:rPr>
                <w:rFonts w:ascii="Arial" w:cs="Arial" w:eastAsia="Arial" w:hAnsi="Arial"/>
                <w:sz w:val="21"/>
                <w:szCs w:val="21"/>
                <w:color w:val="auto"/>
                <w:vertAlign w:val="superscript"/>
              </w:rPr>
              <w:t>(2)</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(27,902)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(27,635)</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5,125</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ACI</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6,122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19,087</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19,202</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Arnold</w:t>
            </w:r>
          </w:p>
        </w:tc>
        <w:tc>
          <w:tcPr>
            <w:tcW w:w="1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2,681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6,385</w:t>
            </w:r>
          </w:p>
        </w:tc>
        <w:tc>
          <w:tcPr>
            <w:tcW w:w="4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6,957</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Foam Fabricators</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12,011</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7,856</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Sterno</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12,724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11,634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28,821</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19,113</w:t>
            </w:r>
          </w:p>
        </w:tc>
      </w:tr>
      <w:tr>
        <w:trPr>
          <w:trHeight w:val="27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9,689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33,154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67,020</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76,396</w:t>
            </w:r>
          </w:p>
        </w:tc>
      </w:tr>
      <w:tr>
        <w:trPr>
          <w:trHeight w:val="198"/>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Reconciliation of segment profit (loss) to consolidated income (loss)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before income taxes: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(48,424)</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(35,227)</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(1,213)</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(2,285)</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(3)</w:t>
            </w:r>
          </w:p>
        </w:tc>
        <w:tc>
          <w:tcPr>
            <w:tcW w:w="1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(21,657)</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(13,961)</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(52,324)</w:t>
            </w:r>
          </w:p>
        </w:tc>
        <w:tc>
          <w:tcPr>
            <w:tcW w:w="4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(42,745)</w:t>
            </w:r>
          </w:p>
        </w:tc>
      </w:tr>
      <w:tr>
        <w:trPr>
          <w:trHeight w:val="257"/>
        </w:trPr>
        <w:tc>
          <w:tcPr>
            <w:tcW w:w="5620" w:type="dxa"/>
            <w:vAlign w:val="bottom"/>
          </w:tcPr>
          <w:p>
            <w:pPr>
              <w:ind w:left="380"/>
              <w:spacing w:after="0"/>
              <w:rPr>
                <w:sz w:val="20"/>
                <w:szCs w:val="20"/>
                <w:color w:val="auto"/>
              </w:rPr>
            </w:pPr>
            <w:r>
              <w:rPr>
                <w:rFonts w:ascii="Arial" w:cs="Arial" w:eastAsia="Arial" w:hAnsi="Arial"/>
                <w:sz w:val="16"/>
                <w:szCs w:val="16"/>
                <w:color w:val="auto"/>
              </w:rPr>
              <w:t>Total consolidated income (loss) before income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4,813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(34,941)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(3,861)</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2"/>
          <w:szCs w:val="22"/>
          <w:b w:val="1"/>
          <w:bCs w:val="1"/>
          <w:color w:val="auto"/>
          <w:vertAlign w:val="superscript"/>
        </w:rPr>
      </w:pPr>
      <w:r>
        <w:rPr>
          <w:rFonts w:ascii="Arial" w:cs="Arial" w:eastAsia="Arial" w:hAnsi="Arial"/>
          <w:sz w:val="16"/>
          <w:szCs w:val="16"/>
          <w:color w:val="auto"/>
        </w:rPr>
        <w:t>Segment profit (loss) represents operating income (loss).</w:t>
      </w:r>
    </w:p>
    <w:p>
      <w:pPr>
        <w:ind w:left="340" w:right="540" w:hanging="332"/>
        <w:spacing w:after="0" w:line="210"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Velocity Outdoor - Operating loss from Velocity Outdoor for the three and nine months ended September 30, 2019 includes $33.4 million in goodwill impairment expense. </w:t>
      </w:r>
      <w:hyperlink w:anchor="page22">
        <w:r>
          <w:rPr>
            <w:rFonts w:ascii="Arial" w:cs="Arial" w:eastAsia="Arial" w:hAnsi="Arial"/>
            <w:sz w:val="16"/>
            <w:szCs w:val="16"/>
            <w:u w:val="single" w:color="auto"/>
            <w:color w:val="0000EE"/>
          </w:rPr>
          <w:t>Refer to Note G - " Goodwill and Other Intangible Assets."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44" w:right="239" w:bottom="1440" w:gutter="0" w:footer="0" w:header="0"/>
        </w:sectPr>
      </w:pPr>
    </w:p>
    <w:bookmarkStart w:id="20" w:name="page21"/>
    <w:bookmarkEnd w:id="20"/>
    <w:p>
      <w:pPr>
        <w:ind w:left="340" w:right="220" w:hanging="332"/>
        <w:spacing w:after="0" w:line="210" w:lineRule="auto"/>
        <w:tabs>
          <w:tab w:leader="none" w:pos="340" w:val="left"/>
        </w:tabs>
        <w:numPr>
          <w:ilvl w:val="0"/>
          <w:numId w:val="12"/>
        </w:numPr>
        <w:rPr>
          <w:rFonts w:ascii="Arial" w:cs="Arial" w:eastAsia="Arial" w:hAnsi="Arial"/>
          <w:sz w:val="22"/>
          <w:szCs w:val="22"/>
          <w:b w:val="1"/>
          <w:bCs w:val="1"/>
          <w:color w:val="auto"/>
          <w:vertAlign w:val="superscript"/>
        </w:rPr>
      </w:pPr>
      <w:r>
        <w:rPr>
          <w:rFonts w:ascii="Arial" w:cs="Arial" w:eastAsia="Arial" w:hAnsi="Arial"/>
          <w:sz w:val="16"/>
          <w:szCs w:val="16"/>
          <w:color w:val="auto"/>
        </w:rPr>
        <w:t>Primarily relates to management fees expensed and payable to CGM, and corporate overhead expenses. The three and nine months ended September 30, 2019 include a loss of $4.9 million and $10.2 million, respectively, related to the loss on the sale of Tilray securities.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9"/>
          </w:tcPr>
          <w:p>
            <w:pPr>
              <w:jc w:val="right"/>
              <w:ind w:right="600"/>
              <w:spacing w:after="0"/>
              <w:rPr>
                <w:sz w:val="20"/>
                <w:szCs w:val="20"/>
                <w:color w:val="auto"/>
              </w:rPr>
            </w:pPr>
            <w:r>
              <w:rPr>
                <w:rFonts w:ascii="Arial" w:cs="Arial" w:eastAsia="Arial" w:hAnsi="Arial"/>
                <w:sz w:val="15"/>
                <w:szCs w:val="15"/>
                <w:b w:val="1"/>
                <w:bCs w:val="1"/>
                <w:color w:val="auto"/>
              </w:rPr>
              <w:t>Nine months ended</w:t>
            </w:r>
          </w:p>
        </w:tc>
      </w:tr>
      <w:tr>
        <w:trPr>
          <w:trHeight w:val="206"/>
        </w:trPr>
        <w:tc>
          <w:tcPr>
            <w:tcW w:w="6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5"/>
                <w:szCs w:val="15"/>
                <w:b w:val="1"/>
                <w:bCs w:val="1"/>
                <w:color w:val="auto"/>
              </w:rPr>
              <w:t>Depreciation and Amortization Expense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40" w:type="dxa"/>
            <w:vAlign w:val="bottom"/>
            <w:gridSpan w:val="11"/>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gridSpan w:val="8"/>
          </w:tcPr>
          <w:p>
            <w:pPr>
              <w:jc w:val="right"/>
              <w:ind w:right="740"/>
              <w:spacing w:after="0"/>
              <w:rPr>
                <w:sz w:val="20"/>
                <w:szCs w:val="20"/>
                <w:color w:val="auto"/>
              </w:rPr>
            </w:pPr>
            <w:r>
              <w:rPr>
                <w:rFonts w:ascii="Arial" w:cs="Arial" w:eastAsia="Arial" w:hAnsi="Arial"/>
                <w:sz w:val="15"/>
                <w:szCs w:val="15"/>
                <w:b w:val="1"/>
                <w:bCs w:val="1"/>
                <w:color w:val="auto"/>
              </w:rPr>
              <w:t>September 30,</w:t>
            </w:r>
          </w:p>
        </w:tc>
      </w:tr>
      <w:tr>
        <w:trPr>
          <w:trHeight w:val="264"/>
        </w:trPr>
        <w:tc>
          <w:tcPr>
            <w:tcW w:w="60" w:type="dxa"/>
            <w:vAlign w:val="bottom"/>
          </w:tcPr>
          <w:p>
            <w:pPr>
              <w:spacing w:after="0"/>
              <w:rPr>
                <w:sz w:val="22"/>
                <w:szCs w:val="22"/>
                <w:color w:val="auto"/>
              </w:rPr>
            </w:pPr>
          </w:p>
        </w:tc>
        <w:tc>
          <w:tcPr>
            <w:tcW w:w="502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gridSpan w:val="3"/>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5"/>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19"/>
              <w:spacing w:after="0"/>
              <w:rPr>
                <w:sz w:val="20"/>
                <w:szCs w:val="20"/>
                <w:color w:val="auto"/>
              </w:rPr>
            </w:pPr>
            <w:r>
              <w:rPr>
                <w:rFonts w:ascii="Arial" w:cs="Arial" w:eastAsia="Arial" w:hAnsi="Arial"/>
                <w:sz w:val="15"/>
                <w:szCs w:val="15"/>
                <w:b w:val="1"/>
                <w:bCs w:val="1"/>
                <w:color w:val="auto"/>
              </w:rPr>
              <w:t>2018</w:t>
            </w:r>
          </w:p>
        </w:tc>
        <w:tc>
          <w:tcPr>
            <w:tcW w:w="160" w:type="dxa"/>
            <w:vAlign w:val="bottom"/>
            <w:tcBorders>
              <w:top w:val="single" w:sz="8" w:color="auto"/>
            </w:tcBorders>
          </w:tcPr>
          <w:p>
            <w:pPr>
              <w:spacing w:after="0"/>
              <w:rPr>
                <w:sz w:val="22"/>
                <w:szCs w:val="22"/>
                <w:color w:val="auto"/>
              </w:rPr>
            </w:pPr>
          </w:p>
        </w:tc>
      </w:tr>
      <w:tr>
        <w:trPr>
          <w:trHeight w:val="119"/>
        </w:trPr>
        <w:tc>
          <w:tcPr>
            <w:tcW w:w="6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r>
      <w:tr>
        <w:trPr>
          <w:trHeight w:val="270"/>
        </w:trPr>
        <w:tc>
          <w:tcPr>
            <w:tcW w:w="60" w:type="dxa"/>
            <w:vAlign w:val="bottom"/>
          </w:tcPr>
          <w:p>
            <w:pPr>
              <w:spacing w:after="0"/>
              <w:rPr>
                <w:sz w:val="23"/>
                <w:szCs w:val="23"/>
                <w:color w:val="auto"/>
              </w:rPr>
            </w:pPr>
          </w:p>
        </w:tc>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 Tactical</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5,275</w:t>
            </w:r>
          </w:p>
        </w:tc>
        <w:tc>
          <w:tcPr>
            <w:tcW w:w="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5,323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15,730</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15,882</w:t>
            </w:r>
          </w:p>
        </w:tc>
      </w:tr>
      <w:tr>
        <w:trPr>
          <w:trHeight w:val="260"/>
        </w:trPr>
        <w:tc>
          <w:tcPr>
            <w:tcW w:w="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Arial" w:cs="Arial" w:eastAsia="Arial" w:hAnsi="Arial"/>
                <w:sz w:val="16"/>
                <w:szCs w:val="16"/>
                <w:color w:val="auto"/>
              </w:rPr>
              <w:t>Ergobaby</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gridSpan w:val="3"/>
          </w:tcPr>
          <w:p>
            <w:pPr>
              <w:jc w:val="right"/>
              <w:ind w:right="43"/>
              <w:spacing w:after="0"/>
              <w:rPr>
                <w:sz w:val="20"/>
                <w:szCs w:val="20"/>
                <w:color w:val="auto"/>
              </w:rPr>
            </w:pPr>
            <w:r>
              <w:rPr>
                <w:rFonts w:ascii="Arial" w:cs="Arial" w:eastAsia="Arial" w:hAnsi="Arial"/>
                <w:sz w:val="16"/>
                <w:szCs w:val="16"/>
                <w:color w:val="auto"/>
              </w:rPr>
              <w:t>2,319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gridSpan w:val="3"/>
          </w:tcPr>
          <w:p>
            <w:pPr>
              <w:jc w:val="right"/>
              <w:ind w:right="23"/>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6,543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6,374</w:t>
            </w:r>
          </w:p>
        </w:tc>
      </w:tr>
      <w:tr>
        <w:trPr>
          <w:trHeight w:val="280"/>
        </w:trPr>
        <w:tc>
          <w:tcPr>
            <w:tcW w:w="60" w:type="dxa"/>
            <w:vAlign w:val="bottom"/>
          </w:tcPr>
          <w:p>
            <w:pPr>
              <w:spacing w:after="0"/>
              <w:rPr>
                <w:sz w:val="24"/>
                <w:szCs w:val="24"/>
                <w:color w:val="auto"/>
              </w:rPr>
            </w:pPr>
          </w:p>
        </w:tc>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388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1,185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1,130</w:t>
            </w:r>
          </w:p>
        </w:tc>
      </w:tr>
      <w:tr>
        <w:trPr>
          <w:trHeight w:val="260"/>
        </w:trPr>
        <w:tc>
          <w:tcPr>
            <w:tcW w:w="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gridSpan w:val="3"/>
          </w:tcPr>
          <w:p>
            <w:pPr>
              <w:jc w:val="right"/>
              <w:ind w:right="43"/>
              <w:spacing w:after="0"/>
              <w:rPr>
                <w:sz w:val="20"/>
                <w:szCs w:val="20"/>
                <w:color w:val="auto"/>
              </w:rPr>
            </w:pPr>
            <w:r>
              <w:rPr>
                <w:rFonts w:ascii="Arial" w:cs="Arial" w:eastAsia="Arial" w:hAnsi="Arial"/>
                <w:sz w:val="16"/>
                <w:szCs w:val="16"/>
                <w:color w:val="auto"/>
              </w:rPr>
              <w:t>3,217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gridSpan w:val="3"/>
          </w:tcPr>
          <w:p>
            <w:pPr>
              <w:jc w:val="right"/>
              <w:ind w:right="23"/>
              <w:spacing w:after="0"/>
              <w:rPr>
                <w:sz w:val="20"/>
                <w:szCs w:val="20"/>
                <w:color w:val="auto"/>
              </w:rPr>
            </w:pPr>
            <w:r>
              <w:rPr>
                <w:rFonts w:ascii="Arial" w:cs="Arial" w:eastAsia="Arial" w:hAnsi="Arial"/>
                <w:sz w:val="16"/>
                <w:szCs w:val="16"/>
                <w:color w:val="auto"/>
              </w:rPr>
              <w:t>2,077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9,757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6,081</w:t>
            </w:r>
          </w:p>
        </w:tc>
      </w:tr>
      <w:tr>
        <w:trPr>
          <w:trHeight w:val="280"/>
        </w:trPr>
        <w:tc>
          <w:tcPr>
            <w:tcW w:w="60" w:type="dxa"/>
            <w:vAlign w:val="bottom"/>
          </w:tcPr>
          <w:p>
            <w:pPr>
              <w:spacing w:after="0"/>
              <w:rPr>
                <w:sz w:val="24"/>
                <w:szCs w:val="24"/>
                <w:color w:val="auto"/>
              </w:rPr>
            </w:pPr>
          </w:p>
        </w:tc>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525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1,717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2,384</w:t>
            </w:r>
          </w:p>
        </w:tc>
      </w:tr>
      <w:tr>
        <w:trPr>
          <w:trHeight w:val="260"/>
        </w:trPr>
        <w:tc>
          <w:tcPr>
            <w:tcW w:w="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Arial" w:cs="Arial" w:eastAsia="Arial" w:hAnsi="Arial"/>
                <w:sz w:val="16"/>
                <w:szCs w:val="16"/>
                <w:color w:val="auto"/>
              </w:rPr>
              <w:t>Arnold</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gridSpan w:val="3"/>
          </w:tcPr>
          <w:p>
            <w:pPr>
              <w:jc w:val="right"/>
              <w:ind w:right="43"/>
              <w:spacing w:after="0"/>
              <w:rPr>
                <w:sz w:val="20"/>
                <w:szCs w:val="20"/>
                <w:color w:val="auto"/>
              </w:rPr>
            </w:pPr>
            <w:r>
              <w:rPr>
                <w:rFonts w:ascii="Arial" w:cs="Arial" w:eastAsia="Arial" w:hAnsi="Arial"/>
                <w:sz w:val="16"/>
                <w:szCs w:val="16"/>
                <w:color w:val="auto"/>
              </w:rPr>
              <w:t>1,616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gridSpan w:val="3"/>
          </w:tcPr>
          <w:p>
            <w:pPr>
              <w:jc w:val="right"/>
              <w:ind w:right="23"/>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4,818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4,656</w:t>
            </w:r>
          </w:p>
        </w:tc>
      </w:tr>
      <w:tr>
        <w:trPr>
          <w:trHeight w:val="280"/>
        </w:trPr>
        <w:tc>
          <w:tcPr>
            <w:tcW w:w="60" w:type="dxa"/>
            <w:vAlign w:val="bottom"/>
          </w:tcPr>
          <w:p>
            <w:pPr>
              <w:spacing w:after="0"/>
              <w:rPr>
                <w:sz w:val="24"/>
                <w:szCs w:val="24"/>
                <w:color w:val="auto"/>
              </w:rPr>
            </w:pPr>
          </w:p>
        </w:tc>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Foam Fabricators</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3,044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2,957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9,054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7,724</w:t>
            </w:r>
          </w:p>
        </w:tc>
      </w:tr>
      <w:tr>
        <w:trPr>
          <w:trHeight w:val="264"/>
        </w:trPr>
        <w:tc>
          <w:tcPr>
            <w:tcW w:w="60" w:type="dxa"/>
            <w:vAlign w:val="bottom"/>
          </w:tcPr>
          <w:p>
            <w:pPr>
              <w:spacing w:after="0"/>
              <w:rPr>
                <w:sz w:val="22"/>
                <w:szCs w:val="22"/>
                <w:color w:val="auto"/>
              </w:rPr>
            </w:pPr>
          </w:p>
        </w:tc>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Sterno</w:t>
            </w: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6"/>
                <w:szCs w:val="16"/>
                <w:color w:val="auto"/>
              </w:rPr>
              <w:t>5,539</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6"/>
                <w:szCs w:val="16"/>
                <w:color w:val="auto"/>
              </w:rPr>
              <w:t>7,584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16,456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21,455</w:t>
            </w:r>
          </w:p>
        </w:tc>
      </w:tr>
      <w:tr>
        <w:trPr>
          <w:trHeight w:val="270"/>
        </w:trPr>
        <w:tc>
          <w:tcPr>
            <w:tcW w:w="60" w:type="dxa"/>
            <w:vAlign w:val="bottom"/>
          </w:tcPr>
          <w:p>
            <w:pPr>
              <w:spacing w:after="0"/>
              <w:rPr>
                <w:sz w:val="23"/>
                <w:szCs w:val="23"/>
                <w:color w:val="auto"/>
              </w:rPr>
            </w:pPr>
          </w:p>
        </w:tc>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21,923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22,799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65,260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65,686</w:t>
            </w:r>
          </w:p>
        </w:tc>
      </w:tr>
      <w:tr>
        <w:trPr>
          <w:trHeight w:val="260"/>
        </w:trPr>
        <w:tc>
          <w:tcPr>
            <w:tcW w:w="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3"/>
        </w:trPr>
        <w:tc>
          <w:tcPr>
            <w:tcW w:w="60" w:type="dxa"/>
            <w:vAlign w:val="bottom"/>
          </w:tcPr>
          <w:p>
            <w:pPr>
              <w:spacing w:after="0"/>
              <w:rPr>
                <w:sz w:val="23"/>
                <w:szCs w:val="23"/>
                <w:color w:val="auto"/>
              </w:rPr>
            </w:pPr>
          </w:p>
        </w:tc>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 and original issue discount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863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3,022</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3,403</w:t>
            </w:r>
          </w:p>
        </w:tc>
      </w:tr>
      <w:tr>
        <w:trPr>
          <w:trHeight w:val="267"/>
        </w:trPr>
        <w:tc>
          <w:tcPr>
            <w:tcW w:w="60" w:type="dxa"/>
            <w:vAlign w:val="bottom"/>
          </w:tcPr>
          <w:p>
            <w:pPr>
              <w:spacing w:after="0"/>
              <w:rPr>
                <w:sz w:val="23"/>
                <w:szCs w:val="23"/>
                <w:color w:val="auto"/>
              </w:rPr>
            </w:pPr>
          </w:p>
        </w:tc>
        <w:tc>
          <w:tcPr>
            <w:tcW w:w="5020" w:type="dxa"/>
            <w:vAlign w:val="bottom"/>
          </w:tcPr>
          <w:p>
            <w:pPr>
              <w:ind w:left="280"/>
              <w:spacing w:after="0"/>
              <w:rPr>
                <w:sz w:val="20"/>
                <w:szCs w:val="20"/>
                <w:color w:val="auto"/>
              </w:rPr>
            </w:pPr>
            <w:r>
              <w:rPr>
                <w:rFonts w:ascii="Arial" w:cs="Arial" w:eastAsia="Arial" w:hAnsi="Arial"/>
                <w:sz w:val="16"/>
                <w:szCs w:val="16"/>
                <w:color w:val="auto"/>
              </w:rPr>
              <w:t>Consolidated total</w:t>
            </w:r>
          </w:p>
        </w:tc>
        <w:tc>
          <w:tcPr>
            <w:tcW w:w="160" w:type="dxa"/>
            <w:vAlign w:val="bottom"/>
          </w:tcPr>
          <w:p>
            <w:pPr>
              <w:spacing w:after="0"/>
              <w:rPr>
                <w:sz w:val="23"/>
                <w:szCs w:val="23"/>
                <w:color w:val="auto"/>
              </w:rPr>
            </w:pP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43"/>
              <w:spacing w:after="0"/>
              <w:rPr>
                <w:sz w:val="20"/>
                <w:szCs w:val="20"/>
                <w:color w:val="auto"/>
              </w:rPr>
            </w:pPr>
            <w:r>
              <w:rPr>
                <w:rFonts w:ascii="Arial" w:cs="Arial" w:eastAsia="Arial" w:hAnsi="Arial"/>
                <w:sz w:val="16"/>
                <w:szCs w:val="16"/>
                <w:color w:val="auto"/>
              </w:rPr>
              <w:t>22,786</w:t>
            </w:r>
          </w:p>
        </w:tc>
        <w:tc>
          <w:tcPr>
            <w:tcW w:w="40" w:type="dxa"/>
            <w:vAlign w:val="bottom"/>
          </w:tcPr>
          <w:p>
            <w:pPr>
              <w:spacing w:after="0"/>
              <w:rPr>
                <w:sz w:val="23"/>
                <w:szCs w:val="23"/>
                <w:color w:val="auto"/>
              </w:rPr>
            </w:pPr>
          </w:p>
        </w:tc>
        <w:tc>
          <w:tcPr>
            <w:tcW w:w="70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ind w:right="23"/>
              <w:spacing w:after="0"/>
              <w:rPr>
                <w:sz w:val="20"/>
                <w:szCs w:val="20"/>
                <w:color w:val="auto"/>
              </w:rPr>
            </w:pPr>
            <w:r>
              <w:rPr>
                <w:rFonts w:ascii="Arial" w:cs="Arial" w:eastAsia="Arial" w:hAnsi="Arial"/>
                <w:sz w:val="16"/>
                <w:szCs w:val="16"/>
                <w:color w:val="auto"/>
              </w:rPr>
              <w:t>23,878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68,282</w:t>
            </w:r>
          </w:p>
        </w:tc>
        <w:tc>
          <w:tcPr>
            <w:tcW w:w="3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69,089</w:t>
            </w:r>
          </w:p>
        </w:tc>
      </w:tr>
      <w:tr>
        <w:trPr>
          <w:trHeight w:val="20"/>
        </w:trPr>
        <w:tc>
          <w:tcPr>
            <w:tcW w:w="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844"/>
        </w:trPr>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600"/>
              <w:spacing w:after="0"/>
              <w:rPr>
                <w:sz w:val="20"/>
                <w:szCs w:val="20"/>
                <w:color w:val="auto"/>
              </w:rPr>
            </w:pPr>
            <w:r>
              <w:rPr>
                <w:rFonts w:ascii="Arial" w:cs="Arial" w:eastAsia="Arial" w:hAnsi="Arial"/>
                <w:sz w:val="15"/>
                <w:szCs w:val="15"/>
                <w:b w:val="1"/>
                <w:bCs w:val="1"/>
                <w:color w:val="auto"/>
              </w:rPr>
              <w:t>Accounts Receivable</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right"/>
              <w:ind w:right="739"/>
              <w:spacing w:after="0"/>
              <w:rPr>
                <w:sz w:val="20"/>
                <w:szCs w:val="20"/>
                <w:color w:val="auto"/>
              </w:rPr>
            </w:pPr>
            <w:r>
              <w:rPr>
                <w:rFonts w:ascii="Arial" w:cs="Arial" w:eastAsia="Arial" w:hAnsi="Arial"/>
                <w:sz w:val="15"/>
                <w:szCs w:val="15"/>
                <w:b w:val="1"/>
                <w:bCs w:val="1"/>
                <w:color w:val="auto"/>
              </w:rPr>
              <w:t>Identifiable Assets</w:t>
            </w:r>
          </w:p>
        </w:tc>
        <w:tc>
          <w:tcPr>
            <w:tcW w:w="160" w:type="dxa"/>
            <w:vAlign w:val="bottom"/>
          </w:tcPr>
          <w:p>
            <w:pPr>
              <w:spacing w:after="0"/>
              <w:rPr>
                <w:sz w:val="24"/>
                <w:szCs w:val="24"/>
                <w:color w:val="auto"/>
              </w:rPr>
            </w:pPr>
          </w:p>
        </w:tc>
      </w:tr>
      <w:tr>
        <w:trPr>
          <w:trHeight w:val="260"/>
        </w:trPr>
        <w:tc>
          <w:tcPr>
            <w:tcW w:w="6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rPr>
              <w:t>September 30,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4"/>
          </w:tcPr>
          <w:p>
            <w:pPr>
              <w:jc w:val="right"/>
              <w:ind w:right="119"/>
              <w:spacing w:after="0"/>
              <w:rPr>
                <w:sz w:val="20"/>
                <w:szCs w:val="20"/>
                <w:color w:val="auto"/>
              </w:rPr>
            </w:pPr>
            <w:r>
              <w:rPr>
                <w:rFonts w:ascii="Arial" w:cs="Arial" w:eastAsia="Arial" w:hAnsi="Arial"/>
                <w:sz w:val="15"/>
                <w:szCs w:val="15"/>
                <w:b w:val="1"/>
                <w:bCs w:val="1"/>
                <w:color w:val="auto"/>
              </w:rPr>
              <w:t>December 31,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September 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5"/>
          </w:tcPr>
          <w:p>
            <w:pPr>
              <w:jc w:val="right"/>
              <w:ind w:right="400"/>
              <w:spacing w:after="0"/>
              <w:rPr>
                <w:sz w:val="20"/>
                <w:szCs w:val="20"/>
                <w:color w:val="auto"/>
              </w:rPr>
            </w:pPr>
            <w:r>
              <w:rPr>
                <w:rFonts w:ascii="Arial" w:cs="Arial" w:eastAsia="Arial" w:hAnsi="Arial"/>
                <w:sz w:val="15"/>
                <w:szCs w:val="15"/>
                <w:b w:val="1"/>
                <w:bCs w:val="1"/>
                <w:color w:val="auto"/>
              </w:rPr>
              <w:t>December 31,</w:t>
            </w:r>
          </w:p>
        </w:tc>
      </w:tr>
      <w:tr>
        <w:trPr>
          <w:trHeight w:val="274"/>
        </w:trPr>
        <w:tc>
          <w:tcPr>
            <w:tcW w:w="5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b w:val="1"/>
                <w:bCs w:val="1"/>
                <w:color w:val="auto"/>
              </w:rPr>
              <w:t>2019</w:t>
            </w:r>
          </w:p>
        </w:tc>
        <w:tc>
          <w:tcPr>
            <w:tcW w:w="4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5"/>
                <w:szCs w:val="15"/>
                <w:b w:val="1"/>
                <w:bCs w:val="1"/>
                <w:color w:val="auto"/>
              </w:rPr>
              <w:t>2018</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5"/>
                <w:szCs w:val="15"/>
                <w:b w:val="1"/>
                <w:bCs w:val="1"/>
                <w:color w:val="auto"/>
              </w:rPr>
              <w:t xml:space="preserve">2019 </w:t>
            </w:r>
            <w:r>
              <w:rPr>
                <w:rFonts w:ascii="Arial" w:cs="Arial" w:eastAsia="Arial" w:hAnsi="Arial"/>
                <w:sz w:val="12"/>
                <w:szCs w:val="12"/>
                <w:b w:val="1"/>
                <w:bCs w:val="1"/>
                <w:color w:val="auto"/>
              </w:rPr>
              <w:t>(1)</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5"/>
                <w:szCs w:val="15"/>
                <w:b w:val="1"/>
                <w:bCs w:val="1"/>
                <w:color w:val="auto"/>
              </w:rPr>
              <w:t xml:space="preserve">2018 </w:t>
            </w:r>
            <w:r>
              <w:rPr>
                <w:rFonts w:ascii="Arial" w:cs="Arial" w:eastAsia="Arial" w:hAnsi="Arial"/>
                <w:sz w:val="12"/>
                <w:szCs w:val="12"/>
                <w:b w:val="1"/>
                <w:bCs w:val="1"/>
                <w:color w:val="auto"/>
              </w:rPr>
              <w:t>(1)</w:t>
            </w:r>
          </w:p>
        </w:tc>
        <w:tc>
          <w:tcPr>
            <w:tcW w:w="160" w:type="dxa"/>
            <w:vAlign w:val="bottom"/>
          </w:tcPr>
          <w:p>
            <w:pPr>
              <w:spacing w:after="0"/>
              <w:rPr>
                <w:sz w:val="23"/>
                <w:szCs w:val="23"/>
                <w:color w:val="auto"/>
              </w:rPr>
            </w:pPr>
          </w:p>
        </w:tc>
      </w:tr>
      <w:tr>
        <w:trPr>
          <w:trHeight w:val="254"/>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5.11 Tactical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48,408</w:t>
            </w:r>
          </w:p>
        </w:tc>
        <w:tc>
          <w:tcPr>
            <w:tcW w:w="820" w:type="dxa"/>
            <w:vAlign w:val="bottom"/>
            <w:gridSpan w:val="3"/>
            <w:shd w:val="clear" w:color="auto" w:fill="CCEEFF"/>
          </w:tcPr>
          <w:p>
            <w:pPr>
              <w:jc w:val="right"/>
              <w:ind w:right="503"/>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52,069</w:t>
            </w:r>
          </w:p>
        </w:tc>
        <w:tc>
          <w:tcPr>
            <w:tcW w:w="620" w:type="dxa"/>
            <w:vAlign w:val="bottom"/>
            <w:gridSpan w:val="3"/>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363,933</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319,583</w:t>
            </w:r>
          </w:p>
        </w:tc>
        <w:tc>
          <w:tcPr>
            <w:tcW w:w="160" w:type="dxa"/>
            <w:vAlign w:val="bottom"/>
          </w:tcPr>
          <w:p>
            <w:pPr>
              <w:spacing w:after="0"/>
              <w:rPr>
                <w:sz w:val="22"/>
                <w:szCs w:val="22"/>
                <w:color w:val="auto"/>
              </w:rPr>
            </w:pP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Ergobaby</w:t>
            </w:r>
          </w:p>
        </w:tc>
        <w:tc>
          <w:tcPr>
            <w:tcW w:w="16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10,549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11,361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92,850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100,679</w:t>
            </w:r>
          </w:p>
        </w:tc>
        <w:tc>
          <w:tcPr>
            <w:tcW w:w="160" w:type="dxa"/>
            <w:vAlign w:val="bottom"/>
          </w:tcPr>
          <w:p>
            <w:pPr>
              <w:spacing w:after="0"/>
              <w:rPr>
                <w:sz w:val="22"/>
                <w:szCs w:val="22"/>
                <w:color w:val="auto"/>
              </w:rPr>
            </w:pP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Liberty</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15,320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10,416</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27,881</w:t>
            </w:r>
          </w:p>
        </w:tc>
        <w:tc>
          <w:tcPr>
            <w:tcW w:w="160" w:type="dxa"/>
            <w:vAlign w:val="bottom"/>
          </w:tcPr>
          <w:p>
            <w:pPr>
              <w:spacing w:after="0"/>
              <w:rPr>
                <w:sz w:val="24"/>
                <w:szCs w:val="24"/>
                <w:color w:val="auto"/>
              </w:rPr>
            </w:pP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Velocity Outdoor</w:t>
            </w:r>
          </w:p>
        </w:tc>
        <w:tc>
          <w:tcPr>
            <w:tcW w:w="16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29,300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21,881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204,321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209,398</w:t>
            </w:r>
          </w:p>
        </w:tc>
        <w:tc>
          <w:tcPr>
            <w:tcW w:w="160" w:type="dxa"/>
            <w:vAlign w:val="bottom"/>
          </w:tcPr>
          <w:p>
            <w:pPr>
              <w:spacing w:after="0"/>
              <w:rPr>
                <w:sz w:val="22"/>
                <w:szCs w:val="22"/>
                <w:color w:val="auto"/>
              </w:rPr>
            </w:pP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ACI</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6,339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9,193</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26,297</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13,407</w:t>
            </w:r>
          </w:p>
        </w:tc>
        <w:tc>
          <w:tcPr>
            <w:tcW w:w="160" w:type="dxa"/>
            <w:vAlign w:val="bottom"/>
          </w:tcPr>
          <w:p>
            <w:pPr>
              <w:spacing w:after="0"/>
              <w:rPr>
                <w:sz w:val="24"/>
                <w:szCs w:val="24"/>
                <w:color w:val="auto"/>
              </w:rPr>
            </w:pP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Arnold</w:t>
            </w:r>
          </w:p>
        </w:tc>
        <w:tc>
          <w:tcPr>
            <w:tcW w:w="16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18,572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16,298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74,223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66,744</w:t>
            </w:r>
          </w:p>
        </w:tc>
        <w:tc>
          <w:tcPr>
            <w:tcW w:w="160" w:type="dxa"/>
            <w:vAlign w:val="bottom"/>
          </w:tcPr>
          <w:p>
            <w:pPr>
              <w:spacing w:after="0"/>
              <w:rPr>
                <w:sz w:val="22"/>
                <w:szCs w:val="22"/>
                <w:color w:val="auto"/>
              </w:rPr>
            </w:pP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Foam Fabricators</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29,903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23,848</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158,749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155,504</w:t>
            </w:r>
          </w:p>
        </w:tc>
        <w:tc>
          <w:tcPr>
            <w:tcW w:w="160" w:type="dxa"/>
            <w:vAlign w:val="bottom"/>
          </w:tcPr>
          <w:p>
            <w:pPr>
              <w:spacing w:after="0"/>
              <w:rPr>
                <w:sz w:val="24"/>
                <w:szCs w:val="24"/>
                <w:color w:val="auto"/>
              </w:rPr>
            </w:pP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Sterno</w:t>
            </w:r>
          </w:p>
        </w:tc>
        <w:tc>
          <w:tcPr>
            <w:tcW w:w="16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77,905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72,361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262,135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253,637</w:t>
            </w:r>
          </w:p>
        </w:tc>
        <w:tc>
          <w:tcPr>
            <w:tcW w:w="160" w:type="dxa"/>
            <w:vAlign w:val="bottom"/>
          </w:tcPr>
          <w:p>
            <w:pPr>
              <w:spacing w:after="0"/>
              <w:rPr>
                <w:sz w:val="22"/>
                <w:szCs w:val="22"/>
                <w:color w:val="auto"/>
              </w:rPr>
            </w:pP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Allowance for doubtful accounts</w:t>
            </w: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(14,873)</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(11,882)</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r>
      <w:tr>
        <w:trPr>
          <w:trHeight w:val="24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221,423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205,545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1,223,114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1,146,833</w:t>
            </w:r>
          </w:p>
        </w:tc>
        <w:tc>
          <w:tcPr>
            <w:tcW w:w="160" w:type="dxa"/>
            <w:vAlign w:val="bottom"/>
          </w:tcPr>
          <w:p>
            <w:pPr>
              <w:spacing w:after="0"/>
              <w:rPr>
                <w:sz w:val="20"/>
                <w:szCs w:val="20"/>
                <w:color w:val="auto"/>
              </w:rPr>
            </w:pPr>
          </w:p>
        </w:tc>
      </w:tr>
      <w:tr>
        <w:trPr>
          <w:trHeight w:val="26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Corporate and other identifiable assets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251,664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8,357</w:t>
            </w:r>
          </w:p>
        </w:tc>
        <w:tc>
          <w:tcPr>
            <w:tcW w:w="160" w:type="dxa"/>
            <w:vAlign w:val="bottom"/>
          </w:tcPr>
          <w:p>
            <w:pPr>
              <w:spacing w:after="0"/>
              <w:rPr>
                <w:sz w:val="22"/>
                <w:szCs w:val="22"/>
                <w:color w:val="auto"/>
              </w:rPr>
            </w:pPr>
          </w:p>
        </w:tc>
      </w:tr>
      <w:tr>
        <w:trPr>
          <w:trHeight w:val="273"/>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of discontinued operations</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540,485</w:t>
            </w:r>
          </w:p>
        </w:tc>
        <w:tc>
          <w:tcPr>
            <w:tcW w:w="160" w:type="dxa"/>
            <w:vAlign w:val="bottom"/>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5020" w:type="dxa"/>
            <w:vAlign w:val="bottom"/>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221,423</w:t>
            </w:r>
          </w:p>
        </w:tc>
        <w:tc>
          <w:tcPr>
            <w:tcW w:w="820" w:type="dxa"/>
            <w:vAlign w:val="bottom"/>
            <w:gridSpan w:val="3"/>
          </w:tcPr>
          <w:p>
            <w:pPr>
              <w:jc w:val="right"/>
              <w:ind w:right="50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205,545</w:t>
            </w:r>
          </w:p>
        </w:tc>
        <w:tc>
          <w:tcPr>
            <w:tcW w:w="620" w:type="dxa"/>
            <w:vAlign w:val="bottom"/>
            <w:gridSpan w:val="3"/>
          </w:tcPr>
          <w:p>
            <w:pPr>
              <w:jc w:val="right"/>
              <w:ind w:right="30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1,474,778</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1,695,675</w:t>
            </w:r>
          </w:p>
        </w:tc>
        <w:tc>
          <w:tcPr>
            <w:tcW w:w="16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Does not include accounts receivable balances per schedule above or goodwill balances - refer to </w:t>
      </w:r>
      <w:hyperlink w:anchor="page22">
        <w:r>
          <w:rPr>
            <w:rFonts w:ascii="Arial" w:cs="Arial" w:eastAsia="Arial" w:hAnsi="Arial"/>
            <w:sz w:val="16"/>
            <w:szCs w:val="16"/>
            <w:u w:val="single" w:color="auto"/>
            <w:color w:val="0000EE"/>
          </w:rPr>
          <w:t>Note G - "Goodwill and Other Intangible Assets"</w:t>
        </w:r>
      </w:hyperlink>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6"/>
          <w:szCs w:val="16"/>
          <w:color w:val="auto"/>
        </w:rPr>
        <w:t>21</w:t>
      </w:r>
    </w:p>
    <w:p>
      <w:pPr>
        <w:sectPr>
          <w:pgSz w:w="11900" w:h="16838" w:orient="portrait"/>
          <w:cols w:equalWidth="0" w:num="1">
            <w:col w:w="11420"/>
          </w:cols>
          <w:pgMar w:left="240" w:top="43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F — Property, Plant and Equipment and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is comprised of the following at September 30, 2019 and December 31, 2018 (in thousands):</w:t>
      </w:r>
    </w:p>
    <w:p>
      <w:pPr>
        <w:spacing w:after="0" w:line="367" w:lineRule="exact"/>
        <w:rPr>
          <w:sz w:val="20"/>
          <w:szCs w:val="20"/>
          <w:color w:val="auto"/>
        </w:rPr>
      </w:pPr>
    </w:p>
    <w:tbl>
      <w:tblPr>
        <w:tblLayout w:type="fixed"/>
        <w:tblInd w:w="1220" w:type="dxa"/>
        <w:tblCellMar>
          <w:top w:w="0" w:type="dxa"/>
          <w:left w:w="0" w:type="dxa"/>
          <w:bottom w:w="0" w:type="dxa"/>
          <w:right w:w="0" w:type="dxa"/>
        </w:tblCellMar>
      </w:tblPr>
      <w:tr>
        <w:trPr>
          <w:trHeight w:val="20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2019</w:t>
            </w:r>
          </w:p>
        </w:tc>
        <w:tc>
          <w:tcPr>
            <w:tcW w:w="200" w:type="dxa"/>
            <w:vAlign w:val="bottom"/>
          </w:tcPr>
          <w:p>
            <w:pPr>
              <w:spacing w:after="0"/>
              <w:rPr>
                <w:sz w:val="17"/>
                <w:szCs w:val="17"/>
                <w:color w:val="auto"/>
              </w:rPr>
            </w:pPr>
          </w:p>
        </w:tc>
        <w:tc>
          <w:tcPr>
            <w:tcW w:w="1800" w:type="dxa"/>
            <w:vAlign w:val="bottom"/>
          </w:tcPr>
          <w:p>
            <w:pPr>
              <w:jc w:val="right"/>
              <w:ind w:right="239"/>
              <w:spacing w:after="0"/>
              <w:rPr>
                <w:sz w:val="20"/>
                <w:szCs w:val="20"/>
                <w:color w:val="auto"/>
              </w:rPr>
            </w:pPr>
            <w:r>
              <w:rPr>
                <w:rFonts w:ascii="Arial" w:cs="Arial" w:eastAsia="Arial" w:hAnsi="Arial"/>
                <w:sz w:val="15"/>
                <w:szCs w:val="15"/>
                <w:b w:val="1"/>
                <w:bCs w:val="1"/>
                <w:color w:val="auto"/>
              </w:rPr>
              <w:t>December 31, 2018</w:t>
            </w:r>
          </w:p>
        </w:tc>
      </w:tr>
      <w:tr>
        <w:trPr>
          <w:trHeight w:val="25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182,889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174,983</w:t>
            </w:r>
          </w:p>
        </w:tc>
      </w:tr>
      <w:tr>
        <w:trPr>
          <w:trHeight w:val="260"/>
        </w:trPr>
        <w:tc>
          <w:tcPr>
            <w:tcW w:w="4900" w:type="dxa"/>
            <w:vAlign w:val="bottom"/>
          </w:tcPr>
          <w:p>
            <w:pPr>
              <w:ind w:left="20"/>
              <w:spacing w:after="0"/>
              <w:rPr>
                <w:sz w:val="20"/>
                <w:szCs w:val="20"/>
                <w:color w:val="auto"/>
              </w:rPr>
            </w:pPr>
            <w:r>
              <w:rPr>
                <w:rFonts w:ascii="Arial" w:cs="Arial" w:eastAsia="Arial" w:hAnsi="Arial"/>
                <w:sz w:val="16"/>
                <w:szCs w:val="16"/>
                <w:color w:val="auto"/>
              </w:rPr>
              <w:t>Furniture, fixtures and other</w:t>
            </w:r>
          </w:p>
        </w:tc>
        <w:tc>
          <w:tcPr>
            <w:tcW w:w="180" w:type="dxa"/>
            <w:vAlign w:val="bottom"/>
          </w:tcPr>
          <w:p>
            <w:pPr>
              <w:spacing w:after="0"/>
              <w:rPr>
                <w:sz w:val="22"/>
                <w:szCs w:val="22"/>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33,052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29,096</w:t>
            </w:r>
          </w:p>
        </w:tc>
      </w:tr>
      <w:tr>
        <w:trPr>
          <w:trHeight w:val="280"/>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34,786</w:t>
            </w:r>
          </w:p>
        </w:tc>
      </w:tr>
      <w:tr>
        <w:trPr>
          <w:trHeight w:val="260"/>
        </w:trPr>
        <w:tc>
          <w:tcPr>
            <w:tcW w:w="4900" w:type="dxa"/>
            <w:vAlign w:val="bottom"/>
          </w:tcPr>
          <w:p>
            <w:pPr>
              <w:ind w:left="20"/>
              <w:spacing w:after="0"/>
              <w:rPr>
                <w:sz w:val="20"/>
                <w:szCs w:val="20"/>
                <w:color w:val="auto"/>
              </w:rPr>
            </w:pPr>
            <w:r>
              <w:rPr>
                <w:rFonts w:ascii="Arial" w:cs="Arial" w:eastAsia="Arial" w:hAnsi="Arial"/>
                <w:sz w:val="16"/>
                <w:szCs w:val="16"/>
                <w:color w:val="auto"/>
              </w:rPr>
              <w:t>Buildings and land</w:t>
            </w:r>
          </w:p>
        </w:tc>
        <w:tc>
          <w:tcPr>
            <w:tcW w:w="180" w:type="dxa"/>
            <w:vAlign w:val="bottom"/>
          </w:tcPr>
          <w:p>
            <w:pPr>
              <w:spacing w:after="0"/>
              <w:rPr>
                <w:sz w:val="22"/>
                <w:szCs w:val="22"/>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9,976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9,818</w:t>
            </w:r>
          </w:p>
        </w:tc>
      </w:tr>
      <w:tr>
        <w:trPr>
          <w:trHeight w:val="27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18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11,509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8,869</w:t>
            </w:r>
          </w:p>
        </w:tc>
      </w:tr>
      <w:tr>
        <w:trPr>
          <w:trHeight w:val="247"/>
        </w:trPr>
        <w:tc>
          <w:tcPr>
            <w:tcW w:w="4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275,607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257,552</w:t>
            </w:r>
          </w:p>
        </w:tc>
      </w:tr>
      <w:tr>
        <w:trPr>
          <w:trHeight w:val="280"/>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(133,316)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(110,951)</w:t>
            </w:r>
          </w:p>
        </w:tc>
      </w:tr>
      <w:tr>
        <w:trPr>
          <w:trHeight w:val="230"/>
        </w:trPr>
        <w:tc>
          <w:tcPr>
            <w:tcW w:w="490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142,291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146,601</w:t>
            </w: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Depreciation expense was $ 8.4 million and $24.6 million for the three and nine months ended September 30, 2019 and $7.9 million and $22.8 million for the three and nine months ended September 30,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September 30, 2019 and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7" w:lineRule="exact"/>
        <w:rPr>
          <w:sz w:val="20"/>
          <w:szCs w:val="20"/>
          <w:color w:val="auto"/>
        </w:rPr>
      </w:pPr>
    </w:p>
    <w:tbl>
      <w:tblPr>
        <w:tblLayout w:type="fixed"/>
        <w:tblInd w:w="1220" w:type="dxa"/>
        <w:tblCellMar>
          <w:top w:w="0" w:type="dxa"/>
          <w:left w:w="0" w:type="dxa"/>
          <w:bottom w:w="0" w:type="dxa"/>
          <w:right w:w="0" w:type="dxa"/>
        </w:tblCellMar>
      </w:tblPr>
      <w:tr>
        <w:trPr>
          <w:trHeight w:val="20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2019</w:t>
            </w:r>
          </w:p>
        </w:tc>
        <w:tc>
          <w:tcPr>
            <w:tcW w:w="20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5"/>
                <w:szCs w:val="15"/>
                <w:b w:val="1"/>
                <w:bCs w:val="1"/>
                <w:color w:val="auto"/>
              </w:rPr>
              <w:t>December 31, 2018</w:t>
            </w:r>
          </w:p>
        </w:tc>
      </w:tr>
      <w:tr>
        <w:trPr>
          <w:trHeight w:val="25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62,647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60,788</w:t>
            </w:r>
          </w:p>
        </w:tc>
      </w:tr>
      <w:tr>
        <w:trPr>
          <w:trHeight w:val="260"/>
        </w:trPr>
        <w:tc>
          <w:tcPr>
            <w:tcW w:w="49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80" w:type="dxa"/>
            <w:vAlign w:val="bottom"/>
          </w:tcPr>
          <w:p>
            <w:pPr>
              <w:spacing w:after="0"/>
              <w:rPr>
                <w:sz w:val="22"/>
                <w:szCs w:val="22"/>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16,095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12,915</w:t>
            </w:r>
          </w:p>
        </w:tc>
      </w:tr>
      <w:tr>
        <w:trPr>
          <w:trHeight w:val="280"/>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273,582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253,982</w:t>
            </w:r>
          </w:p>
        </w:tc>
      </w:tr>
      <w:tr>
        <w:trPr>
          <w:trHeight w:val="264"/>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obsolescence reserve</w:t>
            </w: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(20,248)</w:t>
            </w:r>
          </w:p>
        </w:tc>
      </w:tr>
      <w:tr>
        <w:trPr>
          <w:trHeight w:val="237"/>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332,221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307,437</w:t>
            </w: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Goodwill and Other Intangible Assets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indefinite-lived intangibles.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 The Arnold business previously comprised three reporting units when it was acquired in March 2012, but as a result of changes implemented by Arnold management during 2016 and 2017, the Company reassessed the reporting units at Arnold as of the annual impairment testing date in 2018. After evaluating changes in the operation of the reporting units that led to increased integration and altered how the financial results of the Arnold operating segment were assessed by Arnold management, the Company determined that the previously identified reporting units no longer operate in the same manner as they did when the Company acquired Arnold. As a result, the separate Arnold reporting units were determined to only comprise one reporting unit at the Arnold operating segment level as of March 31, 2018. As part of the exercise of combining the separate Arnold reporting units into one reporting unit, the Company performed "before" and "after" goodwill impairment testing, whereby we performed the annual impairment testing for each of the existing reporting units of Arnold and then subsequent to the completion of the annual impairment testing of the separate reporting units, we performed a quantitative impairment test of the Arnold operating segment, which will represent the reporting unit for future impairment tests.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1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Interim Impairment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Velocity Outdoor</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performed interim quantitative impairment testing of Velocity Outdoor at September 30, 2019. As a result of operating results below forecasts in the current period as well as a re-forecast of the Velocity business in which planned earnings and revenue fell below the forecasts of prior periods, the Company determined that a triggering event occurred in the third quarter of 2019. The Company used an income approach for the impairment test, whereby we estimate the fair value of the reporting unit based on the present value of future cash flows. Cash flow projections are based on management's estimate of revenue growth rates and operating margins, and take into consideration industry and market conditions as well as company specific economic factors. The Company used a weighted average cost of capital of 12.2% in the income approach. The discount rate used was based on the weighted average cost of capital adjusted for the relevant risk associated with business specific characteristics and Velocity's ability to execute on the projected cash flows. Based on the results of the impairment test, the fair value of Velocity did not exceed the carrying value, indicating that the goodwill at Velocity is impaired. The difference between the carrying value and fair value of the Velocity business was $33.4 million, which the Company has recorded as impairment expense as of September 30, 2019. The Company expects to finalize the impairment test during the fourth quarter of 2019.</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Annual Impairment Testing</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uses a qualitative approach to test goodwill for impairment by first assessing qualitative factors to determine whether it is more-likely-than-not that the fair value of a reporting unit is less than its carrying amount as a basis for determining whether it is necessary to perform quantitative goodwill impairment testing. All of the Company's reporting units except Liberty were tested qualitatively at March 31, 2019. We determined that the Liberty reporting unit required additional quantitative testing because we could not conclude that the fair value of the reporting unit exceeded its carrying value based on qualitative factors alone. We used an income approach and market approach for the quantitative impairment test that was performed of the Liberty business at March 31, 2019, with equal weighting assigned to each. The discount rate used in the income approach was 14.8%. The results of the quantitative impairment testing indicated that the fair value of the Liberty reporting unit exceeded the carrying value. For the reporting units that were tested qualitatively for the 2019 annual impairment testing, the results of the qualitative analysis indicated that it is more likely than not that the fair value exceeded their carrying value.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Annual Impairment Testing</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reporting units that were tested qualitatively for the 2018 annual impairment testing, the results of the qualitative analysis indicated that the fair value exceeded their carrying value. At March 31, 2018, we determined that the Flexmag reporting unit of Arnold required additional quantitative testing because we could not conclude that the fair value of the reporting unit exceeded its carrying value based on qualitative factors alone. For the quantitative impairment test of Flexmag, we estimated the fair value of the reporting unit using an income approach, whereby we estimate the fair value of the reporting unit based on the present value of future cash flows. Cash flow projections are based on management's estimate of revenue growth rates and operating margins and take into consideration industry and market conditions as well as company and reporting unit specific economic conditions. The discount rate used is based on the weighted average cost of capital adjusted for the relevant risk associated with the business and the uncertainty associated with the reporting unit's ability to execute on the projected cash flows. The discount rate used in the income approach for Flexmag was 12.4%.</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reporting unit change at Arnold, a quantitative impairment test was performed of the Arnold business at March 31, 2018 using an income approach. The discount rate used in the income approach was 12.6%. The results of the quantitative impairment testing indicated that the fair value of the Arnold reporting unit exceeded the carrying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the net carrying value of goodwill at September 30, 2019 and December 31, 2018,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2"/>
          </w:tcPr>
          <w:p>
            <w:pPr>
              <w:ind w:left="160"/>
              <w:spacing w:after="0"/>
              <w:rPr>
                <w:sz w:val="20"/>
                <w:szCs w:val="20"/>
                <w:color w:val="auto"/>
              </w:rPr>
            </w:pPr>
            <w:r>
              <w:rPr>
                <w:rFonts w:ascii="Arial" w:cs="Arial" w:eastAsia="Arial" w:hAnsi="Arial"/>
                <w:sz w:val="15"/>
                <w:szCs w:val="15"/>
                <w:b w:val="1"/>
                <w:bCs w:val="1"/>
                <w:color w:val="auto"/>
              </w:rPr>
              <w:t>Nine months ended</w:t>
            </w:r>
          </w:p>
        </w:tc>
        <w:tc>
          <w:tcPr>
            <w:tcW w:w="280" w:type="dxa"/>
            <w:vAlign w:val="bottom"/>
          </w:tcPr>
          <w:p>
            <w:pPr>
              <w:spacing w:after="0"/>
              <w:rPr>
                <w:sz w:val="15"/>
                <w:szCs w:val="15"/>
                <w:color w:val="auto"/>
              </w:rPr>
            </w:pPr>
          </w:p>
        </w:tc>
        <w:tc>
          <w:tcPr>
            <w:tcW w:w="1940" w:type="dxa"/>
            <w:vAlign w:val="bottom"/>
          </w:tcPr>
          <w:p>
            <w:pPr>
              <w:jc w:val="right"/>
              <w:ind w:right="641"/>
              <w:spacing w:after="0"/>
              <w:rPr>
                <w:sz w:val="20"/>
                <w:szCs w:val="20"/>
                <w:color w:val="auto"/>
              </w:rPr>
            </w:pPr>
            <w:r>
              <w:rPr>
                <w:rFonts w:ascii="Arial" w:cs="Arial" w:eastAsia="Arial" w:hAnsi="Arial"/>
                <w:sz w:val="15"/>
                <w:szCs w:val="15"/>
                <w:b w:val="1"/>
                <w:bCs w:val="1"/>
                <w:color w:val="auto"/>
              </w:rPr>
              <w:t>Year ended</w:t>
            </w:r>
          </w:p>
        </w:tc>
      </w:tr>
      <w:tr>
        <w:trPr>
          <w:trHeight w:val="206"/>
        </w:trPr>
        <w:tc>
          <w:tcPr>
            <w:tcW w:w="4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2"/>
          </w:tcPr>
          <w:p>
            <w:pPr>
              <w:ind w:left="140"/>
              <w:spacing w:after="0"/>
              <w:rPr>
                <w:sz w:val="20"/>
                <w:szCs w:val="20"/>
                <w:color w:val="auto"/>
              </w:rPr>
            </w:pPr>
            <w:r>
              <w:rPr>
                <w:rFonts w:ascii="Arial" w:cs="Arial" w:eastAsia="Arial" w:hAnsi="Arial"/>
                <w:sz w:val="15"/>
                <w:szCs w:val="15"/>
                <w:b w:val="1"/>
                <w:bCs w:val="1"/>
                <w:color w:val="auto"/>
              </w:rPr>
              <w:t>September 30, 2019</w:t>
            </w:r>
          </w:p>
        </w:tc>
        <w:tc>
          <w:tcPr>
            <w:tcW w:w="280" w:type="dxa"/>
            <w:vAlign w:val="bottom"/>
          </w:tcPr>
          <w:p>
            <w:pPr>
              <w:spacing w:after="0"/>
              <w:rPr>
                <w:sz w:val="17"/>
                <w:szCs w:val="17"/>
                <w:color w:val="auto"/>
              </w:rPr>
            </w:pPr>
          </w:p>
        </w:tc>
        <w:tc>
          <w:tcPr>
            <w:tcW w:w="1940" w:type="dxa"/>
            <w:vAlign w:val="bottom"/>
          </w:tcPr>
          <w:p>
            <w:pPr>
              <w:jc w:val="right"/>
              <w:ind w:right="321"/>
              <w:spacing w:after="0"/>
              <w:rPr>
                <w:sz w:val="20"/>
                <w:szCs w:val="20"/>
                <w:color w:val="auto"/>
              </w:rPr>
            </w:pPr>
            <w:r>
              <w:rPr>
                <w:rFonts w:ascii="Arial" w:cs="Arial" w:eastAsia="Arial" w:hAnsi="Arial"/>
                <w:sz w:val="15"/>
                <w:szCs w:val="15"/>
                <w:b w:val="1"/>
                <w:bCs w:val="1"/>
                <w:color w:val="auto"/>
              </w:rPr>
              <w:t>December 31, 2018</w:t>
            </w:r>
          </w:p>
        </w:tc>
      </w:tr>
      <w:tr>
        <w:trPr>
          <w:trHeight w:val="254"/>
        </w:trPr>
        <w:tc>
          <w:tcPr>
            <w:tcW w:w="4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 gross carrying amount</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502,553</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502,268</w:t>
            </w:r>
          </w:p>
        </w:tc>
      </w:tr>
      <w:tr>
        <w:trPr>
          <w:trHeight w:val="26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Accumulated impairment losses</w:t>
            </w:r>
          </w:p>
        </w:tc>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(64,534)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(31,153)</w:t>
            </w: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 net carrying amount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438,019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471,115</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change in the carrying value of goodwill for the nine months ended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2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September 30, 2019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Balance at January 1,</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Goodwill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Balance at September</w:t>
            </w:r>
          </w:p>
        </w:tc>
      </w:tr>
      <w:tr>
        <w:trPr>
          <w:trHeight w:val="196"/>
        </w:trPr>
        <w:tc>
          <w:tcPr>
            <w:tcW w:w="2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Acquisitions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Impairment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30, 2019</w:t>
            </w:r>
          </w:p>
        </w:tc>
      </w:tr>
      <w:tr>
        <w:trPr>
          <w:trHeight w:val="256"/>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92,966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92,966</w:t>
            </w:r>
          </w:p>
        </w:tc>
      </w:tr>
      <w:tr>
        <w:trPr>
          <w:trHeight w:val="260"/>
        </w:trPr>
        <w:tc>
          <w:tcPr>
            <w:tcW w:w="2700" w:type="dxa"/>
            <w:vAlign w:val="bottom"/>
          </w:tcPr>
          <w:p>
            <w:pPr>
              <w:ind w:left="40"/>
              <w:spacing w:after="0"/>
              <w:rPr>
                <w:sz w:val="20"/>
                <w:szCs w:val="20"/>
                <w:color w:val="auto"/>
              </w:rPr>
            </w:pPr>
            <w:r>
              <w:rPr>
                <w:rFonts w:ascii="Arial" w:cs="Arial" w:eastAsia="Arial" w:hAnsi="Arial"/>
                <w:sz w:val="16"/>
                <w:szCs w:val="16"/>
                <w:color w:val="auto"/>
              </w:rPr>
              <w:t>Ergobaby</w:t>
            </w:r>
          </w:p>
        </w:tc>
        <w:tc>
          <w:tcPr>
            <w:tcW w:w="120" w:type="dxa"/>
            <w:vAlign w:val="bottom"/>
          </w:tcPr>
          <w:p>
            <w:pPr>
              <w:spacing w:after="0"/>
              <w:rPr>
                <w:sz w:val="22"/>
                <w:szCs w:val="22"/>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61,031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61,031</w:t>
            </w:r>
          </w:p>
        </w:tc>
      </w:tr>
      <w:tr>
        <w:trPr>
          <w:trHeight w:val="28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32,828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32,828</w:t>
            </w:r>
          </w:p>
        </w:tc>
      </w:tr>
      <w:tr>
        <w:trPr>
          <w:trHeight w:val="260"/>
        </w:trPr>
        <w:tc>
          <w:tcPr>
            <w:tcW w:w="2700" w:type="dxa"/>
            <w:vAlign w:val="bottom"/>
          </w:tcPr>
          <w:p>
            <w:pPr>
              <w:ind w:left="40"/>
              <w:spacing w:after="0"/>
              <w:rPr>
                <w:sz w:val="20"/>
                <w:szCs w:val="20"/>
                <w:color w:val="auto"/>
              </w:rPr>
            </w:pPr>
            <w:r>
              <w:rPr>
                <w:rFonts w:ascii="Arial" w:cs="Arial" w:eastAsia="Arial" w:hAnsi="Arial"/>
                <w:sz w:val="16"/>
                <w:szCs w:val="16"/>
                <w:color w:val="auto"/>
              </w:rPr>
              <w:t>Velocity Outdoor</w:t>
            </w:r>
          </w:p>
        </w:tc>
        <w:tc>
          <w:tcPr>
            <w:tcW w:w="120" w:type="dxa"/>
            <w:vAlign w:val="bottom"/>
          </w:tcPr>
          <w:p>
            <w:pPr>
              <w:spacing w:after="0"/>
              <w:rPr>
                <w:sz w:val="22"/>
                <w:szCs w:val="22"/>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62,675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(33,381)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29,579</w:t>
            </w:r>
          </w:p>
        </w:tc>
      </w:tr>
      <w:tr>
        <w:trPr>
          <w:trHeight w:val="28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ACI</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58,019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58,019</w:t>
            </w:r>
          </w:p>
        </w:tc>
      </w:tr>
      <w:tr>
        <w:trPr>
          <w:trHeight w:val="260"/>
        </w:trPr>
        <w:tc>
          <w:tcPr>
            <w:tcW w:w="2700" w:type="dxa"/>
            <w:vAlign w:val="bottom"/>
          </w:tcPr>
          <w:p>
            <w:pPr>
              <w:ind w:left="40"/>
              <w:spacing w:after="0"/>
              <w:rPr>
                <w:sz w:val="20"/>
                <w:szCs w:val="20"/>
                <w:color w:val="auto"/>
              </w:rPr>
            </w:pPr>
            <w:r>
              <w:rPr>
                <w:rFonts w:ascii="Arial" w:cs="Arial" w:eastAsia="Arial" w:hAnsi="Arial"/>
                <w:sz w:val="16"/>
                <w:szCs w:val="16"/>
                <w:color w:val="auto"/>
              </w:rPr>
              <w:t>Arnold</w:t>
            </w:r>
          </w:p>
        </w:tc>
        <w:tc>
          <w:tcPr>
            <w:tcW w:w="120" w:type="dxa"/>
            <w:vAlign w:val="bottom"/>
          </w:tcPr>
          <w:p>
            <w:pPr>
              <w:spacing w:after="0"/>
              <w:rPr>
                <w:sz w:val="22"/>
                <w:szCs w:val="22"/>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26,903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26,903</w:t>
            </w:r>
          </w:p>
        </w:tc>
      </w:tr>
      <w:tr>
        <w:trPr>
          <w:trHeight w:val="28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Foam Fabricators</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72,708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72,708</w:t>
            </w:r>
          </w:p>
        </w:tc>
      </w:tr>
      <w:tr>
        <w:trPr>
          <w:trHeight w:val="260"/>
        </w:trPr>
        <w:tc>
          <w:tcPr>
            <w:tcW w:w="2700" w:type="dxa"/>
            <w:vAlign w:val="bottom"/>
          </w:tcPr>
          <w:p>
            <w:pPr>
              <w:ind w:left="40"/>
              <w:spacing w:after="0"/>
              <w:rPr>
                <w:sz w:val="20"/>
                <w:szCs w:val="20"/>
                <w:color w:val="auto"/>
              </w:rPr>
            </w:pPr>
            <w:r>
              <w:rPr>
                <w:rFonts w:ascii="Arial" w:cs="Arial" w:eastAsia="Arial" w:hAnsi="Arial"/>
                <w:sz w:val="16"/>
                <w:szCs w:val="16"/>
                <w:color w:val="auto"/>
              </w:rPr>
              <w:t>Sterno</w:t>
            </w:r>
          </w:p>
        </w:tc>
        <w:tc>
          <w:tcPr>
            <w:tcW w:w="120" w:type="dxa"/>
            <w:vAlign w:val="bottom"/>
          </w:tcPr>
          <w:p>
            <w:pPr>
              <w:spacing w:after="0"/>
              <w:rPr>
                <w:sz w:val="22"/>
                <w:szCs w:val="22"/>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55,336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55,336</w:t>
            </w:r>
          </w:p>
        </w:tc>
      </w:tr>
      <w:tr>
        <w:trPr>
          <w:trHeight w:val="28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Corporate </w:t>
            </w:r>
            <w:r>
              <w:rPr>
                <w:rFonts w:ascii="Arial" w:cs="Arial" w:eastAsia="Arial" w:hAnsi="Arial"/>
                <w:sz w:val="21"/>
                <w:szCs w:val="21"/>
                <w:b w:val="1"/>
                <w:bCs w:val="1"/>
                <w:color w:val="auto"/>
                <w:vertAlign w:val="superscript"/>
              </w:rPr>
              <w:t>(1)</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8,649</w:t>
            </w:r>
          </w:p>
        </w:tc>
      </w:tr>
      <w:tr>
        <w:trPr>
          <w:trHeight w:val="261"/>
        </w:trPr>
        <w:tc>
          <w:tcPr>
            <w:tcW w:w="2700" w:type="dxa"/>
            <w:vAlign w:val="bottom"/>
          </w:tcPr>
          <w:p>
            <w:pPr>
              <w:ind w:left="2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471,115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(33,381)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438,019</w:t>
            </w: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40" w:lineRule="exact"/>
        <w:rPr>
          <w:sz w:val="20"/>
          <w:szCs w:val="20"/>
          <w:color w:val="auto"/>
        </w:rPr>
      </w:pPr>
    </w:p>
    <w:p>
      <w:pPr>
        <w:ind w:left="340" w:hanging="332"/>
        <w:spacing w:after="0" w:line="215" w:lineRule="auto"/>
        <w:tabs>
          <w:tab w:leader="none" w:pos="340" w:val="left"/>
        </w:tabs>
        <w:numPr>
          <w:ilvl w:val="0"/>
          <w:numId w:val="14"/>
        </w:numPr>
        <w:rPr>
          <w:rFonts w:ascii="Arial" w:cs="Arial" w:eastAsia="Arial" w:hAnsi="Arial"/>
          <w:sz w:val="25"/>
          <w:szCs w:val="25"/>
          <w:b w:val="1"/>
          <w:bCs w:val="1"/>
          <w:color w:val="auto"/>
          <w:vertAlign w:val="superscript"/>
        </w:rPr>
      </w:pPr>
      <w:r>
        <w:rPr>
          <w:rFonts w:ascii="Arial" w:cs="Arial" w:eastAsia="Arial" w:hAnsi="Arial"/>
          <w:sz w:val="16"/>
          <w:szCs w:val="16"/>
          <w:color w:val="auto"/>
        </w:rPr>
        <w:t>Represents goodwill resulting from purchase accounting adjustments not "pushed down" to the ACI segment. This amount is allocated back to the ACI segment for purposes of goodwill impairment testing.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35"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 evaluated the qualitative factors of each indefinite lived intangible asset in connection with the annual impairment testing for 2019 and 2018. Results of the qualitative analysis indicate that it is more likely than not that the fair value of the reporting units that maintain indefinite lived intangible assets exceeded the carrying value.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intangible assets are comprised of the following at September 30, 2019 and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127"/>
              <w:spacing w:after="0" w:line="155"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Net Carrying</w:t>
            </w:r>
          </w:p>
        </w:tc>
        <w:tc>
          <w:tcPr>
            <w:tcW w:w="140" w:type="dxa"/>
            <w:vAlign w:val="bottom"/>
          </w:tcPr>
          <w:p>
            <w:pPr>
              <w:spacing w:after="0"/>
              <w:rPr>
                <w:sz w:val="13"/>
                <w:szCs w:val="13"/>
                <w:color w:val="auto"/>
              </w:rPr>
            </w:pPr>
          </w:p>
        </w:tc>
        <w:tc>
          <w:tcPr>
            <w:tcW w:w="1240" w:type="dxa"/>
            <w:vAlign w:val="bottom"/>
          </w:tcPr>
          <w:p>
            <w:pPr>
              <w:jc w:val="right"/>
              <w:ind w:right="107"/>
              <w:spacing w:after="0" w:line="155"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jc w:val="right"/>
              <w:ind w:right="127"/>
              <w:spacing w:after="0" w:line="155"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0"/>
        </w:trPr>
        <w:tc>
          <w:tcPr>
            <w:tcW w:w="3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Customer relationships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462,686</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(146,606)</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316,080</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462,686</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(120,786)</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341,900</w:t>
            </w:r>
          </w:p>
        </w:tc>
        <w:tc>
          <w:tcPr>
            <w:tcW w:w="0" w:type="dxa"/>
            <w:vAlign w:val="bottom"/>
          </w:tcPr>
          <w:p>
            <w:pPr>
              <w:spacing w:after="0"/>
              <w:rPr>
                <w:sz w:val="1"/>
                <w:szCs w:val="1"/>
                <w:color w:val="auto"/>
              </w:rPr>
            </w:pPr>
          </w:p>
        </w:tc>
      </w:tr>
      <w:tr>
        <w:trPr>
          <w:trHeight w:val="64"/>
        </w:trPr>
        <w:tc>
          <w:tcPr>
            <w:tcW w:w="3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40"/>
              <w:spacing w:after="0"/>
              <w:rPr>
                <w:sz w:val="20"/>
                <w:szCs w:val="20"/>
                <w:color w:val="auto"/>
              </w:rPr>
            </w:pPr>
            <w:r>
              <w:rPr>
                <w:rFonts w:ascii="Arial" w:cs="Arial" w:eastAsia="Arial" w:hAnsi="Arial"/>
                <w:sz w:val="15"/>
                <w:szCs w:val="15"/>
                <w:color w:val="auto"/>
              </w:rPr>
              <w:t>Technology and patents</w:t>
            </w:r>
          </w:p>
        </w:tc>
        <w:tc>
          <w:tcPr>
            <w:tcW w:w="140" w:type="dxa"/>
            <w:vAlign w:val="bottom"/>
          </w:tcPr>
          <w:p>
            <w:pPr>
              <w:spacing w:after="0"/>
              <w:rPr>
                <w:sz w:val="17"/>
                <w:szCs w:val="17"/>
                <w:color w:val="auto"/>
              </w:rPr>
            </w:pPr>
          </w:p>
        </w:tc>
        <w:tc>
          <w:tcPr>
            <w:tcW w:w="1260" w:type="dxa"/>
            <w:vAlign w:val="bottom"/>
            <w:vMerge w:val="restart"/>
          </w:tcPr>
          <w:p>
            <w:pPr>
              <w:jc w:val="right"/>
              <w:ind w:right="47"/>
              <w:spacing w:after="0"/>
              <w:rPr>
                <w:sz w:val="20"/>
                <w:szCs w:val="20"/>
                <w:color w:val="auto"/>
              </w:rPr>
            </w:pPr>
            <w:r>
              <w:rPr>
                <w:rFonts w:ascii="Arial" w:cs="Arial" w:eastAsia="Arial" w:hAnsi="Arial"/>
                <w:sz w:val="15"/>
                <w:szCs w:val="15"/>
                <w:color w:val="auto"/>
              </w:rPr>
              <w:t>79,972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(27,422)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ind w:right="27"/>
              <w:spacing w:after="0"/>
              <w:rPr>
                <w:sz w:val="20"/>
                <w:szCs w:val="20"/>
                <w:color w:val="auto"/>
              </w:rPr>
            </w:pPr>
            <w:r>
              <w:rPr>
                <w:rFonts w:ascii="Arial" w:cs="Arial" w:eastAsia="Arial" w:hAnsi="Arial"/>
                <w:sz w:val="15"/>
                <w:szCs w:val="15"/>
                <w:color w:val="auto"/>
              </w:rPr>
              <w:t>52,550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vMerge w:val="restart"/>
          </w:tcPr>
          <w:p>
            <w:pPr>
              <w:jc w:val="right"/>
              <w:ind w:right="47"/>
              <w:spacing w:after="0"/>
              <w:rPr>
                <w:sz w:val="20"/>
                <w:szCs w:val="20"/>
                <w:color w:val="auto"/>
              </w:rPr>
            </w:pPr>
            <w:r>
              <w:rPr>
                <w:rFonts w:ascii="Arial" w:cs="Arial" w:eastAsia="Arial" w:hAnsi="Arial"/>
                <w:sz w:val="15"/>
                <w:szCs w:val="15"/>
                <w:color w:val="auto"/>
              </w:rPr>
              <w:t>79,646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(23,409)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ind w:right="27"/>
              <w:spacing w:after="0"/>
              <w:rPr>
                <w:sz w:val="20"/>
                <w:szCs w:val="20"/>
                <w:color w:val="auto"/>
              </w:rPr>
            </w:pPr>
            <w:r>
              <w:rPr>
                <w:rFonts w:ascii="Arial" w:cs="Arial" w:eastAsia="Arial" w:hAnsi="Arial"/>
                <w:sz w:val="15"/>
                <w:szCs w:val="15"/>
                <w:color w:val="auto"/>
              </w:rPr>
              <w:t>56,237</w:t>
            </w:r>
          </w:p>
        </w:tc>
        <w:tc>
          <w:tcPr>
            <w:tcW w:w="0" w:type="dxa"/>
            <w:vAlign w:val="bottom"/>
          </w:tcPr>
          <w:p>
            <w:pPr>
              <w:spacing w:after="0"/>
              <w:rPr>
                <w:sz w:val="1"/>
                <w:szCs w:val="1"/>
                <w:color w:val="auto"/>
              </w:rPr>
            </w:pPr>
          </w:p>
        </w:tc>
      </w:tr>
      <w:tr>
        <w:trPr>
          <w:trHeight w:val="59"/>
        </w:trPr>
        <w:tc>
          <w:tcPr>
            <w:tcW w:w="3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40"/>
              <w:spacing w:after="0"/>
              <w:rPr>
                <w:sz w:val="20"/>
                <w:szCs w:val="20"/>
                <w:color w:val="auto"/>
              </w:rPr>
            </w:pPr>
            <w:r>
              <w:rPr>
                <w:rFonts w:ascii="Arial" w:cs="Arial" w:eastAsia="Arial" w:hAnsi="Arial"/>
                <w:sz w:val="15"/>
                <w:szCs w:val="15"/>
                <w:color w:val="auto"/>
              </w:rPr>
              <w:t>Trade names, subject to amortization</w:t>
            </w:r>
          </w:p>
        </w:tc>
        <w:tc>
          <w:tcPr>
            <w:tcW w:w="14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189,180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(43,006)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146,174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189,056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(32,506)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156,550</w:t>
            </w:r>
          </w:p>
        </w:tc>
        <w:tc>
          <w:tcPr>
            <w:tcW w:w="0" w:type="dxa"/>
            <w:vAlign w:val="bottom"/>
          </w:tcPr>
          <w:p>
            <w:pPr>
              <w:spacing w:after="0"/>
              <w:rPr>
                <w:sz w:val="1"/>
                <w:szCs w:val="1"/>
                <w:color w:val="auto"/>
              </w:rPr>
            </w:pPr>
          </w:p>
        </w:tc>
      </w:tr>
      <w:tr>
        <w:trPr>
          <w:trHeight w:val="64"/>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40"/>
              <w:spacing w:after="0"/>
              <w:rPr>
                <w:sz w:val="20"/>
                <w:szCs w:val="20"/>
                <w:color w:val="auto"/>
              </w:rPr>
            </w:pPr>
            <w:r>
              <w:rPr>
                <w:rFonts w:ascii="Arial" w:cs="Arial" w:eastAsia="Arial" w:hAnsi="Arial"/>
                <w:sz w:val="15"/>
                <w:szCs w:val="15"/>
                <w:color w:val="auto"/>
              </w:rPr>
              <w:t>Licensing and non-compete agreements</w:t>
            </w:r>
          </w:p>
        </w:tc>
        <w:tc>
          <w:tcPr>
            <w:tcW w:w="140" w:type="dxa"/>
            <w:vAlign w:val="bottom"/>
          </w:tcPr>
          <w:p>
            <w:pPr>
              <w:spacing w:after="0"/>
              <w:rPr>
                <w:sz w:val="17"/>
                <w:szCs w:val="17"/>
                <w:color w:val="auto"/>
              </w:rPr>
            </w:pPr>
          </w:p>
        </w:tc>
        <w:tc>
          <w:tcPr>
            <w:tcW w:w="1260" w:type="dxa"/>
            <w:vAlign w:val="bottom"/>
            <w:vMerge w:val="restart"/>
          </w:tcPr>
          <w:p>
            <w:pPr>
              <w:jc w:val="right"/>
              <w:ind w:right="47"/>
              <w:spacing w:after="0"/>
              <w:rPr>
                <w:sz w:val="20"/>
                <w:szCs w:val="20"/>
                <w:color w:val="auto"/>
              </w:rPr>
            </w:pPr>
            <w:r>
              <w:rPr>
                <w:rFonts w:ascii="Arial" w:cs="Arial" w:eastAsia="Arial" w:hAnsi="Arial"/>
                <w:sz w:val="15"/>
                <w:szCs w:val="15"/>
                <w:color w:val="auto"/>
              </w:rPr>
              <w:t>7,515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(6,950)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ind w:right="27"/>
              <w:spacing w:after="0"/>
              <w:rPr>
                <w:sz w:val="20"/>
                <w:szCs w:val="20"/>
                <w:color w:val="auto"/>
              </w:rPr>
            </w:pPr>
            <w:r>
              <w:rPr>
                <w:rFonts w:ascii="Arial" w:cs="Arial" w:eastAsia="Arial" w:hAnsi="Arial"/>
                <w:sz w:val="15"/>
                <w:szCs w:val="15"/>
                <w:color w:val="auto"/>
              </w:rPr>
              <w:t>565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vMerge w:val="restart"/>
          </w:tcPr>
          <w:p>
            <w:pPr>
              <w:jc w:val="right"/>
              <w:ind w:right="47"/>
              <w:spacing w:after="0"/>
              <w:rPr>
                <w:sz w:val="20"/>
                <w:szCs w:val="20"/>
                <w:color w:val="auto"/>
              </w:rPr>
            </w:pPr>
            <w:r>
              <w:rPr>
                <w:rFonts w:ascii="Arial" w:cs="Arial" w:eastAsia="Arial" w:hAnsi="Arial"/>
                <w:sz w:val="15"/>
                <w:szCs w:val="15"/>
                <w:color w:val="auto"/>
              </w:rPr>
              <w:t>7,515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(6,655)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ind w:right="27"/>
              <w:spacing w:after="0"/>
              <w:rPr>
                <w:sz w:val="20"/>
                <w:szCs w:val="20"/>
                <w:color w:val="auto"/>
              </w:rPr>
            </w:pPr>
            <w:r>
              <w:rPr>
                <w:rFonts w:ascii="Arial" w:cs="Arial" w:eastAsia="Arial" w:hAnsi="Arial"/>
                <w:sz w:val="15"/>
                <w:szCs w:val="15"/>
                <w:color w:val="auto"/>
              </w:rPr>
              <w:t>860</w:t>
            </w:r>
          </w:p>
        </w:tc>
        <w:tc>
          <w:tcPr>
            <w:tcW w:w="0" w:type="dxa"/>
            <w:vAlign w:val="bottom"/>
          </w:tcPr>
          <w:p>
            <w:pPr>
              <w:spacing w:after="0"/>
              <w:rPr>
                <w:sz w:val="1"/>
                <w:szCs w:val="1"/>
                <w:color w:val="auto"/>
              </w:rPr>
            </w:pPr>
          </w:p>
        </w:tc>
      </w:tr>
      <w:tr>
        <w:trPr>
          <w:trHeight w:val="59"/>
        </w:trPr>
        <w:tc>
          <w:tcPr>
            <w:tcW w:w="3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Distributor relations and other</w:t>
            </w:r>
          </w:p>
        </w:tc>
        <w:tc>
          <w:tcPr>
            <w:tcW w:w="14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4"/>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3100" w:type="dxa"/>
            <w:vAlign w:val="bottom"/>
          </w:tcPr>
          <w:p>
            <w:pPr>
              <w:ind w:left="38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rPr>
              <w:t>740,079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(224,710)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rPr>
              <w:t>515,369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rPr>
              <w:t>739,629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(184,082)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rPr>
              <w:t>555,547</w:t>
            </w:r>
          </w:p>
        </w:tc>
        <w:tc>
          <w:tcPr>
            <w:tcW w:w="0" w:type="dxa"/>
            <w:vAlign w:val="bottom"/>
          </w:tcPr>
          <w:p>
            <w:pPr>
              <w:spacing w:after="0"/>
              <w:rPr>
                <w:sz w:val="1"/>
                <w:szCs w:val="1"/>
                <w:color w:val="auto"/>
              </w:rPr>
            </w:pPr>
          </w:p>
        </w:tc>
      </w:tr>
      <w:tr>
        <w:trPr>
          <w:trHeight w:val="59"/>
        </w:trPr>
        <w:tc>
          <w:tcPr>
            <w:tcW w:w="3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40"/>
              <w:spacing w:after="0"/>
              <w:rPr>
                <w:sz w:val="20"/>
                <w:szCs w:val="20"/>
                <w:color w:val="auto"/>
              </w:rPr>
            </w:pPr>
            <w:r>
              <w:rPr>
                <w:rFonts w:ascii="Arial" w:cs="Arial" w:eastAsia="Arial" w:hAnsi="Arial"/>
                <w:sz w:val="15"/>
                <w:szCs w:val="15"/>
                <w:color w:val="auto"/>
              </w:rPr>
              <w:t>Trade names, not subject to amortization</w:t>
            </w:r>
          </w:p>
        </w:tc>
        <w:tc>
          <w:tcPr>
            <w:tcW w:w="14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59,985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59,985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60,045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60,045</w:t>
            </w:r>
          </w:p>
        </w:tc>
        <w:tc>
          <w:tcPr>
            <w:tcW w:w="0" w:type="dxa"/>
            <w:vAlign w:val="bottom"/>
          </w:tcPr>
          <w:p>
            <w:pPr>
              <w:spacing w:after="0"/>
              <w:rPr>
                <w:sz w:val="1"/>
                <w:szCs w:val="1"/>
                <w:color w:val="auto"/>
              </w:rPr>
            </w:pPr>
          </w:p>
        </w:tc>
      </w:tr>
      <w:tr>
        <w:trPr>
          <w:trHeight w:val="64"/>
        </w:trPr>
        <w:tc>
          <w:tcPr>
            <w:tcW w:w="3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100" w:type="dxa"/>
            <w:vAlign w:val="bottom"/>
          </w:tcPr>
          <w:p>
            <w:pPr>
              <w:ind w:left="380"/>
              <w:spacing w:after="0"/>
              <w:rPr>
                <w:sz w:val="20"/>
                <w:szCs w:val="20"/>
                <w:color w:val="auto"/>
              </w:rPr>
            </w:pPr>
            <w:r>
              <w:rPr>
                <w:rFonts w:ascii="Arial" w:cs="Arial" w:eastAsia="Arial" w:hAnsi="Arial"/>
                <w:sz w:val="15"/>
                <w:szCs w:val="15"/>
                <w:color w:val="auto"/>
              </w:rPr>
              <w:t>Total intangibles, net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800,064</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(224,710)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575,354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7"/>
              <w:spacing w:after="0"/>
              <w:rPr>
                <w:sz w:val="20"/>
                <w:szCs w:val="20"/>
                <w:color w:val="auto"/>
              </w:rPr>
            </w:pPr>
            <w:r>
              <w:rPr>
                <w:rFonts w:ascii="Arial" w:cs="Arial" w:eastAsia="Arial" w:hAnsi="Arial"/>
                <w:sz w:val="15"/>
                <w:szCs w:val="15"/>
                <w:color w:val="auto"/>
              </w:rPr>
              <w:t>799,674</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(184,082)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615,592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Amortization expense related to intangible assets was $13.5 million and $12.8 million for the three months ended September 30, 2019 and 2018, respectively, and $40.6 million and $35.5 million for the nine months ended September 30, 2019 and 2018, respectively. Estimated charges to amortization expense of intangible assets for the remainder of 2019 and the next four years,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2820" w:type="dxa"/>
        <w:tblCellMar>
          <w:top w:w="0" w:type="dxa"/>
          <w:left w:w="0" w:type="dxa"/>
          <w:bottom w:w="0" w:type="dxa"/>
          <w:right w:w="0" w:type="dxa"/>
        </w:tblCellMar>
      </w:tblPr>
      <w:tr>
        <w:trPr>
          <w:trHeight w:val="228"/>
        </w:trPr>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r>
      <w:tr>
        <w:trPr>
          <w:trHeight w:val="372"/>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13,590</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54,078</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53,632</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52,001</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51,603</w:t>
            </w:r>
          </w:p>
        </w:tc>
      </w:tr>
      <w:tr>
        <w:trPr>
          <w:trHeight w:val="837"/>
        </w:trPr>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H — Warranties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Ergobaby, Liberty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 the carrying value of the Company’s warranty liability for the nine months ended September 30, 2019 and the year ended December 31, 2018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1"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Nine months ended</w:t>
            </w:r>
          </w:p>
        </w:tc>
        <w:tc>
          <w:tcPr>
            <w:tcW w:w="240" w:type="dxa"/>
            <w:vAlign w:val="bottom"/>
          </w:tcPr>
          <w:p>
            <w:pPr>
              <w:spacing w:after="0"/>
              <w:rPr>
                <w:sz w:val="14"/>
                <w:szCs w:val="14"/>
                <w:color w:val="auto"/>
              </w:rPr>
            </w:pPr>
          </w:p>
        </w:tc>
        <w:tc>
          <w:tcPr>
            <w:tcW w:w="1760" w:type="dxa"/>
            <w:vAlign w:val="bottom"/>
          </w:tcPr>
          <w:p>
            <w:pPr>
              <w:jc w:val="right"/>
              <w:ind w:right="520"/>
              <w:spacing w:after="0"/>
              <w:rPr>
                <w:sz w:val="20"/>
                <w:szCs w:val="20"/>
                <w:color w:val="auto"/>
              </w:rPr>
            </w:pPr>
            <w:r>
              <w:rPr>
                <w:rFonts w:ascii="Arial" w:cs="Arial" w:eastAsia="Arial" w:hAnsi="Arial"/>
                <w:sz w:val="15"/>
                <w:szCs w:val="15"/>
                <w:b w:val="1"/>
                <w:bCs w:val="1"/>
                <w:color w:val="auto"/>
              </w:rPr>
              <w:t>Year ended</w:t>
            </w:r>
          </w:p>
        </w:tc>
      </w:tr>
      <w:tr>
        <w:trPr>
          <w:trHeight w:val="206"/>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Warranty liability</w:t>
            </w: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September 30, 2019</w:t>
            </w: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00"/>
              <w:spacing w:after="0"/>
              <w:rPr>
                <w:sz w:val="20"/>
                <w:szCs w:val="20"/>
                <w:color w:val="auto"/>
              </w:rPr>
            </w:pPr>
            <w:r>
              <w:rPr>
                <w:rFonts w:ascii="Arial" w:cs="Arial" w:eastAsia="Arial" w:hAnsi="Arial"/>
                <w:sz w:val="15"/>
                <w:szCs w:val="15"/>
                <w:b w:val="1"/>
                <w:bCs w:val="1"/>
                <w:color w:val="auto"/>
              </w:rPr>
              <w:t>December 31, 2018</w:t>
            </w:r>
          </w:p>
        </w:tc>
      </w:tr>
      <w:tr>
        <w:trPr>
          <w:trHeight w:val="160"/>
        </w:trPr>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70"/>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w:t>
            </w:r>
          </w:p>
        </w:tc>
      </w:tr>
      <w:tr>
        <w:trPr>
          <w:trHeight w:val="260"/>
        </w:trPr>
        <w:tc>
          <w:tcPr>
            <w:tcW w:w="4880" w:type="dxa"/>
            <w:vAlign w:val="bottom"/>
          </w:tcPr>
          <w:p>
            <w:pPr>
              <w:ind w:left="40"/>
              <w:spacing w:after="0"/>
              <w:rPr>
                <w:sz w:val="20"/>
                <w:szCs w:val="20"/>
                <w:color w:val="auto"/>
              </w:rPr>
            </w:pPr>
            <w:r>
              <w:rPr>
                <w:rFonts w:ascii="Arial" w:cs="Arial" w:eastAsia="Arial" w:hAnsi="Arial"/>
                <w:sz w:val="16"/>
                <w:szCs w:val="16"/>
                <w:color w:val="auto"/>
              </w:rPr>
              <w:t>Provision for warranties issued during the period</w:t>
            </w:r>
          </w:p>
        </w:tc>
        <w:tc>
          <w:tcPr>
            <w:tcW w:w="2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3,531</w:t>
            </w:r>
          </w:p>
        </w:tc>
      </w:tr>
      <w:tr>
        <w:trPr>
          <w:trHeight w:val="280"/>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Fulfillment of warranty obligations</w:t>
            </w:r>
          </w:p>
        </w:tc>
        <w:tc>
          <w:tcPr>
            <w:tcW w:w="20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(4,258)</w:t>
            </w:r>
          </w:p>
        </w:tc>
      </w:tr>
      <w:tr>
        <w:trPr>
          <w:trHeight w:val="270"/>
        </w:trPr>
        <w:tc>
          <w:tcPr>
            <w:tcW w:w="48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b w:val="1"/>
                <w:bCs w:val="1"/>
                <w:color w:val="auto"/>
                <w:vertAlign w:val="superscript"/>
              </w:rPr>
              <w:t>(1)</w:t>
            </w:r>
          </w:p>
        </w:tc>
        <w:tc>
          <w:tcPr>
            <w:tcW w:w="200" w:type="dxa"/>
            <w:vAlign w:val="bottom"/>
          </w:tcPr>
          <w:p>
            <w:pPr>
              <w:spacing w:after="0"/>
              <w:rPr>
                <w:sz w:val="23"/>
                <w:szCs w:val="23"/>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30"/>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w:t>
            </w:r>
          </w:p>
        </w:tc>
      </w:tr>
      <w:tr>
        <w:trPr>
          <w:trHeight w:val="20"/>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23"/>
          <w:szCs w:val="23"/>
          <w:b w:val="1"/>
          <w:bCs w:val="1"/>
          <w:color w:val="auto"/>
          <w:vertAlign w:val="superscript"/>
        </w:rPr>
      </w:pPr>
      <w:r>
        <w:rPr>
          <w:rFonts w:ascii="Arial" w:cs="Arial" w:eastAsia="Arial" w:hAnsi="Arial"/>
          <w:sz w:val="15"/>
          <w:szCs w:val="15"/>
          <w:color w:val="auto"/>
        </w:rPr>
        <w:t>Represents the warranty liability recorded in relation to acquisitions. Warranty liabilities of acquisitions are recorded at fair value as of the date of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18, 2018, the Company entered into an Amended and Restated Credit Agreement (the "2018 Credit Facility") to amend and restate the 2014 Credit Facility, originally dated as of June 6, 2014 (as previously amended) among the Company, the lenders from time to time party thereto (the “Lenders”), and Bank of America, N.A., as Administrative Agent. The 2018 Credit Facility is secured by all of the assets of the Company, including all of its equity interests in, and loans to, its consolidated subsidiaries. The 2018 Credit Facility provides for (i) revolving loans, swing line loans and letters of credit (the “2018 Revolving Credit Facility”) up to a maximum aggregate amount of $600 million (the "2018 Revolving Loan Commitment"), and (ii) a $500 million term loan (the “2018 Term Loan”).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Revolving Credit Facility</w:t>
      </w:r>
    </w:p>
    <w:p>
      <w:pPr>
        <w:spacing w:after="0" w:line="15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All amounts outstanding under the 2018 Revolving Credit Facility will become due on April 18, 2023, which is the maturity date of loans advanced under the 2018 Revolving Credit Facility. The Company may borrow, prepay and reborrow principal under the 2018 Revolving Credit Facility from time to time during its term.</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2018 Credit Facility also permits the Company, prior to the applicable maturity date, to increase the 2018 Revolving Loan Commitment and/or obtain additional term loans in an aggregate amount of up to $250 million (the “Incremental Loans”), subject to certain restrictions and conditions. Under the 2018 Revolving Credit Facility, an aggregate amount of up to $100 million in letters of credit may be issued, as well as swing line loans of up to $25 million outstanding at one time. The issuance of such letters of credit and the making of any swing line loan would reduce the amount available under the 2018 Revolving Credit Facility.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Term Loan</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2018 Term Loan requires quarterly payments of $1.25 million commencing June 30, 2018, with a final payment of all remaining principal and interest due on April 18, 2025, the maturity date of the 2018 Term Loan. The 2018 Term Loan was issued at an original issuance discount of 99.75%. In July 2019, the Company repaid approximately $193.8 million of the 2018 Term Loan using a portion of the proceeds received from the sale of Clean Earth.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Credit Facility</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2014 Credit Facility, as amended, provided for (i) a revolving credit facility of $550 million, (ii) a $325 million term loan (the "2014 Term Loan"), and (iii) a $250 million incremental term loan. The 2018 Credit Facility amended and restated the 2014 Credit Facility.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1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18, 2018, the Company consummated the issuance and sale of $400 million aggregate principal amount of its 8.000% Senior Notes due 2026 (the “Notes” or "Senior Notes") offered pursuant to a private offering to qualified institutional buyers in accordance with Rule 144A under the Securities Act, and to non-U.S. persons under Regulation S under the Securities Act. The Company used the net proceeds from the sale of the Notes to repay debt under its existing credit facilities in connection with a concurrent refinancing transaction described above. The Notes were issued pursuant to an indenture, dated as of April 18, 2018 (the “Indenture”), between the Company and U.S. Bank National Association, as trustee.</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Notes bear interest at the rate of 8.000% per annum and will mature on May 1, 2026. Interest on the Notes is payable in cash on May 1st and November 1st of each year, beginning on November 1, 2018. The Notes are general senior unsecured obligations of the Company and are not guaranteed by the subsidiaries through which the Company currently conducts substantially all of its operations. The Notes rank equal in right of payment with all of the Company’s existing and future senior unsecured indebtedness, and rank senior in right of payment to all of the Company’s future subordinated indebtedness, if any. The Notes will be effectively subordinated to the Company’s existing and future secured indebtedness, to the extent of the value of the assets securing such indebtedness, including the indebtedness under the Company’s credit facilities described above.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 contains several restrictive covenants including, but not limited to, limitations on the following: (i) the incurrence of additional indebtedness, (ii) restricted payments, (iii) dividends and other payments affecting restricted subsidiaries, (iv) the issuance of preferred stock of restricted subsidiaries, (v) transactions with affiliates, (vi) asset sales and mergers and consolidations, (vii) future subsidiary guarantees and (viii) liens, subject in each case to certain exceptions.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the Company’s debt holdings at September 30, 2019 and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7" w:lineRule="exact"/>
        <w:rPr>
          <w:sz w:val="20"/>
          <w:szCs w:val="20"/>
          <w:color w:val="auto"/>
        </w:rPr>
      </w:pPr>
    </w:p>
    <w:tbl>
      <w:tblPr>
        <w:tblLayout w:type="fixed"/>
        <w:tblInd w:w="1080" w:type="dxa"/>
        <w:tblCellMar>
          <w:top w:w="0" w:type="dxa"/>
          <w:left w:w="0" w:type="dxa"/>
          <w:bottom w:w="0" w:type="dxa"/>
          <w:right w:w="0" w:type="dxa"/>
        </w:tblCellMar>
      </w:tblPr>
      <w:tr>
        <w:trPr>
          <w:trHeight w:val="206"/>
        </w:trPr>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2019</w:t>
            </w:r>
          </w:p>
        </w:tc>
        <w:tc>
          <w:tcPr>
            <w:tcW w:w="220" w:type="dxa"/>
            <w:vAlign w:val="bottom"/>
          </w:tcPr>
          <w:p>
            <w:pPr>
              <w:spacing w:after="0"/>
              <w:rPr>
                <w:sz w:val="17"/>
                <w:szCs w:val="17"/>
                <w:color w:val="auto"/>
              </w:rPr>
            </w:pPr>
          </w:p>
        </w:tc>
        <w:tc>
          <w:tcPr>
            <w:tcW w:w="1840" w:type="dxa"/>
            <w:vAlign w:val="bottom"/>
          </w:tcPr>
          <w:p>
            <w:pPr>
              <w:jc w:val="right"/>
              <w:ind w:right="280"/>
              <w:spacing w:after="0"/>
              <w:rPr>
                <w:sz w:val="20"/>
                <w:szCs w:val="20"/>
                <w:color w:val="auto"/>
              </w:rPr>
            </w:pPr>
            <w:r>
              <w:rPr>
                <w:rFonts w:ascii="Arial" w:cs="Arial" w:eastAsia="Arial" w:hAnsi="Arial"/>
                <w:sz w:val="15"/>
                <w:szCs w:val="15"/>
                <w:b w:val="1"/>
                <w:bCs w:val="1"/>
                <w:color w:val="auto"/>
              </w:rPr>
              <w:t>December 31, 2018</w:t>
            </w:r>
          </w:p>
        </w:tc>
      </w:tr>
      <w:tr>
        <w:trPr>
          <w:trHeight w:val="254"/>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400,000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400,000</w:t>
            </w:r>
          </w:p>
        </w:tc>
      </w:tr>
      <w:tr>
        <w:trPr>
          <w:trHeight w:val="260"/>
        </w:trPr>
        <w:tc>
          <w:tcPr>
            <w:tcW w:w="496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240" w:type="dxa"/>
            <w:vAlign w:val="bottom"/>
          </w:tcPr>
          <w:p>
            <w:pPr>
              <w:spacing w:after="0"/>
              <w:rPr>
                <w:sz w:val="22"/>
                <w:szCs w:val="22"/>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228,000</w:t>
            </w:r>
          </w:p>
        </w:tc>
      </w:tr>
      <w:tr>
        <w:trPr>
          <w:trHeight w:val="28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24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298,750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496,250</w:t>
            </w:r>
          </w:p>
        </w:tc>
      </w:tr>
      <w:tr>
        <w:trPr>
          <w:trHeight w:val="264"/>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discounts and debt issuance costs</w:t>
            </w: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(20,379)</w:t>
            </w:r>
          </w:p>
        </w:tc>
      </w:tr>
      <w:tr>
        <w:trPr>
          <w:trHeight w:val="257"/>
        </w:trPr>
        <w:tc>
          <w:tcPr>
            <w:tcW w:w="4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debt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685,513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1,103,871</w:t>
            </w:r>
          </w:p>
        </w:tc>
      </w:tr>
      <w:tr>
        <w:trPr>
          <w:trHeight w:val="244"/>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term loan facilities</w:t>
            </w: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r>
      <w:tr>
        <w:trPr>
          <w:trHeight w:val="237"/>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 term debt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680,513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1,098,871</w:t>
            </w: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availability under the 2018 Revolving Credit Facility was approximately $596.4 million at September 30, 2019. Letters of credit outstanding at September 30, 2019 totaled approximately $3.6 million. At September 30, 2019, the Company was in compliance with all covenants as defined in the 2018 Credit Facility.</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September 30, 2019, the carrying value of the principal under the Company’s outstanding Term Loan, including the current portion, was $298.8 million, which approximates fair value because it has a variable interest rate that reflects market changes in interest rates and changes in the Company's net leverage ratio. The estimated fair value of the outstanding 2018 Term Loan is based on quoted market prices for similar debt issues and is, therefore, classified as Level 2 in the fair value hierarchy. The Company's Senior Notes consisted of the following carrying value and estimated fair value (in thousands):</w:t>
      </w:r>
    </w:p>
    <w:p>
      <w:pPr>
        <w:spacing w:after="0" w:line="188" w:lineRule="exact"/>
        <w:rPr>
          <w:sz w:val="20"/>
          <w:szCs w:val="20"/>
          <w:color w:val="auto"/>
        </w:rPr>
      </w:pPr>
    </w:p>
    <w:tbl>
      <w:tblPr>
        <w:tblLayout w:type="fixed"/>
        <w:tblInd w:w="124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3120" w:type="dxa"/>
            <w:vAlign w:val="bottom"/>
            <w:gridSpan w:val="3"/>
            <w:vMerge w:val="restart"/>
          </w:tcPr>
          <w:p>
            <w:pPr>
              <w:ind w:left="820"/>
              <w:spacing w:after="0"/>
              <w:rPr>
                <w:sz w:val="20"/>
                <w:szCs w:val="20"/>
                <w:color w:val="auto"/>
              </w:rPr>
            </w:pPr>
            <w:r>
              <w:rPr>
                <w:rFonts w:ascii="Arial" w:cs="Arial" w:eastAsia="Arial" w:hAnsi="Arial"/>
                <w:sz w:val="16"/>
                <w:szCs w:val="16"/>
                <w:b w:val="1"/>
                <w:bCs w:val="1"/>
                <w:color w:val="auto"/>
              </w:rPr>
              <w:t>September 30, 2019</w:t>
            </w:r>
          </w:p>
        </w:tc>
        <w:tc>
          <w:tcPr>
            <w:tcW w:w="0" w:type="dxa"/>
            <w:vAlign w:val="bottom"/>
          </w:tcPr>
          <w:p>
            <w:pPr>
              <w:spacing w:after="0"/>
              <w:rPr>
                <w:sz w:val="1"/>
                <w:szCs w:val="1"/>
                <w:color w:val="auto"/>
              </w:rPr>
            </w:pPr>
          </w:p>
        </w:tc>
      </w:tr>
      <w:tr>
        <w:trPr>
          <w:trHeight w:val="98"/>
        </w:trPr>
        <w:tc>
          <w:tcPr>
            <w:tcW w:w="1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312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8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8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Rate</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Carrying Value</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May 1, 2026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2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ind w:left="840"/>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426,000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debt issuance costs represent the costs associated with the issuance of the Company's financing arrangements. In connection with the repayment of $193.8 million of the 2018 Term Loan in July 2019, the Company expensed $3.7 million in debt issuance costs and $1.4 million in original issue discount, representing a proportional amount of the Company’s debt issuance costs related to the 2018 Term Loan.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26" w:right="239" w:bottom="1440" w:gutter="0" w:footer="0" w:header="0"/>
        </w:sectPr>
      </w:pPr>
    </w:p>
    <w:bookmarkStart w:id="26" w:name="page27"/>
    <w:bookmarkEnd w:id="26"/>
    <w:p>
      <w:pPr>
        <w:jc w:val="both"/>
        <w:spacing w:after="0" w:line="253" w:lineRule="auto"/>
        <w:rPr>
          <w:sz w:val="20"/>
          <w:szCs w:val="20"/>
          <w:color w:val="auto"/>
        </w:rPr>
      </w:pPr>
      <w:r>
        <w:rPr>
          <w:rFonts w:ascii="Arial" w:cs="Arial" w:eastAsia="Arial" w:hAnsi="Arial"/>
          <w:sz w:val="18"/>
          <w:szCs w:val="18"/>
          <w:color w:val="auto"/>
        </w:rPr>
        <w:t>Since the Company can borrow, repay and reborrow principal under the 2018 Revolving Credit Facility, the debt issuance costs associated with the 2014 and 2018 Revolving Credit Facility of $4.3 million and $5.3 million at September 30, 2019 and December 31, 2018, respectively, have been classified as other non-current assets in the accompanying consolidated balance sheets. The original issue discount and the debt issuance costs associated with the 2018 Term Loan and Senior Notes are classified as a reduction of long-term debt in the accompanying consolidated balance sheets.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2014, the Company purchased an interest rate swap (the "Swap") with a notional amount of $220 million. The Swap is effective April 1, 2016 through June 6, 2021, the original termination date of the 2014 Term Loan. The agreement requires the Company to pay interest on the notional amount at the rate of 2.97% in exchange for the three-month LIBOR rate. At September 30, 2019 and December 31, 2018, the Swap had a fair value loss of $4.9 million and $2.1 million, respectively, principally reflecting the present value of future payments and receipts under the agreement.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classification of the Company's Swap on the consolidated balance sheets at September 30, 2019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3" w:lineRule="exact"/>
        <w:rPr>
          <w:sz w:val="20"/>
          <w:szCs w:val="20"/>
          <w:color w:val="auto"/>
        </w:rPr>
      </w:pPr>
    </w:p>
    <w:tbl>
      <w:tblPr>
        <w:tblLayout w:type="fixed"/>
        <w:tblInd w:w="1220" w:type="dxa"/>
        <w:tblCellMar>
          <w:top w:w="0" w:type="dxa"/>
          <w:left w:w="0" w:type="dxa"/>
          <w:bottom w:w="0" w:type="dxa"/>
          <w:right w:w="0" w:type="dxa"/>
        </w:tblCellMar>
      </w:tblPr>
      <w:tr>
        <w:trPr>
          <w:trHeight w:val="20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2019</w:t>
            </w:r>
          </w:p>
        </w:tc>
        <w:tc>
          <w:tcPr>
            <w:tcW w:w="20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5"/>
                <w:szCs w:val="15"/>
                <w:b w:val="1"/>
                <w:bCs w:val="1"/>
                <w:color w:val="auto"/>
              </w:rPr>
              <w:t>December 31, 2018</w:t>
            </w:r>
          </w:p>
        </w:tc>
      </w:tr>
      <w:tr>
        <w:trPr>
          <w:trHeight w:val="25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2,594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r>
      <w:tr>
        <w:trPr>
          <w:trHeight w:val="264"/>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2,289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r>
      <w:tr>
        <w:trPr>
          <w:trHeight w:val="24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w:t>
            </w: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Trust is authorized to issue 500,000,000 Trust shares and the Company is authorized to issue a corresponding number of LLC interests. The Company will at all times have the identical number of LLC interests outstanding as Trust shares. Each Trust share represents an undivided beneficial interest in the Trust, and each Trust share is entitled to one vote per share on any matter with respect to which members of the Company are entitled to vote.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preferred interests.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13, 2018, the Trust issued 4,000,000 7.875% Series B Trust Preferred Shares (the "Series B Preferred Shares") with a liquidation preference of $ 25.00 per share, for gross proceeds of $100.0 million, or $96.5 million net of underwriters' discount and issuance costs. Distributions on the Series B Preferred Shares will be payable quarterly in arrears, when and as declared by the Company's board of directors on January 30, April 30, July 30, and October 30 of each year, beginning on July 30, 2018, at a rate per annum of 7.875%. Distributions on the Series B Preferred Shares are cumulative.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preferred shares. The Series B Preferred Shares may be redeemed at the Company's option, in whole or in part, at any time after April 30, 2028, at a price of $25.00 per share, plus any accumulated and unpaid distributions (thereon whether authorized or declared) to, but excluding, the redemption date. Holders of Series B Preferred Shares will have no right to require the redemption of the Series B Preferred Shares and there is no maturity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Shares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28, 2017, the Trust issued 4,000,000 7.250% Series A Trust Preferred Shares (the "Series A Preferred Shares") with a liquidation preference of $ 25.00 per share, for gross proceeds of $100.0 million, or $96.4 million net of underwriters' discount and issuance costs. When, and if declared by the Company's board of directors, distribution on the Series A Preferred Shares will be payable quarterly on January 30, April 30, July 30, and October 30 of each year, beginning on October 30, 2017, at a rate per annum of 7.250%. Distributions on the Series A Preferred Shares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90" w:right="239" w:bottom="1440" w:gutter="0" w:footer="0" w:header="0"/>
        </w:sectPr>
      </w:pPr>
    </w:p>
    <w:bookmarkStart w:id="27" w:name="page28"/>
    <w:bookmarkEnd w:id="27"/>
    <w:p>
      <w:pPr>
        <w:jc w:val="both"/>
        <w:spacing w:after="0" w:line="251" w:lineRule="auto"/>
        <w:rPr>
          <w:sz w:val="20"/>
          <w:szCs w:val="20"/>
          <w:color w:val="auto"/>
        </w:rPr>
      </w:pPr>
      <w:r>
        <w:rPr>
          <w:rFonts w:ascii="Arial" w:cs="Arial" w:eastAsia="Arial" w:hAnsi="Arial"/>
          <w:sz w:val="18"/>
          <w:szCs w:val="18"/>
          <w:color w:val="auto"/>
        </w:rPr>
        <w:t>are discretionary and non-cumulative. The Company has no obligation to pay distributions for a quarterly distribution period if the board of directors does not declare the distribution before the scheduled record of date for the period, whether or not distributions are paid for any subsequent distribution periods with respect to the Series A Preferred Shares, or the Trust common shares. If the Company's board of directors does not declare a distribution for the Series A Preferred Shares for a quarterly distribution period, during the remainder of that quarterly distribution period the Company cannot declare or pay distributions on the Trust common shares. The Series A Preferred Shares may be redeemed at the Company's option, in whole or in part, at any time after July 30, 2022, at a price of $25.00 per share, plus any declared and unpaid distributions. Holders of Series A Preferred Shares will have no right to require the redemption of the Series A Preferred Shares and there is no maturity date. The Series A Preferred Shares are not convertible into Trust common shares and have no voting rights, except in limited circumstances as provided for in the share designation for the preferred shares.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Allocation Interests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Allocation Interests represent the original equity interest in the Company. The holders of the Allocation Interests ("Holders") are entitled to receive distributions pursuant to a profit allocation formula upon the occurrence of certain events. The distributions of the profit allocation are paid upon the occurrence of the sale of a material amount of capital stock or assets of one of the Company’s businesses ("Sale Event") or, at the option of the Holders, at each five-year anniversary date of the acquisition of one of the Company’s businesses ("Holding Event"). The Company records distributions of the profit allocation to the Holders upon occurrence of a Sale Event or Holding Event as distributions declared on Allocation Interests to stockholders’ equity when they are approved by the Company’s board of directors.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Events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sale of Manitoba Harvest in February 2019 qualified as a Sale Event under the Company's LLC Agreement. During the second quarter of 2019, the Company declared and paid a distribution to the Allocation Member of $7.7 million </w:t>
      </w:r>
      <w:r>
        <w:rPr>
          <w:rFonts w:ascii="Arial" w:cs="Arial" w:eastAsia="Arial" w:hAnsi="Arial"/>
          <w:sz w:val="17"/>
          <w:szCs w:val="17"/>
          <w:color w:val="auto"/>
        </w:rPr>
        <w:t>related to the sale of Manitoba Harvest.</w:t>
      </w:r>
      <w:r>
        <w:rPr>
          <w:rFonts w:ascii="Arial" w:cs="Arial" w:eastAsia="Arial" w:hAnsi="Arial"/>
          <w:sz w:val="18"/>
          <w:szCs w:val="18"/>
          <w:color w:val="auto"/>
        </w:rPr>
        <w:t xml:space="preserve"> The profit allocation distribution was calculated based on the portion of the gain on sale related to the Closing Date Consideration, less the loss on sale of shares that were received as part of the Closing Consideration. An additional profit allocation distribution of $ 8.6 million will be paid to the Allocation Interest Holders in the fourth quarter of 2019 related to the receipt of the Deferred Consideration from Manitoba Harvest. The Company will also pay an additional $0.3 million in distributions to the Allocation Member related to working capital settlements from prior Sale Events.</w:t>
      </w:r>
    </w:p>
    <w:p>
      <w:pPr>
        <w:spacing w:after="0" w:line="9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sale of Clean Earth in June 2019 qualified as a Sale Event under the Company's LLC Agreement. During the third quarter of 2019, the Company declared a distribution to the Allocation Member of $43.3 million. This distribution was paid in the third quarter of 2019.</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loss attributable to Holdings to net loss attributable to the common shares of Holdings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172"/>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5"/>
                <w:szCs w:val="15"/>
                <w:color w:val="auto"/>
              </w:rPr>
            </w:pPr>
          </w:p>
        </w:tc>
        <w:tc>
          <w:tcPr>
            <w:tcW w:w="2340" w:type="dxa"/>
            <w:vAlign w:val="bottom"/>
            <w:gridSpan w:val="4"/>
          </w:tcPr>
          <w:p>
            <w:pPr>
              <w:jc w:val="right"/>
              <w:ind w:right="523"/>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6"/>
        </w:trPr>
        <w:tc>
          <w:tcPr>
            <w:tcW w:w="5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5"/>
          </w:tcPr>
          <w:p>
            <w:pPr>
              <w:ind w:left="54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7"/>
                <w:szCs w:val="17"/>
                <w:color w:val="auto"/>
              </w:rPr>
            </w:pPr>
          </w:p>
        </w:tc>
        <w:tc>
          <w:tcPr>
            <w:tcW w:w="2340" w:type="dxa"/>
            <w:vAlign w:val="bottom"/>
            <w:gridSpan w:val="4"/>
          </w:tcPr>
          <w:p>
            <w:pPr>
              <w:jc w:val="right"/>
              <w:ind w:right="683"/>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254"/>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 attributable to Holdings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(49,313)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(13,893)</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Distributions paid - Allocation Interests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43,313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51,296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5100" w:type="dxa"/>
            <w:vAlign w:val="bottom"/>
          </w:tcPr>
          <w:p>
            <w:pPr>
              <w:ind w:left="20"/>
              <w:spacing w:after="0"/>
              <w:rPr>
                <w:sz w:val="20"/>
                <w:szCs w:val="20"/>
                <w:color w:val="auto"/>
              </w:rPr>
            </w:pPr>
            <w:r>
              <w:rPr>
                <w:rFonts w:ascii="Arial" w:cs="Arial" w:eastAsia="Arial" w:hAnsi="Arial"/>
                <w:sz w:val="15"/>
                <w:szCs w:val="15"/>
                <w:color w:val="auto"/>
              </w:rPr>
              <w:t>Less: Distributions paid - Preferred Shares</w:t>
            </w:r>
          </w:p>
        </w:tc>
        <w:tc>
          <w:tcPr>
            <w:tcW w:w="28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3,781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4,773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11,344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8,398</w:t>
            </w:r>
          </w:p>
        </w:tc>
        <w:tc>
          <w:tcPr>
            <w:tcW w:w="0" w:type="dxa"/>
            <w:vAlign w:val="bottom"/>
          </w:tcPr>
          <w:p>
            <w:pPr>
              <w:spacing w:after="0"/>
              <w:rPr>
                <w:sz w:val="1"/>
                <w:szCs w:val="1"/>
                <w:color w:val="auto"/>
              </w:rPr>
            </w:pPr>
          </w:p>
        </w:tc>
      </w:tr>
      <w:tr>
        <w:trPr>
          <w:trHeight w:val="274"/>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Accrued distributions - Preferred Shares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1,334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1,619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1,334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1,619</w:t>
            </w:r>
          </w:p>
        </w:tc>
        <w:tc>
          <w:tcPr>
            <w:tcW w:w="0" w:type="dxa"/>
            <w:vAlign w:val="bottom"/>
          </w:tcPr>
          <w:p>
            <w:pPr>
              <w:spacing w:after="0"/>
              <w:rPr>
                <w:sz w:val="1"/>
                <w:szCs w:val="1"/>
                <w:color w:val="auto"/>
              </w:rPr>
            </w:pPr>
          </w:p>
        </w:tc>
      </w:tr>
      <w:tr>
        <w:trPr>
          <w:trHeight w:val="166"/>
        </w:trPr>
        <w:tc>
          <w:tcPr>
            <w:tcW w:w="5100" w:type="dxa"/>
            <w:vAlign w:val="bottom"/>
          </w:tcPr>
          <w:p>
            <w:pPr>
              <w:ind w:left="20"/>
              <w:spacing w:after="0" w:line="166" w:lineRule="exact"/>
              <w:rPr>
                <w:sz w:val="20"/>
                <w:szCs w:val="20"/>
                <w:color w:val="auto"/>
              </w:rPr>
            </w:pPr>
            <w:r>
              <w:rPr>
                <w:rFonts w:ascii="Arial" w:cs="Arial" w:eastAsia="Arial" w:hAnsi="Arial"/>
                <w:sz w:val="15"/>
                <w:szCs w:val="15"/>
                <w:color w:val="auto"/>
              </w:rPr>
              <w:t>Net loss from continuing operations attributable to common shares of</w:t>
            </w: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(78,252)</w:t>
            </w:r>
          </w:p>
        </w:tc>
        <w:tc>
          <w:tcPr>
            <w:tcW w:w="100" w:type="dxa"/>
            <w:vAlign w:val="bottom"/>
          </w:tcPr>
          <w:p>
            <w:pPr>
              <w:spacing w:after="0"/>
              <w:rPr>
                <w:sz w:val="14"/>
                <w:szCs w:val="14"/>
                <w:color w:val="auto"/>
              </w:rPr>
            </w:pP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(7,737)</w:t>
            </w:r>
          </w:p>
        </w:tc>
        <w:tc>
          <w:tcPr>
            <w:tcW w:w="100" w:type="dxa"/>
            <w:vAlign w:val="bottom"/>
          </w:tcPr>
          <w:p>
            <w:pPr>
              <w:spacing w:after="0"/>
              <w:rPr>
                <w:sz w:val="14"/>
                <w:szCs w:val="14"/>
                <w:color w:val="auto"/>
              </w:rPr>
            </w:pPr>
          </w:p>
        </w:tc>
        <w:tc>
          <w:tcPr>
            <w:tcW w:w="28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(113,287)</w:t>
            </w:r>
          </w:p>
        </w:tc>
        <w:tc>
          <w:tcPr>
            <w:tcW w:w="120" w:type="dxa"/>
            <w:vAlign w:val="bottom"/>
          </w:tcPr>
          <w:p>
            <w:pPr>
              <w:spacing w:after="0"/>
              <w:rPr>
                <w:sz w:val="14"/>
                <w:szCs w:val="14"/>
                <w:color w:val="auto"/>
              </w:rPr>
            </w:pP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(23,910)</w:t>
            </w:r>
          </w:p>
        </w:tc>
        <w:tc>
          <w:tcPr>
            <w:tcW w:w="0" w:type="dxa"/>
            <w:vAlign w:val="bottom"/>
          </w:tcPr>
          <w:p>
            <w:pPr>
              <w:spacing w:after="0"/>
              <w:rPr>
                <w:sz w:val="1"/>
                <w:szCs w:val="1"/>
                <w:color w:val="auto"/>
              </w:rPr>
            </w:pPr>
          </w:p>
        </w:tc>
      </w:tr>
      <w:tr>
        <w:trPr>
          <w:trHeight w:val="184"/>
        </w:trPr>
        <w:tc>
          <w:tcPr>
            <w:tcW w:w="5100" w:type="dxa"/>
            <w:vAlign w:val="bottom"/>
          </w:tcPr>
          <w:p>
            <w:pPr>
              <w:ind w:left="20"/>
              <w:spacing w:after="0"/>
              <w:rPr>
                <w:sz w:val="20"/>
                <w:szCs w:val="20"/>
                <w:color w:val="auto"/>
              </w:rPr>
            </w:pPr>
            <w:r>
              <w:rPr>
                <w:rFonts w:ascii="Arial" w:cs="Arial" w:eastAsia="Arial" w:hAnsi="Arial"/>
                <w:sz w:val="15"/>
                <w:szCs w:val="15"/>
                <w:color w:val="auto"/>
              </w:rPr>
              <w:t>Holdings</w:t>
            </w:r>
          </w:p>
        </w:tc>
        <w:tc>
          <w:tcPr>
            <w:tcW w:w="2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and nine months ended September 30, 2019 and 2018 reflects the incremental increase during the period in the profit allocation distribution to Holders related to Holding Events.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9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Basic and diluted earnings per share for the three and nine months ended September 30, 2019 and 2018 attributable to the common shares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523"/>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6"/>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5"/>
          </w:tcPr>
          <w:p>
            <w:pPr>
              <w:ind w:left="54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7"/>
                <w:szCs w:val="17"/>
                <w:color w:val="auto"/>
              </w:rPr>
            </w:pPr>
          </w:p>
        </w:tc>
        <w:tc>
          <w:tcPr>
            <w:tcW w:w="2340" w:type="dxa"/>
            <w:vAlign w:val="bottom"/>
            <w:gridSpan w:val="4"/>
          </w:tcPr>
          <w:p>
            <w:pPr>
              <w:jc w:val="right"/>
              <w:ind w:right="683"/>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92"/>
        </w:trPr>
        <w:tc>
          <w:tcPr>
            <w:tcW w:w="6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Loss from continuing operations attributable to common shares of Holdings</w:t>
            </w: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(78,252)</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(7,737)</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(113,287)</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(23,910)</w:t>
            </w:r>
          </w:p>
        </w:tc>
        <w:tc>
          <w:tcPr>
            <w:tcW w:w="0" w:type="dxa"/>
            <w:vAlign w:val="bottom"/>
          </w:tcPr>
          <w:p>
            <w:pPr>
              <w:spacing w:after="0"/>
              <w:rPr>
                <w:sz w:val="1"/>
                <w:szCs w:val="1"/>
                <w:color w:val="auto"/>
              </w:rPr>
            </w:pPr>
          </w:p>
        </w:tc>
      </w:tr>
      <w:tr>
        <w:trPr>
          <w:trHeight w:val="62"/>
        </w:trPr>
        <w:tc>
          <w:tcPr>
            <w:tcW w:w="60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Effect of contribution based profit - Holding Event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1,709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2,004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3,562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3,510</w:t>
            </w:r>
          </w:p>
        </w:tc>
        <w:tc>
          <w:tcPr>
            <w:tcW w:w="0" w:type="dxa"/>
            <w:vAlign w:val="bottom"/>
          </w:tcPr>
          <w:p>
            <w:pPr>
              <w:spacing w:after="0"/>
              <w:rPr>
                <w:sz w:val="1"/>
                <w:szCs w:val="1"/>
                <w:color w:val="auto"/>
              </w:rPr>
            </w:pPr>
          </w:p>
        </w:tc>
      </w:tr>
      <w:tr>
        <w:trPr>
          <w:trHeight w:val="192"/>
        </w:trPr>
        <w:tc>
          <w:tcPr>
            <w:tcW w:w="6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Loss from continuing operations attributable to common shares of Holdings</w:t>
            </w: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(79,961)</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(9,741)</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(116,849)</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(27,420)</w:t>
            </w:r>
          </w:p>
        </w:tc>
        <w:tc>
          <w:tcPr>
            <w:tcW w:w="0" w:type="dxa"/>
            <w:vAlign w:val="bottom"/>
          </w:tcPr>
          <w:p>
            <w:pPr>
              <w:spacing w:after="0"/>
              <w:rPr>
                <w:sz w:val="1"/>
                <w:szCs w:val="1"/>
                <w:color w:val="auto"/>
              </w:rPr>
            </w:pPr>
          </w:p>
        </w:tc>
      </w:tr>
      <w:tr>
        <w:trPr>
          <w:trHeight w:val="62"/>
        </w:trPr>
        <w:tc>
          <w:tcPr>
            <w:tcW w:w="60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from discontinued operations attributable to Holdings</w:t>
            </w: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2,039</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6,071</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347,370</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15,370</w:t>
            </w:r>
          </w:p>
        </w:tc>
        <w:tc>
          <w:tcPr>
            <w:tcW w:w="0" w:type="dxa"/>
            <w:vAlign w:val="bottom"/>
          </w:tcPr>
          <w:p>
            <w:pPr>
              <w:spacing w:after="0"/>
              <w:rPr>
                <w:sz w:val="1"/>
                <w:szCs w:val="1"/>
                <w:color w:val="auto"/>
              </w:rPr>
            </w:pPr>
          </w:p>
        </w:tc>
      </w:tr>
      <w:tr>
        <w:trPr>
          <w:trHeight w:val="62"/>
        </w:trPr>
        <w:tc>
          <w:tcPr>
            <w:tcW w:w="60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080" w:type="dxa"/>
            <w:vAlign w:val="bottom"/>
          </w:tcPr>
          <w:p>
            <w:pPr>
              <w:ind w:left="40"/>
              <w:spacing w:after="0"/>
              <w:rPr>
                <w:sz w:val="20"/>
                <w:szCs w:val="20"/>
                <w:color w:val="auto"/>
              </w:rPr>
            </w:pPr>
            <w:r>
              <w:rPr>
                <w:rFonts w:ascii="Arial" w:cs="Arial" w:eastAsia="Arial" w:hAnsi="Arial"/>
                <w:sz w:val="15"/>
                <w:szCs w:val="15"/>
                <w:color w:val="auto"/>
              </w:rPr>
              <w:t>Less: Effect of contribution based profit - Holding Event</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400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209</w:t>
            </w:r>
          </w:p>
        </w:tc>
        <w:tc>
          <w:tcPr>
            <w:tcW w:w="0" w:type="dxa"/>
            <w:vAlign w:val="bottom"/>
          </w:tcPr>
          <w:p>
            <w:pPr>
              <w:spacing w:after="0"/>
              <w:rPr>
                <w:sz w:val="1"/>
                <w:szCs w:val="1"/>
                <w:color w:val="auto"/>
              </w:rPr>
            </w:pPr>
          </w:p>
        </w:tc>
      </w:tr>
      <w:tr>
        <w:trPr>
          <w:trHeight w:val="192"/>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Income from discontinued operations attributable to common shares of Holdings</w:t>
            </w:r>
          </w:p>
        </w:tc>
        <w:tc>
          <w:tcPr>
            <w:tcW w:w="280" w:type="dxa"/>
            <w:vAlign w:val="bottom"/>
            <w:tcBorders>
              <w:top w:val="single" w:sz="8" w:color="auto"/>
            </w:tcBorders>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2,039</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5,671</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347,370</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15,161</w:t>
            </w:r>
          </w:p>
        </w:tc>
        <w:tc>
          <w:tcPr>
            <w:tcW w:w="0" w:type="dxa"/>
            <w:vAlign w:val="bottom"/>
          </w:tcPr>
          <w:p>
            <w:pPr>
              <w:spacing w:after="0"/>
              <w:rPr>
                <w:sz w:val="1"/>
                <w:szCs w:val="1"/>
                <w:color w:val="auto"/>
              </w:rPr>
            </w:pPr>
          </w:p>
        </w:tc>
      </w:tr>
      <w:tr>
        <w:trPr>
          <w:trHeight w:val="62"/>
        </w:trPr>
        <w:tc>
          <w:tcPr>
            <w:tcW w:w="60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Basic and diluted weighted average common shares outstanding</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59,900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59,900</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 and fully diluted income (loss) per common share attributable to Holdings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60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80" w:type="dxa"/>
            <w:vAlign w:val="bottom"/>
          </w:tcPr>
          <w:p>
            <w:pPr>
              <w:ind w:left="40"/>
              <w:spacing w:after="0"/>
              <w:rPr>
                <w:sz w:val="20"/>
                <w:szCs w:val="20"/>
                <w:color w:val="auto"/>
              </w:rPr>
            </w:pPr>
            <w:r>
              <w:rPr>
                <w:rFonts w:ascii="Arial" w:cs="Arial" w:eastAsia="Arial" w:hAnsi="Arial"/>
                <w:sz w:val="15"/>
                <w:szCs w:val="15"/>
                <w:color w:val="auto"/>
              </w:rPr>
              <w:t>Continuing operations</w:t>
            </w: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(1.33)</w:t>
            </w:r>
          </w:p>
        </w:tc>
        <w:tc>
          <w:tcPr>
            <w:tcW w:w="120" w:type="dxa"/>
            <w:vAlign w:val="bottom"/>
          </w:tcPr>
          <w:p>
            <w:pPr>
              <w:spacing w:after="0"/>
              <w:rPr>
                <w:sz w:val="18"/>
                <w:szCs w:val="18"/>
                <w:color w:val="auto"/>
              </w:rPr>
            </w:pP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(0.16)</w:t>
            </w:r>
          </w:p>
        </w:tc>
        <w:tc>
          <w:tcPr>
            <w:tcW w:w="100" w:type="dxa"/>
            <w:vAlign w:val="bottom"/>
          </w:tcPr>
          <w:p>
            <w:pPr>
              <w:spacing w:after="0"/>
              <w:rPr>
                <w:sz w:val="18"/>
                <w:szCs w:val="18"/>
                <w:color w:val="auto"/>
              </w:rPr>
            </w:pPr>
          </w:p>
        </w:tc>
        <w:tc>
          <w:tcPr>
            <w:tcW w:w="28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(1.95)</w:t>
            </w:r>
          </w:p>
        </w:tc>
        <w:tc>
          <w:tcPr>
            <w:tcW w:w="100" w:type="dxa"/>
            <w:vAlign w:val="bottom"/>
          </w:tcPr>
          <w:p>
            <w:pPr>
              <w:spacing w:after="0"/>
              <w:rPr>
                <w:sz w:val="18"/>
                <w:szCs w:val="18"/>
                <w:color w:val="auto"/>
              </w:rPr>
            </w:pPr>
          </w:p>
        </w:tc>
        <w:tc>
          <w:tcPr>
            <w:tcW w:w="28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(0.45)</w:t>
            </w:r>
          </w:p>
        </w:tc>
        <w:tc>
          <w:tcPr>
            <w:tcW w:w="0" w:type="dxa"/>
            <w:vAlign w:val="bottom"/>
          </w:tcPr>
          <w:p>
            <w:pPr>
              <w:spacing w:after="0"/>
              <w:rPr>
                <w:sz w:val="1"/>
                <w:szCs w:val="1"/>
                <w:color w:val="auto"/>
              </w:rPr>
            </w:pPr>
          </w:p>
        </w:tc>
      </w:tr>
      <w:tr>
        <w:trPr>
          <w:trHeight w:val="58"/>
        </w:trPr>
        <w:tc>
          <w:tcPr>
            <w:tcW w:w="60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0.25</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(0.07)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3.85</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9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information related to our quarterly cash distributions on our Trust common and preferred shares (in thousands, except per share data</w:t>
      </w:r>
      <w:r>
        <w:rPr>
          <w:rFonts w:ascii="Arial" w:cs="Arial" w:eastAsia="Arial" w:hAnsi="Arial"/>
          <w:sz w:val="14"/>
          <w:szCs w:val="14"/>
          <w:i w:val="1"/>
          <w:iCs w:val="1"/>
          <w:color w:val="auto"/>
        </w:rPr>
        <w:t>)</w:t>
      </w:r>
      <w:r>
        <w:rPr>
          <w:rFonts w:ascii="Arial" w:cs="Arial" w:eastAsia="Arial" w:hAnsi="Arial"/>
          <w:sz w:val="18"/>
          <w:szCs w:val="18"/>
          <w:color w:val="auto"/>
        </w:rPr>
        <w:t>:</w:t>
      </w:r>
    </w:p>
    <w:p>
      <w:pPr>
        <w:sectPr>
          <w:pgSz w:w="11900" w:h="16838" w:orient="portrait"/>
          <w:cols w:equalWidth="0" w:num="1">
            <w:col w:w="11420"/>
          </w:cols>
          <w:pgMar w:left="240" w:top="522" w:right="239" w:bottom="1440"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Cash Distribution per</w:t>
            </w:r>
          </w:p>
        </w:tc>
        <w:tc>
          <w:tcPr>
            <w:tcW w:w="240" w:type="dxa"/>
            <w:vAlign w:val="bottom"/>
          </w:tcPr>
          <w:p>
            <w:pPr>
              <w:spacing w:after="0"/>
              <w:rPr>
                <w:sz w:val="16"/>
                <w:szCs w:val="16"/>
                <w:color w:val="auto"/>
              </w:rPr>
            </w:pPr>
          </w:p>
        </w:tc>
      </w:tr>
      <w:tr>
        <w:trPr>
          <w:trHeight w:val="213"/>
        </w:trPr>
        <w:tc>
          <w:tcPr>
            <w:tcW w:w="3660" w:type="dxa"/>
            <w:vAlign w:val="bottom"/>
            <w:tcBorders>
              <w:bottom w:val="single" w:sz="8" w:color="auto"/>
            </w:tcBorders>
          </w:tcPr>
          <w:p>
            <w:pPr>
              <w:ind w:left="160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Share</w:t>
            </w:r>
          </w:p>
        </w:tc>
        <w:tc>
          <w:tcPr>
            <w:tcW w:w="240" w:type="dxa"/>
            <w:vAlign w:val="bottom"/>
          </w:tcPr>
          <w:p>
            <w:pPr>
              <w:spacing w:after="0"/>
              <w:rPr>
                <w:sz w:val="18"/>
                <w:szCs w:val="18"/>
                <w:color w:val="auto"/>
              </w:rPr>
            </w:pPr>
          </w:p>
        </w:tc>
      </w:tr>
      <w:tr>
        <w:trPr>
          <w:trHeight w:val="478"/>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Trust Common Shares:</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6"/>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 xml:space="preserve">July 1, 2019 - September 30, 2019 </w:t>
            </w:r>
            <w:r>
              <w:rPr>
                <w:rFonts w:ascii="Arial" w:cs="Arial" w:eastAsia="Arial" w:hAnsi="Arial"/>
                <w:sz w:val="21"/>
                <w:szCs w:val="21"/>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April 1, 2019 - June 30,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January 1, 2019 - March 31,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1, 2018 - December 31,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July 1, 2018 - September 30,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April 1, 2018 - June 30,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January 1, 2018 - March 31,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1, 2017 - December 31, 2017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94"/>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Series A Preferred Shares:</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6"/>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 xml:space="preserve">July 30, 2019 - October 29, 2019 </w:t>
            </w:r>
            <w:r>
              <w:rPr>
                <w:rFonts w:ascii="Arial" w:cs="Arial" w:eastAsia="Arial" w:hAnsi="Arial"/>
                <w:sz w:val="21"/>
                <w:szCs w:val="21"/>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April 30, 2019 - July 29,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January 30, 2019 - April 29,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30, 2018 - January 29,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July 30, 2018 - October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April 30, 2018 - July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January 30, 2018 - April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30, 2017 - January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94"/>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Series B Preferred Shares:</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6"/>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 xml:space="preserve">July 30, 2019 - October 29, 2019 </w:t>
            </w:r>
            <w:r>
              <w:rPr>
                <w:rFonts w:ascii="Arial" w:cs="Arial" w:eastAsia="Arial" w:hAnsi="Arial"/>
                <w:sz w:val="21"/>
                <w:szCs w:val="21"/>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April 30, 2019 - July 29,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January 30, 2019 - April 29,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30, 2018 - January 29,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July 30, 2018 - October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March 13, 2018 - July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-3829050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-3142615</wp:posOffset>
            </wp:positionV>
            <wp:extent cx="724662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-2765425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-2422525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-2079625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-1736725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-1393190</wp:posOffset>
            </wp:positionV>
            <wp:extent cx="724662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4" w:lineRule="exact"/>
        <w:rPr>
          <w:sz w:val="20"/>
          <w:szCs w:val="20"/>
          <w:color w:val="auto"/>
        </w:rPr>
      </w:pPr>
    </w:p>
    <w:p>
      <w:pPr>
        <w:ind w:left="60"/>
        <w:spacing w:after="0"/>
        <w:tabs>
          <w:tab w:leader="none" w:pos="2120" w:val="left"/>
        </w:tabs>
        <w:rPr>
          <w:sz w:val="20"/>
          <w:szCs w:val="20"/>
          <w:color w:val="auto"/>
        </w:rPr>
      </w:pPr>
      <w:r>
        <w:rPr>
          <w:rFonts w:ascii="Arial" w:cs="Arial" w:eastAsia="Arial" w:hAnsi="Arial"/>
          <w:sz w:val="28"/>
          <w:szCs w:val="28"/>
          <w:b w:val="1"/>
          <w:bCs w:val="1"/>
          <w:color w:val="auto"/>
          <w:vertAlign w:val="superscript"/>
        </w:rPr>
        <w:t>(1)</w:t>
      </w:r>
      <w:r>
        <w:rPr>
          <w:rFonts w:ascii="Arial" w:cs="Arial" w:eastAsia="Arial" w:hAnsi="Arial"/>
          <w:sz w:val="18"/>
          <w:szCs w:val="18"/>
          <w:color w:val="auto"/>
        </w:rPr>
        <w:t xml:space="preserve"> This distribution was</w:t>
        <w:tab/>
        <w:t>declared on October 3, 2019.</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Total Cash</w:t>
      </w:r>
    </w:p>
    <w:p>
      <w:pPr>
        <w:spacing w:after="0" w:line="12" w:lineRule="exact"/>
        <w:rPr>
          <w:sz w:val="20"/>
          <w:szCs w:val="20"/>
          <w:color w:val="auto"/>
        </w:rPr>
      </w:pPr>
    </w:p>
    <w:p>
      <w:pPr>
        <w:spacing w:after="0"/>
        <w:tabs>
          <w:tab w:leader="none" w:pos="1940" w:val="left"/>
          <w:tab w:leader="none" w:pos="3800" w:val="left"/>
        </w:tabs>
        <w:rPr>
          <w:sz w:val="20"/>
          <w:szCs w:val="20"/>
          <w:color w:val="auto"/>
        </w:rPr>
      </w:pPr>
      <w:r>
        <w:rPr>
          <w:rFonts w:ascii="Arial" w:cs="Arial" w:eastAsia="Arial" w:hAnsi="Arial"/>
          <w:sz w:val="16"/>
          <w:szCs w:val="16"/>
          <w:b w:val="1"/>
          <w:bCs w:val="1"/>
          <w:color w:val="auto"/>
        </w:rPr>
        <w:t>Distributions</w:t>
      </w:r>
      <w:r>
        <w:rPr>
          <w:sz w:val="20"/>
          <w:szCs w:val="20"/>
          <w:color w:val="auto"/>
        </w:rPr>
        <w:tab/>
      </w: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5"/>
          <w:szCs w:val="15"/>
          <w:b w:val="1"/>
          <w:bCs w:val="1"/>
          <w:color w:val="auto"/>
        </w:rPr>
        <w:t>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8255</wp:posOffset>
            </wp:positionV>
            <wp:extent cx="36106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800" w:type="dxa"/>
        <w:tblCellMar>
          <w:top w:w="0" w:type="dxa"/>
          <w:left w:w="0" w:type="dxa"/>
          <w:bottom w:w="0" w:type="dxa"/>
          <w:right w:w="0" w:type="dxa"/>
        </w:tblCellMar>
      </w:tblPr>
      <w:tr>
        <w:trPr>
          <w:trHeight w:val="195"/>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October 17, 2019</w:t>
            </w:r>
          </w:p>
        </w:tc>
        <w:tc>
          <w:tcPr>
            <w:tcW w:w="1600" w:type="dxa"/>
            <w:vAlign w:val="bottom"/>
          </w:tcPr>
          <w:p>
            <w:pPr>
              <w:jc w:val="right"/>
              <w:spacing w:after="0"/>
              <w:rPr>
                <w:sz w:val="20"/>
                <w:szCs w:val="20"/>
                <w:color w:val="auto"/>
              </w:rPr>
            </w:pPr>
            <w:r>
              <w:rPr>
                <w:rFonts w:ascii="Arial" w:cs="Arial" w:eastAsia="Arial" w:hAnsi="Arial"/>
                <w:sz w:val="16"/>
                <w:szCs w:val="16"/>
                <w:color w:val="auto"/>
              </w:rPr>
              <w:t>October 24,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18,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July 25,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18, 2019</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25,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17,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24,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October 18, 2018</w:t>
            </w:r>
          </w:p>
        </w:tc>
        <w:tc>
          <w:tcPr>
            <w:tcW w:w="1600" w:type="dxa"/>
            <w:vAlign w:val="bottom"/>
          </w:tcPr>
          <w:p>
            <w:pPr>
              <w:jc w:val="right"/>
              <w:spacing w:after="0"/>
              <w:rPr>
                <w:sz w:val="20"/>
                <w:szCs w:val="20"/>
                <w:color w:val="auto"/>
              </w:rPr>
            </w:pPr>
            <w:r>
              <w:rPr>
                <w:rFonts w:ascii="Arial" w:cs="Arial" w:eastAsia="Arial" w:hAnsi="Arial"/>
                <w:sz w:val="16"/>
                <w:szCs w:val="16"/>
                <w:color w:val="auto"/>
              </w:rPr>
              <w:t>October 25,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19,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July 26,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19, 2018</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26,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19,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25, 2018</w:t>
            </w:r>
          </w:p>
        </w:tc>
      </w:tr>
      <w:tr>
        <w:trPr>
          <w:trHeight w:val="864"/>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October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October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July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October 15, 2018</w:t>
            </w:r>
          </w:p>
        </w:tc>
        <w:tc>
          <w:tcPr>
            <w:tcW w:w="1600" w:type="dxa"/>
            <w:vAlign w:val="bottom"/>
          </w:tcPr>
          <w:p>
            <w:pPr>
              <w:jc w:val="right"/>
              <w:spacing w:after="0"/>
              <w:rPr>
                <w:sz w:val="20"/>
                <w:szCs w:val="20"/>
                <w:color w:val="auto"/>
              </w:rPr>
            </w:pPr>
            <w:r>
              <w:rPr>
                <w:rFonts w:ascii="Arial" w:cs="Arial" w:eastAsia="Arial" w:hAnsi="Arial"/>
                <w:sz w:val="16"/>
                <w:szCs w:val="16"/>
                <w:color w:val="auto"/>
              </w:rPr>
              <w:t>October 30,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16,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July 30,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15, 2018</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30,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15,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30, 2018</w:t>
            </w:r>
          </w:p>
        </w:tc>
      </w:tr>
      <w:tr>
        <w:trPr>
          <w:trHeight w:val="864"/>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1,969</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October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October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1,969</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July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1,969</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1,969</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1,969</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October 15, 2018</w:t>
            </w:r>
          </w:p>
        </w:tc>
        <w:tc>
          <w:tcPr>
            <w:tcW w:w="1600" w:type="dxa"/>
            <w:vAlign w:val="bottom"/>
          </w:tcPr>
          <w:p>
            <w:pPr>
              <w:jc w:val="right"/>
              <w:spacing w:after="0"/>
              <w:rPr>
                <w:sz w:val="20"/>
                <w:szCs w:val="20"/>
                <w:color w:val="auto"/>
              </w:rPr>
            </w:pPr>
            <w:r>
              <w:rPr>
                <w:rFonts w:ascii="Arial" w:cs="Arial" w:eastAsia="Arial" w:hAnsi="Arial"/>
                <w:sz w:val="16"/>
                <w:szCs w:val="16"/>
                <w:color w:val="auto"/>
              </w:rPr>
              <w:t>October 30,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2,960</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16,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July 30, 2018</w:t>
            </w:r>
          </w:p>
        </w:tc>
      </w:tr>
    </w:tbl>
    <w:p>
      <w:pPr>
        <w:spacing w:after="0" w:line="577" w:lineRule="exact"/>
        <w:rPr>
          <w:sz w:val="20"/>
          <w:szCs w:val="20"/>
          <w:color w:val="auto"/>
        </w:rPr>
      </w:pPr>
    </w:p>
    <w:p>
      <w:pPr>
        <w:sectPr>
          <w:pgSz w:w="11900" w:h="16838" w:orient="portrait"/>
          <w:cols w:equalWidth="0" w:num="2">
            <w:col w:w="5860" w:space="300"/>
            <w:col w:w="5260"/>
          </w:cols>
          <w:pgMar w:left="240" w:top="522"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K — Noncontrolling Interest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Noncontrolling interest represents the portion of the Company’s majority owned subsidiary’s net income (loss) and equity that is owned by noncontrolling shareholders. The following tables reflect the Company’s ownership percentage of its majority owned operating segments and related noncontrolling interest balances as of September 30, 2019 and December 31, 2018:</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22" w:right="239" w:bottom="1440" w:gutter="0" w:footer="0" w:header="0"/>
          <w:type w:val="continuous"/>
        </w:sectPr>
      </w:pPr>
    </w:p>
    <w:bookmarkStart w:id="30" w:name="page31"/>
    <w:bookmarkEnd w:id="30"/>
    <w:tbl>
      <w:tblPr>
        <w:tblLayout w:type="fixed"/>
        <w:tblInd w:w="500" w:type="dxa"/>
        <w:tblCellMar>
          <w:top w:w="0" w:type="dxa"/>
          <w:left w:w="0" w:type="dxa"/>
          <w:bottom w:w="0" w:type="dxa"/>
          <w:right w:w="0" w:type="dxa"/>
        </w:tblCellMar>
      </w:tblPr>
      <w:tr>
        <w:trPr>
          <w:trHeight w:val="172"/>
        </w:trPr>
        <w:tc>
          <w:tcPr>
            <w:tcW w:w="4500" w:type="dxa"/>
            <w:vAlign w:val="bottom"/>
          </w:tcPr>
          <w:p>
            <w:pPr>
              <w:spacing w:after="0"/>
              <w:rPr>
                <w:sz w:val="14"/>
                <w:szCs w:val="14"/>
                <w:color w:val="auto"/>
              </w:rPr>
            </w:pPr>
          </w:p>
        </w:tc>
        <w:tc>
          <w:tcPr>
            <w:tcW w:w="2500" w:type="dxa"/>
            <w:vAlign w:val="bottom"/>
            <w:gridSpan w:val="3"/>
          </w:tcPr>
          <w:p>
            <w:pPr>
              <w:jc w:val="center"/>
              <w:ind w:left="32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2"/>
                <w:szCs w:val="12"/>
                <w:b w:val="1"/>
                <w:bCs w:val="1"/>
                <w:color w:val="auto"/>
              </w:rPr>
              <w:t>(1)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2"/>
                <w:szCs w:val="12"/>
                <w:b w:val="1"/>
                <w:bCs w:val="1"/>
                <w:color w:val="auto"/>
              </w:rPr>
              <w:t>(1)</w:t>
            </w:r>
          </w:p>
        </w:tc>
      </w:tr>
      <w:tr>
        <w:trPr>
          <w:trHeight w:val="206"/>
        </w:trPr>
        <w:tc>
          <w:tcPr>
            <w:tcW w:w="4500" w:type="dxa"/>
            <w:vAlign w:val="bottom"/>
          </w:tcPr>
          <w:p>
            <w:pPr>
              <w:spacing w:after="0"/>
              <w:rPr>
                <w:sz w:val="17"/>
                <w:szCs w:val="17"/>
                <w:color w:val="auto"/>
              </w:rPr>
            </w:pPr>
          </w:p>
        </w:tc>
        <w:tc>
          <w:tcPr>
            <w:tcW w:w="250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5"/>
                <w:szCs w:val="15"/>
                <w:b w:val="1"/>
                <w:bCs w:val="1"/>
                <w:color w:val="auto"/>
              </w:rPr>
              <w:t>September 30, 2019</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5"/>
                <w:szCs w:val="15"/>
                <w:b w:val="1"/>
                <w:bCs w:val="1"/>
                <w:color w:val="auto"/>
              </w:rPr>
              <w:t>December 31, 2018</w:t>
            </w:r>
          </w:p>
        </w:tc>
      </w:tr>
      <w:tr>
        <w:trPr>
          <w:trHeight w:val="165"/>
        </w:trPr>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left="323"/>
              <w:spacing w:after="0" w:line="165" w:lineRule="exact"/>
              <w:rPr>
                <w:sz w:val="20"/>
                <w:szCs w:val="20"/>
                <w:color w:val="auto"/>
              </w:rPr>
            </w:pPr>
            <w:r>
              <w:rPr>
                <w:rFonts w:ascii="Arial" w:cs="Arial" w:eastAsia="Arial" w:hAnsi="Arial"/>
                <w:sz w:val="15"/>
                <w:szCs w:val="15"/>
                <w:b w:val="1"/>
                <w:bCs w:val="1"/>
                <w:color w:val="auto"/>
              </w:rPr>
              <w:t>Fully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480"/>
              <w:spacing w:after="0" w:line="165" w:lineRule="exact"/>
              <w:rPr>
                <w:sz w:val="20"/>
                <w:szCs w:val="20"/>
                <w:color w:val="auto"/>
              </w:rPr>
            </w:pPr>
            <w:r>
              <w:rPr>
                <w:rFonts w:ascii="Arial" w:cs="Arial" w:eastAsia="Arial" w:hAnsi="Arial"/>
                <w:sz w:val="15"/>
                <w:szCs w:val="15"/>
                <w:b w:val="1"/>
                <w:bCs w:val="1"/>
                <w:color w:val="auto"/>
              </w:rPr>
              <w:t>Fully</w:t>
            </w:r>
          </w:p>
        </w:tc>
      </w:tr>
      <w:tr>
        <w:trPr>
          <w:trHeight w:val="206"/>
        </w:trPr>
        <w:tc>
          <w:tcPr>
            <w:tcW w:w="4500" w:type="dxa"/>
            <w:vAlign w:val="bottom"/>
          </w:tcPr>
          <w:p>
            <w:pPr>
              <w:spacing w:after="0"/>
              <w:rPr>
                <w:sz w:val="17"/>
                <w:szCs w:val="17"/>
                <w:color w:val="auto"/>
              </w:rPr>
            </w:pPr>
          </w:p>
        </w:tc>
        <w:tc>
          <w:tcPr>
            <w:tcW w:w="1460" w:type="dxa"/>
            <w:vAlign w:val="bottom"/>
            <w:gridSpan w:val="2"/>
          </w:tcPr>
          <w:p>
            <w:pPr>
              <w:ind w:left="380"/>
              <w:spacing w:after="0"/>
              <w:rPr>
                <w:sz w:val="20"/>
                <w:szCs w:val="20"/>
                <w:color w:val="auto"/>
              </w:rPr>
            </w:pPr>
            <w:r>
              <w:rPr>
                <w:rFonts w:ascii="Arial" w:cs="Arial" w:eastAsia="Arial" w:hAnsi="Arial"/>
                <w:sz w:val="15"/>
                <w:szCs w:val="15"/>
                <w:b w:val="1"/>
                <w:bCs w:val="1"/>
                <w:color w:val="auto"/>
              </w:rPr>
              <w:t>Primary</w:t>
            </w:r>
          </w:p>
        </w:tc>
        <w:tc>
          <w:tcPr>
            <w:tcW w:w="1040" w:type="dxa"/>
            <w:vAlign w:val="bottom"/>
          </w:tcPr>
          <w:p>
            <w:pPr>
              <w:jc w:val="center"/>
              <w:ind w:left="323"/>
              <w:spacing w:after="0"/>
              <w:rPr>
                <w:sz w:val="20"/>
                <w:szCs w:val="20"/>
                <w:color w:val="auto"/>
              </w:rPr>
            </w:pPr>
            <w:r>
              <w:rPr>
                <w:rFonts w:ascii="Arial" w:cs="Arial" w:eastAsia="Arial" w:hAnsi="Arial"/>
                <w:sz w:val="15"/>
                <w:szCs w:val="15"/>
                <w:b w:val="1"/>
                <w:bCs w:val="1"/>
                <w:color w:val="auto"/>
              </w:rPr>
              <w:t>Diluted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380"/>
              <w:spacing w:after="0"/>
              <w:rPr>
                <w:sz w:val="20"/>
                <w:szCs w:val="20"/>
                <w:color w:val="auto"/>
              </w:rPr>
            </w:pPr>
            <w:r>
              <w:rPr>
                <w:rFonts w:ascii="Arial" w:cs="Arial" w:eastAsia="Arial" w:hAnsi="Arial"/>
                <w:sz w:val="15"/>
                <w:szCs w:val="15"/>
                <w:b w:val="1"/>
                <w:bCs w:val="1"/>
                <w:color w:val="auto"/>
              </w:rPr>
              <w:t>Primary</w:t>
            </w:r>
          </w:p>
        </w:tc>
        <w:tc>
          <w:tcPr>
            <w:tcW w:w="1460" w:type="dxa"/>
            <w:vAlign w:val="bottom"/>
          </w:tcPr>
          <w:p>
            <w:pPr>
              <w:jc w:val="right"/>
              <w:ind w:right="380"/>
              <w:spacing w:after="0"/>
              <w:rPr>
                <w:sz w:val="20"/>
                <w:szCs w:val="20"/>
                <w:color w:val="auto"/>
              </w:rPr>
            </w:pPr>
            <w:r>
              <w:rPr>
                <w:rFonts w:ascii="Arial" w:cs="Arial" w:eastAsia="Arial" w:hAnsi="Arial"/>
                <w:sz w:val="15"/>
                <w:szCs w:val="15"/>
                <w:b w:val="1"/>
                <w:bCs w:val="1"/>
                <w:color w:val="auto"/>
              </w:rPr>
              <w:t>Diluted</w:t>
            </w:r>
          </w:p>
        </w:tc>
      </w:tr>
      <w:tr>
        <w:trPr>
          <w:trHeight w:val="254"/>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 Tactical</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w:t>
            </w:r>
          </w:p>
        </w:tc>
      </w:tr>
      <w:tr>
        <w:trPr>
          <w:trHeight w:val="260"/>
        </w:trPr>
        <w:tc>
          <w:tcPr>
            <w:tcW w:w="4500" w:type="dxa"/>
            <w:vAlign w:val="bottom"/>
          </w:tcPr>
          <w:p>
            <w:pPr>
              <w:ind w:left="20"/>
              <w:spacing w:after="0"/>
              <w:rPr>
                <w:sz w:val="20"/>
                <w:szCs w:val="20"/>
                <w:color w:val="auto"/>
              </w:rPr>
            </w:pPr>
            <w:r>
              <w:rPr>
                <w:rFonts w:ascii="Arial" w:cs="Arial" w:eastAsia="Arial" w:hAnsi="Arial"/>
                <w:sz w:val="16"/>
                <w:szCs w:val="16"/>
                <w:color w:val="auto"/>
              </w:rPr>
              <w:t>Ergobaby</w:t>
            </w:r>
          </w:p>
        </w:tc>
        <w:tc>
          <w:tcPr>
            <w:tcW w:w="136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76.4</w:t>
            </w:r>
          </w:p>
        </w:tc>
      </w:tr>
      <w:tr>
        <w:trPr>
          <w:trHeight w:val="28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r>
      <w:tr>
        <w:trPr>
          <w:trHeight w:val="260"/>
        </w:trPr>
        <w:tc>
          <w:tcPr>
            <w:tcW w:w="45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36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28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260"/>
        </w:trPr>
        <w:tc>
          <w:tcPr>
            <w:tcW w:w="4500" w:type="dxa"/>
            <w:vAlign w:val="bottom"/>
          </w:tcPr>
          <w:p>
            <w:pPr>
              <w:ind w:left="20"/>
              <w:spacing w:after="0"/>
              <w:rPr>
                <w:sz w:val="20"/>
                <w:szCs w:val="20"/>
                <w:color w:val="auto"/>
              </w:rPr>
            </w:pPr>
            <w:r>
              <w:rPr>
                <w:rFonts w:ascii="Arial" w:cs="Arial" w:eastAsia="Arial" w:hAnsi="Arial"/>
                <w:sz w:val="16"/>
                <w:szCs w:val="16"/>
                <w:color w:val="auto"/>
              </w:rPr>
              <w:t>Arnold</w:t>
            </w:r>
          </w:p>
        </w:tc>
        <w:tc>
          <w:tcPr>
            <w:tcW w:w="136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28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Foam Fabricators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r>
      <w:tr>
        <w:trPr>
          <w:trHeight w:val="251"/>
        </w:trPr>
        <w:tc>
          <w:tcPr>
            <w:tcW w:w="4500" w:type="dxa"/>
            <w:vAlign w:val="bottom"/>
          </w:tcPr>
          <w:p>
            <w:pPr>
              <w:ind w:left="20"/>
              <w:spacing w:after="0"/>
              <w:rPr>
                <w:sz w:val="20"/>
                <w:szCs w:val="20"/>
                <w:color w:val="auto"/>
              </w:rPr>
            </w:pPr>
            <w:r>
              <w:rPr>
                <w:rFonts w:ascii="Arial" w:cs="Arial" w:eastAsia="Arial" w:hAnsi="Arial"/>
                <w:sz w:val="16"/>
                <w:szCs w:val="16"/>
                <w:color w:val="auto"/>
              </w:rPr>
              <w:t>Sterno</w:t>
            </w:r>
          </w:p>
        </w:tc>
        <w:tc>
          <w:tcPr>
            <w:tcW w:w="13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88.9</w:t>
            </w:r>
          </w:p>
        </w:tc>
      </w:tr>
    </w:tbl>
    <w:p>
      <w:pPr>
        <w:spacing w:after="0" w:line="121" w:lineRule="exact"/>
        <w:rPr>
          <w:sz w:val="20"/>
          <w:szCs w:val="20"/>
          <w:color w:val="auto"/>
        </w:rPr>
      </w:pPr>
    </w:p>
    <w:p>
      <w:pPr>
        <w:ind w:left="340" w:hanging="332"/>
        <w:spacing w:after="0" w:line="260" w:lineRule="auto"/>
        <w:tabs>
          <w:tab w:leader="none" w:pos="340" w:val="left"/>
        </w:tabs>
        <w:numPr>
          <w:ilvl w:val="0"/>
          <w:numId w:val="16"/>
        </w:numPr>
        <w:rPr>
          <w:rFonts w:ascii="Arial" w:cs="Arial" w:eastAsia="Arial" w:hAnsi="Arial"/>
          <w:sz w:val="14"/>
          <w:szCs w:val="14"/>
          <w:b w:val="1"/>
          <w:bCs w:val="1"/>
          <w:color w:val="auto"/>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291" w:lineRule="exact"/>
        <w:rPr>
          <w:sz w:val="20"/>
          <w:szCs w:val="20"/>
          <w:color w:val="auto"/>
        </w:rPr>
      </w:pPr>
    </w:p>
    <w:tbl>
      <w:tblPr>
        <w:tblLayout w:type="fixed"/>
        <w:tblInd w:w="860" w:type="dxa"/>
        <w:tblCellMar>
          <w:top w:w="0" w:type="dxa"/>
          <w:left w:w="0" w:type="dxa"/>
          <w:bottom w:w="0" w:type="dxa"/>
          <w:right w:w="0" w:type="dxa"/>
        </w:tblCellMar>
      </w:tblPr>
      <w:tr>
        <w:trPr>
          <w:trHeight w:val="206"/>
        </w:trPr>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5"/>
                <w:szCs w:val="15"/>
                <w:b w:val="1"/>
                <w:bCs w:val="1"/>
                <w:color w:val="auto"/>
              </w:rPr>
              <w:t>Noncontrolling Interest Balances</w:t>
            </w:r>
          </w:p>
        </w:tc>
      </w:tr>
      <w:tr>
        <w:trPr>
          <w:trHeight w:val="264"/>
        </w:trPr>
        <w:tc>
          <w:tcPr>
            <w:tcW w:w="5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2019</w:t>
            </w:r>
          </w:p>
        </w:tc>
        <w:tc>
          <w:tcPr>
            <w:tcW w:w="200" w:type="dxa"/>
            <w:vAlign w:val="bottom"/>
          </w:tcPr>
          <w:p>
            <w:pPr>
              <w:spacing w:after="0"/>
              <w:rPr>
                <w:sz w:val="22"/>
                <w:szCs w:val="22"/>
                <w:color w:val="auto"/>
              </w:rPr>
            </w:pPr>
          </w:p>
        </w:tc>
        <w:tc>
          <w:tcPr>
            <w:tcW w:w="1740" w:type="dxa"/>
            <w:vAlign w:val="bottom"/>
          </w:tcPr>
          <w:p>
            <w:pPr>
              <w:jc w:val="right"/>
              <w:ind w:right="199"/>
              <w:spacing w:after="0"/>
              <w:rPr>
                <w:sz w:val="20"/>
                <w:szCs w:val="20"/>
                <w:color w:val="auto"/>
              </w:rPr>
            </w:pPr>
            <w:r>
              <w:rPr>
                <w:rFonts w:ascii="Arial" w:cs="Arial" w:eastAsia="Arial" w:hAnsi="Arial"/>
                <w:sz w:val="15"/>
                <w:szCs w:val="15"/>
                <w:b w:val="1"/>
                <w:bCs w:val="1"/>
                <w:color w:val="auto"/>
              </w:rPr>
              <w:t>December 31, 2018</w:t>
            </w:r>
          </w:p>
        </w:tc>
      </w:tr>
      <w:tr>
        <w:trPr>
          <w:trHeight w:val="254"/>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 Tactical</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11,588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9,873</w:t>
            </w:r>
          </w:p>
        </w:tc>
      </w:tr>
      <w:tr>
        <w:trPr>
          <w:trHeight w:val="260"/>
        </w:trPr>
        <w:tc>
          <w:tcPr>
            <w:tcW w:w="5680" w:type="dxa"/>
            <w:vAlign w:val="bottom"/>
          </w:tcPr>
          <w:p>
            <w:pPr>
              <w:ind w:left="20"/>
              <w:spacing w:after="0"/>
              <w:rPr>
                <w:sz w:val="20"/>
                <w:szCs w:val="20"/>
                <w:color w:val="auto"/>
              </w:rPr>
            </w:pPr>
            <w:r>
              <w:rPr>
                <w:rFonts w:ascii="Arial" w:cs="Arial" w:eastAsia="Arial" w:hAnsi="Arial"/>
                <w:sz w:val="16"/>
                <w:szCs w:val="16"/>
                <w:color w:val="auto"/>
              </w:rPr>
              <w:t>Ergobaby</w:t>
            </w:r>
          </w:p>
        </w:tc>
        <w:tc>
          <w:tcPr>
            <w:tcW w:w="200" w:type="dxa"/>
            <w:vAlign w:val="bottom"/>
          </w:tcPr>
          <w:p>
            <w:pPr>
              <w:spacing w:after="0"/>
              <w:rPr>
                <w:sz w:val="22"/>
                <w:szCs w:val="22"/>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26,729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25,362</w:t>
            </w:r>
          </w:p>
        </w:tc>
      </w:tr>
      <w:tr>
        <w:trPr>
          <w:trHeight w:val="280"/>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2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2,777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w:t>
            </w:r>
          </w:p>
        </w:tc>
      </w:tr>
      <w:tr>
        <w:trPr>
          <w:trHeight w:val="260"/>
        </w:trPr>
        <w:tc>
          <w:tcPr>
            <w:tcW w:w="568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00" w:type="dxa"/>
            <w:vAlign w:val="bottom"/>
          </w:tcPr>
          <w:p>
            <w:pPr>
              <w:spacing w:after="0"/>
              <w:rPr>
                <w:sz w:val="22"/>
                <w:szCs w:val="22"/>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2,288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2,524</w:t>
            </w:r>
          </w:p>
        </w:tc>
      </w:tr>
      <w:tr>
        <w:trPr>
          <w:trHeight w:val="280"/>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2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w:t>
            </w:r>
          </w:p>
        </w:tc>
      </w:tr>
      <w:tr>
        <w:trPr>
          <w:trHeight w:val="260"/>
        </w:trPr>
        <w:tc>
          <w:tcPr>
            <w:tcW w:w="5680" w:type="dxa"/>
            <w:vAlign w:val="bottom"/>
          </w:tcPr>
          <w:p>
            <w:pPr>
              <w:ind w:left="20"/>
              <w:spacing w:after="0"/>
              <w:rPr>
                <w:sz w:val="20"/>
                <w:szCs w:val="20"/>
                <w:color w:val="auto"/>
              </w:rPr>
            </w:pPr>
            <w:r>
              <w:rPr>
                <w:rFonts w:ascii="Arial" w:cs="Arial" w:eastAsia="Arial" w:hAnsi="Arial"/>
                <w:sz w:val="16"/>
                <w:szCs w:val="16"/>
                <w:color w:val="auto"/>
              </w:rPr>
              <w:t>Arnold</w:t>
            </w:r>
          </w:p>
        </w:tc>
        <w:tc>
          <w:tcPr>
            <w:tcW w:w="200" w:type="dxa"/>
            <w:vAlign w:val="bottom"/>
          </w:tcPr>
          <w:p>
            <w:pPr>
              <w:spacing w:after="0"/>
              <w:rPr>
                <w:sz w:val="22"/>
                <w:szCs w:val="22"/>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1,204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1,176</w:t>
            </w:r>
          </w:p>
        </w:tc>
      </w:tr>
      <w:tr>
        <w:trPr>
          <w:trHeight w:val="280"/>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Foam Fabricators</w:t>
            </w:r>
          </w:p>
        </w:tc>
        <w:tc>
          <w:tcPr>
            <w:tcW w:w="2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r>
      <w:tr>
        <w:trPr>
          <w:trHeight w:val="260"/>
        </w:trPr>
        <w:tc>
          <w:tcPr>
            <w:tcW w:w="5680" w:type="dxa"/>
            <w:vAlign w:val="bottom"/>
          </w:tcPr>
          <w:p>
            <w:pPr>
              <w:ind w:left="20"/>
              <w:spacing w:after="0"/>
              <w:rPr>
                <w:sz w:val="20"/>
                <w:szCs w:val="20"/>
                <w:color w:val="auto"/>
              </w:rPr>
            </w:pPr>
            <w:r>
              <w:rPr>
                <w:rFonts w:ascii="Arial" w:cs="Arial" w:eastAsia="Arial" w:hAnsi="Arial"/>
                <w:sz w:val="16"/>
                <w:szCs w:val="16"/>
                <w:color w:val="auto"/>
              </w:rPr>
              <w:t>Sterno</w:t>
            </w:r>
          </w:p>
        </w:tc>
        <w:tc>
          <w:tcPr>
            <w:tcW w:w="2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(2,067)</w:t>
            </w:r>
          </w:p>
        </w:tc>
      </w:tr>
      <w:tr>
        <w:trPr>
          <w:trHeight w:val="27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Allocation Interests</w:t>
            </w:r>
          </w:p>
        </w:tc>
        <w:tc>
          <w:tcPr>
            <w:tcW w:w="2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56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47,445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39,922</w:t>
            </w: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Fair Value Measurement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at September 30, 2019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160655</wp:posOffset>
            </wp:positionV>
            <wp:extent cx="39789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93" w:lineRule="exact"/>
        <w:rPr>
          <w:sz w:val="20"/>
          <w:szCs w:val="20"/>
          <w:color w:val="auto"/>
        </w:rPr>
      </w:pPr>
    </w:p>
    <w:tbl>
      <w:tblPr>
        <w:tblLayout w:type="fixed"/>
        <w:tblInd w:w="400" w:type="dxa"/>
        <w:tblCellMar>
          <w:top w:w="0" w:type="dxa"/>
          <w:left w:w="0" w:type="dxa"/>
          <w:bottom w:w="0" w:type="dxa"/>
          <w:right w:w="0" w:type="dxa"/>
        </w:tblCellMar>
      </w:tblPr>
      <w:tr>
        <w:trPr>
          <w:trHeight w:val="206"/>
        </w:trPr>
        <w:tc>
          <w:tcPr>
            <w:tcW w:w="4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gridSpan w:val="9"/>
          </w:tcPr>
          <w:p>
            <w:pPr>
              <w:jc w:val="right"/>
              <w:ind w:right="99"/>
              <w:spacing w:after="0"/>
              <w:rPr>
                <w:sz w:val="20"/>
                <w:szCs w:val="20"/>
                <w:color w:val="auto"/>
              </w:rPr>
            </w:pPr>
            <w:r>
              <w:rPr>
                <w:rFonts w:ascii="Arial" w:cs="Arial" w:eastAsia="Arial" w:hAnsi="Arial"/>
                <w:sz w:val="15"/>
                <w:szCs w:val="15"/>
                <w:b w:val="1"/>
                <w:bCs w:val="1"/>
                <w:color w:val="auto"/>
              </w:rPr>
              <w:t>Fair Value Measurements at September 30, 2019</w:t>
            </w:r>
          </w:p>
        </w:tc>
        <w:tc>
          <w:tcPr>
            <w:tcW w:w="1180" w:type="dxa"/>
            <w:vAlign w:val="bottom"/>
            <w:tcBorders>
              <w:bottom w:val="single" w:sz="8" w:color="auto"/>
            </w:tcBorders>
          </w:tcPr>
          <w:p>
            <w:pPr>
              <w:spacing w:after="0"/>
              <w:rPr>
                <w:sz w:val="17"/>
                <w:szCs w:val="17"/>
                <w:color w:val="auto"/>
              </w:rPr>
            </w:pPr>
          </w:p>
        </w:tc>
      </w:tr>
      <w:tr>
        <w:trPr>
          <w:trHeight w:val="165"/>
        </w:trPr>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line="165" w:lineRule="exact"/>
              <w:rPr>
                <w:sz w:val="20"/>
                <w:szCs w:val="20"/>
                <w:color w:val="auto"/>
              </w:rPr>
            </w:pPr>
            <w:r>
              <w:rPr>
                <w:rFonts w:ascii="Arial" w:cs="Arial" w:eastAsia="Arial" w:hAnsi="Arial"/>
                <w:sz w:val="15"/>
                <w:szCs w:val="15"/>
                <w:b w:val="1"/>
                <w:bCs w:val="1"/>
                <w:color w:val="auto"/>
              </w:rPr>
              <w:t>Carrying</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4"/>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9"/>
              </w:rPr>
              <w:t>Value</w:t>
            </w:r>
          </w:p>
        </w:tc>
        <w:tc>
          <w:tcPr>
            <w:tcW w:w="30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5"/>
                <w:szCs w:val="15"/>
                <w:b w:val="1"/>
                <w:bCs w:val="1"/>
                <w:color w:val="auto"/>
              </w:rPr>
              <w:t>Level 2</w:t>
            </w:r>
          </w:p>
        </w:tc>
        <w:tc>
          <w:tcPr>
            <w:tcW w:w="300" w:type="dxa"/>
            <w:vAlign w:val="bottom"/>
          </w:tcPr>
          <w:p>
            <w:pPr>
              <w:spacing w:after="0"/>
              <w:rPr>
                <w:sz w:val="17"/>
                <w:szCs w:val="17"/>
                <w:color w:val="auto"/>
              </w:rPr>
            </w:pPr>
          </w:p>
        </w:tc>
        <w:tc>
          <w:tcPr>
            <w:tcW w:w="1180" w:type="dxa"/>
            <w:vAlign w:val="bottom"/>
          </w:tcPr>
          <w:p>
            <w:pPr>
              <w:jc w:val="right"/>
              <w:ind w:right="400"/>
              <w:spacing w:after="0"/>
              <w:rPr>
                <w:sz w:val="20"/>
                <w:szCs w:val="20"/>
                <w:color w:val="auto"/>
              </w:rPr>
            </w:pPr>
            <w:r>
              <w:rPr>
                <w:rFonts w:ascii="Arial" w:cs="Arial" w:eastAsia="Arial" w:hAnsi="Arial"/>
                <w:sz w:val="15"/>
                <w:szCs w:val="15"/>
                <w:b w:val="1"/>
                <w:bCs w:val="1"/>
                <w:color w:val="auto"/>
              </w:rPr>
              <w:t>Level 3</w:t>
            </w: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60"/>
        </w:trPr>
        <w:tc>
          <w:tcPr>
            <w:tcW w:w="4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70"/>
        </w:trPr>
        <w:tc>
          <w:tcPr>
            <w:tcW w:w="4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70"/>
        </w:trPr>
        <w:tc>
          <w:tcPr>
            <w:tcW w:w="4360" w:type="dxa"/>
            <w:vAlign w:val="bottom"/>
          </w:tcPr>
          <w:p>
            <w:pPr>
              <w:ind w:left="160"/>
              <w:spacing w:after="0"/>
              <w:rPr>
                <w:sz w:val="20"/>
                <w:szCs w:val="20"/>
                <w:color w:val="auto"/>
              </w:rPr>
            </w:pPr>
            <w:r>
              <w:rPr>
                <w:rFonts w:ascii="Arial" w:cs="Arial" w:eastAsia="Arial" w:hAnsi="Arial"/>
                <w:sz w:val="16"/>
                <w:szCs w:val="16"/>
                <w:color w:val="auto"/>
              </w:rPr>
              <w:t xml:space="preserve">Contingent consideration - acquisition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(4,374)</w:t>
            </w:r>
          </w:p>
        </w:tc>
      </w:tr>
      <w:tr>
        <w:trPr>
          <w:trHeight w:val="270"/>
        </w:trPr>
        <w:tc>
          <w:tcPr>
            <w:tcW w:w="4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rate swap</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4360" w:type="dxa"/>
            <w:vAlign w:val="bottom"/>
          </w:tcPr>
          <w:p>
            <w:pPr>
              <w:ind w:left="20"/>
              <w:spacing w:after="0"/>
              <w:rPr>
                <w:sz w:val="20"/>
                <w:szCs w:val="20"/>
                <w:color w:val="auto"/>
              </w:rPr>
            </w:pPr>
            <w:r>
              <w:rPr>
                <w:rFonts w:ascii="Arial" w:cs="Arial" w:eastAsia="Arial" w:hAnsi="Arial"/>
                <w:sz w:val="16"/>
                <w:szCs w:val="16"/>
                <w:color w:val="auto"/>
              </w:rPr>
              <w:t>Total recorded at fair value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(9,388)</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(4,883)</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(4,505)</w:t>
            </w: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put option issued to noncontrolling shareholders in connection with the 5.11 Tactical and Liberty acquisitions.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17"/>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potential earn-out payable as additional purchase price consideration by Velocity Outdoor in connection with the acquisition of Ravin.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513" w:right="259" w:bottom="1440" w:gutter="0" w:footer="0" w:header="0"/>
        </w:sectPr>
      </w:pPr>
    </w:p>
    <w:bookmarkStart w:id="31" w:name="page32"/>
    <w:bookmarkEnd w:id="31"/>
    <w:tbl>
      <w:tblPr>
        <w:tblLayout w:type="fixed"/>
        <w:tblInd w:w="400" w:type="dxa"/>
        <w:tblCellMar>
          <w:top w:w="0" w:type="dxa"/>
          <w:left w:w="0" w:type="dxa"/>
          <w:bottom w:w="0" w:type="dxa"/>
          <w:right w:w="0" w:type="dxa"/>
        </w:tblCellMar>
      </w:tblPr>
      <w:tr>
        <w:trPr>
          <w:trHeight w:val="206"/>
        </w:trPr>
        <w:tc>
          <w:tcPr>
            <w:tcW w:w="4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gridSpan w:val="9"/>
          </w:tcPr>
          <w:p>
            <w:pPr>
              <w:jc w:val="right"/>
              <w:ind w:right="139"/>
              <w:spacing w:after="0"/>
              <w:rPr>
                <w:sz w:val="20"/>
                <w:szCs w:val="20"/>
                <w:color w:val="auto"/>
              </w:rPr>
            </w:pPr>
            <w:r>
              <w:rPr>
                <w:rFonts w:ascii="Arial" w:cs="Arial" w:eastAsia="Arial" w:hAnsi="Arial"/>
                <w:sz w:val="15"/>
                <w:szCs w:val="15"/>
                <w:b w:val="1"/>
                <w:bCs w:val="1"/>
                <w:color w:val="auto"/>
              </w:rPr>
              <w:t>Fair Value Measurements at December 31, 2018</w:t>
            </w:r>
          </w:p>
        </w:tc>
        <w:tc>
          <w:tcPr>
            <w:tcW w:w="1180" w:type="dxa"/>
            <w:vAlign w:val="bottom"/>
            <w:tcBorders>
              <w:bottom w:val="single" w:sz="8" w:color="auto"/>
            </w:tcBorders>
          </w:tcPr>
          <w:p>
            <w:pPr>
              <w:spacing w:after="0"/>
              <w:rPr>
                <w:sz w:val="17"/>
                <w:szCs w:val="17"/>
                <w:color w:val="auto"/>
              </w:rPr>
            </w:pPr>
          </w:p>
        </w:tc>
      </w:tr>
      <w:tr>
        <w:trPr>
          <w:trHeight w:val="165"/>
        </w:trPr>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line="165" w:lineRule="exact"/>
              <w:rPr>
                <w:sz w:val="20"/>
                <w:szCs w:val="20"/>
                <w:color w:val="auto"/>
              </w:rPr>
            </w:pPr>
            <w:r>
              <w:rPr>
                <w:rFonts w:ascii="Arial" w:cs="Arial" w:eastAsia="Arial" w:hAnsi="Arial"/>
                <w:sz w:val="15"/>
                <w:szCs w:val="15"/>
                <w:b w:val="1"/>
                <w:bCs w:val="1"/>
                <w:color w:val="auto"/>
              </w:rPr>
              <w:t>Carrying</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4"/>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9"/>
              </w:rPr>
              <w:t>Value</w:t>
            </w:r>
          </w:p>
        </w:tc>
        <w:tc>
          <w:tcPr>
            <w:tcW w:w="30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5"/>
                <w:szCs w:val="15"/>
                <w:b w:val="1"/>
                <w:bCs w:val="1"/>
                <w:color w:val="auto"/>
              </w:rPr>
              <w:t>Level 2</w:t>
            </w:r>
          </w:p>
        </w:tc>
        <w:tc>
          <w:tcPr>
            <w:tcW w:w="300" w:type="dxa"/>
            <w:vAlign w:val="bottom"/>
          </w:tcPr>
          <w:p>
            <w:pPr>
              <w:spacing w:after="0"/>
              <w:rPr>
                <w:sz w:val="17"/>
                <w:szCs w:val="17"/>
                <w:color w:val="auto"/>
              </w:rPr>
            </w:pPr>
          </w:p>
        </w:tc>
        <w:tc>
          <w:tcPr>
            <w:tcW w:w="1180" w:type="dxa"/>
            <w:vAlign w:val="bottom"/>
          </w:tcPr>
          <w:p>
            <w:pPr>
              <w:jc w:val="right"/>
              <w:ind w:right="400"/>
              <w:spacing w:after="0"/>
              <w:rPr>
                <w:sz w:val="20"/>
                <w:szCs w:val="20"/>
                <w:color w:val="auto"/>
              </w:rPr>
            </w:pPr>
            <w:r>
              <w:rPr>
                <w:rFonts w:ascii="Arial" w:cs="Arial" w:eastAsia="Arial" w:hAnsi="Arial"/>
                <w:sz w:val="15"/>
                <w:szCs w:val="15"/>
                <w:b w:val="1"/>
                <w:bCs w:val="1"/>
                <w:color w:val="auto"/>
              </w:rPr>
              <w:t>Level 3</w:t>
            </w: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60"/>
        </w:trPr>
        <w:tc>
          <w:tcPr>
            <w:tcW w:w="4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70"/>
        </w:trPr>
        <w:tc>
          <w:tcPr>
            <w:tcW w:w="4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70"/>
        </w:trPr>
        <w:tc>
          <w:tcPr>
            <w:tcW w:w="4360" w:type="dxa"/>
            <w:vAlign w:val="bottom"/>
          </w:tcPr>
          <w:p>
            <w:pPr>
              <w:ind w:left="160"/>
              <w:spacing w:after="0"/>
              <w:rPr>
                <w:sz w:val="20"/>
                <w:szCs w:val="20"/>
                <w:color w:val="auto"/>
              </w:rPr>
            </w:pPr>
            <w:r>
              <w:rPr>
                <w:rFonts w:ascii="Arial" w:cs="Arial" w:eastAsia="Arial" w:hAnsi="Arial"/>
                <w:sz w:val="16"/>
                <w:szCs w:val="16"/>
                <w:color w:val="auto"/>
              </w:rPr>
              <w:t xml:space="preserve">Contingent consideration - acquisition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(4,374)</w:t>
            </w:r>
          </w:p>
        </w:tc>
      </w:tr>
      <w:tr>
        <w:trPr>
          <w:trHeight w:val="270"/>
        </w:trPr>
        <w:tc>
          <w:tcPr>
            <w:tcW w:w="4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rate swap</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360" w:type="dxa"/>
            <w:vAlign w:val="bottom"/>
          </w:tcPr>
          <w:p>
            <w:pPr>
              <w:ind w:left="20"/>
              <w:spacing w:after="0"/>
              <w:rPr>
                <w:sz w:val="20"/>
                <w:szCs w:val="20"/>
                <w:color w:val="auto"/>
              </w:rPr>
            </w:pPr>
            <w:r>
              <w:rPr>
                <w:rFonts w:ascii="Arial" w:cs="Arial" w:eastAsia="Arial" w:hAnsi="Arial"/>
                <w:sz w:val="16"/>
                <w:szCs w:val="16"/>
                <w:color w:val="auto"/>
              </w:rPr>
              <w:t>Total recorded at fair value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(4,547)</w:t>
            </w: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3176270</wp:posOffset>
            </wp:positionH>
            <wp:positionV relativeFrom="page">
              <wp:posOffset>328930</wp:posOffset>
            </wp:positionV>
            <wp:extent cx="39789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put option issued to noncontrolling shareholders in connection with the 5.11 Tactical and Liberty acquisitions.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18"/>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potential earn-out payable as additional purchase price consideration by Velocity Outdoor in connection with the acquisition of Ravin.</w:t>
      </w:r>
    </w:p>
    <w:p>
      <w:pPr>
        <w:spacing w:after="0" w:line="26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Reconciliations of the change in the carrying value of the Level 3 fair value measurements from January 1, 2018 through September 30, 2019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7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5"/>
                <w:szCs w:val="15"/>
                <w:b w:val="1"/>
                <w:bCs w:val="1"/>
                <w:color w:val="auto"/>
              </w:rPr>
              <w:t>Level 3</w:t>
            </w:r>
          </w:p>
        </w:tc>
      </w:tr>
      <w:tr>
        <w:trPr>
          <w:trHeight w:val="241"/>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2018</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43"/>
        </w:trPr>
        <w:tc>
          <w:tcPr>
            <w:tcW w:w="7420" w:type="dxa"/>
            <w:vAlign w:val="bottom"/>
          </w:tcPr>
          <w:p>
            <w:pPr>
              <w:ind w:left="20"/>
              <w:spacing w:after="0"/>
              <w:rPr>
                <w:sz w:val="20"/>
                <w:szCs w:val="20"/>
                <w:color w:val="auto"/>
              </w:rPr>
            </w:pPr>
            <w:r>
              <w:rPr>
                <w:rFonts w:ascii="Arial" w:cs="Arial" w:eastAsia="Arial" w:hAnsi="Arial"/>
                <w:sz w:val="16"/>
                <w:szCs w:val="16"/>
                <w:color w:val="auto"/>
              </w:rPr>
              <w:t xml:space="preserve">Contingent consideration - Rimports </w:t>
            </w:r>
            <w:r>
              <w:rPr>
                <w:rFonts w:ascii="Arial" w:cs="Arial" w:eastAsia="Arial" w:hAnsi="Arial"/>
                <w:sz w:val="21"/>
                <w:szCs w:val="21"/>
                <w:b w:val="1"/>
                <w:bCs w:val="1"/>
                <w:color w:val="auto"/>
                <w:vertAlign w:val="superscript"/>
              </w:rPr>
              <w:t>(1)</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(4,800)</w:t>
            </w: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Contingent consideration - Ravin </w:t>
            </w:r>
            <w:r>
              <w:rPr>
                <w:rFonts w:ascii="Arial" w:cs="Arial" w:eastAsia="Arial" w:hAnsi="Arial"/>
                <w:sz w:val="21"/>
                <w:szCs w:val="21"/>
                <w:b w:val="1"/>
                <w:bCs w:val="1"/>
                <w:color w:val="auto"/>
                <w:vertAlign w:val="superscript"/>
              </w:rPr>
              <w:t>(2)</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(4,734)</w:t>
            </w:r>
          </w:p>
        </w:tc>
      </w:tr>
      <w:tr>
        <w:trPr>
          <w:trHeight w:val="233"/>
        </w:trPr>
        <w:tc>
          <w:tcPr>
            <w:tcW w:w="7420" w:type="dxa"/>
            <w:vAlign w:val="bottom"/>
          </w:tcPr>
          <w:p>
            <w:pPr>
              <w:ind w:left="20"/>
              <w:spacing w:after="0"/>
              <w:rPr>
                <w:sz w:val="20"/>
                <w:szCs w:val="20"/>
                <w:color w:val="auto"/>
              </w:rPr>
            </w:pPr>
            <w:r>
              <w:rPr>
                <w:rFonts w:ascii="Arial" w:cs="Arial" w:eastAsia="Arial" w:hAnsi="Arial"/>
                <w:sz w:val="16"/>
                <w:szCs w:val="16"/>
                <w:color w:val="auto"/>
              </w:rPr>
              <w:t>Decrease in the fair value of put option of noncontrolling shareholder - 5.11</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 to Ravin contingent consideration</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37"/>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Reversal of contingent consideration - Rimports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w:t>
            </w: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2019</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(4,547)</w:t>
            </w:r>
          </w:p>
        </w:tc>
      </w:tr>
      <w:tr>
        <w:trPr>
          <w:trHeight w:val="237"/>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Decrease in the fair value of put option of noncontrolling shareholder - Liberty</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2019</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(4,505)</w:t>
            </w: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8"/>
        <w:spacing w:after="0" w:line="243" w:lineRule="auto"/>
        <w:tabs>
          <w:tab w:leader="none" w:pos="189" w:val="left"/>
        </w:tabs>
        <w:numPr>
          <w:ilvl w:val="0"/>
          <w:numId w:val="19"/>
        </w:numPr>
        <w:rPr>
          <w:rFonts w:ascii="Arial" w:cs="Arial" w:eastAsia="Arial" w:hAnsi="Arial"/>
          <w:sz w:val="22"/>
          <w:szCs w:val="22"/>
          <w:b w:val="1"/>
          <w:bCs w:val="1"/>
          <w:color w:val="auto"/>
          <w:vertAlign w:val="superscript"/>
        </w:rPr>
      </w:pPr>
      <w:r>
        <w:rPr>
          <w:rFonts w:ascii="Arial" w:cs="Arial" w:eastAsia="Arial" w:hAnsi="Arial"/>
          <w:sz w:val="18"/>
          <w:szCs w:val="18"/>
          <w:color w:val="auto"/>
        </w:rPr>
        <w:t>The contingent consideration relates to Sterno's acquisition of Rimports in February 2018. The purchase price of Rimports includes a potential earn-out of up to $25 million contingent on the attainment of certain future performance criteria of Rimports for the twelve-month period from May 1, 2017 to April 30, 2018 and the fourteen month period from March 1, 2018 to April 30, 2019. The fair value of the contingent consideration related to the earn-out was estimated at $4.8 million at acquisition date and was calculated as the present value of a probability adjusted earnout payment based on the expected term of the payment and a risk-adjusted discount rate. At December 31, 2018, the Company determined that the probability of achieving the earn-out was zero and therefore reversed the amount that was recorded as part of the purchase consideration.</w:t>
      </w:r>
    </w:p>
    <w:p>
      <w:pPr>
        <w:spacing w:after="0" w:line="161" w:lineRule="exact"/>
        <w:rPr>
          <w:rFonts w:ascii="Arial" w:cs="Arial" w:eastAsia="Arial" w:hAnsi="Arial"/>
          <w:sz w:val="22"/>
          <w:szCs w:val="22"/>
          <w:b w:val="1"/>
          <w:bCs w:val="1"/>
          <w:color w:val="auto"/>
          <w:vertAlign w:val="superscript"/>
        </w:rPr>
      </w:pPr>
    </w:p>
    <w:p>
      <w:pPr>
        <w:jc w:val="both"/>
        <w:ind w:firstLine="8"/>
        <w:spacing w:after="0"/>
        <w:tabs>
          <w:tab w:leader="none" w:pos="192" w:val="left"/>
        </w:tabs>
        <w:numPr>
          <w:ilvl w:val="0"/>
          <w:numId w:val="19"/>
        </w:numPr>
        <w:rPr>
          <w:rFonts w:ascii="Arial" w:cs="Arial" w:eastAsia="Arial" w:hAnsi="Arial"/>
          <w:sz w:val="22"/>
          <w:szCs w:val="22"/>
          <w:b w:val="1"/>
          <w:bCs w:val="1"/>
          <w:color w:val="auto"/>
          <w:vertAlign w:val="superscript"/>
        </w:rPr>
      </w:pPr>
      <w:r>
        <w:rPr>
          <w:rFonts w:ascii="Arial" w:cs="Arial" w:eastAsia="Arial" w:hAnsi="Arial"/>
          <w:sz w:val="18"/>
          <w:szCs w:val="18"/>
          <w:color w:val="auto"/>
        </w:rPr>
        <w:t>The contingent consideration relates to Velocity's acquisition of Ravin in September 2018. The purchase price of Ravin includes a potential earn-out of up to $25.0 million contingent on the achievement certain financial metrics for the trailing twelve month period ending December 31, 2018. The fair value of the contingent consideration was estimated at $4.7 million at acquisition date and was calculated using a risk-adjusted option pricing model. The earnout was adjusted to $4.3 million at December 31, 2018 based on actual results to date. The earnout is currently subject to arbitration and will be paid once the final amount is determined through the arbitration process.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Techniques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Term Loan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classify our fixed and floating rate debt as Level 2 items based on quoted market prices for similar debt issues. In April 2018, the Company issued $400.0 million aggregate principal amount of its Senior Notes due 2026. The fair value of the Senior Notes was determined based on quoted market prices obtained through an external pricing source which derives its price valuations from daily marketplace transactions, with adjustments to reflect the spreads of benchmark bonds, credit risk and certain other variables. We have determined this to be a Level 2 measurement as all significant inputs into the quote provided by our pricing source are observable in active markets. At September 30, 2019, the carrying value of the principal under the Company’s outstanding 2018 Term Loan, including the current portion, was $298.8 million, which approximates fair value because it has a variable interest rate that reflects market changes in interest rates and changes in the Company's net leverage ratio.</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77" w:right="239" w:bottom="1440" w:gutter="0" w:footer="0" w:header="0"/>
        </w:sectPr>
      </w:pPr>
    </w:p>
    <w:bookmarkStart w:id="32" w:name="page33"/>
    <w:bookmarkEnd w:id="32"/>
    <w:p>
      <w:pPr>
        <w:jc w:val="both"/>
        <w:spacing w:after="0" w:line="256"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Company’s Annual Report on Form 10-K for the fiscal year ended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35"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The following table provides the assets and liabilities carried at fair value measured on a non-recurring basis as of September 30, 2019. Refer to "</w:t>
      </w:r>
      <w:hyperlink w:anchor="page22">
        <w:r>
          <w:rPr>
            <w:rFonts w:ascii="Arial" w:cs="Arial" w:eastAsia="Arial" w:hAnsi="Arial"/>
            <w:sz w:val="18"/>
            <w:szCs w:val="18"/>
            <w:u w:val="single" w:color="auto"/>
            <w:color w:val="0000EE"/>
          </w:rPr>
          <w:t>Note G – Goodwill and Intangible Assets</w:t>
        </w:r>
      </w:hyperlink>
      <w:r>
        <w:rPr>
          <w:rFonts w:ascii="Arial" w:cs="Arial" w:eastAsia="Arial" w:hAnsi="Arial"/>
          <w:sz w:val="18"/>
          <w:szCs w:val="18"/>
          <w:color w:val="auto"/>
        </w:rPr>
        <w:t>", for a description of the valuation techniques used to determine fair value of the assets measured on a non-recurring basis in the table below. There were no assets and liabilities carried at fair value measured on a non-recurring basis as of December 31, 2018.</w:t>
      </w:r>
    </w:p>
    <w:p>
      <w:pPr>
        <w:spacing w:after="0" w:line="238" w:lineRule="exact"/>
        <w:rPr>
          <w:sz w:val="20"/>
          <w:szCs w:val="20"/>
          <w:color w:val="auto"/>
        </w:rPr>
      </w:pPr>
    </w:p>
    <w:tbl>
      <w:tblPr>
        <w:tblLayout w:type="fixed"/>
        <w:tblInd w:w="740" w:type="dxa"/>
        <w:tblCellMar>
          <w:top w:w="0" w:type="dxa"/>
          <w:left w:w="0" w:type="dxa"/>
          <w:bottom w:w="0" w:type="dxa"/>
          <w:right w:w="0" w:type="dxa"/>
        </w:tblCellMar>
      </w:tblPr>
      <w:tr>
        <w:trPr>
          <w:trHeight w:val="206"/>
        </w:trPr>
        <w:tc>
          <w:tcPr>
            <w:tcW w:w="3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rPr>
              <w:t>Expense</w:t>
            </w:r>
          </w:p>
        </w:tc>
      </w:tr>
      <w:tr>
        <w:trPr>
          <w:trHeight w:val="250"/>
        </w:trPr>
        <w:tc>
          <w:tcPr>
            <w:tcW w:w="3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80" w:type="dxa"/>
            <w:vAlign w:val="bottom"/>
            <w:gridSpan w:val="9"/>
          </w:tcPr>
          <w:p>
            <w:pPr>
              <w:ind w:left="480"/>
              <w:spacing w:after="0"/>
              <w:rPr>
                <w:sz w:val="20"/>
                <w:szCs w:val="20"/>
                <w:color w:val="auto"/>
              </w:rPr>
            </w:pPr>
            <w:r>
              <w:rPr>
                <w:rFonts w:ascii="Arial" w:cs="Arial" w:eastAsia="Arial" w:hAnsi="Arial"/>
                <w:sz w:val="15"/>
                <w:szCs w:val="15"/>
                <w:b w:val="1"/>
                <w:bCs w:val="1"/>
                <w:color w:val="auto"/>
              </w:rPr>
              <w:t>Fair Value Measurements at September 30, 2019</w:t>
            </w:r>
          </w:p>
        </w:tc>
        <w:tc>
          <w:tcPr>
            <w:tcW w:w="200" w:type="dxa"/>
            <w:vAlign w:val="bottom"/>
          </w:tcPr>
          <w:p>
            <w:pPr>
              <w:spacing w:after="0"/>
              <w:rPr>
                <w:sz w:val="21"/>
                <w:szCs w:val="21"/>
                <w:color w:val="auto"/>
              </w:rPr>
            </w:pPr>
          </w:p>
        </w:tc>
        <w:tc>
          <w:tcPr>
            <w:tcW w:w="1800" w:type="dxa"/>
            <w:vAlign w:val="bottom"/>
          </w:tcPr>
          <w:p>
            <w:pPr>
              <w:jc w:val="center"/>
              <w:ind w:right="143"/>
              <w:spacing w:after="0"/>
              <w:rPr>
                <w:sz w:val="20"/>
                <w:szCs w:val="20"/>
                <w:color w:val="auto"/>
              </w:rPr>
            </w:pPr>
            <w:r>
              <w:rPr>
                <w:rFonts w:ascii="Arial" w:cs="Arial" w:eastAsia="Arial" w:hAnsi="Arial"/>
                <w:sz w:val="15"/>
                <w:szCs w:val="15"/>
                <w:b w:val="1"/>
                <w:bCs w:val="1"/>
                <w:color w:val="auto"/>
              </w:rPr>
              <w:t>Nine months ended</w:t>
            </w:r>
          </w:p>
        </w:tc>
      </w:tr>
      <w:tr>
        <w:trPr>
          <w:trHeight w:val="165"/>
        </w:trPr>
        <w:tc>
          <w:tcPr>
            <w:tcW w:w="3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center"/>
              <w:ind w:right="280"/>
              <w:spacing w:after="0" w:line="165" w:lineRule="exact"/>
              <w:rPr>
                <w:sz w:val="20"/>
                <w:szCs w:val="20"/>
                <w:color w:val="auto"/>
              </w:rPr>
            </w:pPr>
            <w:r>
              <w:rPr>
                <w:rFonts w:ascii="Arial" w:cs="Arial" w:eastAsia="Arial" w:hAnsi="Arial"/>
                <w:sz w:val="15"/>
                <w:szCs w:val="15"/>
                <w:b w:val="1"/>
                <w:bCs w:val="1"/>
                <w:color w:val="auto"/>
              </w:rPr>
              <w:t>Carrying</w:t>
            </w: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r>
      <w:tr>
        <w:trPr>
          <w:trHeight w:val="206"/>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9"/>
              </w:rPr>
              <w:t>Value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Level 1</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2</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rPr>
              <w:t>September 30, 2019</w:t>
            </w:r>
          </w:p>
        </w:tc>
      </w:tr>
      <w:tr>
        <w:trPr>
          <w:trHeight w:val="268"/>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 - Velocity Outdoor</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29,579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29,579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33,381</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Income taxes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fiscal quarter, the Company estimates its annual effective tax rate and applies that rate to its interim pre-tax earnings. In this regard, the Company reflects the full year’s estimated tax impact of certain unusual or infrequently occurring items and the effects of changes in tax laws or rates in the interim period in which they occur.</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the annual estimated effective tax rate in each interim period requires certain estimates and significant judgment, including the projected operating income for the year, projections of the proportion of income earned and taxed in other jurisdictions, permanent and temporary differences and the likelihood of recovering deferred tax assets generated in the current year. The accounting estimates used to compute the provision for income taxes may change as new events occur, as additional information is obtained or as the tax environment changes. Certain foreign operations are subject to foreign income taxation under existing provisions of the laws of those jurisdictions.</w:t>
      </w:r>
    </w:p>
    <w:p>
      <w:pPr>
        <w:spacing w:after="0" w:line="9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reconciliation between the Federal Statutory Rate and the effective income tax rate for the nine months ended September 30, 2019 and 2018 is as follows:</w:t>
      </w:r>
    </w:p>
    <w:p>
      <w:pPr>
        <w:spacing w:after="0" w:line="230" w:lineRule="exact"/>
        <w:rPr>
          <w:sz w:val="20"/>
          <w:szCs w:val="20"/>
          <w:color w:val="auto"/>
        </w:rPr>
      </w:pPr>
    </w:p>
    <w:p>
      <w:pPr>
        <w:ind w:left="7720"/>
        <w:spacing w:after="0"/>
        <w:rPr>
          <w:sz w:val="20"/>
          <w:szCs w:val="20"/>
          <w:color w:val="auto"/>
        </w:rPr>
      </w:pPr>
      <w:r>
        <w:rPr>
          <w:rFonts w:ascii="Arial" w:cs="Arial" w:eastAsia="Arial" w:hAnsi="Arial"/>
          <w:sz w:val="15"/>
          <w:szCs w:val="15"/>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24130</wp:posOffset>
            </wp:positionV>
            <wp:extent cx="24009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p>
      <w:pPr>
        <w:spacing w:after="0" w:line="35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United States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-134620</wp:posOffset>
            </wp:positionV>
            <wp:extent cx="653478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State income taxes (net of Federal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36195</wp:posOffset>
            </wp:positionV>
            <wp:extent cx="653478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Foreign income taxes</w:t>
      </w:r>
    </w:p>
    <w:p>
      <w:pPr>
        <w:spacing w:after="0" w:line="86" w:lineRule="exact"/>
        <w:rPr>
          <w:sz w:val="20"/>
          <w:szCs w:val="20"/>
          <w:color w:val="auto"/>
        </w:rPr>
      </w:pPr>
    </w:p>
    <w:p>
      <w:pPr>
        <w:ind w:left="600" w:right="320"/>
        <w:spacing w:after="0" w:line="243" w:lineRule="auto"/>
        <w:rPr>
          <w:sz w:val="20"/>
          <w:szCs w:val="20"/>
          <w:color w:val="auto"/>
        </w:rPr>
      </w:pPr>
      <w:r>
        <w:rPr>
          <w:rFonts w:ascii="Arial" w:cs="Arial" w:eastAsia="Arial" w:hAnsi="Arial"/>
          <w:sz w:val="16"/>
          <w:szCs w:val="16"/>
          <w:color w:val="auto"/>
        </w:rPr>
        <w:t xml:space="preserve">Expenses of Compass Group Diversified Holdings LLC representing a pass through to shareholders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53478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6"/>
          <w:szCs w:val="16"/>
          <w:color w:val="auto"/>
        </w:rPr>
        <w:t>Impairment expense</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Impact of subsidiary employee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36195</wp:posOffset>
            </wp:positionV>
            <wp:extent cx="653478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Credit utilization</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Non-recognition of NOL carryforwards at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36195</wp:posOffset>
            </wp:positionV>
            <wp:extent cx="653478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Effect of Tax Act</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36195</wp:posOffset>
            </wp:positionV>
            <wp:extent cx="653478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6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Effective income tax rate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2019</w:t>
      </w:r>
    </w:p>
    <w:p>
      <w:pPr>
        <w:spacing w:after="0" w:line="94"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(21.0)%</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4.4</w:t>
      </w:r>
    </w:p>
    <w:p>
      <w:pPr>
        <w:spacing w:after="0" w:line="86" w:lineRule="exact"/>
        <w:rPr>
          <w:sz w:val="20"/>
          <w:szCs w:val="20"/>
          <w:color w:val="auto"/>
        </w:rPr>
      </w:pPr>
    </w:p>
    <w:p>
      <w:pPr>
        <w:jc w:val="right"/>
        <w:ind w:right="380"/>
        <w:spacing w:after="0"/>
        <w:rPr>
          <w:sz w:val="20"/>
          <w:szCs w:val="20"/>
          <w:color w:val="auto"/>
        </w:rPr>
      </w:pPr>
      <w:r>
        <w:rPr>
          <w:rFonts w:ascii="Arial" w:cs="Arial" w:eastAsia="Arial" w:hAnsi="Arial"/>
          <w:sz w:val="16"/>
          <w:szCs w:val="16"/>
          <w:color w:val="auto"/>
        </w:rPr>
        <w:t>7.2</w:t>
      </w:r>
    </w:p>
    <w:p>
      <w:pPr>
        <w:spacing w:after="0" w:line="248" w:lineRule="exact"/>
        <w:rPr>
          <w:sz w:val="20"/>
          <w:szCs w:val="20"/>
          <w:color w:val="auto"/>
        </w:rPr>
      </w:pPr>
    </w:p>
    <w:p>
      <w:pPr>
        <w:jc w:val="right"/>
        <w:ind w:right="380"/>
        <w:spacing w:after="0"/>
        <w:rPr>
          <w:sz w:val="20"/>
          <w:szCs w:val="20"/>
          <w:color w:val="auto"/>
        </w:rPr>
      </w:pPr>
      <w:r>
        <w:rPr>
          <w:rFonts w:ascii="Arial" w:cs="Arial" w:eastAsia="Arial" w:hAnsi="Arial"/>
          <w:sz w:val="16"/>
          <w:szCs w:val="16"/>
          <w:color w:val="auto"/>
        </w:rPr>
        <w:t>22.7</w:t>
      </w:r>
    </w:p>
    <w:p>
      <w:pPr>
        <w:spacing w:after="0" w:line="86" w:lineRule="exact"/>
        <w:rPr>
          <w:sz w:val="20"/>
          <w:szCs w:val="20"/>
          <w:color w:val="auto"/>
        </w:rPr>
      </w:pPr>
    </w:p>
    <w:p>
      <w:pPr>
        <w:jc w:val="right"/>
        <w:ind w:right="380"/>
        <w:spacing w:after="0"/>
        <w:rPr>
          <w:sz w:val="20"/>
          <w:szCs w:val="20"/>
          <w:color w:val="auto"/>
        </w:rPr>
      </w:pPr>
      <w:r>
        <w:rPr>
          <w:rFonts w:ascii="Arial" w:cs="Arial" w:eastAsia="Arial" w:hAnsi="Arial"/>
          <w:sz w:val="16"/>
          <w:szCs w:val="16"/>
          <w:color w:val="auto"/>
        </w:rPr>
        <w:t>15.7</w:t>
      </w:r>
    </w:p>
    <w:p>
      <w:pPr>
        <w:spacing w:after="0" w:line="86" w:lineRule="exact"/>
        <w:rPr>
          <w:sz w:val="20"/>
          <w:szCs w:val="20"/>
          <w:color w:val="auto"/>
        </w:rPr>
      </w:pPr>
    </w:p>
    <w:p>
      <w:pPr>
        <w:jc w:val="right"/>
        <w:ind w:right="380"/>
        <w:spacing w:after="0"/>
        <w:rPr>
          <w:sz w:val="20"/>
          <w:szCs w:val="20"/>
          <w:color w:val="auto"/>
        </w:rPr>
      </w:pPr>
      <w:r>
        <w:rPr>
          <w:rFonts w:ascii="Arial" w:cs="Arial" w:eastAsia="Arial" w:hAnsi="Arial"/>
          <w:sz w:val="16"/>
          <w:szCs w:val="16"/>
          <w:color w:val="auto"/>
        </w:rPr>
        <w:t>0.3</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(2.0)</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3.9</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4.0</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(5.5)</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36195</wp:posOffset>
            </wp:positionV>
            <wp:extent cx="11664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2018</w:t>
      </w:r>
    </w:p>
    <w:p>
      <w:pPr>
        <w:spacing w:after="0" w:line="94" w:lineRule="exact"/>
        <w:rPr>
          <w:sz w:val="20"/>
          <w:szCs w:val="20"/>
          <w:color w:val="auto"/>
        </w:rPr>
      </w:pPr>
    </w:p>
    <w:p>
      <w:pPr>
        <w:jc w:val="right"/>
        <w:ind w:right="600"/>
        <w:spacing w:after="0"/>
        <w:rPr>
          <w:sz w:val="20"/>
          <w:szCs w:val="20"/>
          <w:color w:val="auto"/>
        </w:rPr>
      </w:pPr>
      <w:r>
        <w:rPr>
          <w:rFonts w:ascii="Arial" w:cs="Arial" w:eastAsia="Arial" w:hAnsi="Arial"/>
          <w:sz w:val="16"/>
          <w:szCs w:val="16"/>
          <w:color w:val="auto"/>
        </w:rPr>
        <w:t>(21.0)%</w:t>
      </w:r>
    </w:p>
    <w:p>
      <w:pPr>
        <w:spacing w:after="0" w:line="86" w:lineRule="exact"/>
        <w:rPr>
          <w:sz w:val="20"/>
          <w:szCs w:val="20"/>
          <w:color w:val="auto"/>
        </w:rPr>
      </w:pPr>
    </w:p>
    <w:p>
      <w:pPr>
        <w:jc w:val="right"/>
        <w:ind w:right="780"/>
        <w:spacing w:after="0"/>
        <w:rPr>
          <w:sz w:val="20"/>
          <w:szCs w:val="20"/>
          <w:color w:val="auto"/>
        </w:rPr>
      </w:pPr>
      <w:r>
        <w:rPr>
          <w:rFonts w:ascii="Arial" w:cs="Arial" w:eastAsia="Arial" w:hAnsi="Arial"/>
          <w:sz w:val="16"/>
          <w:szCs w:val="16"/>
          <w:color w:val="auto"/>
        </w:rPr>
        <w:t>3.8</w:t>
      </w:r>
    </w:p>
    <w:p>
      <w:pPr>
        <w:spacing w:after="0" w:line="86" w:lineRule="exact"/>
        <w:rPr>
          <w:sz w:val="20"/>
          <w:szCs w:val="20"/>
          <w:color w:val="auto"/>
        </w:rPr>
      </w:pPr>
    </w:p>
    <w:p>
      <w:pPr>
        <w:jc w:val="right"/>
        <w:ind w:right="780"/>
        <w:spacing w:after="0"/>
        <w:rPr>
          <w:sz w:val="20"/>
          <w:szCs w:val="20"/>
          <w:color w:val="auto"/>
        </w:rPr>
      </w:pPr>
      <w:r>
        <w:rPr>
          <w:rFonts w:ascii="Arial" w:cs="Arial" w:eastAsia="Arial" w:hAnsi="Arial"/>
          <w:sz w:val="16"/>
          <w:szCs w:val="16"/>
          <w:color w:val="auto"/>
        </w:rPr>
        <w:t>46.4</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111.1</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(25.3)</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(10.2)</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40.5</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51.7</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(1.3)</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195.7 %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36195</wp:posOffset>
            </wp:positionV>
            <wp:extent cx="11664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100" w:space="720"/>
            <w:col w:w="1240" w:space="720"/>
            <w:col w:w="1640"/>
          </w:cols>
          <w:pgMar w:left="240" w:top="598" w:right="239" w:bottom="1440" w:gutter="0" w:footer="0" w:header="0"/>
          <w:type w:val="continuous"/>
        </w:sectPr>
      </w:pPr>
    </w:p>
    <w:p>
      <w:pPr>
        <w:spacing w:after="0" w:line="116" w:lineRule="exact"/>
        <w:rPr>
          <w:sz w:val="20"/>
          <w:szCs w:val="20"/>
          <w:color w:val="auto"/>
        </w:rPr>
      </w:pPr>
    </w:p>
    <w:p>
      <w:pPr>
        <w:ind w:left="340" w:hanging="332"/>
        <w:spacing w:after="0" w:line="210" w:lineRule="auto"/>
        <w:tabs>
          <w:tab w:leader="none" w:pos="340" w:val="left"/>
        </w:tabs>
        <w:numPr>
          <w:ilvl w:val="0"/>
          <w:numId w:val="20"/>
        </w:numPr>
        <w:rPr>
          <w:rFonts w:ascii="Arial" w:cs="Arial" w:eastAsia="Arial" w:hAnsi="Arial"/>
          <w:sz w:val="22"/>
          <w:szCs w:val="22"/>
          <w:b w:val="1"/>
          <w:bCs w:val="1"/>
          <w:color w:val="auto"/>
          <w:vertAlign w:val="superscript"/>
        </w:rPr>
      </w:pPr>
      <w:r>
        <w:rPr>
          <w:rFonts w:ascii="Arial" w:cs="Arial" w:eastAsia="Arial" w:hAnsi="Arial"/>
          <w:sz w:val="16"/>
          <w:szCs w:val="16"/>
          <w:color w:val="auto"/>
        </w:rPr>
        <w:t>The effective income tax rate for the nine months ended September 30, 2019 and 2018 includes a loss at the Company's parent, which is taxed as a partnership.</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98"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N — Defined Benefit Plan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unfunded liability of $5.7 million is recognized in the consolidated balance sheet as a component of other non-current liabilities at September 30, 2019. Net periodic benefit cost consists of the following for the three and nine months ended September 30, 2019 and 2018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1"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3"/>
          </w:tcPr>
          <w:p>
            <w:pPr>
              <w:jc w:val="right"/>
              <w:ind w:right="680"/>
              <w:spacing w:after="0"/>
              <w:rPr>
                <w:sz w:val="20"/>
                <w:szCs w:val="20"/>
                <w:color w:val="auto"/>
              </w:rPr>
            </w:pPr>
            <w:r>
              <w:rPr>
                <w:rFonts w:ascii="Arial" w:cs="Arial" w:eastAsia="Arial" w:hAnsi="Arial"/>
                <w:sz w:val="15"/>
                <w:szCs w:val="15"/>
                <w:b w:val="1"/>
                <w:bCs w:val="1"/>
                <w:color w:val="auto"/>
              </w:rPr>
              <w:t>Nine months ended</w:t>
            </w:r>
          </w:p>
        </w:tc>
      </w:tr>
      <w:tr>
        <w:trPr>
          <w:trHeight w:val="206"/>
        </w:trPr>
        <w:tc>
          <w:tcPr>
            <w:tcW w:w="4040" w:type="dxa"/>
            <w:vAlign w:val="bottom"/>
          </w:tcPr>
          <w:p>
            <w:pPr>
              <w:spacing w:after="0"/>
              <w:rPr>
                <w:sz w:val="17"/>
                <w:szCs w:val="17"/>
                <w:color w:val="auto"/>
              </w:rPr>
            </w:pPr>
          </w:p>
        </w:tc>
        <w:tc>
          <w:tcPr>
            <w:tcW w:w="3020" w:type="dxa"/>
            <w:vAlign w:val="bottom"/>
            <w:gridSpan w:val="6"/>
          </w:tcPr>
          <w:p>
            <w:pPr>
              <w:ind w:left="180"/>
              <w:spacing w:after="0"/>
              <w:rPr>
                <w:sz w:val="20"/>
                <w:szCs w:val="20"/>
                <w:color w:val="auto"/>
              </w:rPr>
            </w:pPr>
            <w:r>
              <w:rPr>
                <w:rFonts w:ascii="Arial" w:cs="Arial" w:eastAsia="Arial" w:hAnsi="Arial"/>
                <w:sz w:val="15"/>
                <w:szCs w:val="15"/>
                <w:b w:val="1"/>
                <w:bCs w:val="1"/>
                <w:color w:val="auto"/>
              </w:rPr>
              <w:t>Three months ended September 30,</w:t>
            </w: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880" w:type="dxa"/>
            <w:vAlign w:val="bottom"/>
          </w:tcPr>
          <w:p>
            <w:pPr>
              <w:spacing w:after="0"/>
              <w:rPr>
                <w:sz w:val="17"/>
                <w:szCs w:val="17"/>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5"/>
                <w:szCs w:val="15"/>
                <w:b w:val="1"/>
                <w:bCs w:val="1"/>
                <w:color w:val="auto"/>
              </w:rPr>
              <w:t>2019</w:t>
            </w:r>
          </w:p>
        </w:tc>
        <w:tc>
          <w:tcPr>
            <w:tcW w:w="5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2018</w:t>
            </w:r>
          </w:p>
        </w:tc>
      </w:tr>
      <w:tr>
        <w:trPr>
          <w:trHeight w:val="268"/>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383</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403</w:t>
            </w:r>
          </w:p>
        </w:tc>
      </w:tr>
      <w:tr>
        <w:trPr>
          <w:trHeight w:val="260"/>
        </w:trPr>
        <w:tc>
          <w:tcPr>
            <w:tcW w:w="40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9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99</w:t>
            </w:r>
          </w:p>
        </w:tc>
        <w:tc>
          <w:tcPr>
            <w:tcW w:w="58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280"/>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96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unrecognized loss</w:t>
            </w:r>
          </w:p>
        </w:tc>
        <w:tc>
          <w:tcPr>
            <w:tcW w:w="9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104</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148</w:t>
            </w:r>
          </w:p>
        </w:tc>
      </w:tr>
      <w:tr>
        <w:trPr>
          <w:trHeight w:val="26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benefit cost</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467</w:t>
            </w:r>
          </w:p>
        </w:tc>
        <w:tc>
          <w:tcPr>
            <w:tcW w:w="5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506</w:t>
            </w:r>
          </w:p>
        </w:tc>
      </w:tr>
      <w:tr>
        <w:trPr>
          <w:trHeight w:val="20"/>
        </w:trPr>
        <w:tc>
          <w:tcPr>
            <w:tcW w:w="4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2019, per the terms of the pension agreement, Arnold contributed $0.3 million to the plan. For the remainder of 2019, the expected contribution to the plan will be approximately $0.5 million.</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September 30, 2019 were considered Level 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Commitments and Contingencies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and its subsidiaries are involved in various claims and legal proceedings. While the ultimate resolution of these matters has yet to be determined, the Company does not believe that any unfavorable outcomes will have a material adverse effect on the Company's consolidated financial position or results of operations.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and its subsidiaries lease manufacturing facilities, warehouses, office facilities, retail stores, equipment and vehicles under various operating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has not been material on a historic basis and no amount was incurred during the quarter ending September 30, 2019. In the three and nine months ended September 30, 2019, the Company recognized $6.3 million and $18.6 million, respectively, in expense related to operating leases in the condensed consolidated statements of operations.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6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maturities of lease liabilities at September 30,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341" w:lineRule="exact"/>
        <w:rPr>
          <w:sz w:val="20"/>
          <w:szCs w:val="20"/>
          <w:color w:val="auto"/>
        </w:rPr>
      </w:pPr>
    </w:p>
    <w:tbl>
      <w:tblPr>
        <w:tblLayout w:type="fixed"/>
        <w:tblInd w:w="1880" w:type="dxa"/>
        <w:tblCellMar>
          <w:top w:w="0" w:type="dxa"/>
          <w:left w:w="0" w:type="dxa"/>
          <w:bottom w:w="0" w:type="dxa"/>
          <w:right w:w="0" w:type="dxa"/>
        </w:tblCellMar>
      </w:tblPr>
      <w:tr>
        <w:trPr>
          <w:trHeight w:val="27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 (excluding nine months ended September 30, 2019)</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4,775</w:t>
            </w:r>
          </w:p>
        </w:tc>
      </w:tr>
      <w:tr>
        <w:trPr>
          <w:trHeight w:val="260"/>
        </w:trPr>
        <w:tc>
          <w:tcPr>
            <w:tcW w:w="5440" w:type="dxa"/>
            <w:vAlign w:val="bottom"/>
          </w:tcPr>
          <w:p>
            <w:pPr>
              <w:ind w:left="20"/>
              <w:spacing w:after="0"/>
              <w:rPr>
                <w:sz w:val="20"/>
                <w:szCs w:val="20"/>
                <w:color w:val="auto"/>
              </w:rPr>
            </w:pPr>
            <w:r>
              <w:rPr>
                <w:rFonts w:ascii="Arial" w:cs="Arial" w:eastAsia="Arial" w:hAnsi="Arial"/>
                <w:sz w:val="16"/>
                <w:szCs w:val="16"/>
                <w:color w:val="auto"/>
              </w:rPr>
              <w:t>2020</w:t>
            </w:r>
          </w:p>
        </w:tc>
        <w:tc>
          <w:tcPr>
            <w:tcW w:w="8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25,140</w:t>
            </w:r>
          </w:p>
        </w:tc>
      </w:tr>
      <w:tr>
        <w:trPr>
          <w:trHeight w:val="28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8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22,111</w:t>
            </w:r>
          </w:p>
        </w:tc>
      </w:tr>
      <w:tr>
        <w:trPr>
          <w:trHeight w:val="260"/>
        </w:trPr>
        <w:tc>
          <w:tcPr>
            <w:tcW w:w="5440" w:type="dxa"/>
            <w:vAlign w:val="bottom"/>
          </w:tcPr>
          <w:p>
            <w:pPr>
              <w:ind w:left="20"/>
              <w:spacing w:after="0"/>
              <w:rPr>
                <w:sz w:val="20"/>
                <w:szCs w:val="20"/>
                <w:color w:val="auto"/>
              </w:rPr>
            </w:pPr>
            <w:r>
              <w:rPr>
                <w:rFonts w:ascii="Arial" w:cs="Arial" w:eastAsia="Arial" w:hAnsi="Arial"/>
                <w:sz w:val="16"/>
                <w:szCs w:val="16"/>
                <w:color w:val="auto"/>
              </w:rPr>
              <w:t>2022</w:t>
            </w:r>
          </w:p>
        </w:tc>
        <w:tc>
          <w:tcPr>
            <w:tcW w:w="8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19,891</w:t>
            </w:r>
          </w:p>
        </w:tc>
      </w:tr>
      <w:tr>
        <w:trPr>
          <w:trHeight w:val="28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8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14,023</w:t>
            </w:r>
          </w:p>
        </w:tc>
      </w:tr>
      <w:tr>
        <w:trPr>
          <w:trHeight w:val="26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8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46,876</w:t>
            </w:r>
          </w:p>
        </w:tc>
      </w:tr>
      <w:tr>
        <w:trPr>
          <w:trHeight w:val="25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undiscounted lease payments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132,816</w:t>
            </w:r>
          </w:p>
        </w:tc>
      </w:tr>
      <w:tr>
        <w:trPr>
          <w:trHeight w:val="26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8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41,587</w:t>
            </w:r>
          </w:p>
        </w:tc>
      </w:tr>
      <w:tr>
        <w:trPr>
          <w:trHeight w:val="24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91,229</w:t>
            </w:r>
          </w:p>
        </w:tc>
      </w:tr>
      <w:tr>
        <w:trPr>
          <w:trHeight w:val="20"/>
        </w:trPr>
        <w:tc>
          <w:tcPr>
            <w:tcW w:w="5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calculated amount of the right-of-use assets and lease liabilities in the table above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Regarding the discount rate, Topic 842 requires the use of a rate implicit in the lease whenever this rate is readily determinable. As this rate is rarely determinable, the Company utilizes the incremental borrowing rate of the subsidiary entering into the lease arrangement, on a collateralized basis, over a similar term as adjusted for any country specific risk. For operating leases existing prior to January 1, 2019, the rate for the remaining lease term as of January 1, 2019 was used.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 as of September 30, 2019:</w:t>
      </w:r>
    </w:p>
    <w:p>
      <w:pPr>
        <w:spacing w:after="0" w:line="310" w:lineRule="exact"/>
        <w:rPr>
          <w:sz w:val="20"/>
          <w:szCs w:val="20"/>
          <w:color w:val="auto"/>
        </w:rPr>
      </w:pPr>
    </w:p>
    <w:tbl>
      <w:tblPr>
        <w:tblLayout w:type="fixed"/>
        <w:tblInd w:w="2240" w:type="dxa"/>
        <w:tblCellMar>
          <w:top w:w="0" w:type="dxa"/>
          <w:left w:w="0" w:type="dxa"/>
          <w:bottom w:w="0" w:type="dxa"/>
          <w:right w:w="0" w:type="dxa"/>
        </w:tblCellMar>
      </w:tblPr>
      <w:tr>
        <w:trPr>
          <w:trHeight w:val="172"/>
        </w:trPr>
        <w:tc>
          <w:tcPr>
            <w:tcW w:w="4960" w:type="dxa"/>
            <w:vAlign w:val="bottom"/>
            <w:gridSpan w:val="3"/>
          </w:tcPr>
          <w:p>
            <w:pPr>
              <w:ind w:left="20"/>
              <w:spacing w:after="0"/>
              <w:rPr>
                <w:sz w:val="20"/>
                <w:szCs w:val="20"/>
                <w:color w:val="auto"/>
              </w:rPr>
            </w:pPr>
            <w:r>
              <w:rPr>
                <w:rFonts w:ascii="Arial" w:cs="Arial" w:eastAsia="Arial" w:hAnsi="Arial"/>
                <w:sz w:val="15"/>
                <w:szCs w:val="15"/>
                <w:b w:val="1"/>
                <w:bCs w:val="1"/>
                <w:color w:val="auto"/>
              </w:rPr>
              <w:t>Lease Term and Discount Rate</w:t>
            </w:r>
          </w:p>
        </w:tc>
        <w:tc>
          <w:tcPr>
            <w:tcW w:w="20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0"/>
        </w:trPr>
        <w:tc>
          <w:tcPr>
            <w:tcW w:w="4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2000" w:type="dxa"/>
            <w:vAlign w:val="bottom"/>
            <w:shd w:val="clear" w:color="auto" w:fill="CCEEFF"/>
          </w:tcPr>
          <w:p>
            <w:pPr>
              <w:ind w:left="1500"/>
              <w:spacing w:after="0"/>
              <w:rPr>
                <w:sz w:val="20"/>
                <w:szCs w:val="20"/>
                <w:color w:val="auto"/>
              </w:rPr>
            </w:pPr>
            <w:r>
              <w:rPr>
                <w:rFonts w:ascii="Arial" w:cs="Arial" w:eastAsia="Arial" w:hAnsi="Arial"/>
                <w:sz w:val="16"/>
                <w:szCs w:val="16"/>
                <w:color w:val="auto"/>
              </w:rPr>
              <w:t>6.41</w:t>
            </w:r>
          </w:p>
        </w:tc>
      </w:tr>
      <w:tr>
        <w:trPr>
          <w:trHeight w:val="251"/>
        </w:trPr>
        <w:tc>
          <w:tcPr>
            <w:tcW w:w="4960" w:type="dxa"/>
            <w:vAlign w:val="bottom"/>
            <w:gridSpan w:val="3"/>
          </w:tcPr>
          <w:p>
            <w:pPr>
              <w:ind w:left="20"/>
              <w:spacing w:after="0"/>
              <w:rPr>
                <w:sz w:val="20"/>
                <w:szCs w:val="20"/>
                <w:color w:val="auto"/>
              </w:rPr>
            </w:pPr>
            <w:r>
              <w:rPr>
                <w:rFonts w:ascii="Arial" w:cs="Arial" w:eastAsia="Arial" w:hAnsi="Arial"/>
                <w:sz w:val="16"/>
                <w:szCs w:val="16"/>
                <w:color w:val="auto"/>
              </w:rPr>
              <w:t>Weighted-average discount rate</w:t>
            </w:r>
          </w:p>
        </w:tc>
        <w:tc>
          <w:tcPr>
            <w:tcW w:w="2000" w:type="dxa"/>
            <w:vAlign w:val="bottom"/>
          </w:tcPr>
          <w:p>
            <w:pPr>
              <w:ind w:left="1500"/>
              <w:spacing w:after="0"/>
              <w:rPr>
                <w:sz w:val="20"/>
                <w:szCs w:val="20"/>
                <w:color w:val="auto"/>
              </w:rPr>
            </w:pPr>
            <w:r>
              <w:rPr>
                <w:rFonts w:ascii="Arial" w:cs="Arial" w:eastAsia="Arial" w:hAnsi="Arial"/>
                <w:sz w:val="16"/>
                <w:szCs w:val="16"/>
                <w:color w:val="auto"/>
              </w:rPr>
              <w:t>7.83%</w:t>
            </w: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74" w:lineRule="exact"/>
        <w:rPr>
          <w:sz w:val="20"/>
          <w:szCs w:val="20"/>
          <w:color w:val="auto"/>
        </w:rPr>
      </w:pPr>
    </w:p>
    <w:tbl>
      <w:tblPr>
        <w:tblLayout w:type="fixed"/>
        <w:tblInd w:w="980" w:type="dxa"/>
        <w:tblCellMar>
          <w:top w:w="0" w:type="dxa"/>
          <w:left w:w="0" w:type="dxa"/>
          <w:bottom w:w="0" w:type="dxa"/>
          <w:right w:w="0" w:type="dxa"/>
        </w:tblCellMar>
      </w:tblPr>
      <w:tr>
        <w:trPr>
          <w:trHeight w:val="172"/>
        </w:trPr>
        <w:tc>
          <w:tcPr>
            <w:tcW w:w="4060" w:type="dxa"/>
            <w:vAlign w:val="bottom"/>
          </w:tcPr>
          <w:p>
            <w:pPr>
              <w:spacing w:after="0"/>
              <w:rPr>
                <w:sz w:val="15"/>
                <w:szCs w:val="15"/>
                <w:color w:val="auto"/>
              </w:rPr>
            </w:pPr>
          </w:p>
        </w:tc>
        <w:tc>
          <w:tcPr>
            <w:tcW w:w="33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Line Item in the Company’s Consolidated</w:t>
            </w: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06"/>
        </w:trPr>
        <w:tc>
          <w:tcPr>
            <w:tcW w:w="4060" w:type="dxa"/>
            <w:vAlign w:val="bottom"/>
          </w:tcPr>
          <w:p>
            <w:pPr>
              <w:spacing w:after="0"/>
              <w:rPr>
                <w:sz w:val="17"/>
                <w:szCs w:val="17"/>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Balance Sheet</w:t>
            </w:r>
          </w:p>
        </w:tc>
        <w:tc>
          <w:tcPr>
            <w:tcW w:w="220" w:type="dxa"/>
            <w:vAlign w:val="bottom"/>
          </w:tcPr>
          <w:p>
            <w:pPr>
              <w:spacing w:after="0"/>
              <w:rPr>
                <w:sz w:val="17"/>
                <w:szCs w:val="17"/>
                <w:color w:val="auto"/>
              </w:rPr>
            </w:pPr>
          </w:p>
        </w:tc>
        <w:tc>
          <w:tcPr>
            <w:tcW w:w="1880" w:type="dxa"/>
            <w:vAlign w:val="bottom"/>
          </w:tcPr>
          <w:p>
            <w:pPr>
              <w:jc w:val="right"/>
              <w:ind w:right="260"/>
              <w:spacing w:after="0"/>
              <w:rPr>
                <w:sz w:val="20"/>
                <w:szCs w:val="20"/>
                <w:color w:val="auto"/>
              </w:rPr>
            </w:pPr>
            <w:r>
              <w:rPr>
                <w:rFonts w:ascii="Arial" w:cs="Arial" w:eastAsia="Arial" w:hAnsi="Arial"/>
                <w:sz w:val="15"/>
                <w:szCs w:val="15"/>
                <w:b w:val="1"/>
                <w:bCs w:val="1"/>
                <w:color w:val="auto"/>
              </w:rPr>
              <w:t>September 30, 2019</w:t>
            </w:r>
          </w:p>
        </w:tc>
      </w:tr>
      <w:tr>
        <w:trPr>
          <w:trHeight w:val="160"/>
        </w:trPr>
        <w:tc>
          <w:tcPr>
            <w:tcW w:w="4060" w:type="dxa"/>
            <w:vAlign w:val="bottom"/>
          </w:tcPr>
          <w:p>
            <w:pPr>
              <w:spacing w:after="0"/>
              <w:rPr>
                <w:sz w:val="13"/>
                <w:szCs w:val="13"/>
                <w:color w:val="auto"/>
              </w:rPr>
            </w:pPr>
          </w:p>
        </w:tc>
        <w:tc>
          <w:tcPr>
            <w:tcW w:w="3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tcPr>
          <w:p>
            <w:pPr>
              <w:spacing w:after="0"/>
              <w:rPr>
                <w:sz w:val="13"/>
                <w:szCs w:val="13"/>
                <w:color w:val="auto"/>
              </w:rPr>
            </w:pPr>
          </w:p>
        </w:tc>
      </w:tr>
      <w:tr>
        <w:trPr>
          <w:trHeight w:val="27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89,159</w:t>
            </w:r>
          </w:p>
        </w:tc>
      </w:tr>
      <w:tr>
        <w:trPr>
          <w:trHeight w:val="260"/>
        </w:trPr>
        <w:tc>
          <w:tcPr>
            <w:tcW w:w="4060" w:type="dxa"/>
            <w:vAlign w:val="bottom"/>
          </w:tcPr>
          <w:p>
            <w:pPr>
              <w:ind w:left="20"/>
              <w:spacing w:after="0"/>
              <w:rPr>
                <w:sz w:val="20"/>
                <w:szCs w:val="20"/>
                <w:color w:val="auto"/>
              </w:rPr>
            </w:pPr>
            <w:r>
              <w:rPr>
                <w:rFonts w:ascii="Arial" w:cs="Arial" w:eastAsia="Arial" w:hAnsi="Arial"/>
                <w:sz w:val="16"/>
                <w:szCs w:val="16"/>
                <w:color w:val="auto"/>
              </w:rPr>
              <w:t>Current portion, operating lease liabilities</w:t>
            </w:r>
          </w:p>
        </w:tc>
        <w:tc>
          <w:tcPr>
            <w:tcW w:w="330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18,499</w:t>
            </w:r>
          </w:p>
        </w:tc>
      </w:tr>
      <w:tr>
        <w:trPr>
          <w:trHeight w:val="28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72,730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72"/>
        </w:trPr>
        <w:tc>
          <w:tcPr>
            <w:tcW w:w="6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right"/>
              <w:ind w:right="321"/>
              <w:spacing w:after="0"/>
              <w:rPr>
                <w:sz w:val="20"/>
                <w:szCs w:val="20"/>
                <w:color w:val="auto"/>
              </w:rPr>
            </w:pPr>
            <w:r>
              <w:rPr>
                <w:rFonts w:ascii="Arial" w:cs="Arial" w:eastAsia="Arial" w:hAnsi="Arial"/>
                <w:sz w:val="15"/>
                <w:szCs w:val="15"/>
                <w:b w:val="1"/>
                <w:bCs w:val="1"/>
                <w:color w:val="auto"/>
              </w:rPr>
              <w:t>Nine months ended</w:t>
            </w:r>
          </w:p>
        </w:tc>
      </w:tr>
      <w:tr>
        <w:trPr>
          <w:trHeight w:val="206"/>
        </w:trPr>
        <w:tc>
          <w:tcPr>
            <w:tcW w:w="65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rPr>
              <w:t>September 30, 2019</w:t>
            </w:r>
          </w:p>
        </w:tc>
      </w:tr>
      <w:tr>
        <w:trPr>
          <w:trHeight w:val="268"/>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4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60"/>
        </w:trPr>
        <w:tc>
          <w:tcPr>
            <w:tcW w:w="6560" w:type="dxa"/>
            <w:vAlign w:val="bottom"/>
          </w:tcPr>
          <w:p>
            <w:pPr>
              <w:ind w:left="140"/>
              <w:spacing w:after="0"/>
              <w:rPr>
                <w:sz w:val="20"/>
                <w:szCs w:val="20"/>
                <w:color w:val="auto"/>
              </w:rPr>
            </w:pPr>
            <w:r>
              <w:rPr>
                <w:rFonts w:ascii="Arial" w:cs="Arial" w:eastAsia="Arial" w:hAnsi="Arial"/>
                <w:sz w:val="16"/>
                <w:szCs w:val="16"/>
                <w:color w:val="auto"/>
              </w:rPr>
              <w:t>Operating cash flows from operating leases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
              <w:spacing w:after="0"/>
              <w:rPr>
                <w:sz w:val="20"/>
                <w:szCs w:val="20"/>
                <w:color w:val="auto"/>
              </w:rPr>
            </w:pPr>
            <w:r>
              <w:rPr>
                <w:rFonts w:ascii="Arial" w:cs="Arial" w:eastAsia="Arial" w:hAnsi="Arial"/>
                <w:sz w:val="16"/>
                <w:szCs w:val="16"/>
                <w:color w:val="auto"/>
              </w:rPr>
              <w:t>18,574</w:t>
            </w:r>
          </w:p>
        </w:tc>
      </w:tr>
      <w:tr>
        <w:trPr>
          <w:trHeight w:val="280"/>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2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51"/>
        </w:trPr>
        <w:tc>
          <w:tcPr>
            <w:tcW w:w="656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
              <w:spacing w:after="0"/>
              <w:rPr>
                <w:sz w:val="20"/>
                <w:szCs w:val="20"/>
                <w:color w:val="auto"/>
              </w:rPr>
            </w:pPr>
            <w:r>
              <w:rPr>
                <w:rFonts w:ascii="Arial" w:cs="Arial" w:eastAsia="Arial" w:hAnsi="Arial"/>
                <w:sz w:val="16"/>
                <w:szCs w:val="16"/>
                <w:color w:val="auto"/>
              </w:rPr>
              <w:t>14,178</w:t>
            </w:r>
          </w:p>
        </w:tc>
      </w:tr>
      <w:tr>
        <w:trPr>
          <w:trHeight w:val="945"/>
        </w:trPr>
        <w:tc>
          <w:tcPr>
            <w:tcW w:w="6560" w:type="dxa"/>
            <w:vAlign w:val="bottom"/>
          </w:tcPr>
          <w:p>
            <w:pPr>
              <w:ind w:left="4280"/>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P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Company entered into a Management Services Agreement ("MSA") with CGM effective May 16, 2006. The MSA provides for, among other things, CGM to perform services for the Company in exchange for a management fee paid quarterly and equal to 0.5% of the Company's adjusted net assets, as defined in the MSA. Concurrent with the June 2019 sale of Clean Earth (refer to </w:t>
      </w:r>
      <w:hyperlink w:anchor="page15">
        <w:r>
          <w:rPr>
            <w:rFonts w:ascii="Arial" w:cs="Arial" w:eastAsia="Arial" w:hAnsi="Arial"/>
            <w:sz w:val="18"/>
            <w:szCs w:val="18"/>
            <w:u w:val="single" w:color="auto"/>
            <w:color w:val="0000EE"/>
          </w:rPr>
          <w:t>Note C - Discontinued Operations</w:t>
        </w:r>
      </w:hyperlink>
      <w:r>
        <w:rPr>
          <w:rFonts w:ascii="Arial" w:cs="Arial" w:eastAsia="Arial" w:hAnsi="Arial"/>
          <w:sz w:val="18"/>
          <w:szCs w:val="18"/>
          <w:color w:val="auto"/>
        </w:rPr>
        <w:t>) CGM agreed to waive the management fee on cash balances held at the Company, commencing with the quarter ended June 30, 2019 and continuing until the quarter during which the Company next borrows under the 2018 Revolving Credit Facility.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Foam Fabricators, which was acquired in 2018, and Velocity Outdoor, which was acquired in 2017, each entered into an Integration Services Agreement ("ISA") with CGM. The ISA provides for CGM to provide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Each ISA is for the twelve month period subsequent to the acquisition. Velocity Outdoor paid CGM a total of $1.5 million in integration services fees, with $0.75 million paid in 2018. Foam Fabricators paid CGM $ 2.3 million over the term of the ISA, $2.0 million in 2018 and $0.3 million in 2019. Integration services fees are included in selling, general and administrative expense on the subsidiaries' statement of operations in the period in which they are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its businesses have the following significant related party transactions</w:t>
      </w:r>
      <w:r>
        <w:rPr>
          <w:rFonts w:ascii="Arial" w:cs="Arial" w:eastAsia="Arial" w:hAnsi="Arial"/>
          <w:sz w:val="18"/>
          <w:szCs w:val="18"/>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Sterno Recapitalization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2018, the Company completed a recapitalization at Sterno whereby the Company entered into an amendment to the intercompany loan agreement with Sterno (the "Sterno Loan Agreement"). The Sterno Loan Agreement was amended to (i) provide for term loan borrowings of $56.8 million to fund a distribution to the Company, which owned 100% of the outstanding equity of Sterno at the time of the recapitalization, and (ii) extend the maturity dates of the term loans. In connection with the recapitalization, Sterno's management team exercised all of their vested stock options, which represented 58,000 shares of Sterno. The Company then used a portion of the distribution to repurchase the 58,000 shares from management for a total purchase price of $6.0 million. In addition, Sterno issued new stock options to replace the exercised options, thus maintaining the same percentage of fully diluted non-controlling interest that existed prior to the recapitalization.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5.11 via the executive's 40% ownership interest in the vendor. During the three and nine months ended September 30, 2019, 5.11 purchased approximately $1.1 million and $3.2 million, respectively, in inventory from the vendor.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6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10 -Q as well as those risk factors discussed in the section entitled "Risk Factors" in our Annual Report on Form 10-K for the year ended December 31, 2018 and in the section entitled "Risk Factors" in Part II, Item 1A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("Holdings") was incorporated in Delaware on November 18, 2005. Compass Group Diversified Holdings LLC (the "Company") was also formed on November 18, 2005. Holdings and the Company (collectively "CODI") were formed to acquire and manage a group of small and middle-market businesses headquartered in North America. The Company is the operating entity and is a controlling owner of eight businesses, or operating segments, at September 30, 2019. The segments are as follows: 5.11 Acquisition Corp. ("5.11" or "5.11 Tactical"), The Ergo Baby Carrier, Inc. ("Ergobaby"), Liberty Safe and Security Products, Inc. ("Liberty Safe" or "Liberty"), Velocity Outdoor, Inc. (formerly Crosman Corp.) ("Velocity Outdoor" or "Velocity"), Compass AC Holdings, Inc. ("ACI" or "Advanced Circuits"), AMT Acquisition Corporation ("Arnold"), FFI Compass, Inc. ("Foam Fabricators" or "Foam") and The Sterno Group, LLC ("Sterno").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acquired our existing businesses (segments) that we own at September 30, 2019 as follows:</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06"/>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Borders>
              <w:bottom w:val="single" w:sz="8" w:color="auto"/>
            </w:tcBorders>
            <w:gridSpan w:val="3"/>
          </w:tcPr>
          <w:p>
            <w:pPr>
              <w:ind w:left="480"/>
              <w:spacing w:after="0"/>
              <w:rPr>
                <w:sz w:val="20"/>
                <w:szCs w:val="20"/>
                <w:color w:val="auto"/>
              </w:rPr>
            </w:pPr>
            <w:r>
              <w:rPr>
                <w:rFonts w:ascii="Arial" w:cs="Arial" w:eastAsia="Arial" w:hAnsi="Arial"/>
                <w:sz w:val="15"/>
                <w:szCs w:val="15"/>
                <w:b w:val="1"/>
                <w:bCs w:val="1"/>
                <w:color w:val="auto"/>
              </w:rPr>
              <w:t>Ownership Interest - September 30, 2019</w:t>
            </w:r>
          </w:p>
        </w:tc>
      </w:tr>
      <w:tr>
        <w:trPr>
          <w:trHeight w:val="264"/>
        </w:trPr>
        <w:tc>
          <w:tcPr>
            <w:tcW w:w="2220" w:type="dxa"/>
            <w:vAlign w:val="bottom"/>
            <w:tcBorders>
              <w:bottom w:val="single" w:sz="8" w:color="auto"/>
            </w:tcBorders>
          </w:tcPr>
          <w:p>
            <w:pPr>
              <w:ind w:left="760"/>
              <w:spacing w:after="0"/>
              <w:rPr>
                <w:sz w:val="20"/>
                <w:szCs w:val="20"/>
                <w:color w:val="auto"/>
              </w:rPr>
            </w:pPr>
            <w:r>
              <w:rPr>
                <w:rFonts w:ascii="Arial" w:cs="Arial" w:eastAsia="Arial" w:hAnsi="Arial"/>
                <w:sz w:val="15"/>
                <w:szCs w:val="15"/>
                <w:b w:val="1"/>
                <w:bCs w:val="1"/>
                <w:color w:val="auto"/>
              </w:rPr>
              <w:t>Business</w:t>
            </w:r>
          </w:p>
        </w:tc>
        <w:tc>
          <w:tcPr>
            <w:tcW w:w="12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Acquisition Date</w:t>
            </w:r>
          </w:p>
        </w:tc>
        <w:tc>
          <w:tcPr>
            <w:tcW w:w="12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ind w:left="660"/>
              <w:spacing w:after="0"/>
              <w:rPr>
                <w:sz w:val="20"/>
                <w:szCs w:val="20"/>
                <w:color w:val="auto"/>
              </w:rPr>
            </w:pPr>
            <w:r>
              <w:rPr>
                <w:rFonts w:ascii="Arial" w:cs="Arial" w:eastAsia="Arial" w:hAnsi="Arial"/>
                <w:sz w:val="15"/>
                <w:szCs w:val="15"/>
                <w:b w:val="1"/>
                <w:bCs w:val="1"/>
                <w:color w:val="auto"/>
              </w:rPr>
              <w:t>Primary</w:t>
            </w:r>
          </w:p>
        </w:tc>
        <w:tc>
          <w:tcPr>
            <w:tcW w:w="10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Diluted</w:t>
            </w:r>
          </w:p>
        </w:tc>
      </w:tr>
      <w:tr>
        <w:trPr>
          <w:trHeight w:val="254"/>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Advanced Circuits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16, 2006</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2"/>
                <w:szCs w:val="2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65.4%</w:t>
            </w:r>
          </w:p>
        </w:tc>
      </w:tr>
      <w:tr>
        <w:trPr>
          <w:trHeight w:val="260"/>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Liberty Safe</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March 31, 2010</w:t>
            </w:r>
          </w:p>
        </w:tc>
        <w:tc>
          <w:tcPr>
            <w:tcW w:w="1900" w:type="dxa"/>
            <w:vAlign w:val="bottom"/>
          </w:tcPr>
          <w:p>
            <w:pPr>
              <w:jc w:val="center"/>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88.4%</w:t>
            </w:r>
          </w:p>
        </w:tc>
      </w:tr>
      <w:tr>
        <w:trPr>
          <w:trHeight w:val="28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16, 2010</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24"/>
                <w:szCs w:val="2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75.8%</w:t>
            </w:r>
          </w:p>
        </w:tc>
      </w:tr>
      <w:tr>
        <w:trPr>
          <w:trHeight w:val="260"/>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Arnold</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March 5, 2012</w:t>
            </w:r>
          </w:p>
        </w:tc>
        <w:tc>
          <w:tcPr>
            <w:tcW w:w="1900" w:type="dxa"/>
            <w:vAlign w:val="bottom"/>
          </w:tcPr>
          <w:p>
            <w:pPr>
              <w:jc w:val="center"/>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80.2%</w:t>
            </w:r>
          </w:p>
        </w:tc>
      </w:tr>
      <w:tr>
        <w:trPr>
          <w:trHeight w:val="28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10, 2014</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4"/>
                <w:szCs w:val="2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88.5%</w:t>
            </w:r>
          </w:p>
        </w:tc>
      </w:tr>
      <w:tr>
        <w:trPr>
          <w:trHeight w:val="260"/>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5.11 Tactical</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August 31, 2016</w:t>
            </w:r>
          </w:p>
        </w:tc>
        <w:tc>
          <w:tcPr>
            <w:tcW w:w="1900" w:type="dxa"/>
            <w:vAlign w:val="bottom"/>
          </w:tcPr>
          <w:p>
            <w:pPr>
              <w:jc w:val="center"/>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88.9%</w:t>
            </w:r>
          </w:p>
        </w:tc>
      </w:tr>
      <w:tr>
        <w:trPr>
          <w:trHeight w:val="28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 2017</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24"/>
                <w:szCs w:val="2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93.0%</w:t>
            </w:r>
          </w:p>
        </w:tc>
      </w:tr>
      <w:tr>
        <w:trPr>
          <w:trHeight w:val="251"/>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Foam Fabricators</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15, 2018</w:t>
            </w:r>
          </w:p>
        </w:tc>
        <w:tc>
          <w:tcPr>
            <w:tcW w:w="1900" w:type="dxa"/>
            <w:vAlign w:val="bottom"/>
          </w:tcPr>
          <w:p>
            <w:pPr>
              <w:jc w:val="center"/>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91.5%</w:t>
            </w:r>
          </w:p>
        </w:tc>
      </w:tr>
    </w:tbl>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categorize the businesses we own into two separate groups of businesses: (i) branded consumer businesses, and (ii) niche industrial businesses. Branded consumer businesses are characterized as those businesses that we believe capitalize on a valuable brand name in their respective market sector. We believe that our branded consumer businesses are leaders in their particular product category. Niche industrial businesses are characterized as those businesses that focus on manufacturing and selling particular products and industrial services within a specific market sector. We believe that our niche industrial businesses are leaders in their specific market sector. The following is an overview of each of our businesses: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Consumer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5.11 Tactical </w:t>
      </w:r>
      <w:r>
        <w:rPr>
          <w:rFonts w:ascii="Arial" w:cs="Arial" w:eastAsia="Arial" w:hAnsi="Arial"/>
          <w:sz w:val="18"/>
          <w:szCs w:val="18"/>
          <w:color w:val="auto"/>
        </w:rPr>
        <w:t>- 5.11 is a leading provider of purpose-built tactical apparel and gear for law enforcement, firefighters, EMS, and military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Ergobaby </w:t>
      </w:r>
      <w:r>
        <w:rPr>
          <w:rFonts w:ascii="Arial" w:cs="Arial" w:eastAsia="Arial" w:hAnsi="Arial"/>
          <w:sz w:val="18"/>
          <w:szCs w:val="18"/>
          <w:color w:val="auto"/>
        </w:rPr>
        <w:t>- Headquartered in Los Angeles, California, Ergobaby is dedicated to building a global community of confident parents with smart,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ergonomic solutions that enable and encourage bonding between parents and babies. Ergobaby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360" w:right="239" w:bottom="1440" w:gutter="0" w:footer="0" w:header="0"/>
        </w:sectPr>
      </w:pPr>
    </w:p>
    <w:bookmarkStart w:id="37" w:name="page38"/>
    <w:bookmarkEnd w:id="37"/>
    <w:p>
      <w:pPr>
        <w:jc w:val="both"/>
        <w:spacing w:after="0" w:line="262" w:lineRule="auto"/>
        <w:rPr>
          <w:sz w:val="20"/>
          <w:szCs w:val="20"/>
          <w:color w:val="auto"/>
        </w:rPr>
      </w:pPr>
      <w:r>
        <w:rPr>
          <w:rFonts w:ascii="Arial" w:cs="Arial" w:eastAsia="Arial" w:hAnsi="Arial"/>
          <w:sz w:val="18"/>
          <w:szCs w:val="18"/>
          <w:color w:val="auto"/>
        </w:rPr>
        <w:t>offers a broad range of award-winning baby carriers, strollers, car seats, swaddlers, nursing pillows, and related products that fit into families’ daily lives seamlessly, comfortably and safely. Historically, Ergobaby derives more than 50% of its sales from outside of the United States.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Liberty </w:t>
      </w:r>
      <w:r>
        <w:rPr>
          <w:rFonts w:ascii="Arial" w:cs="Arial" w:eastAsia="Arial" w:hAnsi="Arial"/>
          <w:sz w:val="18"/>
          <w:szCs w:val="18"/>
          <w:color w:val="auto"/>
        </w:rPr>
        <w:t>- Founded in 1988, Liberty Safe is the premier designer, manufacturer and marketer of home and gun safes in North America.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300,000 square foot manufacturing facility, Liberty Safe produces a wide range of home and gun safe models in a broad assortment of sizes, features and styles ranging from an entry level product to good, better and best products. Products are marketed under the Liberty brand, as well as a portfolio of licensed and private label brands, including Cabela’s, Case IH, Colt and John Deere. Liberty Safe’s products are the market share leader and are sold through an independent dealer network ("Dealer sales") in addition to various sporting goods, farm and fleet and home improvement retail outlets ("Non-Dealer sales"). Liberty has the largest independent dealer network in the industry.</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leading designer, manufacturer, and marketer of airguns, archery products, laser aiming devices and related accessories,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Velocity Outdoor offers its products under the highly recognizable Crosman, Benjamin, LaserMax, Ravin and CenterPoint brands that are available through national retail chains, mass merchants, dealer and distributor networks. The airgun product category consists of air rifles, air pistols and a range of accessories including targets, holsters and cases. Velocity Outdoor's other primary product categories are archery, with products including CenterPoint crossbows and the Pioneer Airbow, consumables, which includes steel and plastic BBs, lead pellets and CO2 cartridges, lasers for firearms, and airsoft products. In September 2018, Velocity acquired Ravin Crossbows, LLC ("Ravin" or "Ravin Crossbows"), a manufacturer and innovator of crossbows and accessories. Ravin primarily focuses on the higher-end segment of the crossbow market and has developed significant intellectual property related to the advancement of crossbow technology. Velocity Outdoor is headquartered in Bloomfield, New York.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Advanced Circuits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Circuits is a provider of small-run, quick-turn and volume production printed circuit boards ("PCBs")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throughout the United States. Historically, small-run and quick-turn PCBs have represented approximately 50% - 55% of Advanced Circuits’ gross sales. Small-run and quick-turn PCBs typically command higher margins than volume production PCBs given that customers require high levels of responsiveness, technical support and timely delivery of small-run and quick-turn PCBs and are willing to pay a premium for them. Advanced Circuits is able to meet its customers’ demands by manufacturing custom PCBs in as little as 24 hours, while maintaining over 98.0% error-free production rates and real-time customer service and product tracking 24 hours per day.</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serves a variety of markets including aerospace and defense, motorsport/ automotive, oil and gas, medical, general industrial,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reprographics and advertising specialties. Over the course of more than 100 years, Arnold has successfully evolved and adapted our products, technologies, and manufacturing presence to meet the demands of current and emerging markets. Arnold produces high performance permanent magnets (PMAG), precision foil products (Precision Thin Metals or "PTM"), and flexible magnets (Flexmag™) that are mission critical in motors, generators, sensors and other systems and components. Arnold has expanded globally and built strong relationships with our customers worldwide. Arnold is the largest and, we believe, the most technically advanced U.S. manufacturer of engineered magnetic systems. Arnold is headquartered in Rochester, New York.</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Foam Fabricators </w:t>
      </w:r>
      <w:r>
        <w:rPr>
          <w:rFonts w:ascii="Arial" w:cs="Arial" w:eastAsia="Arial" w:hAnsi="Arial"/>
          <w:sz w:val="18"/>
          <w:szCs w:val="18"/>
          <w:color w:val="auto"/>
        </w:rPr>
        <w:t>- Founded in 1957 and headquartered in Scottsdale, Arizona, Foam Fabricators is a designer and manufacturer of custom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molded protective foam solutions and original equipment manufacturer (OEM) components made from expanded polystyrene (EPS) and expanded polypropylene (EPP). Foam Fabricators operates 13 molding and fabricating facilities across North America and provides products to a variety of end-markets, including appliances and electronics, pharmaceuticals, health and wellness, automotive, building products and others.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Sterno, headquartered in Corona, California, is the parent company of Sterno Products, LLC ("Sterno Products"), Sterno Home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("Sterno Home"), and Rimports Inc. ("Rimports"). Sterno is a leading manufacturer and marketer of portable food warming fuels for the hospitality and consumer markets, flameless candles and house and garden lighting for the home decor market, and wickless candle products used for home decor and fragrance systems. Sterno offers a broad range of wick and gel chafing fuels, butane stoves and accessories, liquid and traditional wax candles, catering equipment and lamps through their Sterno Products division. In January 2016, Sterno acquired Northern International, Inc. (formerly Sterno Home), which sells flameless candles and outdoor lighting products through the retail segment, and in February 2018, Sterno acquired Rimports, which is a manufacturer and distributor of branded and private label scented wax cubes and warmer products used for home decor and fragrance systems.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54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Our management team’s strategy for our businesses involves:</w:t>
      </w:r>
    </w:p>
    <w:p>
      <w:pPr>
        <w:spacing w:after="0" w:line="63" w:lineRule="exact"/>
        <w:rPr>
          <w:sz w:val="20"/>
          <w:szCs w:val="20"/>
          <w:color w:val="auto"/>
        </w:rPr>
      </w:pPr>
    </w:p>
    <w:p>
      <w:pPr>
        <w:ind w:left="620" w:hanging="315"/>
        <w:spacing w:after="0" w:line="250"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utilizing structured incentive compensation programs tailored to each business to attract, recruit and retain talented managers to operate our businesses;</w:t>
      </w:r>
    </w:p>
    <w:p>
      <w:pPr>
        <w:ind w:left="620" w:hanging="315"/>
        <w:spacing w:after="0" w:line="250"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regularly monitoring financial and operational performance, instilling consistent financial discipline, and supporting management in the development and implementation of information systems to effectively achieve these goals;</w:t>
      </w:r>
    </w:p>
    <w:p>
      <w:pPr>
        <w:ind w:left="620" w:hanging="315"/>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assisting management in their analysis and pursuit of prudent organic cash flow growth strategies (both revenue and cost related);</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and working with management to execute attractive external growth and acquisition opportunities; and</w:t>
      </w:r>
    </w:p>
    <w:p>
      <w:pPr>
        <w:spacing w:after="0" w:line="9" w:lineRule="exact"/>
        <w:rPr>
          <w:rFonts w:ascii="Arial" w:cs="Arial" w:eastAsia="Arial" w:hAnsi="Arial"/>
          <w:sz w:val="18"/>
          <w:szCs w:val="18"/>
          <w:color w:val="auto"/>
        </w:rPr>
      </w:pPr>
    </w:p>
    <w:p>
      <w:pPr>
        <w:ind w:left="620" w:hanging="315"/>
        <w:spacing w:after="0" w:line="262"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forming strong subsidiary level boards of directors to supplement management in their development and implementation of strategic goals and objectives.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our businesses have different growth opportunities and potential rates of growth, we work with the management teams of each of our businesses to increase the value of, and cash generated by, each business through various initiatives, including making selective capital investments to expand geographic reach, increase capacity or reduce manufacturing costs of our businesses; improving and expanding existing sales and marketing programs; and assisting in the acquisition and integration of complementary businesses.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remain focused on marketing our Company's attractive ownership and management attributes to potential sellers of middle market businesses. In addition, we continue to pursue opportunities for add-on acquisitions by our existing subsidiary companies, which can be particularly attractive from a strategic perspective. The middle market continues to be an active segment for deal flow, with further acceleration of deal flow expected in 2019. High valuation levels continue to be driven by the availability of debt capital with favorable terms and financial and strategic buyers seeking to deploy available equity capital. We believe that companies will focus on expanding their customer bases by diversifying their products and services in existing geographic areas during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Clean Earth</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8, 2019, the Company, as majority stockholder of CEHI Acquisition Corporation (" Clean Earth" or “CEHI”) and as Sellers’ Representative, entered into a definitive Stock Purchase Agreement (the “Purchase Agreement”) with Calrissian Holdings, LLC (“Buyer”), CEHI, the other holders of stock and options of CEHI and, as Buyer’s guarantor, Harsco Corporation, pursuant to which Buyer would acquire all of the issued and outstanding securities of CEHI, the parent company of the operating entity, Clean Earth, Inc.</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28, 2019, Buyer completed the acquisition of all of the issued and outstanding securities of CEHI pursuant to the Purchase Agreement. The sale price for CEHI was based on an aggregate total enterprise value of $625 million and is subject to customary working capital adjustments. After the allocation of the sale proceeds to CEHI non-controlling equity holders and the payment of transaction expenses of approximately $10.7 million, we received approximately $552 million of total proceeds at closing related to our debt and equity interests in CEHI. We recognized a gain on the sale of CEHI of $206.3 million in the second quarter of 2019. During the third quarter of 2019, we received the working capital settlement from the Buyer and recorded an additional $2.2 million gain related to the sale of Clean Earth.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Manitoba Harvest</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19, 2019, we entered into a definitive agreement with Tilray, Inc. ("Tilray") and a wholly-owned subsidiary of Tilray, 1197879 B.C. Ltd. (“Tilray Subco”), to sell to Tilray, through Tilray Subco, all of the issued and outstanding securities of our majority owned subsidiary, Manitoba Harvest for total consideration of up to C$419 million. The completion of the sale of Manitoba Harvest was subject to approval by the British Columbia Supreme Court, which occurred on February 21, 2019. The sale closed on February 28, 2019. Subject to certain customary adjustments, the shareholders of Manitoba Harvest, including the Company, received or will receive the following from Tilray as consideration for their shares of Manitoba Harvest: (i) C$150 million in cash to the holders of preferred shares of Manitoba Harvest and the holders of common shares of Manitoba Harvest (“Common Holders”) and C$127.5 million in shares of class 2 Common Stock of Tilray (“Tilray Common Stock”) to the Common Holders on the closing date of the sale (the “Closing Date Consideration”), and (ii) C $50 million in cash and C$42.5 million in Tilray Common Stock to the Common Holders on the date that is six months after the closing date of the arrangement (the “Deferred Consideration”). The sale consideration also includes a potential earnout of up to C$49 million in Tilray Common Stock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98" w:right="239" w:bottom="1440" w:gutter="0" w:footer="0" w:header="0"/>
        </w:sectPr>
      </w:pPr>
    </w:p>
    <w:bookmarkStart w:id="39" w:name="page40"/>
    <w:bookmarkEnd w:id="39"/>
    <w:p>
      <w:pPr>
        <w:jc w:val="both"/>
        <w:spacing w:after="0" w:line="262" w:lineRule="auto"/>
        <w:rPr>
          <w:sz w:val="20"/>
          <w:szCs w:val="20"/>
          <w:color w:val="auto"/>
        </w:rPr>
      </w:pPr>
      <w:r>
        <w:rPr>
          <w:rFonts w:ascii="Arial" w:cs="Arial" w:eastAsia="Arial" w:hAnsi="Arial"/>
          <w:sz w:val="18"/>
          <w:szCs w:val="18"/>
          <w:color w:val="auto"/>
        </w:rPr>
        <w:t>to the Common Holders, if Manitoba Harvest achieves certain levels of U.S. branded gross sales of edible or topical products containing broad spectrum hemp extracts or cannabidiols prior to December 31, 2019.</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cash portion of the Closing Date Consideration was reduced by the amount of the net indebtedness (including accrued interest) of Manitoba Harvest on the closing date of C $71.3 million ($53.7 million) and transaction expenses of approximately C$5.0 million. We recognized a gain on the sale of Manitoba Harvest of $121.7 million in the first quarter of 2019. Refer to "Liquidity and Capital Resources, Profit Allocation Payments" for a discussion of the profit allocation associated with the sale of Manitoba Harvest. Our share of the net proceeds after accounting for the redemption of the noncontrolling shareholders and the payment of net indebtedness of Manitoba Harvest and transaction expenses was approximately $124.2 million in cash proceeds and in Tilray Common Stock. In August 2019, the Company received the Deferred Consideration related to the sale. The Company's portion of the Deferred Consideration totaled $28.4 million in cash proceeds and $19.6 million in Tilray Common Stock. No amount has been recorded related to the potential earnout as of September 30, 2019 based on an assessment of probability at the end of the quarter.</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Tilray Common Stock consideration was issued in reliance on the exemption from the registration requirements of the Securities Act of 1933, as amended (the "Securities Act") and pursuant to exemptions from applicable securities laws of any state of the United States, such that any shares of Tilray Common Stock received by the Common Holders were freely tradeable. We sold the Tilray Common Stock received as part of the Closing Consideration during March 2019, recognizing a net loss of $ 5.3 million in Other income (expense) during the quarter ended March 31, 2019. In August 2019, the Company sold the Tilray Common Stock received as part of the Deferred Consideration, recognizing a loss of $4.9 million in Other income/ (expense) during the quarter ended September 30,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 GAAP" or "GAAP" refer to generally accepted accounting principles in the United States.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and nine months ended September 30, 2019 and September 30, 2018, and components of the results of operations as well as those components presented as a percent of net revenues, for each of our businesses on a stand-alone basis. For the 2018 acquisitions of Foam Fabricators and Rimports, the pro forma results of operations have been prepared as if we purchased these businesses on January 1, 2018. The historical operating results of Rimports prior to acquisition by Sterno on February 26, 2018 have been added to the results of operations of Sterno for the nine months ended September 30, 2018 for comparability purposes. Where appropriate, relevant pro forma adjustments are reflected as part of the historical operating results. We believe this is the most meaningful comparison of the operating results for each of our business segments. The following results of operations at each of our businesses are not necessarily indicative of the results to be expected for a full year.</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dollar amounts in the financial tables are presented in thousands. References in the financial tables to percentage changes that are not meaningful are denoted by "NM."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9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three and nine months ended September 30, 2019 and 2018:</w:t>
      </w:r>
    </w:p>
    <w:p>
      <w:pPr>
        <w:spacing w:after="0" w:line="313" w:lineRule="exact"/>
        <w:rPr>
          <w:sz w:val="20"/>
          <w:szCs w:val="20"/>
          <w:color w:val="auto"/>
        </w:rPr>
      </w:pPr>
    </w:p>
    <w:tbl>
      <w:tblPr>
        <w:tblLayout w:type="fixed"/>
        <w:tblInd w:w="500" w:type="dxa"/>
        <w:tblCellMar>
          <w:top w:w="0" w:type="dxa"/>
          <w:left w:w="0" w:type="dxa"/>
          <w:bottom w:w="0" w:type="dxa"/>
          <w:right w:w="0" w:type="dxa"/>
        </w:tblCellMar>
      </w:tblPr>
      <w:tr>
        <w:trPr>
          <w:trHeight w:val="206"/>
        </w:trPr>
        <w:tc>
          <w:tcPr>
            <w:tcW w:w="4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65"/>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14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4"/>
                <w:szCs w:val="14"/>
                <w:color w:val="auto"/>
              </w:rPr>
            </w:pPr>
          </w:p>
        </w:tc>
        <w:tc>
          <w:tcPr>
            <w:tcW w:w="14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4"/>
                <w:szCs w:val="14"/>
                <w:color w:val="auto"/>
              </w:rPr>
            </w:pPr>
          </w:p>
        </w:tc>
        <w:tc>
          <w:tcPr>
            <w:tcW w:w="1300" w:type="dxa"/>
            <w:vAlign w:val="bottom"/>
          </w:tcPr>
          <w:p>
            <w:pPr>
              <w:jc w:val="right"/>
              <w:ind w:right="123"/>
              <w:spacing w:after="0" w:line="165" w:lineRule="exact"/>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388,313</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360,283</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1,063,254</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986,402</w:t>
            </w:r>
          </w:p>
        </w:tc>
        <w:tc>
          <w:tcPr>
            <w:tcW w:w="0" w:type="dxa"/>
            <w:vAlign w:val="bottom"/>
          </w:tcPr>
          <w:p>
            <w:pPr>
              <w:spacing w:after="0"/>
              <w:rPr>
                <w:sz w:val="1"/>
                <w:szCs w:val="1"/>
                <w:color w:val="auto"/>
              </w:rPr>
            </w:pPr>
          </w:p>
        </w:tc>
      </w:tr>
      <w:tr>
        <w:trPr>
          <w:trHeight w:val="62"/>
        </w:trPr>
        <w:tc>
          <w:tcPr>
            <w:tcW w:w="428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251,778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restart"/>
          </w:tcPr>
          <w:p>
            <w:pPr>
              <w:jc w:val="right"/>
              <w:ind w:right="23"/>
              <w:spacing w:after="0"/>
              <w:rPr>
                <w:sz w:val="20"/>
                <w:szCs w:val="20"/>
                <w:color w:val="auto"/>
              </w:rPr>
            </w:pPr>
            <w:r>
              <w:rPr>
                <w:rFonts w:ascii="Arial" w:cs="Arial" w:eastAsia="Arial" w:hAnsi="Arial"/>
                <w:sz w:val="15"/>
                <w:szCs w:val="15"/>
                <w:color w:val="auto"/>
              </w:rPr>
              <w:t>236,286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684,601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640,039</w:t>
            </w:r>
          </w:p>
        </w:tc>
        <w:tc>
          <w:tcPr>
            <w:tcW w:w="0" w:type="dxa"/>
            <w:vAlign w:val="bottom"/>
          </w:tcPr>
          <w:p>
            <w:pPr>
              <w:spacing w:after="0"/>
              <w:rPr>
                <w:sz w:val="1"/>
                <w:szCs w:val="1"/>
                <w:color w:val="auto"/>
              </w:rPr>
            </w:pPr>
          </w:p>
        </w:tc>
      </w:tr>
      <w:tr>
        <w:trPr>
          <w:trHeight w:val="58"/>
        </w:trPr>
        <w:tc>
          <w:tcPr>
            <w:tcW w:w="42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Gross profit</w:t>
            </w:r>
          </w:p>
        </w:tc>
        <w:tc>
          <w:tcPr>
            <w:tcW w:w="1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136,535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123,997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378,653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346,363</w:t>
            </w:r>
          </w:p>
        </w:tc>
        <w:tc>
          <w:tcPr>
            <w:tcW w:w="0" w:type="dxa"/>
            <w:vAlign w:val="bottom"/>
          </w:tcPr>
          <w:p>
            <w:pPr>
              <w:spacing w:after="0"/>
              <w:rPr>
                <w:sz w:val="1"/>
                <w:szCs w:val="1"/>
                <w:color w:val="auto"/>
              </w:rPr>
            </w:pPr>
          </w:p>
        </w:tc>
      </w:tr>
      <w:tr>
        <w:trPr>
          <w:trHeight w:val="62"/>
        </w:trPr>
        <w:tc>
          <w:tcPr>
            <w:tcW w:w="4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82,027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restart"/>
          </w:tcPr>
          <w:p>
            <w:pPr>
              <w:jc w:val="right"/>
              <w:ind w:right="23"/>
              <w:spacing w:after="0"/>
              <w:rPr>
                <w:sz w:val="20"/>
                <w:szCs w:val="20"/>
                <w:color w:val="auto"/>
              </w:rPr>
            </w:pPr>
            <w:r>
              <w:rPr>
                <w:rFonts w:ascii="Arial" w:cs="Arial" w:eastAsia="Arial" w:hAnsi="Arial"/>
                <w:sz w:val="15"/>
                <w:szCs w:val="15"/>
                <w:color w:val="auto"/>
              </w:rPr>
              <w:t>79,577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243,736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241,253</w:t>
            </w:r>
          </w:p>
        </w:tc>
        <w:tc>
          <w:tcPr>
            <w:tcW w:w="0" w:type="dxa"/>
            <w:vAlign w:val="bottom"/>
          </w:tcPr>
          <w:p>
            <w:pPr>
              <w:spacing w:after="0"/>
              <w:rPr>
                <w:sz w:val="1"/>
                <w:szCs w:val="1"/>
                <w:color w:val="auto"/>
              </w:rPr>
            </w:pPr>
          </w:p>
        </w:tc>
      </w:tr>
      <w:tr>
        <w:trPr>
          <w:trHeight w:val="58"/>
        </w:trPr>
        <w:tc>
          <w:tcPr>
            <w:tcW w:w="4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Fees to manager</w:t>
            </w: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8,874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10,768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28,352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32,204</w:t>
            </w:r>
          </w:p>
        </w:tc>
        <w:tc>
          <w:tcPr>
            <w:tcW w:w="0" w:type="dxa"/>
            <w:vAlign w:val="bottom"/>
          </w:tcPr>
          <w:p>
            <w:pPr>
              <w:spacing w:after="0"/>
              <w:rPr>
                <w:sz w:val="1"/>
                <w:szCs w:val="1"/>
                <w:color w:val="auto"/>
              </w:rPr>
            </w:pPr>
          </w:p>
        </w:tc>
      </w:tr>
      <w:tr>
        <w:trPr>
          <w:trHeight w:val="62"/>
        </w:trPr>
        <w:tc>
          <w:tcPr>
            <w:tcW w:w="4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0"/>
              <w:spacing w:after="0"/>
              <w:rPr>
                <w:sz w:val="20"/>
                <w:szCs w:val="20"/>
                <w:color w:val="auto"/>
              </w:rPr>
            </w:pPr>
            <w:r>
              <w:rPr>
                <w:rFonts w:ascii="Arial" w:cs="Arial" w:eastAsia="Arial" w:hAnsi="Arial"/>
                <w:sz w:val="15"/>
                <w:szCs w:val="15"/>
                <w:color w:val="auto"/>
              </w:rPr>
              <w:t>Amortization of intangibles</w:t>
            </w: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13,520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restart"/>
          </w:tcPr>
          <w:p>
            <w:pPr>
              <w:jc w:val="right"/>
              <w:ind w:right="23"/>
              <w:spacing w:after="0"/>
              <w:rPr>
                <w:sz w:val="20"/>
                <w:szCs w:val="20"/>
                <w:color w:val="auto"/>
              </w:rPr>
            </w:pPr>
            <w:r>
              <w:rPr>
                <w:rFonts w:ascii="Arial" w:cs="Arial" w:eastAsia="Arial" w:hAnsi="Arial"/>
                <w:sz w:val="15"/>
                <w:szCs w:val="15"/>
                <w:color w:val="auto"/>
              </w:rPr>
              <w:t>12,788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40,632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35,533</w:t>
            </w:r>
          </w:p>
        </w:tc>
        <w:tc>
          <w:tcPr>
            <w:tcW w:w="0" w:type="dxa"/>
            <w:vAlign w:val="bottom"/>
          </w:tcPr>
          <w:p>
            <w:pPr>
              <w:spacing w:after="0"/>
              <w:rPr>
                <w:sz w:val="1"/>
                <w:szCs w:val="1"/>
                <w:color w:val="auto"/>
              </w:rPr>
            </w:pPr>
          </w:p>
        </w:tc>
      </w:tr>
      <w:tr>
        <w:trPr>
          <w:trHeight w:val="58"/>
        </w:trPr>
        <w:tc>
          <w:tcPr>
            <w:tcW w:w="4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expense</w:t>
            </w: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33,381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33,381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4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280" w:type="dxa"/>
            <w:vAlign w:val="bottom"/>
          </w:tcPr>
          <w:p>
            <w:pPr>
              <w:ind w:left="260"/>
              <w:spacing w:after="0"/>
              <w:rPr>
                <w:sz w:val="20"/>
                <w:szCs w:val="20"/>
                <w:color w:val="auto"/>
              </w:rPr>
            </w:pPr>
            <w:r>
              <w:rPr>
                <w:rFonts w:ascii="Arial" w:cs="Arial" w:eastAsia="Arial" w:hAnsi="Arial"/>
                <w:sz w:val="15"/>
                <w:szCs w:val="15"/>
                <w:color w:val="auto"/>
              </w:rPr>
              <w:t>Operating income (loss)</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(1,267)</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20,864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32,552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37,373</w:t>
            </w:r>
          </w:p>
        </w:tc>
        <w:tc>
          <w:tcPr>
            <w:tcW w:w="0" w:type="dxa"/>
            <w:vAlign w:val="bottom"/>
          </w:tcPr>
          <w:p>
            <w:pPr>
              <w:spacing w:after="0"/>
              <w:rPr>
                <w:sz w:val="1"/>
                <w:szCs w:val="1"/>
                <w:color w:val="auto"/>
              </w:rPr>
            </w:pPr>
          </w:p>
        </w:tc>
      </w:tr>
      <w:tr>
        <w:trPr>
          <w:trHeight w:val="58"/>
        </w:trPr>
        <w:tc>
          <w:tcPr>
            <w:tcW w:w="4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(11,525)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(15,635)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(48,424)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(35,227)</w:t>
            </w:r>
          </w:p>
        </w:tc>
        <w:tc>
          <w:tcPr>
            <w:tcW w:w="0" w:type="dxa"/>
            <w:vAlign w:val="bottom"/>
          </w:tcPr>
          <w:p>
            <w:pPr>
              <w:spacing w:after="0"/>
              <w:rPr>
                <w:sz w:val="1"/>
                <w:szCs w:val="1"/>
                <w:color w:val="auto"/>
              </w:rPr>
            </w:pPr>
          </w:p>
        </w:tc>
      </w:tr>
      <w:tr>
        <w:trPr>
          <w:trHeight w:val="62"/>
        </w:trPr>
        <w:tc>
          <w:tcPr>
            <w:tcW w:w="4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0"/>
              <w:spacing w:after="0"/>
              <w:rPr>
                <w:sz w:val="20"/>
                <w:szCs w:val="20"/>
                <w:color w:val="auto"/>
              </w:rPr>
            </w:pPr>
            <w:r>
              <w:rPr>
                <w:rFonts w:ascii="Arial" w:cs="Arial" w:eastAsia="Arial" w:hAnsi="Arial"/>
                <w:sz w:val="15"/>
                <w:szCs w:val="15"/>
                <w:color w:val="auto"/>
              </w:rPr>
              <w:t>Amortization of debt issuance costs</w:t>
            </w:r>
          </w:p>
        </w:tc>
        <w:tc>
          <w:tcPr>
            <w:tcW w:w="1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(770)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5"/>
                <w:szCs w:val="15"/>
                <w:color w:val="auto"/>
              </w:rPr>
              <w:t>(927)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(2,625)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(2,978)</w:t>
            </w:r>
          </w:p>
        </w:tc>
        <w:tc>
          <w:tcPr>
            <w:tcW w:w="0" w:type="dxa"/>
            <w:vAlign w:val="bottom"/>
          </w:tcPr>
          <w:p>
            <w:pPr>
              <w:spacing w:after="0"/>
              <w:rPr>
                <w:sz w:val="1"/>
                <w:szCs w:val="1"/>
                <w:color w:val="auto"/>
              </w:rPr>
            </w:pPr>
          </w:p>
        </w:tc>
      </w:tr>
      <w:tr>
        <w:trPr>
          <w:trHeight w:val="58"/>
        </w:trPr>
        <w:tc>
          <w:tcPr>
            <w:tcW w:w="4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sale of securities</w:t>
            </w: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(10,193)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4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1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(5,727)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restart"/>
          </w:tcPr>
          <w:p>
            <w:pPr>
              <w:jc w:val="right"/>
              <w:ind w:right="23"/>
              <w:spacing w:after="0"/>
              <w:rPr>
                <w:sz w:val="20"/>
                <w:szCs w:val="20"/>
                <w:color w:val="auto"/>
              </w:rPr>
            </w:pPr>
            <w:r>
              <w:rPr>
                <w:rFonts w:ascii="Arial" w:cs="Arial" w:eastAsia="Arial" w:hAnsi="Arial"/>
                <w:sz w:val="15"/>
                <w:szCs w:val="15"/>
                <w:color w:val="auto"/>
              </w:rPr>
              <w:t>511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(6,251)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58"/>
        </w:trPr>
        <w:tc>
          <w:tcPr>
            <w:tcW w:w="42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280" w:type="dxa"/>
            <w:vAlign w:val="bottom"/>
            <w:shd w:val="clear" w:color="auto" w:fill="CCEEFF"/>
          </w:tcPr>
          <w:p>
            <w:pPr>
              <w:ind w:left="260"/>
              <w:spacing w:after="0" w:line="170" w:lineRule="exact"/>
              <w:rPr>
                <w:sz w:val="20"/>
                <w:szCs w:val="20"/>
                <w:color w:val="auto"/>
              </w:rPr>
            </w:pPr>
            <w:r>
              <w:rPr>
                <w:rFonts w:ascii="Arial" w:cs="Arial" w:eastAsia="Arial" w:hAnsi="Arial"/>
                <w:sz w:val="15"/>
                <w:szCs w:val="15"/>
                <w:color w:val="auto"/>
              </w:rPr>
              <w:t>Income (loss) from continuing operations before income</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taxes</w:t>
            </w: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(24,182)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4,813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(34,941)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(3,861)</w:t>
            </w: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160" w:type="dxa"/>
            <w:vAlign w:val="bottom"/>
          </w:tcPr>
          <w:p>
            <w:pPr>
              <w:spacing w:after="0"/>
              <w:rPr>
                <w:sz w:val="16"/>
                <w:szCs w:val="16"/>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4,400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ind w:right="23"/>
              <w:spacing w:after="0"/>
              <w:rPr>
                <w:sz w:val="20"/>
                <w:szCs w:val="20"/>
                <w:color w:val="auto"/>
              </w:rPr>
            </w:pPr>
            <w:r>
              <w:rPr>
                <w:rFonts w:ascii="Arial" w:cs="Arial" w:eastAsia="Arial" w:hAnsi="Arial"/>
                <w:sz w:val="15"/>
                <w:szCs w:val="15"/>
                <w:color w:val="auto"/>
              </w:rPr>
              <w:t>5,470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10,375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restart"/>
          </w:tcPr>
          <w:p>
            <w:pPr>
              <w:jc w:val="right"/>
              <w:ind w:right="23"/>
              <w:spacing w:after="0"/>
              <w:rPr>
                <w:sz w:val="20"/>
                <w:szCs w:val="20"/>
                <w:color w:val="auto"/>
              </w:rPr>
            </w:pPr>
            <w:r>
              <w:rPr>
                <w:rFonts w:ascii="Arial" w:cs="Arial" w:eastAsia="Arial" w:hAnsi="Arial"/>
                <w:sz w:val="15"/>
                <w:szCs w:val="15"/>
                <w:color w:val="auto"/>
              </w:rPr>
              <w:t>7,557</w:t>
            </w:r>
          </w:p>
        </w:tc>
        <w:tc>
          <w:tcPr>
            <w:tcW w:w="0" w:type="dxa"/>
            <w:vAlign w:val="bottom"/>
          </w:tcPr>
          <w:p>
            <w:pPr>
              <w:spacing w:after="0"/>
              <w:rPr>
                <w:sz w:val="1"/>
                <w:szCs w:val="1"/>
                <w:color w:val="auto"/>
              </w:rPr>
            </w:pPr>
          </w:p>
        </w:tc>
      </w:tr>
      <w:tr>
        <w:trPr>
          <w:trHeight w:val="58"/>
        </w:trPr>
        <w:tc>
          <w:tcPr>
            <w:tcW w:w="42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Income (loss)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(11,418)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 consolidated basis, net revenues for the three months ended September 30, 2019 increased by approximately $28.0 million, or 7.8%, compared to the corresponding period in 2018. During the three months ended September 30, 2019 compared to 2018, we saw notable increases in net sales at 5.11 ($14.7 million increase), Velocity Outdoor ($12.4 million increase primarily as a result of the Ravin acquisition), and Liberty ($6.9 million increase), offset by decreases in net sales at Foam Fabricators ($2.0 million decrease) and Sterno ($2.4 million decrease). Refer to "Results of Operations - Business Segments" for a more detailed analysis of net revenues by business segment.</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 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cost of revenues increased approximately $15.5 million during the three months ended September 30, 2019 compared to the corresponding period in 2018. The increase in cost of revenues reflects notable increases at 5.11 ($6.5 million increase), Velocity ($ 7.9 million increase) and Liberty ($5.2 million increase) that corresponds with the increase in net sales at these companies. Gross profit as a percentage of net revenues was approximately 35.2% in the three months ended September 30, 2019 compared to 34.4% in the three months ended September 30, 2018. Refer to "Results of Operations - Business Segments" for a more detailed analysis of gross profit by business segment.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selling, general and administrative expense increased approximately $2.5 million during the three months ended September 30, 2019, compared to the corresponding period in 2018. Refer to "Results of Operations - Business Segments" for a more detailed analysis of selling, general and administrative expense by business segment. At the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22" w:right="239" w:bottom="1440" w:gutter="0" w:footer="0" w:header="0"/>
        </w:sectPr>
      </w:pPr>
    </w:p>
    <w:bookmarkStart w:id="41" w:name="page42"/>
    <w:bookmarkEnd w:id="41"/>
    <w:p>
      <w:pPr>
        <w:ind w:right="280"/>
        <w:spacing w:after="0" w:line="375" w:lineRule="auto"/>
        <w:rPr>
          <w:sz w:val="20"/>
          <w:szCs w:val="20"/>
          <w:color w:val="auto"/>
        </w:rPr>
      </w:pPr>
      <w:r>
        <w:rPr>
          <w:rFonts w:ascii="Arial" w:cs="Arial" w:eastAsia="Arial" w:hAnsi="Arial"/>
          <w:sz w:val="18"/>
          <w:szCs w:val="18"/>
          <w:color w:val="auto"/>
        </w:rPr>
        <w:t xml:space="preserve">corporate level, general and administrative expense was $3.3 million in the third quarter of 2019 and $2.7 million in the third quarter of 2018. </w:t>
      </w:r>
      <w:r>
        <w:rPr>
          <w:rFonts w:ascii="Arial" w:cs="Arial" w:eastAsia="Arial" w:hAnsi="Arial"/>
          <w:sz w:val="18"/>
          <w:szCs w:val="18"/>
          <w:i w:val="1"/>
          <w:iCs w:val="1"/>
          <w:u w:val="single" w:color="auto"/>
          <w:color w:val="auto"/>
        </w:rPr>
        <w:t>Fees to manager</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three months ended September 30, 2019, we incurred approximately $8.9 million in management fees as compared to $10.8 million in fees in the three months ended September 30, 2018. The decrease was attributable to the sales of Manitoba Harvest in the first quarter of 2019 and Clean Earth in the second quarter of</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2019. Concurrent with the June 2019 sale of Clean Earth, CGM agreed to waive the management fee on cash balances held at the Company, commencing with the quarter ended June 30, 2019 and continuing until the quarter during which the Company next borrows under the 2018 Revolving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Amortization expense for the three months ended September 30, 2019 increased $0.7 million as compared to the three months ended September 30, 2018 primarily as a result of finalization of the amortization of intangible assets at Velocity related to the Ravin acquisition in September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Velocity Outdoor performed an interim impairment test of their goodwill during the quarter ended September 30, 2019, which resulted in recording impairment expense of $33.4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interest expense totaling $11.5 million for the three months ended September 30, 2019 compared to $15.6 million for the comparable period in 2018, a decrease of $4.1 million. The decrease in interest expense for the quarter reflects the repayment of $193.8 million on our 2018 Term Loan in July 2019 using a portion of the proceeds from the sale of Clean Earth, as well as a decrease of the average amount outstanding under our revolving credit facility in the third quarter of 2019 as compared to the third quarter of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quarter ended September 30, 2019, we recorded $ 5.7 million in other expense as compared to $0.5 million in other income in the quarter ended September 30, 2018, an increase in expense of $6.2 million. Other expense in the third quarter of 2019 included $5.0 million in expense related to the write-off of debt issuance costs as a result of our partial pay down of our 2018 Term Loan in July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an income tax provision of $4.4 million from continuing operations during the three months ended September 30, 2019 compared to an income tax provision of $5.5 million from continuing operations during the same period in 2018. While our income from continuing operations before taxes for the quarter ended September 30, 2019 decreased by approximately $29.0 million as compared to the prior year quarter ended September 30, 2018, our tax provision increased only $1.1 million as the tax provision reflects an annual effective tax rate at our subsidiaries, the effect of the impairment expense at Velocity and is effected by the losses at our parent company, which is taxed as a partnership.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net revenues for the nine months ended September 30, 2019 increased by approximately $76.9 million, or 7.8%, compared to the corresponding period in 2018. Our acquisitions of Foam Fabricators and Rimports in February 2018 contributed $11.6 million and $33.1 million, respectively, to the increase in net revenues. During the nine months ended September 30, 2019 compared to 2018, we also saw a notable increases in net sales at 5.11 ($27.0 million increase), Velocity ($ 13.1 million increase as a result of the Ravin acquisition on September 2018) and Liberty ($5.8 million increase) partially offset by a decrease in net sales at our legacy Sterno business. Refer to "Results of Operations - Business Segments" for a more detailed analysis of net revenues by business segment.</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90" w:right="239" w:bottom="1440" w:gutter="0" w:footer="0" w:header="0"/>
        </w:sectPr>
      </w:pPr>
    </w:p>
    <w:bookmarkStart w:id="42" w:name="page43"/>
    <w:bookmarkEnd w:id="42"/>
    <w:p>
      <w:pPr>
        <w:jc w:val="both"/>
        <w:spacing w:after="0" w:line="256" w:lineRule="auto"/>
        <w:rPr>
          <w:sz w:val="20"/>
          <w:szCs w:val="20"/>
          <w:color w:val="auto"/>
        </w:rPr>
      </w:pPr>
      <w:r>
        <w:rPr>
          <w:rFonts w:ascii="Arial" w:cs="Arial" w:eastAsia="Arial" w:hAnsi="Arial"/>
          <w:sz w:val="18"/>
          <w:szCs w:val="18"/>
          <w:color w:val="auto"/>
        </w:rPr>
        <w:t>businesses is typically in the form of loans from the Company to such businesses, as well as equity interests in 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 consolidated basis, cost of revenues increased approximately $44.6 million during the nine months ended September 30, 2019 compared to the corresponding period in 2018. Our acquisitions of Foam Fabricators and Rimports in February 2018 contributed $ 6.9 million and $20.8 million, respectively, to the increase. Gross profit as a percentage of net revenues was approximately 35.6% in the nine months ended September 30, 2019 compared to 35.1% in the nine months ended September 30, 2018. Refer to "Results of Operations - Business Segments" for a more detailed analysis of gross profit by business segment.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Consolidated selling, general and administrative expense was approximately $243.7 million during the nine months ended September 30, 2019 compared to $241.3 million for the comparable period in 2018. Refer to "Results of Operations - Business Segments" for a more detailed analysis of selling, general and administrative expense by business segment. At the corporate level, general and administrative expense was $9.7 million in the first nine months of 2019 and $10.3 million in the first nine months of 2018. The nine months ended September 30, 2018 included additional professional fees at corporate associated with the implementation of new accounting standards and the refinancing of our credit facility.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MSA, we pay CGM a quarterly management fee equal to 0.5% (2.0% annually) of our consolidated adjusted net assets. We accrue for the management fee on a quarterly basis. For the nine months ended September 30, 2019, we incurred approximately $28.4 million in management fees as compared to $32.2 million in fees in the nine months ended September 30, 2018. The decrease was attributable to the sales of Manitoba Harvest in the first quarter of 2019 and Clean Earth in the second quarter of 2019. Concurrent with the June 2019 sale of Clean Earth, CGM agreed to waive the management fee on cash balances held at the Company, commencing with the quarter ended June 30, 2019 and continuing until the quarter during which the Company next borrows under the 2018 Revolving Credit Facility.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for the nine months ended September 30, 2019 increased $5.1 million as compared to the nine months ended September 30, 2018 primarily as a result of the acquisition of Foam Fabricators and Rimports in February 2018, and the add-on acquisition of Ravin by Velocity in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Velocity Outdoor performed an interim impairment test of their goodwill during the quarter ended September 30, 2019, which resulted in recording impairment expense of $33.4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interest expense totaling $48.4 million for the nine months ended September 30, 2019 compared to $35.2 million for the comparable period in 2018, an increase of $13.2 million. The increase in interest expense for the nine months ended September 30, 2019 reflects the interest associated with the issuance of our Senior Notes in April 2018, as well as an increase of the average amount outstanding under our revolving credit facility in the first nine months of 2019 as compared to the first nine months of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nine months ended September 30, 2019, we recorded $6.3 million in other expense as compared to $3.0 million in other expense in the nine months ended September 30, 2018, an increase in expense of $3.2 million. In the current year, we incurred $5.0 million in loss on the pay down of our 2018 Term Debt of $193.8 million, and $0.4 million related to foreign exchange losses on the repayment of the intercompany loans of Manitoba Harvest.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had an income tax provision of $10.4 million with an effective income tax rate of 29.7% from continuing operations during the nine months ended September 30, 2019 compared to an income tax provision of $7.6 million with an effective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44" w:right="239" w:bottom="1440" w:gutter="0" w:footer="0" w:header="0"/>
        </w:sectPr>
      </w:pPr>
    </w:p>
    <w:bookmarkStart w:id="43" w:name="page44"/>
    <w:bookmarkEnd w:id="43"/>
    <w:p>
      <w:pPr>
        <w:jc w:val="both"/>
        <w:spacing w:after="0" w:line="253" w:lineRule="auto"/>
        <w:rPr>
          <w:sz w:val="20"/>
          <w:szCs w:val="20"/>
          <w:color w:val="auto"/>
        </w:rPr>
      </w:pPr>
      <w:r>
        <w:rPr>
          <w:rFonts w:ascii="Arial" w:cs="Arial" w:eastAsia="Arial" w:hAnsi="Arial"/>
          <w:sz w:val="18"/>
          <w:szCs w:val="18"/>
          <w:color w:val="auto"/>
        </w:rPr>
        <w:t>income tax rate of 195.7% from continuing operations during the nine months ended September 30, 2018. While our earnings before taxes for the nine months ended September 30, 2019 decreased by approximately $31.1 million as compared to the prior nine months ended September 30, 2018, our tax provision increased $2.8 million as the tax provision reflects an annual effective tax rate at our subsidiaries and is effected by foreign earnings at our operating segments and the losses at our parent company, which is taxed as a partnership. Additionally, a portion of the goodwill impairment related at our Velocity business is nondeductible for tax purposes.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Tactical</w:t>
      </w:r>
    </w:p>
    <w:p>
      <w:pPr>
        <w:spacing w:after="0" w:line="200" w:lineRule="exact"/>
        <w:rPr>
          <w:sz w:val="20"/>
          <w:szCs w:val="20"/>
          <w:color w:val="auto"/>
        </w:rPr>
      </w:pPr>
    </w:p>
    <w:p>
      <w:pPr>
        <w:spacing w:after="0" w:line="219" w:lineRule="exact"/>
        <w:rPr>
          <w:sz w:val="20"/>
          <w:szCs w:val="20"/>
          <w:color w:val="auto"/>
        </w:rPr>
      </w:pPr>
    </w:p>
    <w:tbl>
      <w:tblPr>
        <w:tblLayout w:type="fixed"/>
        <w:tblInd w:w="1120" w:type="dxa"/>
        <w:tblCellMar>
          <w:top w:w="0" w:type="dxa"/>
          <w:left w:w="0" w:type="dxa"/>
          <w:bottom w:w="0" w:type="dxa"/>
          <w:right w:w="0" w:type="dxa"/>
        </w:tblCellMar>
      </w:tblPr>
      <w:tr>
        <w:trPr>
          <w:trHeight w:val="228"/>
        </w:trPr>
        <w:tc>
          <w:tcPr>
            <w:tcW w:w="1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w:t>
            </w:r>
          </w:p>
        </w:tc>
        <w:tc>
          <w:tcPr>
            <w:tcW w:w="740" w:type="dxa"/>
            <w:vAlign w:val="bottom"/>
            <w:tcBorders>
              <w:bottom w:val="single" w:sz="8" w:color="auto"/>
            </w:tcBorders>
          </w:tcPr>
          <w:p>
            <w:pPr>
              <w:spacing w:after="0"/>
              <w:rPr>
                <w:sz w:val="19"/>
                <w:szCs w:val="19"/>
                <w:color w:val="auto"/>
              </w:rPr>
            </w:pPr>
          </w:p>
        </w:tc>
      </w:tr>
      <w:tr>
        <w:trPr>
          <w:trHeight w:val="264"/>
        </w:trPr>
        <w:tc>
          <w:tcPr>
            <w:tcW w:w="1960" w:type="dxa"/>
            <w:vAlign w:val="bottom"/>
          </w:tcPr>
          <w:p>
            <w:pPr>
              <w:spacing w:after="0"/>
              <w:rPr>
                <w:sz w:val="22"/>
                <w:szCs w:val="22"/>
                <w:color w:val="auto"/>
              </w:rPr>
            </w:pPr>
          </w:p>
        </w:tc>
        <w:tc>
          <w:tcPr>
            <w:tcW w:w="1840" w:type="dxa"/>
            <w:vAlign w:val="bottom"/>
            <w:gridSpan w:val="4"/>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820" w:type="dxa"/>
            <w:vAlign w:val="bottom"/>
            <w:gridSpan w:val="4"/>
          </w:tcPr>
          <w:p>
            <w:pPr>
              <w:ind w:left="120"/>
              <w:spacing w:after="0"/>
              <w:rPr>
                <w:sz w:val="20"/>
                <w:szCs w:val="20"/>
                <w:color w:val="auto"/>
              </w:rPr>
            </w:pPr>
            <w:r>
              <w:rPr>
                <w:rFonts w:ascii="Arial" w:cs="Arial" w:eastAsia="Arial" w:hAnsi="Arial"/>
                <w:sz w:val="16"/>
                <w:szCs w:val="16"/>
                <w:b w:val="1"/>
                <w:bCs w:val="1"/>
                <w:color w:val="auto"/>
              </w:rPr>
              <w:t>September 30, 2018</w:t>
            </w:r>
          </w:p>
        </w:tc>
        <w:tc>
          <w:tcPr>
            <w:tcW w:w="184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30, 2019</w:t>
            </w: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 2018</w:t>
            </w:r>
          </w:p>
        </w:tc>
      </w:tr>
      <w:tr>
        <w:trPr>
          <w:trHeight w:val="270"/>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98,053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83,342</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278,978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252,022</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48,204</w:t>
            </w:r>
          </w:p>
        </w:tc>
        <w:tc>
          <w:tcPr>
            <w:tcW w:w="800" w:type="dxa"/>
            <w:vAlign w:val="bottom"/>
          </w:tcPr>
          <w:p>
            <w:pPr>
              <w:jc w:val="right"/>
              <w:spacing w:after="0"/>
              <w:rPr>
                <w:sz w:val="20"/>
                <w:szCs w:val="20"/>
                <w:color w:val="auto"/>
              </w:rPr>
            </w:pPr>
            <w:r>
              <w:rPr>
                <w:rFonts w:ascii="Arial" w:cs="Arial" w:eastAsia="Arial" w:hAnsi="Arial"/>
                <w:sz w:val="16"/>
                <w:szCs w:val="16"/>
                <w:color w:val="auto"/>
              </w:rPr>
              <w:t>49.2%</w:t>
            </w:r>
          </w:p>
        </w:tc>
        <w:tc>
          <w:tcPr>
            <w:tcW w:w="14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39,969</w:t>
            </w:r>
          </w:p>
        </w:tc>
        <w:tc>
          <w:tcPr>
            <w:tcW w:w="740" w:type="dxa"/>
            <w:vAlign w:val="bottom"/>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136,624</w:t>
            </w:r>
          </w:p>
        </w:tc>
        <w:tc>
          <w:tcPr>
            <w:tcW w:w="780" w:type="dxa"/>
            <w:vAlign w:val="bottom"/>
          </w:tcPr>
          <w:p>
            <w:pPr>
              <w:jc w:val="right"/>
              <w:spacing w:after="0"/>
              <w:rPr>
                <w:sz w:val="20"/>
                <w:szCs w:val="20"/>
                <w:color w:val="auto"/>
              </w:rPr>
            </w:pPr>
            <w:r>
              <w:rPr>
                <w:rFonts w:ascii="Arial" w:cs="Arial" w:eastAsia="Arial" w:hAnsi="Arial"/>
                <w:sz w:val="16"/>
                <w:szCs w:val="16"/>
                <w:color w:val="auto"/>
              </w:rPr>
              <w:t>49.0%</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119,194</w:t>
            </w:r>
          </w:p>
        </w:tc>
        <w:tc>
          <w:tcPr>
            <w:tcW w:w="74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28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39,791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35,792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115,927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108,742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51"/>
        </w:trPr>
        <w:tc>
          <w:tcPr>
            <w:tcW w:w="19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5,977</w:t>
            </w:r>
          </w:p>
        </w:tc>
        <w:tc>
          <w:tcPr>
            <w:tcW w:w="80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1,740</w:t>
            </w: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13,388</w:t>
            </w:r>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3,143</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September 30, 2019 were $98.1 million as compared to net sales of $83.3 million for the three months ended September 30, 2018, an increase of $14.7 million, or 17.7%. This increase is due primarily to retail and e-commerce sales growth of $12.0 million, up 57% from the prior year comparable period, driven by growing demand in direct to consumer channels. Retail sales grew largely due to ten new retail store openings since September 2018 (bringing the total store count to fifty-four as of September 30,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49.2% in the three months ended September 30, 2019 as compared to 48.0% for the three months ended September 30, 2018. Growth in gross profit was driven by channel mix as direct to consumer sales, which realize higher gross profit than wholesale sales, grew significantly versus the prior period.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three months ended September 30, 2019 was $39.8 million, or 40.6% of net sales compared to $35.8 million, or 42.9% of net sales for the comparable period in 2018. The comparable quarter in the prior year included higher labor costs associated with executive severance as well as higher labor costs in the Manteca facility. The decrease in selling, general and administrative expenses as a percentage of net sales for the three months ended September 30, 2019 as compared to the prior year comparable period was also a result of lower travel expenses.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three months ended September 30, 2019 was $6.0 million, an increase of $4.2 million when compared to income from operations of $1.7 million for the same period in 2018, based on the factors described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nine months ended September 30, 2019 were $279.0 million as compared to net sales of $252.0 million for the nine months ended September 30, 2018, an increase of $27.0 million, or 10.7%. This increase is due primarily to retail and e-commerce sales growth of $26.9 million or 43.1%, driven by growing demand in direct to consumer channels. Retail sales grew largely due to ten new retail store openings since September 2018 (bringing the total store count to fifty-four as of September 30, 2019). Net sales were further increased through strong sales growth at Beyond of $5.7 million or 54.8%, driven by increased contract business. Through the Beyond product category,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90" w:right="239" w:bottom="1440" w:gutter="0" w:footer="0" w:header="0"/>
        </w:sectPr>
      </w:pPr>
    </w:p>
    <w:bookmarkStart w:id="44" w:name="page45"/>
    <w:bookmarkEnd w:id="44"/>
    <w:p>
      <w:pPr>
        <w:jc w:val="both"/>
        <w:spacing w:after="0" w:line="256" w:lineRule="auto"/>
        <w:rPr>
          <w:sz w:val="20"/>
          <w:szCs w:val="20"/>
          <w:color w:val="auto"/>
        </w:rPr>
      </w:pPr>
      <w:r>
        <w:rPr>
          <w:rFonts w:ascii="Arial" w:cs="Arial" w:eastAsia="Arial" w:hAnsi="Arial"/>
          <w:sz w:val="18"/>
          <w:szCs w:val="18"/>
          <w:color w:val="auto"/>
        </w:rPr>
        <w:t>5.11 offers technical survival outerwear systems engineered for missions in extreme temperatures. The increase in net sales for the nine months ended September 30, 2019 as compared to the corresponding period in the prior year was offset by a $5.9 million decline in professional sales.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was 49.0% in the nine months ended September 30, 2019 as compared to 47.3% for the nine months ended September 30, 2018. The prior period cost of sales included a higher level of chargebacks and discretionary discounts granted to customers as 5.11 worked through the backlog associated with challenges experienced while implementing the new ERP system. For the nine months ended September 30, 2019, gross profit as a percentage of net sales was positively impacted by channel mix as direct to consumer sales, which realize higher gross profit than wholesale sales, grew significantly versus the prior period.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for the nine months ended September 30, 2019 was $115.9 million, or 41.6% of net sales compared to $108.7 million, or 43.1% of net sales for the comparable period in 2018. The decrease in selling, general and administrative expense as a percentage of net sales was primarily due to a higher level of expense associated with the move into 5.11’s new Manteca warehouse facility, which did not reoccur in the nine months ended September 30, 2019. The decrease in selling, general and administrative expense as a percentage of net sales was further impacted by leveraging and controlling travel expenses for the nine months ended September 30, 2019. This decrease was slightly offset by a higher accrual for performance-based bonus in 2019, which did not occur in the nine months ended September 30, 2018.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nine months ended September 30, 2019 was $13.4 million, an increase of $10.2 million when compared to income from operations of $3.1 million for the same period in 2018, based on the factors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Ergobaby</w:t>
      </w:r>
    </w:p>
    <w:p>
      <w:pPr>
        <w:spacing w:after="0" w:line="200" w:lineRule="exact"/>
        <w:rPr>
          <w:sz w:val="20"/>
          <w:szCs w:val="20"/>
          <w:color w:val="auto"/>
        </w:rPr>
      </w:pPr>
    </w:p>
    <w:p>
      <w:pPr>
        <w:spacing w:after="0" w:line="219" w:lineRule="exact"/>
        <w:rPr>
          <w:sz w:val="20"/>
          <w:szCs w:val="20"/>
          <w:color w:val="auto"/>
        </w:rPr>
      </w:pPr>
    </w:p>
    <w:tbl>
      <w:tblPr>
        <w:tblLayout w:type="fixed"/>
        <w:tblInd w:w="112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Nine months ended</w:t>
            </w:r>
          </w:p>
        </w:tc>
        <w:tc>
          <w:tcPr>
            <w:tcW w:w="740" w:type="dxa"/>
            <w:vAlign w:val="bottom"/>
            <w:tcBorders>
              <w:bottom w:val="single" w:sz="8" w:color="auto"/>
            </w:tcBorders>
          </w:tcPr>
          <w:p>
            <w:pPr>
              <w:spacing w:after="0"/>
              <w:rPr>
                <w:sz w:val="19"/>
                <w:szCs w:val="19"/>
                <w:color w:val="auto"/>
              </w:rPr>
            </w:pPr>
          </w:p>
        </w:tc>
      </w:tr>
      <w:tr>
        <w:trPr>
          <w:trHeight w:val="264"/>
        </w:trPr>
        <w:tc>
          <w:tcPr>
            <w:tcW w:w="1980" w:type="dxa"/>
            <w:vAlign w:val="bottom"/>
          </w:tcPr>
          <w:p>
            <w:pPr>
              <w:spacing w:after="0"/>
              <w:rPr>
                <w:sz w:val="22"/>
                <w:szCs w:val="22"/>
                <w:color w:val="auto"/>
              </w:rPr>
            </w:pPr>
          </w:p>
        </w:tc>
        <w:tc>
          <w:tcPr>
            <w:tcW w:w="184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30, 2019</w:t>
            </w:r>
          </w:p>
        </w:tc>
        <w:tc>
          <w:tcPr>
            <w:tcW w:w="182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30, 2018</w:t>
            </w:r>
          </w:p>
        </w:tc>
        <w:tc>
          <w:tcPr>
            <w:tcW w:w="17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September 30, 2019</w:t>
            </w:r>
          </w:p>
        </w:tc>
        <w:tc>
          <w:tcPr>
            <w:tcW w:w="18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September 30, 2018</w:t>
            </w:r>
          </w:p>
        </w:tc>
      </w:tr>
      <w:tr>
        <w:trPr>
          <w:trHeight w:val="270"/>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24,260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68,741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70,376</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14,808</w:t>
            </w:r>
          </w:p>
        </w:tc>
        <w:tc>
          <w:tcPr>
            <w:tcW w:w="800" w:type="dxa"/>
            <w:vAlign w:val="bottom"/>
          </w:tcPr>
          <w:p>
            <w:pPr>
              <w:jc w:val="right"/>
              <w:spacing w:after="0"/>
              <w:rPr>
                <w:sz w:val="20"/>
                <w:szCs w:val="20"/>
                <w:color w:val="auto"/>
              </w:rPr>
            </w:pPr>
            <w:r>
              <w:rPr>
                <w:rFonts w:ascii="Arial" w:cs="Arial" w:eastAsia="Arial" w:hAnsi="Arial"/>
                <w:sz w:val="16"/>
                <w:szCs w:val="16"/>
                <w:color w:val="auto"/>
              </w:rPr>
              <w:t>63.5%</w:t>
            </w:r>
          </w:p>
        </w:tc>
        <w:tc>
          <w:tcPr>
            <w:tcW w:w="14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16,028</w:t>
            </w:r>
          </w:p>
        </w:tc>
        <w:tc>
          <w:tcPr>
            <w:tcW w:w="740" w:type="dxa"/>
            <w:vAlign w:val="bottom"/>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43,599</w:t>
            </w:r>
          </w:p>
        </w:tc>
        <w:tc>
          <w:tcPr>
            <w:tcW w:w="840" w:type="dxa"/>
            <w:vAlign w:val="bottom"/>
          </w:tcPr>
          <w:p>
            <w:pPr>
              <w:jc w:val="right"/>
              <w:spacing w:after="0"/>
              <w:rPr>
                <w:sz w:val="20"/>
                <w:szCs w:val="20"/>
                <w:color w:val="auto"/>
              </w:rPr>
            </w:pPr>
            <w:r>
              <w:rPr>
                <w:rFonts w:ascii="Arial" w:cs="Arial" w:eastAsia="Arial" w:hAnsi="Arial"/>
                <w:sz w:val="16"/>
                <w:szCs w:val="16"/>
                <w:color w:val="auto"/>
              </w:rPr>
              <w:t>63.4%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46,751</w:t>
            </w:r>
          </w:p>
        </w:tc>
        <w:tc>
          <w:tcPr>
            <w:tcW w:w="740" w:type="dxa"/>
            <w:vAlign w:val="bottom"/>
          </w:tcPr>
          <w:p>
            <w:pPr>
              <w:jc w:val="right"/>
              <w:spacing w:after="0"/>
              <w:rPr>
                <w:sz w:val="20"/>
                <w:szCs w:val="20"/>
                <w:color w:val="auto"/>
              </w:rPr>
            </w:pPr>
            <w:r>
              <w:rPr>
                <w:rFonts w:ascii="Arial" w:cs="Arial" w:eastAsia="Arial" w:hAnsi="Arial"/>
                <w:sz w:val="16"/>
                <w:szCs w:val="16"/>
                <w:color w:val="auto"/>
              </w:rPr>
              <w:t>66.4%</w:t>
            </w:r>
          </w:p>
        </w:tc>
      </w:tr>
      <w:tr>
        <w:trPr>
          <w:trHeight w:val="280"/>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9,890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28,593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30,644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r>
      <w:tr>
        <w:trPr>
          <w:trHeight w:val="251"/>
        </w:trPr>
        <w:tc>
          <w:tcPr>
            <w:tcW w:w="19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3,220</w:t>
            </w:r>
          </w:p>
        </w:tc>
        <w:tc>
          <w:tcPr>
            <w:tcW w:w="800" w:type="dxa"/>
            <w:vAlign w:val="bottom"/>
          </w:tcPr>
          <w:p>
            <w:pPr>
              <w:jc w:val="right"/>
              <w:spacing w:after="0"/>
              <w:rPr>
                <w:sz w:val="20"/>
                <w:szCs w:val="20"/>
                <w:color w:val="auto"/>
              </w:rPr>
            </w:pPr>
            <w:r>
              <w:rPr>
                <w:rFonts w:ascii="Arial" w:cs="Arial" w:eastAsia="Arial" w:hAnsi="Arial"/>
                <w:sz w:val="16"/>
                <w:szCs w:val="16"/>
                <w:color w:val="auto"/>
              </w:rPr>
              <w:t>13.8%</w:t>
            </w:r>
          </w:p>
        </w:tc>
        <w:tc>
          <w:tcPr>
            <w:tcW w:w="14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4,191</w:t>
            </w:r>
          </w:p>
        </w:tc>
        <w:tc>
          <w:tcPr>
            <w:tcW w:w="74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9,151</w:t>
            </w:r>
          </w:p>
        </w:tc>
        <w:tc>
          <w:tcPr>
            <w:tcW w:w="840" w:type="dxa"/>
            <w:vAlign w:val="bottom"/>
          </w:tcPr>
          <w:p>
            <w:pPr>
              <w:jc w:val="right"/>
              <w:spacing w:after="0"/>
              <w:rPr>
                <w:sz w:val="20"/>
                <w:szCs w:val="20"/>
                <w:color w:val="auto"/>
              </w:rPr>
            </w:pPr>
            <w:r>
              <w:rPr>
                <w:rFonts w:ascii="Arial" w:cs="Arial" w:eastAsia="Arial" w:hAnsi="Arial"/>
                <w:sz w:val="16"/>
                <w:szCs w:val="16"/>
                <w:color w:val="auto"/>
              </w:rPr>
              <w:t>13.3%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10,106</w:t>
            </w:r>
          </w:p>
        </w:tc>
        <w:tc>
          <w:tcPr>
            <w:tcW w:w="740" w:type="dxa"/>
            <w:vAlign w:val="bottom"/>
          </w:tcPr>
          <w:p>
            <w:pPr>
              <w:jc w:val="right"/>
              <w:spacing w:after="0"/>
              <w:rPr>
                <w:sz w:val="20"/>
                <w:szCs w:val="20"/>
                <w:color w:val="auto"/>
              </w:rPr>
            </w:pPr>
            <w:r>
              <w:rPr>
                <w:rFonts w:ascii="Arial" w:cs="Arial" w:eastAsia="Arial" w:hAnsi="Arial"/>
                <w:sz w:val="16"/>
                <w:szCs w:val="16"/>
                <w:color w:val="auto"/>
              </w:rPr>
              <w:t>14.4%</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September 30, 2019 were $23.3 million, a decrease of $0.9 million, or 3.9%, compared to the same period in 2018. During the three months ended September 30, 2019, international sales were approximately $16.8 million, representing an increase of $0.7 million over the corresponding period in 2018, primarily as a result of increased sales volume at Ergobaby's Asia-Pacific distributors. Domestic sales were $6.5 million in the third quarter of 2019, reflecting a decrease of $1.6 million compared to the corresponding period in 2018. The decrease in domestic sales was driven by both the Ergobaby and Tula brands, primarily in the specialty account channel.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63.5% for the quarter ended September 30, 2019, as compared to 66.1% for the three months ended September 30, 2018. The decrease in gross profit was due to a shift in the sales mix from higher margin channels to lower margin channels and an increase in promotional discounts quarter over quarter.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decreased quarter over quarter but increased as a percentage of net sales, with expense of $9.6 million, or 41.3% of net sales for the three months ended September 30, 2019 as compared to $9.9 million or 40.8% of net sales for the same period of 2018. The increase in selling, general and administrative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90" w:right="239" w:bottom="1440" w:gutter="0" w:footer="0" w:header="0"/>
        </w:sectPr>
      </w:pPr>
    </w:p>
    <w:bookmarkStart w:id="45" w:name="page46"/>
    <w:bookmarkEnd w:id="45"/>
    <w:p>
      <w:pPr>
        <w:jc w:val="both"/>
        <w:spacing w:after="0" w:line="262" w:lineRule="auto"/>
        <w:rPr>
          <w:sz w:val="20"/>
          <w:szCs w:val="20"/>
          <w:color w:val="auto"/>
        </w:rPr>
      </w:pPr>
      <w:r>
        <w:rPr>
          <w:rFonts w:ascii="Arial" w:cs="Arial" w:eastAsia="Arial" w:hAnsi="Arial"/>
          <w:sz w:val="18"/>
          <w:szCs w:val="18"/>
          <w:color w:val="auto"/>
        </w:rPr>
        <w:t>expense as a percentage of net sales in the three months ended September 30, 2019 as compared to the comparable period in the prior year is due to the write-off of old tooling assets and additional legal fees during the current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three months ended September 30, 2019 decreased $1.0 million, compared to the same period of 2018, based on the factors noted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nine months ended September 30, 2019 were $68.7 million, a decrease of $1.6 million, or 2.3%, compared to the same period in 2018. During the nine months ended September 30, 2019, international sales were approximately $ 48.0 million, representing an increase of $3.4 million over the corresponding period in 2018, primarily as a result of increased sales volume at Ergobaby's Asia-Pacific distributors. Domestic sales were $ 20.7 million in the first nine months of 2019, reflecting a decrease of $5.0 million compared to the corresponding period in 2018. The decrease in domestic sales was primarily the result of a decline in sales in both the Ergobaby and Tula brands.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63.4% for the nine months ended September 30, 2019, as compared to 66.4% for the nine months ended September 30, 2018. The decrease in gross profit was due to a shift in the sales mix from higher margin channels to lower margin channels.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decreased $2.1 million for the nine months ended September 30, 2019 as compared to the corresponding period in the prior year, with expense of $28.6 million, or 41.6% of net sales for the nine months ended September 30, 2019 as compared to $30.6 million or 43.5% of net sales for the corresponding period in 2018. The decrease in selling, general and administrative expense as a percentage of net sales in the nine months ended September 30, 2019 as compared to the comparable period in the prior year is due to expenses related to the bankruptcy of a large U.S. retail customer that were incurred in the first quarter of 2018, reduction in marketing spend, lower variable expenses related to sales, reduced travel and a decrease in payroll expense during the current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nine months ended September 30, 2019 was $9.2 million, a decrease of $1.0 million compared to the nine months ended September 30, 2018, based on the factors noted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Liberty Safe</w:t>
      </w:r>
    </w:p>
    <w:p>
      <w:pPr>
        <w:spacing w:after="0" w:line="200" w:lineRule="exact"/>
        <w:rPr>
          <w:sz w:val="20"/>
          <w:szCs w:val="20"/>
          <w:color w:val="auto"/>
        </w:rPr>
      </w:pP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Nine months ended</w:t>
            </w:r>
          </w:p>
        </w:tc>
        <w:tc>
          <w:tcPr>
            <w:tcW w:w="760" w:type="dxa"/>
            <w:vAlign w:val="bottom"/>
            <w:tcBorders>
              <w:bottom w:val="single" w:sz="8" w:color="auto"/>
            </w:tcBorders>
          </w:tcPr>
          <w:p>
            <w:pPr>
              <w:spacing w:after="0"/>
              <w:rPr>
                <w:sz w:val="19"/>
                <w:szCs w:val="19"/>
                <w:color w:val="auto"/>
              </w:rPr>
            </w:pPr>
          </w:p>
        </w:tc>
      </w:tr>
      <w:tr>
        <w:trPr>
          <w:trHeight w:val="264"/>
        </w:trPr>
        <w:tc>
          <w:tcPr>
            <w:tcW w:w="1980" w:type="dxa"/>
            <w:vAlign w:val="bottom"/>
          </w:tcPr>
          <w:p>
            <w:pPr>
              <w:spacing w:after="0"/>
              <w:rPr>
                <w:sz w:val="22"/>
                <w:szCs w:val="22"/>
                <w:color w:val="auto"/>
              </w:rPr>
            </w:pPr>
          </w:p>
        </w:tc>
        <w:tc>
          <w:tcPr>
            <w:tcW w:w="184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30, 2019</w:t>
            </w:r>
          </w:p>
        </w:tc>
        <w:tc>
          <w:tcPr>
            <w:tcW w:w="1820" w:type="dxa"/>
            <w:vAlign w:val="bottom"/>
            <w:gridSpan w:val="4"/>
          </w:tcPr>
          <w:p>
            <w:pPr>
              <w:ind w:left="120"/>
              <w:spacing w:after="0"/>
              <w:rPr>
                <w:sz w:val="20"/>
                <w:szCs w:val="20"/>
                <w:color w:val="auto"/>
              </w:rPr>
            </w:pPr>
            <w:r>
              <w:rPr>
                <w:rFonts w:ascii="Arial" w:cs="Arial" w:eastAsia="Arial" w:hAnsi="Arial"/>
                <w:sz w:val="16"/>
                <w:szCs w:val="16"/>
                <w:b w:val="1"/>
                <w:bCs w:val="1"/>
                <w:color w:val="auto"/>
              </w:rPr>
              <w:t>September 30, 2018</w:t>
            </w:r>
          </w:p>
        </w:tc>
        <w:tc>
          <w:tcPr>
            <w:tcW w:w="18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2019</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 2018</w:t>
            </w:r>
          </w:p>
        </w:tc>
      </w:tr>
      <w:tr>
        <w:trPr>
          <w:trHeight w:val="270"/>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17,872</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67,566</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61,741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5,701</w:t>
            </w:r>
          </w:p>
        </w:tc>
        <w:tc>
          <w:tcPr>
            <w:tcW w:w="800" w:type="dxa"/>
            <w:vAlign w:val="bottom"/>
          </w:tcPr>
          <w:p>
            <w:pPr>
              <w:jc w:val="right"/>
              <w:spacing w:after="0"/>
              <w:rPr>
                <w:sz w:val="20"/>
                <w:szCs w:val="20"/>
                <w:color w:val="auto"/>
              </w:rPr>
            </w:pPr>
            <w:r>
              <w:rPr>
                <w:rFonts w:ascii="Arial" w:cs="Arial" w:eastAsia="Arial" w:hAnsi="Arial"/>
                <w:sz w:val="16"/>
                <w:szCs w:val="16"/>
                <w:color w:val="auto"/>
              </w:rPr>
              <w:t>23.1%</w:t>
            </w:r>
          </w:p>
        </w:tc>
        <w:tc>
          <w:tcPr>
            <w:tcW w:w="14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4,062</w:t>
            </w:r>
          </w:p>
        </w:tc>
        <w:tc>
          <w:tcPr>
            <w:tcW w:w="74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14,771</w:t>
            </w:r>
          </w:p>
        </w:tc>
        <w:tc>
          <w:tcPr>
            <w:tcW w:w="800" w:type="dxa"/>
            <w:vAlign w:val="bottom"/>
          </w:tcPr>
          <w:p>
            <w:pPr>
              <w:jc w:val="right"/>
              <w:spacing w:after="0"/>
              <w:rPr>
                <w:sz w:val="20"/>
                <w:szCs w:val="20"/>
                <w:color w:val="auto"/>
              </w:rPr>
            </w:pPr>
            <w:r>
              <w:rPr>
                <w:rFonts w:ascii="Arial" w:cs="Arial" w:eastAsia="Arial" w:hAnsi="Arial"/>
                <w:sz w:val="16"/>
                <w:szCs w:val="16"/>
                <w:color w:val="auto"/>
              </w:rPr>
              <w:t>21.9%</w:t>
            </w:r>
          </w:p>
        </w:tc>
        <w:tc>
          <w:tcPr>
            <w:tcW w:w="14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15,330</w:t>
            </w:r>
          </w:p>
        </w:tc>
        <w:tc>
          <w:tcPr>
            <w:tcW w:w="76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80"/>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3,452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8,560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51"/>
        </w:trPr>
        <w:tc>
          <w:tcPr>
            <w:tcW w:w="19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2,726</w:t>
            </w:r>
          </w:p>
        </w:tc>
        <w:tc>
          <w:tcPr>
            <w:tcW w:w="800" w:type="dxa"/>
            <w:vAlign w:val="bottom"/>
          </w:tcPr>
          <w:p>
            <w:pPr>
              <w:jc w:val="right"/>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467</w:t>
            </w: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5,812</w:t>
            </w:r>
          </w:p>
        </w:tc>
        <w:tc>
          <w:tcPr>
            <w:tcW w:w="800" w:type="dxa"/>
            <w:vAlign w:val="bottom"/>
          </w:tcPr>
          <w:p>
            <w:pPr>
              <w:jc w:val="right"/>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4,894</w:t>
            </w: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quarter ended September 30, 2019 increased approximately $6.9 million, or 38.4%, to $ 24.7 million, compared to the corresponding quarter ended September 30, 2018. Non-Dealer sales were approximately $15.2 million in the three months ended September 30, 2019 as compared to $7.0 million in the quarter ended September 30, 2018. The increase in Non Dealer sales is attributable to the addition of a new customer in the Farm and Fleet channel. Dealer sales totaled approximately $9.5 million in the three months ended September 30, 2019 compared to $10.8 million in the same period in 2018, representing a decrease of $1.3 million or 12.0%.</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9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totaled approximately 23.1% and 22.7% for the quarters ended September 30, 2019 and September 30, 2018, respectively. The increase in gross profit as a percentage of net sales during the three months ended September 30, 2019 compared to the same period in 2018 is primarily attributable to favorable manufacturing variance as a result of increased production volume.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was $2.9 million for the three months ended September 30, 2019 compared to $3.5 million for the three months ended September 30, 2018. The decrease in selling, general and administrative expense during the current quarter is primarily related to planned expense reductions and the timing of annual advertising spend. Selling, general and administrative expense represented 11.5% of net sales in the three months ended September 30, 2019 and 19.3% of net sales for the same period of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increased during the three months ended September 30, 2019 to $2.7 million, as compared to $0.5 million in the corresponding period in 2018. This increase was primarily a result of the factors noted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nine months ended September 30, 2019 increased approximately $5.8 million, or 9.4%, to $67.6 million, compared to the corresponding nine months ended September 30, 2018. Non-Dealer sales were approximately $31.0 million in the nine months ended September 30, 2019 compared to $ 24.2 million for the nine months ended September 30, 2018, representing an increase of $6.8 million, or 28.1%. The increase is Non-Dealer sales was primarily due to the addition of a new customer in the Farm and Fleet channel. Dealer sales totaled approximately $36.6 million in the nine months ended September 30, 2019 compared to $37.5 million in the same period in 2018, representing a decrease of $0.9 million or 2.4%.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totaled approximately 21.9% and 24.8% for the nine months ended September 30, 2019 and September 30, 2018, respectively. The decrease in gross profit as a percentage of net sales during the nine months ended September 30, 2019 compared to the same period in 2018 is primarily attributable to increased raw material costs in the first half of the year as well as changes in freight and advertising costs for certain customers in the current year which has decreased the margins for those customers.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was $8.6 million for the nine months ended September 30, 2019 compared to $ 10.0 million for the nine months ended September 30, 2018. The decrease in selling, general and administrative expense during the first nine months of 2019 is primarily related to planned expense reductions and the timing of annual adverting spend. Selling, general and administrative expense represented 12.7% of net sales in the nine months ended September 30, 2019 and 16.2% of net sales for the same period of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increased $0.9 million during the nine months ended September 30, 2019 to $5.8 million, compared to the corresponding period in 2018.</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52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Velocity Outdoor</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1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w:t>
            </w:r>
          </w:p>
        </w:tc>
        <w:tc>
          <w:tcPr>
            <w:tcW w:w="740" w:type="dxa"/>
            <w:vAlign w:val="bottom"/>
            <w:tcBorders>
              <w:bottom w:val="single" w:sz="8" w:color="auto"/>
            </w:tcBorders>
          </w:tcPr>
          <w:p>
            <w:pPr>
              <w:spacing w:after="0"/>
              <w:rPr>
                <w:sz w:val="19"/>
                <w:szCs w:val="19"/>
                <w:color w:val="auto"/>
              </w:rPr>
            </w:pPr>
          </w:p>
        </w:tc>
      </w:tr>
      <w:tr>
        <w:trPr>
          <w:trHeight w:val="264"/>
        </w:trPr>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gridSpan w:val="3"/>
          </w:tcPr>
          <w:p>
            <w:pPr>
              <w:spacing w:after="0"/>
              <w:rPr>
                <w:sz w:val="20"/>
                <w:szCs w:val="20"/>
                <w:color w:val="auto"/>
              </w:rPr>
            </w:pPr>
            <w:r>
              <w:rPr>
                <w:rFonts w:ascii="Arial" w:cs="Arial" w:eastAsia="Arial" w:hAnsi="Arial"/>
                <w:sz w:val="16"/>
                <w:szCs w:val="16"/>
                <w:b w:val="1"/>
                <w:bCs w:val="1"/>
                <w:color w:val="auto"/>
              </w:rPr>
              <w:t>September 30, 2019</w:t>
            </w:r>
          </w:p>
        </w:tc>
        <w:tc>
          <w:tcPr>
            <w:tcW w:w="1780" w:type="dxa"/>
            <w:vAlign w:val="bottom"/>
            <w:gridSpan w:val="4"/>
          </w:tcPr>
          <w:p>
            <w:pPr>
              <w:ind w:left="80"/>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Pr>
          <w:p>
            <w:pPr>
              <w:spacing w:after="0"/>
              <w:rPr>
                <w:sz w:val="22"/>
                <w:szCs w:val="22"/>
                <w:color w:val="auto"/>
              </w:rPr>
            </w:pPr>
          </w:p>
        </w:tc>
        <w:tc>
          <w:tcPr>
            <w:tcW w:w="178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2019</w:t>
            </w: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 2018</w:t>
            </w:r>
          </w:p>
        </w:tc>
      </w:tr>
      <w:tr>
        <w:trPr>
          <w:trHeight w:val="270"/>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46,647</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34,289</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107,395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94,266</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13,633</w:t>
            </w:r>
          </w:p>
        </w:tc>
        <w:tc>
          <w:tcPr>
            <w:tcW w:w="820" w:type="dxa"/>
            <w:vAlign w:val="bottom"/>
          </w:tcPr>
          <w:p>
            <w:pPr>
              <w:jc w:val="right"/>
              <w:spacing w:after="0"/>
              <w:rPr>
                <w:sz w:val="20"/>
                <w:szCs w:val="20"/>
                <w:color w:val="auto"/>
              </w:rPr>
            </w:pPr>
            <w:r>
              <w:rPr>
                <w:rFonts w:ascii="Arial" w:cs="Arial" w:eastAsia="Arial" w:hAnsi="Arial"/>
                <w:sz w:val="16"/>
                <w:szCs w:val="16"/>
                <w:color w:val="auto"/>
              </w:rPr>
              <w:t>29.2 %</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9,171</w:t>
            </w:r>
          </w:p>
        </w:tc>
        <w:tc>
          <w:tcPr>
            <w:tcW w:w="74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30,451</w:t>
            </w:r>
          </w:p>
        </w:tc>
        <w:tc>
          <w:tcPr>
            <w:tcW w:w="800" w:type="dxa"/>
            <w:vAlign w:val="bottom"/>
          </w:tcPr>
          <w:p>
            <w:pPr>
              <w:jc w:val="right"/>
              <w:spacing w:after="0"/>
              <w:rPr>
                <w:sz w:val="20"/>
                <w:szCs w:val="20"/>
                <w:color w:val="auto"/>
              </w:rPr>
            </w:pPr>
            <w:r>
              <w:rPr>
                <w:rFonts w:ascii="Arial" w:cs="Arial" w:eastAsia="Arial" w:hAnsi="Arial"/>
                <w:sz w:val="16"/>
                <w:szCs w:val="16"/>
                <w:color w:val="auto"/>
              </w:rPr>
              <w:t>28.4 %</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26,474</w:t>
            </w:r>
          </w:p>
        </w:tc>
        <w:tc>
          <w:tcPr>
            <w:tcW w:w="74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80"/>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5,747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5,993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17,491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17,335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60"/>
        </w:trPr>
        <w:tc>
          <w:tcPr>
            <w:tcW w:w="1900" w:type="dxa"/>
            <w:vAlign w:val="bottom"/>
          </w:tcPr>
          <w:p>
            <w:pPr>
              <w:ind w:left="20"/>
              <w:spacing w:after="0"/>
              <w:rPr>
                <w:sz w:val="20"/>
                <w:szCs w:val="20"/>
                <w:color w:val="auto"/>
              </w:rPr>
            </w:pPr>
            <w:r>
              <w:rPr>
                <w:rFonts w:ascii="Arial" w:cs="Arial" w:eastAsia="Arial" w:hAnsi="Arial"/>
                <w:sz w:val="16"/>
                <w:szCs w:val="16"/>
                <w:color w:val="auto"/>
              </w:rPr>
              <w:t>Impairment expense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33,381</w:t>
            </w:r>
          </w:p>
        </w:tc>
        <w:tc>
          <w:tcPr>
            <w:tcW w:w="820" w:type="dxa"/>
            <w:vAlign w:val="bottom"/>
          </w:tcPr>
          <w:p>
            <w:pPr>
              <w:jc w:val="right"/>
              <w:spacing w:after="0"/>
              <w:rPr>
                <w:sz w:val="20"/>
                <w:szCs w:val="20"/>
                <w:color w:val="auto"/>
              </w:rPr>
            </w:pPr>
            <w:r>
              <w:rPr>
                <w:rFonts w:ascii="Arial" w:cs="Arial" w:eastAsia="Arial" w:hAnsi="Arial"/>
                <w:sz w:val="16"/>
                <w:szCs w:val="16"/>
                <w:color w:val="auto"/>
              </w:rPr>
              <w:t>71.6 %</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33,381</w:t>
            </w:r>
          </w:p>
        </w:tc>
        <w:tc>
          <w:tcPr>
            <w:tcW w:w="800" w:type="dxa"/>
            <w:vAlign w:val="bottom"/>
          </w:tcPr>
          <w:p>
            <w:pPr>
              <w:jc w:val="right"/>
              <w:spacing w:after="0"/>
              <w:rPr>
                <w:sz w:val="20"/>
                <w:szCs w:val="20"/>
                <w:color w:val="auto"/>
              </w:rPr>
            </w:pPr>
            <w:r>
              <w:rPr>
                <w:rFonts w:ascii="Arial" w:cs="Arial" w:eastAsia="Arial" w:hAnsi="Arial"/>
                <w:sz w:val="16"/>
                <w:szCs w:val="16"/>
                <w:color w:val="auto"/>
              </w:rPr>
              <w:t>31.1 %</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1,833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5,125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September 30, 2019 were $46.6 million, an increase of $12.4 million or 36.0%, compared to the same period in 2018. Ravin, which was acquired in September of 2018, had a full quarter of sales in 2019, contributing $11.8 million to the increase in net sales. The remainder of the increase in net sales for the three months ended September 30, 2019 is primarily due to sales in the Crosman archery product line.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quarter ended September 30, 2019 increased $4.5 million as compared to the quarter ended September 30, 2018. Gross profit as a percentage of net sales was 29.2% for the three months ended September 30, 2019 as compared to 26.7% in the three months ended September 30, 2018. The increase in gross profit as a percentage of net sales was primarily attributable to the increase in sales in the archery product line.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September 30, 2019 was $5.7 million, or 12.3% of net sales compared to $6.0 million, or 17.5% of net sales for the three months ended September 30, 2018. The decrease in selling, general and administrative expense for the three months ended September 30, 2019 is primarily related to transaction fees paid in the prior year related to the Ravin acquisition, partially offset by the effect of the Ravin acquisition.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operating results below forecasts in the current period as well as a re-forecast of the Velocity business in which planned earnings and revenue fell below the forecasts of prior periods, Velocity performed an interim impairment test of their goodwill during the quarter ended September 30, 2019, which resulted in recording impairment expense of $33.4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(loss) from operations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Loss from operations for the three months ended September 30, 2019 was $27.9 million, a decrease of $29.7 million when compared to income from operations of $1.8 million for the same period in 2018, primarily as a result of the goodwill impairment expense.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nine months ended September 30, 2019 were $107.4 million, an increase of $13.1 million or 13.9%, compared to the same period in 2018. The increase in net sales for the nine months ended September 30, 2019 is primarily due to the add-on acquisition of Ravin Crossbows in September 2018, partially offset by sales associated with the non-recurring Junior Reserve Officer Training Corps (JROTC) contract that shipped in the first half of 2018. Ravin had net sales of $31.6 million in the nine months ended September 30, 2019 compared to $4.4 million in the nine months ended September 30,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28.4% for the nine months ended September 30, 2019 as compared to 28.1% in the nine months ended September 30, 2018. The increase in gross profit of $4.0 million was driven primarily by the impact of the acquisition of Ravin Crossbows.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6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nine months ended September 30, 2019 was $17.5 million, or 16.3% of net sales compared to $17.3 million, or 18.4% of net sales for the nine months ended September 30, 2018. The decrease in selling, general and administrative expense as a percentage of net sales for the nine months ended September 30, 2019 is primarily related to the effect of the acquisition of Ravin partially offset by transaction fees paid in the prior year related to the acquisition.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operating results below forecasts in the current period as well as a re-forecast of the Velocity business in which planned earnings and revenue fell below the forecasts of prior periods, Velocity performed an interim impairment test of their goodwill during the quarter ended September 30, 2019, which resulted in recording impairment expense of $33.4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(loss) from operations</w:t>
      </w:r>
    </w:p>
    <w:p>
      <w:pPr>
        <w:spacing w:after="0" w:line="8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Loss from operations for the nine months ended September 30, 2019 was $27.6 million, a decrease of $32.8 million when compared to income from operations of $5.1 million for the same period in 2018, primarily as a result of the goodwill impairment expense.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Circuits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Nine months ended</w:t>
            </w:r>
          </w:p>
        </w:tc>
        <w:tc>
          <w:tcPr>
            <w:tcW w:w="760" w:type="dxa"/>
            <w:vAlign w:val="bottom"/>
            <w:tcBorders>
              <w:bottom w:val="single" w:sz="8" w:color="auto"/>
            </w:tcBorders>
          </w:tcPr>
          <w:p>
            <w:pPr>
              <w:spacing w:after="0"/>
              <w:rPr>
                <w:sz w:val="19"/>
                <w:szCs w:val="19"/>
                <w:color w:val="auto"/>
              </w:rPr>
            </w:pPr>
          </w:p>
        </w:tc>
      </w:tr>
      <w:tr>
        <w:trPr>
          <w:trHeight w:val="264"/>
        </w:trPr>
        <w:tc>
          <w:tcPr>
            <w:tcW w:w="1980" w:type="dxa"/>
            <w:vAlign w:val="bottom"/>
          </w:tcPr>
          <w:p>
            <w:pPr>
              <w:spacing w:after="0"/>
              <w:rPr>
                <w:sz w:val="22"/>
                <w:szCs w:val="22"/>
                <w:color w:val="auto"/>
              </w:rPr>
            </w:pPr>
          </w:p>
        </w:tc>
        <w:tc>
          <w:tcPr>
            <w:tcW w:w="184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30, 2019</w:t>
            </w:r>
          </w:p>
        </w:tc>
        <w:tc>
          <w:tcPr>
            <w:tcW w:w="1820" w:type="dxa"/>
            <w:vAlign w:val="bottom"/>
            <w:gridSpan w:val="4"/>
          </w:tcPr>
          <w:p>
            <w:pPr>
              <w:ind w:left="120"/>
              <w:spacing w:after="0"/>
              <w:rPr>
                <w:sz w:val="20"/>
                <w:szCs w:val="20"/>
                <w:color w:val="auto"/>
              </w:rPr>
            </w:pPr>
            <w:r>
              <w:rPr>
                <w:rFonts w:ascii="Arial" w:cs="Arial" w:eastAsia="Arial" w:hAnsi="Arial"/>
                <w:sz w:val="16"/>
                <w:szCs w:val="16"/>
                <w:b w:val="1"/>
                <w:bCs w:val="1"/>
                <w:color w:val="auto"/>
              </w:rPr>
              <w:t>September 30, 2018</w:t>
            </w:r>
          </w:p>
        </w:tc>
        <w:tc>
          <w:tcPr>
            <w:tcW w:w="18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2019</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 2018</w:t>
            </w:r>
          </w:p>
        </w:tc>
      </w:tr>
      <w:tr>
        <w:trPr>
          <w:trHeight w:val="270"/>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21,897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23,424</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67,405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68,454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9,964</w:t>
            </w:r>
          </w:p>
        </w:tc>
        <w:tc>
          <w:tcPr>
            <w:tcW w:w="800" w:type="dxa"/>
            <w:vAlign w:val="bottom"/>
          </w:tcPr>
          <w:p>
            <w:pPr>
              <w:jc w:val="right"/>
              <w:spacing w:after="0"/>
              <w:rPr>
                <w:sz w:val="20"/>
                <w:szCs w:val="20"/>
                <w:color w:val="auto"/>
              </w:rPr>
            </w:pPr>
            <w:r>
              <w:rPr>
                <w:rFonts w:ascii="Arial" w:cs="Arial" w:eastAsia="Arial" w:hAnsi="Arial"/>
                <w:sz w:val="16"/>
                <w:szCs w:val="16"/>
                <w:color w:val="auto"/>
              </w:rPr>
              <w:t>45.5%</w:t>
            </w:r>
          </w:p>
        </w:tc>
        <w:tc>
          <w:tcPr>
            <w:tcW w:w="14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11,067</w:t>
            </w:r>
          </w:p>
        </w:tc>
        <w:tc>
          <w:tcPr>
            <w:tcW w:w="740" w:type="dxa"/>
            <w:vAlign w:val="bottom"/>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31,029</w:t>
            </w:r>
          </w:p>
        </w:tc>
        <w:tc>
          <w:tcPr>
            <w:tcW w:w="800" w:type="dxa"/>
            <w:vAlign w:val="bottom"/>
          </w:tcPr>
          <w:p>
            <w:pPr>
              <w:jc w:val="right"/>
              <w:spacing w:after="0"/>
              <w:rPr>
                <w:sz w:val="20"/>
                <w:szCs w:val="20"/>
                <w:color w:val="auto"/>
              </w:rPr>
            </w:pPr>
            <w:r>
              <w:rPr>
                <w:rFonts w:ascii="Arial" w:cs="Arial" w:eastAsia="Arial" w:hAnsi="Arial"/>
                <w:sz w:val="16"/>
                <w:szCs w:val="16"/>
                <w:color w:val="auto"/>
              </w:rPr>
              <w:t>46.0%</w:t>
            </w:r>
          </w:p>
        </w:tc>
        <w:tc>
          <w:tcPr>
            <w:tcW w:w="14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31,582</w:t>
            </w:r>
          </w:p>
        </w:tc>
        <w:tc>
          <w:tcPr>
            <w:tcW w:w="760" w:type="dxa"/>
            <w:vAlign w:val="bottom"/>
          </w:tcPr>
          <w:p>
            <w:pPr>
              <w:jc w:val="right"/>
              <w:spacing w:after="0"/>
              <w:rPr>
                <w:sz w:val="20"/>
                <w:szCs w:val="20"/>
                <w:color w:val="auto"/>
              </w:rPr>
            </w:pPr>
            <w:r>
              <w:rPr>
                <w:rFonts w:ascii="Arial" w:cs="Arial" w:eastAsia="Arial" w:hAnsi="Arial"/>
                <w:sz w:val="16"/>
                <w:szCs w:val="16"/>
                <w:color w:val="auto"/>
              </w:rPr>
              <w:t>46.1%</w:t>
            </w:r>
          </w:p>
        </w:tc>
      </w:tr>
      <w:tr>
        <w:trPr>
          <w:trHeight w:val="280"/>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3,739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11,155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11,085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51"/>
        </w:trPr>
        <w:tc>
          <w:tcPr>
            <w:tcW w:w="19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6,122</w:t>
            </w:r>
          </w:p>
        </w:tc>
        <w:tc>
          <w:tcPr>
            <w:tcW w:w="800" w:type="dxa"/>
            <w:vAlign w:val="bottom"/>
          </w:tcPr>
          <w:p>
            <w:pPr>
              <w:jc w:val="right"/>
              <w:spacing w:after="0"/>
              <w:rPr>
                <w:sz w:val="20"/>
                <w:szCs w:val="20"/>
                <w:color w:val="auto"/>
              </w:rPr>
            </w:pPr>
            <w:r>
              <w:rPr>
                <w:rFonts w:ascii="Arial" w:cs="Arial" w:eastAsia="Arial" w:hAnsi="Arial"/>
                <w:sz w:val="16"/>
                <w:szCs w:val="16"/>
                <w:color w:val="auto"/>
              </w:rPr>
              <w:t>28.0%</w:t>
            </w:r>
          </w:p>
        </w:tc>
        <w:tc>
          <w:tcPr>
            <w:tcW w:w="14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6,902</w:t>
            </w:r>
          </w:p>
        </w:tc>
        <w:tc>
          <w:tcPr>
            <w:tcW w:w="74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19,087</w:t>
            </w:r>
          </w:p>
        </w:tc>
        <w:tc>
          <w:tcPr>
            <w:tcW w:w="800" w:type="dxa"/>
            <w:vAlign w:val="bottom"/>
          </w:tcPr>
          <w:p>
            <w:pPr>
              <w:jc w:val="right"/>
              <w:spacing w:after="0"/>
              <w:rPr>
                <w:sz w:val="20"/>
                <w:szCs w:val="20"/>
                <w:color w:val="auto"/>
              </w:rPr>
            </w:pPr>
            <w:r>
              <w:rPr>
                <w:rFonts w:ascii="Arial" w:cs="Arial" w:eastAsia="Arial" w:hAnsi="Arial"/>
                <w:sz w:val="16"/>
                <w:szCs w:val="16"/>
                <w:color w:val="auto"/>
              </w:rPr>
              <w:t>28.3%</w:t>
            </w:r>
          </w:p>
        </w:tc>
        <w:tc>
          <w:tcPr>
            <w:tcW w:w="14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19,202</w:t>
            </w:r>
          </w:p>
        </w:tc>
        <w:tc>
          <w:tcPr>
            <w:tcW w:w="760" w:type="dxa"/>
            <w:vAlign w:val="bottom"/>
          </w:tcPr>
          <w:p>
            <w:pPr>
              <w:jc w:val="right"/>
              <w:spacing w:after="0"/>
              <w:rPr>
                <w:sz w:val="20"/>
                <w:szCs w:val="20"/>
                <w:color w:val="auto"/>
              </w:rPr>
            </w:pPr>
            <w:r>
              <w:rPr>
                <w:rFonts w:ascii="Arial" w:cs="Arial" w:eastAsia="Arial" w:hAnsi="Arial"/>
                <w:sz w:val="16"/>
                <w:szCs w:val="16"/>
                <w:color w:val="auto"/>
              </w:rPr>
              <w:t>28.1%</w:t>
            </w:r>
          </w:p>
        </w:tc>
      </w:tr>
    </w:tbl>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sales for the three months ended September 30, 2019 were $21.9 million, a decrease of approximately $1.5 million or 6.5% compared to the three months ended September 30, 2018. The decrease in net sales was due primarily to a facility move in its Arizona location that halted operations for a portion of September 2019 and led to a decrease in sales during the third quarter. Net sales of Quick-Turn Small-Run PCBs decreased by approximately $1.0 million, Quick-Turn Production PCBs decreased by approximately $1.2 million and Long-Lead Time PCBs decreased by approximately $0.3 million when compared to the quarter ended September 30, 2018. These decreases were partially offset by increases in Assmbly, and a decrease in promotions during the quarter ended September 30, 2019. Quick-Turn Small-Run PCBs comprised approximately 17.0% of gross sales and Quick-Turn Production PCBs represented approximately 30.7% of gross sales for the third quarter of 2019. Quick-Turn Small-Run PCBs comprised approximately 19.6% of gross sales and Quick-Turn Production PCBs represented approximately 33.3% of gross sales for the third quarter of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as a percentage of net sales decreased 170 basis points during the three months ended September 30, 2019 compared to the corresponding period in 2018 (45.5% at September 30, 2019 compared to 47.2% at September 30, 2018) primarily as a result of sales mix.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approximately $ 3.6 million in the three months ended September 30, 2019 compared to $3.7 million in the three months ended September 30, 2018. Selling, general and administrative expense represented 16.6% of net sales for the three months ended September 30, 2019 compared to 16.0% of net sales in the corresponding period in 2018.</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52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three months ended September 30, 2019 was approximately $6.1 million compared to $6.9 million in the same period in 2018, a decrease of approximately $0.8 million, principally as a result of the factors described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sales for the nine months ended September 30, 2019 were $67.4 million, a decrease of approximately $1.0 million or 1.5% compared to the nine months ended September 30, 2018. The decrease in net sales was due primarily to a facility move in its Arizona location that halted operations for a portion of September 2019 and led to a decrease in sales during the third quarter. The decrease in net sales was due to decreased sales in Quick-Turn Production PCBs by approximately $2.3 million, and Quick-Turn Small-Run by approximately $ 0.9 million. This was partially offset by increases in Long-Lead Time PCBs by approximately $0.3 million, Assembly approximately $0.7 million, and a decrease in promotions by approximately $1.2 million. Quick-Turn Small-Run PCBs comprised approximately 18.6% of gross sales and Quick-Turn Production PCBs represented approximately 31.4% of gross sales for the nine months ended September 30, 2019. Quick-Turn Small-Run PCBs comprised approximately 19.3% of gross sales and Quick-Turn Production PCBs represented approximately 33.5% of gross sales for the nine months ended September 30,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Gross profit as a percentage of net sales decreased 10 basis points during the nine months ended September 30, 2019 compared to the corresponding period in 2018 (46.0% at September 30, 2019 compared to 46.1% at September 30, 2018) primarily as a result of sales mix.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approximately $11.2 million in the nine months ended September 30, 2019 compared to $ 11.1 million in the nine months ended September 30, 2018. Selling, general and administrative expense represented 16.5% of net sales for the nine months ended September 30, 2019 compared to 16.2% of net sales in the corresponding period in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nine months ended September 30, 2019 was approximately $19.1 million compared to $19.2 million in the same period in 2018, a decrease of approximately $0.1 million, principally as a result of the factors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36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Nine months ended</w:t>
            </w:r>
          </w:p>
        </w:tc>
        <w:tc>
          <w:tcPr>
            <w:tcW w:w="760" w:type="dxa"/>
            <w:vAlign w:val="bottom"/>
            <w:tcBorders>
              <w:bottom w:val="single" w:sz="8" w:color="auto"/>
            </w:tcBorders>
          </w:tcPr>
          <w:p>
            <w:pPr>
              <w:spacing w:after="0"/>
              <w:rPr>
                <w:sz w:val="19"/>
                <w:szCs w:val="19"/>
                <w:color w:val="auto"/>
              </w:rPr>
            </w:pPr>
          </w:p>
        </w:tc>
      </w:tr>
      <w:tr>
        <w:trPr>
          <w:trHeight w:val="264"/>
        </w:trPr>
        <w:tc>
          <w:tcPr>
            <w:tcW w:w="1980" w:type="dxa"/>
            <w:vAlign w:val="bottom"/>
          </w:tcPr>
          <w:p>
            <w:pPr>
              <w:spacing w:after="0"/>
              <w:rPr>
                <w:sz w:val="22"/>
                <w:szCs w:val="22"/>
                <w:color w:val="auto"/>
              </w:rPr>
            </w:pPr>
          </w:p>
        </w:tc>
        <w:tc>
          <w:tcPr>
            <w:tcW w:w="184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30, 2019</w:t>
            </w:r>
          </w:p>
        </w:tc>
        <w:tc>
          <w:tcPr>
            <w:tcW w:w="1820" w:type="dxa"/>
            <w:vAlign w:val="bottom"/>
            <w:gridSpan w:val="4"/>
          </w:tcPr>
          <w:p>
            <w:pPr>
              <w:ind w:left="120"/>
              <w:spacing w:after="0"/>
              <w:rPr>
                <w:sz w:val="20"/>
                <w:szCs w:val="20"/>
                <w:color w:val="auto"/>
              </w:rPr>
            </w:pPr>
            <w:r>
              <w:rPr>
                <w:rFonts w:ascii="Arial" w:cs="Arial" w:eastAsia="Arial" w:hAnsi="Arial"/>
                <w:sz w:val="16"/>
                <w:szCs w:val="16"/>
                <w:b w:val="1"/>
                <w:bCs w:val="1"/>
                <w:color w:val="auto"/>
              </w:rPr>
              <w:t>September 30, 2018</w:t>
            </w:r>
          </w:p>
        </w:tc>
        <w:tc>
          <w:tcPr>
            <w:tcW w:w="18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2019</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 2018</w:t>
            </w:r>
          </w:p>
        </w:tc>
      </w:tr>
      <w:tr>
        <w:trPr>
          <w:trHeight w:val="270"/>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29,891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90,404</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90,486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8,334</w:t>
            </w:r>
          </w:p>
        </w:tc>
        <w:tc>
          <w:tcPr>
            <w:tcW w:w="800" w:type="dxa"/>
            <w:vAlign w:val="bottom"/>
          </w:tcPr>
          <w:p>
            <w:pPr>
              <w:jc w:val="right"/>
              <w:spacing w:after="0"/>
              <w:rPr>
                <w:sz w:val="20"/>
                <w:szCs w:val="20"/>
                <w:color w:val="auto"/>
              </w:rPr>
            </w:pPr>
            <w:r>
              <w:rPr>
                <w:rFonts w:ascii="Arial" w:cs="Arial" w:eastAsia="Arial" w:hAnsi="Arial"/>
                <w:sz w:val="16"/>
                <w:szCs w:val="16"/>
                <w:color w:val="auto"/>
              </w:rPr>
              <w:t>27.0%</w:t>
            </w:r>
          </w:p>
        </w:tc>
        <w:tc>
          <w:tcPr>
            <w:tcW w:w="14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7,588</w:t>
            </w:r>
          </w:p>
        </w:tc>
        <w:tc>
          <w:tcPr>
            <w:tcW w:w="74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23,425</w:t>
            </w:r>
          </w:p>
        </w:tc>
        <w:tc>
          <w:tcPr>
            <w:tcW w:w="800" w:type="dxa"/>
            <w:vAlign w:val="bottom"/>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24,082</w:t>
            </w:r>
          </w:p>
        </w:tc>
        <w:tc>
          <w:tcPr>
            <w:tcW w:w="76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80"/>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4,321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14,205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14,177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51"/>
        </w:trPr>
        <w:tc>
          <w:tcPr>
            <w:tcW w:w="19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2,681</w:t>
            </w:r>
          </w:p>
        </w:tc>
        <w:tc>
          <w:tcPr>
            <w:tcW w:w="800" w:type="dxa"/>
            <w:vAlign w:val="bottom"/>
          </w:tcPr>
          <w:p>
            <w:pPr>
              <w:jc w:val="right"/>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2,287</w:t>
            </w:r>
          </w:p>
        </w:tc>
        <w:tc>
          <w:tcPr>
            <w:tcW w:w="7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6,385</w:t>
            </w:r>
          </w:p>
        </w:tc>
        <w:tc>
          <w:tcPr>
            <w:tcW w:w="800" w:type="dxa"/>
            <w:vAlign w:val="bottom"/>
          </w:tcPr>
          <w:p>
            <w:pPr>
              <w:jc w:val="right"/>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6,957</w:t>
            </w:r>
          </w:p>
        </w:tc>
        <w:tc>
          <w:tcPr>
            <w:tcW w:w="760" w:type="dxa"/>
            <w:vAlign w:val="bottom"/>
          </w:tcPr>
          <w:p>
            <w:pPr>
              <w:jc w:val="right"/>
              <w:spacing w:after="0"/>
              <w:rPr>
                <w:sz w:val="20"/>
                <w:szCs w:val="20"/>
                <w:color w:val="auto"/>
              </w:rPr>
            </w:pPr>
            <w:r>
              <w:rPr>
                <w:rFonts w:ascii="Arial" w:cs="Arial" w:eastAsia="Arial" w:hAnsi="Arial"/>
                <w:sz w:val="16"/>
                <w:szCs w:val="16"/>
                <w:color w:val="auto"/>
              </w:rPr>
              <w:t>7.7%</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Net sales for the three months ended September 30, 2019 were approximately $30.9 million, an increase of $1.0 million compared to the same period in 2018. The increase in net sales is primarily a result of increased demand in the Aerospace and Defense market. International sales were $12.7 million in the three months ended September 30, 2019 and $11.7 million in the three months ended September 30, 2018.</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2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three months ended September 30, 2019 was approximately $8.3 million compared to approximately $7.6 million in the same period of 2018. Gross profit as a percentage of net sales increased from 25.4% for the quarter ended September 30, 2018 to 27.0% in the quarter ended September 30, 2019 principally due to favorable sales mix.</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in the three month period ended September 30, 2019 was $4.7 million, an increase in expense of approximately $0.4 million compared to $4.3 million in selling, general and administrative expense for the three months ended September 30, 2018. Selling, general and administrative expense was 15.3% of net sales in the three months ended September 30, 2019 and 14.5% in the three months ended September 30, 2018. The increase in selling, general and administrative expense as a percentage of net sales was due to an increase in investments in research and development as well as non-recurring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Income from operations for the three months ended September 30, 2019 was approximately $2.7 million, an increase of $0.4 million when compared to the same period in 2018, as a result of the factors noted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nine months ended September 30, 2019 were approximately $90.4 million, a decrease of $0.1 million compared to the corresponding period in 2018. International sales were $36.6 million in the nine months ended September 30, 2019 and $36.1 million in the nine months ended September 30,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nine months ended September 30, 2019 was approximately $ 23.4 million compared to approximately $24.1 million in the same period of 2018. Gross profit as a percentage of net sales decreased from 26.6% for the nine months ended September 30, 2018 to 25.9% in the nine months ended September 30, 2019 principally as a result of unfavorable sales mix.</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 was approximately $14.2 million in both the nine months ended September 30, 2019 and the nine months ended September 30, 2018, and represented 15.7% of net sales in both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Income from operations for the nine months ended September 30, 2019 was approximately $6.4 million, a decrease of $0.6 million when compared to the same period in 2018, as a result of unfavorable sales mix.</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Foam Fabricators</w:t>
      </w:r>
    </w:p>
    <w:p>
      <w:pPr>
        <w:spacing w:after="0" w:line="257" w:lineRule="exact"/>
        <w:rPr>
          <w:sz w:val="20"/>
          <w:szCs w:val="20"/>
          <w:color w:val="auto"/>
        </w:rPr>
      </w:pPr>
    </w:p>
    <w:tbl>
      <w:tblPr>
        <w:tblLayout w:type="fixed"/>
        <w:tblInd w:w="1040" w:type="dxa"/>
        <w:tblCellMar>
          <w:top w:w="0" w:type="dxa"/>
          <w:left w:w="0" w:type="dxa"/>
          <w:bottom w:w="0" w:type="dxa"/>
          <w:right w:w="0" w:type="dxa"/>
        </w:tblCellMar>
      </w:tblPr>
      <w:tr>
        <w:trPr>
          <w:trHeight w:val="228"/>
        </w:trPr>
        <w:tc>
          <w:tcPr>
            <w:tcW w:w="1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Nine months ended</w:t>
            </w:r>
          </w:p>
        </w:tc>
        <w:tc>
          <w:tcPr>
            <w:tcW w:w="840" w:type="dxa"/>
            <w:vAlign w:val="bottom"/>
            <w:tcBorders>
              <w:bottom w:val="single" w:sz="8" w:color="auto"/>
            </w:tcBorders>
          </w:tcPr>
          <w:p>
            <w:pPr>
              <w:spacing w:after="0"/>
              <w:rPr>
                <w:sz w:val="19"/>
                <w:szCs w:val="19"/>
                <w:color w:val="auto"/>
              </w:rPr>
            </w:pPr>
          </w:p>
        </w:tc>
      </w:tr>
      <w:tr>
        <w:trPr>
          <w:trHeight w:val="264"/>
        </w:trPr>
        <w:tc>
          <w:tcPr>
            <w:tcW w:w="1960" w:type="dxa"/>
            <w:vAlign w:val="bottom"/>
          </w:tcPr>
          <w:p>
            <w:pPr>
              <w:spacing w:after="0"/>
              <w:rPr>
                <w:sz w:val="22"/>
                <w:szCs w:val="22"/>
                <w:color w:val="auto"/>
              </w:rPr>
            </w:pPr>
          </w:p>
        </w:tc>
        <w:tc>
          <w:tcPr>
            <w:tcW w:w="184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30, 2019</w:t>
            </w:r>
          </w:p>
        </w:tc>
        <w:tc>
          <w:tcPr>
            <w:tcW w:w="140" w:type="dxa"/>
            <w:vAlign w:val="bottom"/>
          </w:tcPr>
          <w:p>
            <w:pPr>
              <w:spacing w:after="0"/>
              <w:rPr>
                <w:sz w:val="22"/>
                <w:szCs w:val="22"/>
                <w:color w:val="auto"/>
              </w:rPr>
            </w:pPr>
          </w:p>
        </w:tc>
        <w:tc>
          <w:tcPr>
            <w:tcW w:w="176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2018</w:t>
            </w:r>
          </w:p>
        </w:tc>
        <w:tc>
          <w:tcPr>
            <w:tcW w:w="1860" w:type="dxa"/>
            <w:vAlign w:val="bottom"/>
            <w:gridSpan w:val="4"/>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40" w:type="dxa"/>
            <w:vAlign w:val="bottom"/>
          </w:tcPr>
          <w:p>
            <w:pPr>
              <w:spacing w:after="0"/>
              <w:rPr>
                <w:sz w:val="22"/>
                <w:szCs w:val="22"/>
                <w:color w:val="auto"/>
              </w:rPr>
            </w:pPr>
          </w:p>
        </w:tc>
        <w:tc>
          <w:tcPr>
            <w:tcW w:w="16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September 30, 2018</w:t>
            </w:r>
          </w:p>
        </w:tc>
      </w:tr>
      <w:tr>
        <w:trPr>
          <w:trHeight w:val="264"/>
        </w:trPr>
        <w:tc>
          <w:tcPr>
            <w:tcW w:w="19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CCEEFF"/>
            </w:tcBorders>
          </w:tcPr>
          <w:p>
            <w:pPr>
              <w:spacing w:after="0"/>
              <w:rPr>
                <w:sz w:val="22"/>
                <w:szCs w:val="22"/>
                <w:color w:val="auto"/>
              </w:rPr>
            </w:pPr>
          </w:p>
        </w:tc>
        <w:tc>
          <w:tcPr>
            <w:tcW w:w="700" w:type="dxa"/>
            <w:vAlign w:val="bottom"/>
            <w:tcBorders>
              <w:top w:val="single" w:sz="8" w:color="auto"/>
              <w:bottom w:val="single" w:sz="8" w:color="CCEEFF"/>
            </w:tcBorders>
          </w:tcPr>
          <w:p>
            <w:pPr>
              <w:spacing w:after="0"/>
              <w:rPr>
                <w:sz w:val="22"/>
                <w:szCs w:val="22"/>
                <w:color w:val="auto"/>
              </w:rPr>
            </w:pPr>
          </w:p>
        </w:tc>
        <w:tc>
          <w:tcPr>
            <w:tcW w:w="780" w:type="dxa"/>
            <w:vAlign w:val="bottom"/>
            <w:tcBorders>
              <w:top w:val="single" w:sz="8" w:color="auto"/>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920" w:type="dxa"/>
            <w:vAlign w:val="bottom"/>
            <w:tcBorders>
              <w:top w:val="single" w:sz="8" w:color="auto"/>
              <w:bottom w:val="single" w:sz="8" w:color="CCEEFF"/>
            </w:tcBorders>
          </w:tcPr>
          <w:p>
            <w:pPr>
              <w:spacing w:after="0"/>
              <w:rPr>
                <w:sz w:val="22"/>
                <w:szCs w:val="22"/>
                <w:color w:val="auto"/>
              </w:rPr>
            </w:pPr>
          </w:p>
        </w:tc>
        <w:tc>
          <w:tcPr>
            <w:tcW w:w="7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CCEEFF"/>
            </w:tcBorders>
          </w:tcPr>
          <w:p>
            <w:pPr>
              <w:spacing w:after="0"/>
              <w:rPr>
                <w:sz w:val="22"/>
                <w:szCs w:val="22"/>
                <w:color w:val="auto"/>
              </w:rPr>
            </w:pPr>
          </w:p>
        </w:tc>
        <w:tc>
          <w:tcPr>
            <w:tcW w:w="740" w:type="dxa"/>
            <w:vAlign w:val="bottom"/>
            <w:tcBorders>
              <w:top w:val="single" w:sz="8" w:color="auto"/>
              <w:bottom w:val="single" w:sz="8" w:color="CCEEFF"/>
            </w:tcBorders>
          </w:tcPr>
          <w:p>
            <w:pPr>
              <w:spacing w:after="0"/>
              <w:rPr>
                <w:sz w:val="22"/>
                <w:szCs w:val="22"/>
                <w:color w:val="auto"/>
              </w:rPr>
            </w:pPr>
          </w:p>
        </w:tc>
        <w:tc>
          <w:tcPr>
            <w:tcW w:w="760" w:type="dxa"/>
            <w:vAlign w:val="bottom"/>
            <w:tcBorders>
              <w:top w:val="single" w:sz="8" w:color="auto"/>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Pro forma</w:t>
            </w:r>
          </w:p>
        </w:tc>
        <w:tc>
          <w:tcPr>
            <w:tcW w:w="840" w:type="dxa"/>
            <w:vAlign w:val="bottom"/>
            <w:tcBorders>
              <w:top w:val="single" w:sz="8" w:color="auto"/>
              <w:bottom w:val="single" w:sz="8" w:color="CCEEFF"/>
            </w:tcBorders>
          </w:tcPr>
          <w:p>
            <w:pPr>
              <w:spacing w:after="0"/>
              <w:rPr>
                <w:sz w:val="22"/>
                <w:szCs w:val="22"/>
                <w:color w:val="auto"/>
              </w:rPr>
            </w:pPr>
          </w:p>
        </w:tc>
      </w:tr>
      <w:tr>
        <w:trPr>
          <w:trHeight w:val="25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31,304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33,337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93,634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97,021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8,928</w:t>
            </w:r>
          </w:p>
        </w:tc>
        <w:tc>
          <w:tcPr>
            <w:tcW w:w="780" w:type="dxa"/>
            <w:vAlign w:val="bottom"/>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9,447</w:t>
            </w:r>
          </w:p>
        </w:tc>
        <w:tc>
          <w:tcPr>
            <w:tcW w:w="74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26,772</w:t>
            </w:r>
          </w:p>
        </w:tc>
        <w:tc>
          <w:tcPr>
            <w:tcW w:w="760" w:type="dxa"/>
            <w:vAlign w:val="bottom"/>
          </w:tcPr>
          <w:p>
            <w:pPr>
              <w:jc w:val="right"/>
              <w:spacing w:after="0"/>
              <w:rPr>
                <w:sz w:val="20"/>
                <w:szCs w:val="20"/>
                <w:color w:val="auto"/>
              </w:rPr>
            </w:pPr>
            <w:r>
              <w:rPr>
                <w:rFonts w:ascii="Arial" w:cs="Arial" w:eastAsia="Arial" w:hAnsi="Arial"/>
                <w:sz w:val="16"/>
                <w:szCs w:val="16"/>
                <w:color w:val="auto"/>
              </w:rPr>
              <w:t>28.6%</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25,985</w:t>
            </w:r>
          </w:p>
        </w:tc>
        <w:tc>
          <w:tcPr>
            <w:tcW w:w="84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8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2,541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3,101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8,023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51"/>
        </w:trPr>
        <w:tc>
          <w:tcPr>
            <w:tcW w:w="19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4,141</w:t>
            </w:r>
          </w:p>
        </w:tc>
        <w:tc>
          <w:tcPr>
            <w:tcW w:w="780" w:type="dxa"/>
            <w:vAlign w:val="bottom"/>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4,100</w:t>
            </w:r>
          </w:p>
        </w:tc>
        <w:tc>
          <w:tcPr>
            <w:tcW w:w="7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12,011</w:t>
            </w:r>
          </w:p>
        </w:tc>
        <w:tc>
          <w:tcPr>
            <w:tcW w:w="760" w:type="dxa"/>
            <w:vAlign w:val="bottom"/>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9,054</w:t>
            </w:r>
          </w:p>
        </w:tc>
        <w:tc>
          <w:tcPr>
            <w:tcW w:w="840" w:type="dxa"/>
            <w:vAlign w:val="bottom"/>
          </w:tcPr>
          <w:p>
            <w:pPr>
              <w:jc w:val="right"/>
              <w:spacing w:after="0"/>
              <w:rPr>
                <w:sz w:val="20"/>
                <w:szCs w:val="20"/>
                <w:color w:val="auto"/>
              </w:rPr>
            </w:pPr>
            <w:r>
              <w:rPr>
                <w:rFonts w:ascii="Arial" w:cs="Arial" w:eastAsia="Arial" w:hAnsi="Arial"/>
                <w:sz w:val="16"/>
                <w:szCs w:val="16"/>
                <w:color w:val="auto"/>
              </w:rPr>
              <w:t>9.3%</w:t>
            </w:r>
          </w:p>
        </w:tc>
      </w:tr>
    </w:tbl>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5"/>
          <w:szCs w:val="15"/>
          <w:i w:val="1"/>
          <w:iCs w:val="1"/>
          <w:color w:val="auto"/>
        </w:rPr>
        <w:t>Pro forma financial information for Foam Fabricators for the nine months ended September 30, 2018 includes pre-acquisition results of operations for the period from January 1, 2018 through February 15, 2018, the date of acquisition of Foam, for comparative purposes. The historical results of Foam Fabricators have been adjusted to reflect the purchase accounting adjustments recorded in connection with the acquisition: $0.2 million in stock compensation expense and $ 1.0 million in amortization expense, as well as $0.1 million in management fees that would have been incurred by Foam Fabricators if we owned the company during this period.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26"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quarter ended September 30, 2019 were $31.3 million, a decrease of $ 2.0 million, or 6.1%, compared to the quarter ended September 30, 2018. The decrease in net sales during the quarter was primarily due to a nonrecurring customer order from the prior year and reduced demand in the insulated shipping container product category during the most recent quarter.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28.5% and 28.3% for the three months ended September 30, 2019 and 2018, respectively. The increase in gross profit as a percentage of net sales in the quarter ended September 30, 2019 was primarily due to the decreasing price of expanded polystyrene ("EPS") resin. A majority of Foam Fabricator's products are made with EPS resin, an oil and natural gas derived polymer with an added expansion agent, therefore raw material costs will fluctuate based on the price of oil and natural gas.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September 30, 2019 was $2.5 million as compared to $3.1 million for the three months ended September 30, 2018, a decrease of $0.6 million. Selling, general and administrative expense for the three months ended September 30, 2018 included $0.3 million in integration service fees paid to CGM. Excluding the effect of the integration service fee, the selling, general and administrative expense in the current quarter is comparable to the prior year quarter.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was $4.1 million in both the three months ended September 30, 2019 and the three months ended September 30, 2018, with the decrease in net sales offset by a decrease in cost of sales and selling, general and administrative expense.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2019 compared to pro forma nine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nine months ended September 30, 2019 were $93.6 million, a decrease of $3.4 million, or 3.5%, compared to the nine months ended September 30, 2018. The decrease in net sales was primarily due to a nonrecurring customer from the prior year as well as well as a decrease in sales in the automotive and protective packaging categories in the current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was 28.6% and 26.8% for the nine months ended September 30, 2019 and 2018, respectively. Cost of sales for the nine months ended September 30, 2018 included $0.7 million of expense related to the amortization of inventory step-up resulting from the purchase price allocation of Foam Fabricators. Excluding the effect of the inventory step-up, prior year gross profit as a percentage of net sales was 27.5%. The increase in gross profit as a percentage of net sales in the nine months ended September 30, 2019 was due to decreasing EPS prices in the current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nine months ended September 30, 2019 was $8.0 million as compared to $ 10.6 million for the nine months ended September 30, 2018, a decrease of $2.5 million. Selling, general and administrative expense for the nine months ended September 30, 2018 included $1.5 million in transaction expenses related to the acquisition and $1.4 million in incremental integration service fees paid to CGM. Excluding the acquisition expenses and incremental integration service fees, selling, general and administrative expense for the nine months ended September 30, 2018 was $7.7 million, which is consistent with the expenses incurred in the current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was $12.0 million for the nine months ended September 30, 2019 as compared to $9.1 million for the nine months ended September 30, 2018, an increase of $3.0 million, primarily as a result of the factors noted above.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57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Sterno</w:t>
      </w:r>
    </w:p>
    <w:p>
      <w:pPr>
        <w:spacing w:after="0" w:line="311" w:lineRule="exact"/>
        <w:rPr>
          <w:sz w:val="20"/>
          <w:szCs w:val="20"/>
          <w:color w:val="auto"/>
        </w:rPr>
      </w:pPr>
    </w:p>
    <w:tbl>
      <w:tblPr>
        <w:tblLayout w:type="fixed"/>
        <w:tblInd w:w="110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Nine months ended</w:t>
            </w:r>
          </w:p>
        </w:tc>
        <w:tc>
          <w:tcPr>
            <w:tcW w:w="840" w:type="dxa"/>
            <w:vAlign w:val="bottom"/>
            <w:tcBorders>
              <w:bottom w:val="single" w:sz="8" w:color="auto"/>
            </w:tcBorders>
          </w:tcPr>
          <w:p>
            <w:pPr>
              <w:spacing w:after="0"/>
              <w:rPr>
                <w:sz w:val="19"/>
                <w:szCs w:val="19"/>
                <w:color w:val="auto"/>
              </w:rPr>
            </w:pPr>
          </w:p>
        </w:tc>
      </w:tr>
      <w:tr>
        <w:trPr>
          <w:trHeight w:val="264"/>
        </w:trPr>
        <w:tc>
          <w:tcPr>
            <w:tcW w:w="1980" w:type="dxa"/>
            <w:vAlign w:val="bottom"/>
          </w:tcPr>
          <w:p>
            <w:pPr>
              <w:spacing w:after="0"/>
              <w:rPr>
                <w:sz w:val="22"/>
                <w:szCs w:val="22"/>
                <w:color w:val="auto"/>
              </w:rPr>
            </w:pPr>
          </w:p>
        </w:tc>
        <w:tc>
          <w:tcPr>
            <w:tcW w:w="184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30, 2019</w:t>
            </w:r>
          </w:p>
        </w:tc>
        <w:tc>
          <w:tcPr>
            <w:tcW w:w="120" w:type="dxa"/>
            <w:vAlign w:val="bottom"/>
          </w:tcPr>
          <w:p>
            <w:pPr>
              <w:spacing w:after="0"/>
              <w:rPr>
                <w:sz w:val="22"/>
                <w:szCs w:val="22"/>
                <w:color w:val="auto"/>
              </w:rPr>
            </w:pPr>
          </w:p>
        </w:tc>
        <w:tc>
          <w:tcPr>
            <w:tcW w:w="1740" w:type="dxa"/>
            <w:vAlign w:val="bottom"/>
            <w:gridSpan w:val="3"/>
          </w:tcPr>
          <w:p>
            <w:pPr>
              <w:spacing w:after="0"/>
              <w:rPr>
                <w:sz w:val="20"/>
                <w:szCs w:val="20"/>
                <w:color w:val="auto"/>
              </w:rPr>
            </w:pPr>
            <w:r>
              <w:rPr>
                <w:rFonts w:ascii="Arial" w:cs="Arial" w:eastAsia="Arial" w:hAnsi="Arial"/>
                <w:sz w:val="16"/>
                <w:szCs w:val="16"/>
                <w:b w:val="1"/>
                <w:bCs w:val="1"/>
                <w:color w:val="auto"/>
              </w:rPr>
              <w:t>September 30, 2018</w:t>
            </w:r>
          </w:p>
        </w:tc>
        <w:tc>
          <w:tcPr>
            <w:tcW w:w="18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2019</w:t>
            </w:r>
          </w:p>
        </w:tc>
        <w:tc>
          <w:tcPr>
            <w:tcW w:w="120" w:type="dxa"/>
            <w:vAlign w:val="bottom"/>
          </w:tcPr>
          <w:p>
            <w:pPr>
              <w:spacing w:after="0"/>
              <w:rPr>
                <w:sz w:val="22"/>
                <w:szCs w:val="22"/>
                <w:color w:val="auto"/>
              </w:rPr>
            </w:pPr>
          </w:p>
        </w:tc>
        <w:tc>
          <w:tcPr>
            <w:tcW w:w="16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September 30, 2018</w:t>
            </w:r>
          </w:p>
        </w:tc>
      </w:tr>
      <w:tr>
        <w:trPr>
          <w:trHeight w:val="264"/>
        </w:trPr>
        <w:tc>
          <w:tcPr>
            <w:tcW w:w="19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CCEEFF"/>
            </w:tcBorders>
          </w:tcPr>
          <w:p>
            <w:pPr>
              <w:spacing w:after="0"/>
              <w:rPr>
                <w:sz w:val="22"/>
                <w:szCs w:val="22"/>
                <w:color w:val="auto"/>
              </w:rPr>
            </w:pPr>
          </w:p>
        </w:tc>
        <w:tc>
          <w:tcPr>
            <w:tcW w:w="740" w:type="dxa"/>
            <w:vAlign w:val="bottom"/>
            <w:tcBorders>
              <w:top w:val="single" w:sz="8" w:color="auto"/>
              <w:bottom w:val="single" w:sz="8" w:color="CCEEFF"/>
            </w:tcBorders>
          </w:tcPr>
          <w:p>
            <w:pPr>
              <w:spacing w:after="0"/>
              <w:rPr>
                <w:sz w:val="22"/>
                <w:szCs w:val="22"/>
                <w:color w:val="auto"/>
              </w:rPr>
            </w:pPr>
          </w:p>
        </w:tc>
        <w:tc>
          <w:tcPr>
            <w:tcW w:w="800" w:type="dxa"/>
            <w:vAlign w:val="bottom"/>
            <w:tcBorders>
              <w:top w:val="single" w:sz="8" w:color="auto"/>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880" w:type="dxa"/>
            <w:vAlign w:val="bottom"/>
            <w:tcBorders>
              <w:top w:val="single" w:sz="8" w:color="auto"/>
              <w:bottom w:val="single" w:sz="8" w:color="CCEEFF"/>
            </w:tcBorders>
          </w:tcPr>
          <w:p>
            <w:pPr>
              <w:spacing w:after="0"/>
              <w:rPr>
                <w:sz w:val="22"/>
                <w:szCs w:val="22"/>
                <w:color w:val="auto"/>
              </w:rPr>
            </w:pPr>
          </w:p>
        </w:tc>
        <w:tc>
          <w:tcPr>
            <w:tcW w:w="74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CCEEFF"/>
            </w:tcBorders>
          </w:tcPr>
          <w:p>
            <w:pPr>
              <w:spacing w:after="0"/>
              <w:rPr>
                <w:sz w:val="22"/>
                <w:szCs w:val="22"/>
                <w:color w:val="auto"/>
              </w:rPr>
            </w:pPr>
          </w:p>
        </w:tc>
        <w:tc>
          <w:tcPr>
            <w:tcW w:w="780" w:type="dxa"/>
            <w:vAlign w:val="bottom"/>
            <w:tcBorders>
              <w:top w:val="single" w:sz="8" w:color="auto"/>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Pro forma</w:t>
            </w:r>
          </w:p>
        </w:tc>
        <w:tc>
          <w:tcPr>
            <w:tcW w:w="840" w:type="dxa"/>
            <w:vAlign w:val="bottom"/>
            <w:tcBorders>
              <w:top w:val="single" w:sz="8" w:color="auto"/>
              <w:bottom w:val="single" w:sz="8" w:color="CCEEFF"/>
            </w:tcBorders>
          </w:tcPr>
          <w:p>
            <w:pPr>
              <w:spacing w:after="0"/>
              <w:rPr>
                <w:sz w:val="22"/>
                <w:szCs w:val="22"/>
                <w:color w:val="auto"/>
              </w:rPr>
            </w:pPr>
          </w:p>
        </w:tc>
      </w:tr>
      <w:tr>
        <w:trPr>
          <w:trHeight w:val="257"/>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111,470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113,868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289,131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291,864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9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26,969</w:t>
            </w:r>
          </w:p>
        </w:tc>
        <w:tc>
          <w:tcPr>
            <w:tcW w:w="800" w:type="dxa"/>
            <w:vAlign w:val="bottom"/>
          </w:tcPr>
          <w:p>
            <w:pPr>
              <w:jc w:val="right"/>
              <w:spacing w:after="0"/>
              <w:rPr>
                <w:sz w:val="20"/>
                <w:szCs w:val="20"/>
                <w:color w:val="auto"/>
              </w:rPr>
            </w:pPr>
            <w:r>
              <w:rPr>
                <w:rFonts w:ascii="Arial" w:cs="Arial" w:eastAsia="Arial" w:hAnsi="Arial"/>
                <w:sz w:val="16"/>
                <w:szCs w:val="16"/>
                <w:color w:val="auto"/>
              </w:rPr>
              <w:t>24.2%</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26,664</w:t>
            </w:r>
          </w:p>
        </w:tc>
        <w:tc>
          <w:tcPr>
            <w:tcW w:w="74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71,989</w:t>
            </w:r>
          </w:p>
        </w:tc>
        <w:tc>
          <w:tcPr>
            <w:tcW w:w="780" w:type="dxa"/>
            <w:vAlign w:val="bottom"/>
          </w:tcPr>
          <w:p>
            <w:pPr>
              <w:jc w:val="right"/>
              <w:spacing w:after="0"/>
              <w:rPr>
                <w:sz w:val="20"/>
                <w:szCs w:val="20"/>
                <w:color w:val="auto"/>
              </w:rPr>
            </w:pPr>
            <w:r>
              <w:rPr>
                <w:rFonts w:ascii="Arial" w:cs="Arial" w:eastAsia="Arial" w:hAnsi="Arial"/>
                <w:sz w:val="16"/>
                <w:szCs w:val="16"/>
                <w:color w:val="auto"/>
              </w:rPr>
              <w:t>24.9%</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67,381</w:t>
            </w:r>
          </w:p>
        </w:tc>
        <w:tc>
          <w:tcPr>
            <w:tcW w:w="8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80"/>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10,577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30,109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31,161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51"/>
        </w:trPr>
        <w:tc>
          <w:tcPr>
            <w:tcW w:w="19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12,724</w:t>
            </w:r>
          </w:p>
        </w:tc>
        <w:tc>
          <w:tcPr>
            <w:tcW w:w="800" w:type="dxa"/>
            <w:vAlign w:val="bottom"/>
          </w:tcPr>
          <w:p>
            <w:pPr>
              <w:jc w:val="right"/>
              <w:spacing w:after="0"/>
              <w:rPr>
                <w:sz w:val="20"/>
                <w:szCs w:val="20"/>
                <w:color w:val="auto"/>
              </w:rPr>
            </w:pPr>
            <w:r>
              <w:rPr>
                <w:rFonts w:ascii="Arial" w:cs="Arial" w:eastAsia="Arial" w:hAnsi="Arial"/>
                <w:sz w:val="16"/>
                <w:szCs w:val="16"/>
                <w:color w:val="auto"/>
              </w:rPr>
              <w:t>11.4%</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11,634</w:t>
            </w:r>
          </w:p>
        </w:tc>
        <w:tc>
          <w:tcPr>
            <w:tcW w:w="7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28,821</w:t>
            </w: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22,860</w:t>
            </w: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r>
    </w:tbl>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i w:val="1"/>
          <w:iCs w:val="1"/>
          <w:color w:val="auto"/>
        </w:rPr>
        <w:t>Pro forma financial information for Sterno for the nine months ended September 30, 2018 includes pre-acquisition results of operations for Rimports, which was acquired by Sterno on February 26, 2018, for the period from January 1, 2018 through the date of acquisition for comparative purposes. The historical results of Rimports have been adjusted to reflect an additional $1.6 million in amortization expense recorded in connection with the purchase accounting adjustments related to the acquisition.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September 30, 2019 were approximately $111.5 million, a decrease of $2.4 million, or 2.1%, compared to the same period in 2018. The net sales variance reflects a decrease in sales of higher levels of chargebacks and rebates compared to the third quarter of 2018, and a decrease in sales at Rimports’ largest retail customer due to the timing of certain holiday order shipments shifting to the fourth quarter, partially offset by an increase in pricing and sales volume at Sterno Products.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as a percentage of net sales increased from 23.4% for the three months ended September 30, 2018 to 24.2% for the same period ended September 30, 2019. In the third quarter of 2018, Sterno recognized an additional $2.0 million in expense related to the amortization of the inventory step-up resulting from the purchase price allocation of the Rimports acquisition. After eliminating the effect of the purchase price allocation in the prior year, gross profit as a percentage of sales was 25.2% for the three months ended September 30, 2018. The decrease in gross profit percentage of 100 basis points compared to the quarter ended September 30, 2018 reflects a shift in sales mix to lower margin products and increased costs at Rimports due to new product launches, offset by favorable chemical costs at Sterno Products.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September 30, 2019 was approximately $9.9 million as compared to $10.6 million for the three months ended September 30, 2018, a decrease of $0.7 million reflecting lower commissions and salaries at Rimports and Sterno Home in the current quarter. Selling, general and administrative expense represented 8.8% of net sales for the three months ended September 30, 2019 and 9.3% for the three months ended September 30,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Income from operations for the three months ended September 30, 2019 was approximately $12.7 million, an increase of $1.1 million compared to the three months ended September 30, 2018 based on the factors noted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2019 compared to pro forma nine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nine months ended September 30, 2019 were approximately $ 289.1 million, a decrease of $2.7 million, or 0.9%, compared to the corresponding period in 2018. The net sales variance reflects a decrease in sales of outdoor lighting products primarily as a result of a shorter spring period in the domestic market due to weather and higher levels of chargebacks and rebates compared to the prior year, offset by an increase in sales volume at Rimports.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as a percentage of net sales increased from 23.1% for the nine months ended September 30, 2018 to 24.9% for the same period ended September 30, 2019. In the nine months ended September 30, 2018, Sterno recognized $6.6 million in costs of goods sold related to the amortization of inventory step-up resulting from the purchase price allocation of the Rimports acquisition. After eliminating the effect of the purchase price allocation in the prior year, gross profit as a percentage of sales for the nine months ended September 30, 2018 was 25.4%. The decrease in gross profit as a percentage of net sales reflects a shift in sales mix to lower margin products and increased costs at Rimports due to new product launches, offset by favorable chemical costs at Sterno Products.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Selling, general and administrative expense for the nine months ended September 30, 2019 and 2018 was $30.1 million and $31.2 million, respectively, a decrease of $ 1.1 million. The expense from the prior year reflects $0.6 million in acquisition expenses related to the acquisition of Rimports. Excluding the acquisition expenses, selling, general and administrative expense decreased $ 0.5 million, reflecting lower commissions, salaries, incentive programs and various cost savings initiatives. Selling, general and administrative expense represented 10.4% of net sales for the nine months ended September 30, 2019 and 10.7% for the nine months ended September 30,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nine months ended September 30, 2019 was approximately $28.8 million, an increase of $6.0 million compared to the nine months ended September 30, 2018 based on the factors noted above.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September 30, 2019, we had approximately $285.8 million of cash and cash equivalents on hand, an increase of $237.1 million as compared to the year ended December 31, 2018 primarily as a result of the proceeds received from our sales of Manitoba Harvest in February 2019 and Clean Earth in June 2019. The majority of our cash is in non-interest bearing checking accounts or invested in short-term money market accounts and is maintained in accordance with the Company’s investment policy, which identifies allowable investments and specifies credit quality standards. The change in cash and cash equivalents is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3" w:lineRule="exact"/>
        <w:rPr>
          <w:sz w:val="20"/>
          <w:szCs w:val="20"/>
          <w:color w:val="auto"/>
        </w:rPr>
      </w:pPr>
    </w:p>
    <w:tbl>
      <w:tblPr>
        <w:tblLayout w:type="fixed"/>
        <w:tblInd w:w="1080" w:type="dxa"/>
        <w:tblCellMar>
          <w:top w:w="0" w:type="dxa"/>
          <w:left w:w="0" w:type="dxa"/>
          <w:bottom w:w="0" w:type="dxa"/>
          <w:right w:w="0" w:type="dxa"/>
        </w:tblCellMar>
      </w:tblPr>
      <w:tr>
        <w:trPr>
          <w:trHeight w:val="206"/>
        </w:trPr>
        <w:tc>
          <w:tcPr>
            <w:tcW w:w="5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4"/>
          </w:tcPr>
          <w:p>
            <w:pPr>
              <w:jc w:val="right"/>
              <w:ind w:right="1303"/>
              <w:spacing w:after="0"/>
              <w:rPr>
                <w:sz w:val="20"/>
                <w:szCs w:val="20"/>
                <w:color w:val="auto"/>
              </w:rPr>
            </w:pPr>
            <w:r>
              <w:rPr>
                <w:rFonts w:ascii="Arial" w:cs="Arial" w:eastAsia="Arial" w:hAnsi="Arial"/>
                <w:sz w:val="15"/>
                <w:szCs w:val="15"/>
                <w:b w:val="1"/>
                <w:bCs w:val="1"/>
                <w:color w:val="auto"/>
              </w:rPr>
              <w:t>Nine months ended</w:t>
            </w:r>
          </w:p>
        </w:tc>
      </w:tr>
      <w:tr>
        <w:trPr>
          <w:trHeight w:val="264"/>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2"/>
                <w:szCs w:val="22"/>
                <w:color w:val="auto"/>
              </w:rPr>
            </w:pPr>
          </w:p>
        </w:tc>
        <w:tc>
          <w:tcPr>
            <w:tcW w:w="19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2019</w:t>
            </w:r>
          </w:p>
        </w:tc>
        <w:tc>
          <w:tcPr>
            <w:tcW w:w="200" w:type="dxa"/>
            <w:vAlign w:val="bottom"/>
          </w:tcPr>
          <w:p>
            <w:pPr>
              <w:spacing w:after="0"/>
              <w:rPr>
                <w:sz w:val="22"/>
                <w:szCs w:val="22"/>
                <w:color w:val="auto"/>
              </w:rPr>
            </w:pPr>
          </w:p>
        </w:tc>
        <w:tc>
          <w:tcPr>
            <w:tcW w:w="1840" w:type="dxa"/>
            <w:vAlign w:val="bottom"/>
          </w:tcPr>
          <w:p>
            <w:pPr>
              <w:jc w:val="right"/>
              <w:ind w:right="243"/>
              <w:spacing w:after="0"/>
              <w:rPr>
                <w:sz w:val="20"/>
                <w:szCs w:val="20"/>
                <w:color w:val="auto"/>
              </w:rPr>
            </w:pPr>
            <w:r>
              <w:rPr>
                <w:rFonts w:ascii="Arial" w:cs="Arial" w:eastAsia="Arial" w:hAnsi="Arial"/>
                <w:sz w:val="15"/>
                <w:szCs w:val="15"/>
                <w:b w:val="1"/>
                <w:bCs w:val="1"/>
                <w:color w:val="auto"/>
              </w:rPr>
              <w:t>September 30, 2018</w:t>
            </w:r>
          </w:p>
        </w:tc>
      </w:tr>
      <w:tr>
        <w:trPr>
          <w:trHeight w:val="25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operating activities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31,584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58,772</w:t>
            </w:r>
          </w:p>
        </w:tc>
      </w:tr>
    </w:tbl>
    <w:p>
      <w:pPr>
        <w:spacing w:after="0" w:line="2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nine months ended September 30, 2019, cash flows provided by operating activities totaled approximately $31.6 million, which represents a $27.2 million decrease compared to cash provided by operating activities of $58.8 million during the nine-month period ended September 30, 2018. The decrease in cash provided by operating activities is primarily due to the effect of cash from our discontinued operations and reflects the timing of the sale of Manitoba Harvest and Clean Earth in the current year. Cash used in operating activities of discontinued operations in the current year was $10.1 million while cash provided by operating activities of discontinued operations was $22.7 million in the comparable prior year period. The prior year reflects a full nine months of operations of our discontinued operations while the current year period reflects the effect of the sales of Manitoba Harvest in February 2019 and Clean Earth in June 2019. Cash used in operating activities for working capital for the nine months ended September 30, 2019 was $28.6 million, as compared to cash used in operating activities for working capital of $23.7 million for the nine months ended September 30, 2018. The increase in cash used for working capital purposes in the current year primarily reflects the effect of our acquisitions that occurred in February 2018 which resulted in a significant increase in cash needed to fund working capital, particularly at Rimports, our Sterno add-on acquisition. The decrease in cash flows provided by operating activities in the current year was also attributable to the change in the mark-to-market on our interest rate swap, with the nine months ended September 30, 2018 having an unrealized gain of $4.6 million, and the nine months ending September 30, 2019 having an unrealized loss of $3.5 million, for a net change of $8.1 million due to the change in the present value of future payments and receipts under the interest rate swap agreement.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52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Investing Activities:</w:t>
      </w:r>
    </w:p>
    <w:p>
      <w:pPr>
        <w:spacing w:after="0" w:line="331" w:lineRule="exact"/>
        <w:rPr>
          <w:sz w:val="20"/>
          <w:szCs w:val="20"/>
          <w:color w:val="auto"/>
        </w:rPr>
      </w:pPr>
    </w:p>
    <w:tbl>
      <w:tblPr>
        <w:tblLayout w:type="fixed"/>
        <w:tblInd w:w="1080" w:type="dxa"/>
        <w:tblCellMar>
          <w:top w:w="0" w:type="dxa"/>
          <w:left w:w="0" w:type="dxa"/>
          <w:bottom w:w="0" w:type="dxa"/>
          <w:right w:w="0" w:type="dxa"/>
        </w:tblCellMar>
      </w:tblPr>
      <w:tr>
        <w:trPr>
          <w:trHeight w:val="206"/>
        </w:trPr>
        <w:tc>
          <w:tcPr>
            <w:tcW w:w="5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4"/>
          </w:tcPr>
          <w:p>
            <w:pPr>
              <w:ind w:left="1200"/>
              <w:spacing w:after="0"/>
              <w:rPr>
                <w:sz w:val="20"/>
                <w:szCs w:val="20"/>
                <w:color w:val="auto"/>
              </w:rPr>
            </w:pPr>
            <w:r>
              <w:rPr>
                <w:rFonts w:ascii="Arial" w:cs="Arial" w:eastAsia="Arial" w:hAnsi="Arial"/>
                <w:sz w:val="15"/>
                <w:szCs w:val="15"/>
                <w:b w:val="1"/>
                <w:bCs w:val="1"/>
                <w:color w:val="auto"/>
              </w:rPr>
              <w:t>Nine months ended</w:t>
            </w:r>
          </w:p>
        </w:tc>
      </w:tr>
      <w:tr>
        <w:trPr>
          <w:trHeight w:val="264"/>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2"/>
                <w:szCs w:val="22"/>
                <w:color w:val="auto"/>
              </w:rPr>
            </w:pPr>
          </w:p>
        </w:tc>
        <w:tc>
          <w:tcPr>
            <w:tcW w:w="19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2019</w:t>
            </w:r>
          </w:p>
        </w:tc>
        <w:tc>
          <w:tcPr>
            <w:tcW w:w="200" w:type="dxa"/>
            <w:vAlign w:val="bottom"/>
          </w:tcPr>
          <w:p>
            <w:pPr>
              <w:spacing w:after="0"/>
              <w:rPr>
                <w:sz w:val="22"/>
                <w:szCs w:val="22"/>
                <w:color w:val="auto"/>
              </w:rPr>
            </w:pPr>
          </w:p>
        </w:tc>
        <w:tc>
          <w:tcPr>
            <w:tcW w:w="1840" w:type="dxa"/>
            <w:vAlign w:val="bottom"/>
          </w:tcPr>
          <w:p>
            <w:pPr>
              <w:jc w:val="right"/>
              <w:ind w:right="243"/>
              <w:spacing w:after="0"/>
              <w:rPr>
                <w:sz w:val="20"/>
                <w:szCs w:val="20"/>
                <w:color w:val="auto"/>
              </w:rPr>
            </w:pPr>
            <w:r>
              <w:rPr>
                <w:rFonts w:ascii="Arial" w:cs="Arial" w:eastAsia="Arial" w:hAnsi="Arial"/>
                <w:sz w:val="15"/>
                <w:szCs w:val="15"/>
                <w:b w:val="1"/>
                <w:bCs w:val="1"/>
                <w:color w:val="auto"/>
              </w:rPr>
              <w:t>September 30, 2018</w:t>
            </w:r>
          </w:p>
        </w:tc>
      </w:tr>
      <w:tr>
        <w:trPr>
          <w:trHeight w:val="25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(used in) investing activities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5"/>
                <w:szCs w:val="15"/>
                <w:color w:val="auto"/>
              </w:rPr>
              <w:t>760,148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(594,705)</w:t>
            </w:r>
          </w:p>
        </w:tc>
      </w:tr>
    </w:tbl>
    <w:p>
      <w:pPr>
        <w:spacing w:after="0" w:line="2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provided by investing activities for the nine months ended September 30, 2019 totaled $ 760.1 million, compared to cash used in investing activities of $594.7 million in the same period of 2018. Cash flows from Manitoba Harvest and Clean Earth, which are reflected as discontinued operations, totaled $279.2 million in the current period and reflects the effect of the sale transactions. Cash provided by investing activities from continuing operations in the current year primarily relates to the proceeds received from the sales of Clean Earth and Manitoba Harvest. In the prior year, we had a platform acquisition in the first quarter, Foam Fabricators, and several add-on acquisitions at our subsidiaries, including the Sterno acquisition of Rimports in February 2018. The total amount spent on acquisitions in the nine months ended September 30, 2018 was approximately $495.1 million. Capital expenditures in the nine months ended September 30, 2019 decreased approximately $12.7 million compared to the same period in the prior year, due primarily to higher than typical expenditures at our 5.11 and Arnold businesses in the prior year. We expect capital expenditures for the full year of 2019 to be approximately $30 million to $35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385" w:lineRule="exact"/>
        <w:rPr>
          <w:sz w:val="20"/>
          <w:szCs w:val="20"/>
          <w:color w:val="auto"/>
        </w:rPr>
      </w:pPr>
    </w:p>
    <w:tbl>
      <w:tblPr>
        <w:tblLayout w:type="fixed"/>
        <w:tblInd w:w="1080" w:type="dxa"/>
        <w:tblCellMar>
          <w:top w:w="0" w:type="dxa"/>
          <w:left w:w="0" w:type="dxa"/>
          <w:bottom w:w="0" w:type="dxa"/>
          <w:right w:w="0" w:type="dxa"/>
        </w:tblCellMar>
      </w:tblPr>
      <w:tr>
        <w:trPr>
          <w:trHeight w:val="206"/>
        </w:trPr>
        <w:tc>
          <w:tcPr>
            <w:tcW w:w="5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4"/>
          </w:tcPr>
          <w:p>
            <w:pPr>
              <w:jc w:val="right"/>
              <w:ind w:right="1303"/>
              <w:spacing w:after="0"/>
              <w:rPr>
                <w:sz w:val="20"/>
                <w:szCs w:val="20"/>
                <w:color w:val="auto"/>
              </w:rPr>
            </w:pPr>
            <w:r>
              <w:rPr>
                <w:rFonts w:ascii="Arial" w:cs="Arial" w:eastAsia="Arial" w:hAnsi="Arial"/>
                <w:sz w:val="15"/>
                <w:szCs w:val="15"/>
                <w:b w:val="1"/>
                <w:bCs w:val="1"/>
                <w:color w:val="auto"/>
              </w:rPr>
              <w:t>Nine months ended</w:t>
            </w:r>
          </w:p>
        </w:tc>
      </w:tr>
      <w:tr>
        <w:trPr>
          <w:trHeight w:val="264"/>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2"/>
                <w:szCs w:val="22"/>
                <w:color w:val="auto"/>
              </w:rPr>
            </w:pPr>
          </w:p>
        </w:tc>
        <w:tc>
          <w:tcPr>
            <w:tcW w:w="19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2019</w:t>
            </w:r>
          </w:p>
        </w:tc>
        <w:tc>
          <w:tcPr>
            <w:tcW w:w="200" w:type="dxa"/>
            <w:vAlign w:val="bottom"/>
          </w:tcPr>
          <w:p>
            <w:pPr>
              <w:spacing w:after="0"/>
              <w:rPr>
                <w:sz w:val="22"/>
                <w:szCs w:val="22"/>
                <w:color w:val="auto"/>
              </w:rPr>
            </w:pPr>
          </w:p>
        </w:tc>
        <w:tc>
          <w:tcPr>
            <w:tcW w:w="1840" w:type="dxa"/>
            <w:vAlign w:val="bottom"/>
          </w:tcPr>
          <w:p>
            <w:pPr>
              <w:jc w:val="right"/>
              <w:ind w:right="243"/>
              <w:spacing w:after="0"/>
              <w:rPr>
                <w:sz w:val="20"/>
                <w:szCs w:val="20"/>
                <w:color w:val="auto"/>
              </w:rPr>
            </w:pPr>
            <w:r>
              <w:rPr>
                <w:rFonts w:ascii="Arial" w:cs="Arial" w:eastAsia="Arial" w:hAnsi="Arial"/>
                <w:sz w:val="15"/>
                <w:szCs w:val="15"/>
                <w:b w:val="1"/>
                <w:bCs w:val="1"/>
                <w:color w:val="auto"/>
              </w:rPr>
              <w:t>September 30, 2018</w:t>
            </w:r>
          </w:p>
        </w:tc>
      </w:tr>
      <w:tr>
        <w:trPr>
          <w:trHeight w:val="25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(used in) provided by financing activities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(557,118)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531,288</w:t>
            </w:r>
          </w:p>
        </w:tc>
      </w:tr>
    </w:tbl>
    <w:p>
      <w:pPr>
        <w:spacing w:after="0" w:line="2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used in financing activities totaled approximately $557.1 million during the nine months ended September 30, 2019 compared to cash flows provided by financing activities of $531.3 million during the nine months ended September 30, 2018. The 2018 activity primarily related to the financing of our acquisitions of Foam Fabricators and Rimports in February 2018, which were financed through draws on our 2014 Revolving Credit Facility, partially offset by net proceeds of $96.5 million from the Series B Preferred Shares offering in March 2018 which was used to repay a portion of the outstanding amount on the 2014 Revolving Credit Facility. In April 2018, we issued $400.0 million in Senior Notes and amended our credit facility. The proceeds from the issuance of the Senior Notes were used to pay down outstanding amounts under our credit facility. In the current year, we used proceeds from the sales of Manitoba Harvest and Clean Earth to repay the outstanding amount on the 2018 Revolving Credit Facility, and to pay down $193.8 million on our 2018 Term Loan. We also paid our distributions on our common and preferred shares, as well as a distribution to the Allocation Member of $51.3 million related primarily to the sales of Manitoba Harvest and Clean Earth.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Debt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through our existing credit facility. Our strategy of providing intercompany debt financing within the capital structure of the businesses that we acquire and manage allows us the ability to distribute cash to the parent company through monthly interest payments and amortization of the principal on these intercompany loans. Each loan to our businesses has a scheduled maturity and each business is entitled to repay all or a portion of the principal amount of the outstanding loans, without penalty, prior to maturity. Certain of our businesses have paid down their respective intercompany debt balances through the cash flow generated by these businesses and we have recapitalized, and expect to continue to recapitalize, these businesses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 In January 2018, the Company completed a recapitalization at Sterno whereby the Company entered into an amendment to the intercompany loan agreement with Sterno (the "Sterno Loan Agreement"). The Sterno Loan Agreement was amended to (i) provide for term loan borrowings of $57.7 million to fund a distribution to the Company, which owned 100% of the outstanding equity of Sterno at the time of the recapitalization, and (ii) extend the maturity dates of the term loans.</w:t>
      </w:r>
    </w:p>
    <w:p>
      <w:pPr>
        <w:spacing w:after="0" w:line="15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the first quarter of 2019, we amended the 5.11 intercompany debt agreement to update the definition of capital expenditures to exclude capital expenditures made with respect to 5.11's retail stores from the calculation of the fixed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526" w:right="239" w:bottom="1440" w:gutter="0" w:footer="0" w:header="0"/>
        </w:sectPr>
      </w:pPr>
    </w:p>
    <w:bookmarkStart w:id="55" w:name="page56"/>
    <w:bookmarkEnd w:id="55"/>
    <w:p>
      <w:pPr>
        <w:jc w:val="both"/>
        <w:spacing w:after="0" w:line="252" w:lineRule="auto"/>
        <w:rPr>
          <w:sz w:val="20"/>
          <w:szCs w:val="20"/>
          <w:color w:val="auto"/>
        </w:rPr>
      </w:pPr>
      <w:r>
        <w:rPr>
          <w:rFonts w:ascii="Arial" w:cs="Arial" w:eastAsia="Arial" w:hAnsi="Arial"/>
          <w:sz w:val="18"/>
          <w:szCs w:val="18"/>
          <w:color w:val="auto"/>
        </w:rPr>
        <w:t>charge coverage ratio. 5.11 was in compliance with the covenants under their intercompany debt agreement at September 30, 2019. Subsequent to the third quarter of 2018, we amended the Sterno Loan Agreement to increase the amount available to Sterno under their intercompany revolving credit facility. Liberty was not in compliance with the financial covenants under their intercompany loan agreement at December 31, 2018, and we amended the Liberty intercompany debt agreement to grant a waiver to them through the quarter ended December 31, 2019. Liberty was in compliance with all financial covenants at September 30, 2019. Except as previously noted, all of our subsidiaries were in compliance with the financial covenants included within their intercompany credit arrangements at September 30, 2019.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had the following outstanding loans due from each of our businesses:</w:t>
      </w:r>
    </w:p>
    <w:p>
      <w:pPr>
        <w:spacing w:after="0" w:line="235" w:lineRule="exact"/>
        <w:rPr>
          <w:sz w:val="20"/>
          <w:szCs w:val="20"/>
          <w:color w:val="auto"/>
        </w:rPr>
      </w:pPr>
    </w:p>
    <w:p>
      <w:pPr>
        <w:ind w:left="3340"/>
        <w:spacing w:after="0"/>
        <w:rPr>
          <w:sz w:val="20"/>
          <w:szCs w:val="20"/>
          <w:color w:val="auto"/>
        </w:rPr>
      </w:pPr>
      <w:r>
        <w:rPr>
          <w:rFonts w:ascii="Arial" w:cs="Arial" w:eastAsia="Arial" w:hAnsi="Arial"/>
          <w:sz w:val="13"/>
          <w:szCs w:val="13"/>
          <w:i w:val="1"/>
          <w:iCs w:val="1"/>
          <w:color w:val="auto"/>
        </w:rPr>
        <w:t>(in thousands)</w:t>
      </w:r>
    </w:p>
    <w:p>
      <w:pPr>
        <w:spacing w:after="0" w:line="15" w:lineRule="exact"/>
        <w:rPr>
          <w:sz w:val="20"/>
          <w:szCs w:val="20"/>
          <w:color w:val="auto"/>
        </w:rPr>
      </w:pPr>
    </w:p>
    <w:tbl>
      <w:tblPr>
        <w:tblLayout w:type="fixed"/>
        <w:tblInd w:w="3320" w:type="dxa"/>
        <w:tblCellMar>
          <w:top w:w="0" w:type="dxa"/>
          <w:left w:w="0" w:type="dxa"/>
          <w:bottom w:w="0" w:type="dxa"/>
          <w:right w:w="0" w:type="dxa"/>
        </w:tblCellMar>
      </w:tblPr>
      <w:tr>
        <w:trPr>
          <w:trHeight w:val="280"/>
        </w:trPr>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5.11 Tactical</w:t>
            </w:r>
          </w:p>
        </w:tc>
        <w:tc>
          <w:tcPr>
            <w:tcW w:w="1520" w:type="dxa"/>
            <w:vAlign w:val="bottom"/>
            <w:tcBorders>
              <w:top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197,015</w:t>
            </w:r>
          </w:p>
        </w:tc>
      </w:tr>
      <w:tr>
        <w:trPr>
          <w:trHeight w:val="266"/>
        </w:trPr>
        <w:tc>
          <w:tcPr>
            <w:tcW w:w="2280" w:type="dxa"/>
            <w:vAlign w:val="bottom"/>
          </w:tcPr>
          <w:p>
            <w:pPr>
              <w:ind w:left="20"/>
              <w:spacing w:after="0"/>
              <w:rPr>
                <w:sz w:val="20"/>
                <w:szCs w:val="20"/>
                <w:color w:val="auto"/>
              </w:rPr>
            </w:pPr>
            <w:r>
              <w:rPr>
                <w:rFonts w:ascii="Arial" w:cs="Arial" w:eastAsia="Arial" w:hAnsi="Arial"/>
                <w:sz w:val="15"/>
                <w:szCs w:val="15"/>
                <w:color w:val="auto"/>
              </w:rPr>
              <w:t>Ergobaby</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38,082</w:t>
            </w:r>
          </w:p>
        </w:tc>
      </w:tr>
      <w:tr>
        <w:trPr>
          <w:trHeight w:val="274"/>
        </w:trPr>
        <w:tc>
          <w:tcPr>
            <w:tcW w:w="2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Liberty</w:t>
            </w:r>
          </w:p>
        </w:tc>
        <w:tc>
          <w:tcPr>
            <w:tcW w:w="152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49,474</w:t>
            </w:r>
          </w:p>
        </w:tc>
      </w:tr>
      <w:tr>
        <w:trPr>
          <w:trHeight w:val="266"/>
        </w:trPr>
        <w:tc>
          <w:tcPr>
            <w:tcW w:w="2280" w:type="dxa"/>
            <w:vAlign w:val="bottom"/>
          </w:tcPr>
          <w:p>
            <w:pPr>
              <w:ind w:left="20"/>
              <w:spacing w:after="0"/>
              <w:rPr>
                <w:sz w:val="20"/>
                <w:szCs w:val="20"/>
                <w:color w:val="auto"/>
              </w:rPr>
            </w:pPr>
            <w:r>
              <w:rPr>
                <w:rFonts w:ascii="Arial" w:cs="Arial" w:eastAsia="Arial" w:hAnsi="Arial"/>
                <w:sz w:val="15"/>
                <w:szCs w:val="15"/>
                <w:color w:val="auto"/>
              </w:rPr>
              <w:t>Velocity Outdoor</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122,776</w:t>
            </w:r>
          </w:p>
        </w:tc>
      </w:tr>
      <w:tr>
        <w:trPr>
          <w:trHeight w:val="274"/>
        </w:trPr>
        <w:tc>
          <w:tcPr>
            <w:tcW w:w="2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Advanced Circuits</w:t>
            </w:r>
          </w:p>
        </w:tc>
        <w:tc>
          <w:tcPr>
            <w:tcW w:w="152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66,245</w:t>
            </w:r>
          </w:p>
        </w:tc>
      </w:tr>
      <w:tr>
        <w:trPr>
          <w:trHeight w:val="266"/>
        </w:trPr>
        <w:tc>
          <w:tcPr>
            <w:tcW w:w="2280" w:type="dxa"/>
            <w:vAlign w:val="bottom"/>
          </w:tcPr>
          <w:p>
            <w:pPr>
              <w:ind w:left="20"/>
              <w:spacing w:after="0"/>
              <w:rPr>
                <w:sz w:val="20"/>
                <w:szCs w:val="20"/>
                <w:color w:val="auto"/>
              </w:rPr>
            </w:pPr>
            <w:r>
              <w:rPr>
                <w:rFonts w:ascii="Arial" w:cs="Arial" w:eastAsia="Arial" w:hAnsi="Arial"/>
                <w:sz w:val="15"/>
                <w:szCs w:val="15"/>
                <w:color w:val="auto"/>
              </w:rPr>
              <w:t>Arnold</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75,530</w:t>
            </w:r>
          </w:p>
        </w:tc>
      </w:tr>
      <w:tr>
        <w:trPr>
          <w:trHeight w:val="274"/>
        </w:trPr>
        <w:tc>
          <w:tcPr>
            <w:tcW w:w="2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Foam Fabricators</w:t>
            </w:r>
          </w:p>
        </w:tc>
        <w:tc>
          <w:tcPr>
            <w:tcW w:w="152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95,450</w:t>
            </w:r>
          </w:p>
        </w:tc>
      </w:tr>
      <w:tr>
        <w:trPr>
          <w:trHeight w:val="262"/>
        </w:trPr>
        <w:tc>
          <w:tcPr>
            <w:tcW w:w="2280" w:type="dxa"/>
            <w:vAlign w:val="bottom"/>
          </w:tcPr>
          <w:p>
            <w:pPr>
              <w:ind w:left="20"/>
              <w:spacing w:after="0"/>
              <w:rPr>
                <w:sz w:val="20"/>
                <w:szCs w:val="20"/>
                <w:color w:val="auto"/>
              </w:rPr>
            </w:pPr>
            <w:r>
              <w:rPr>
                <w:rFonts w:ascii="Arial" w:cs="Arial" w:eastAsia="Arial" w:hAnsi="Arial"/>
                <w:sz w:val="15"/>
                <w:szCs w:val="15"/>
                <w:color w:val="auto"/>
              </w:rPr>
              <w:t>Sterno</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254,076</w:t>
            </w:r>
          </w:p>
        </w:tc>
      </w:tr>
    </w:tbl>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businesses. Accordingly, we are dependent upon the earnings of and cash flow from these businesses, which are available for (i) operating expenses; (ii) payment of principal and interest under our 2018 Credit Facility; (iii) payments to CGM due pursuant to the MSA and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believe that we currently have sufficient liquidity and capital resources to meet our existing obligations, including quarterly distributions to our shareholders, as approved by our board of directors, over the next twelve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2018, we entered into an Amended and Restated Credit Agreement (the "2018 Credit Facility") to amend and restate the 2014 Credit Facility. The 2018 Credit Facility provides for (i) revolving loans, swing line loans and letters of credit (the “2018 Revolving Credit Facility”) up to a maximum aggregate amount of $600 million (the “2018 Revolving Loan Commitment”), and (ii) a $500 million term loan (the “2018 Term Loan”).</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had $596.4 million in net availability under the 2018 Revolving Credit Facility at September 30, 2019. The outstanding borrowings under the 2018 Revolving Credit Facility include $3.6 million of outstanding letters of credit at September 30, 2019. At September 30, 2019, we had $298.8 million outstanding on the 2018 Term Loan. In July 2019, the Company repaid approximately $193.8 million of the 2018 Term Loan using a portion of the proceeds received from the sale of Clean Earth.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18, 2018, we consummated the issuance and sale of $400 million aggregate principal amount of our 8.000% due 2026 (the "Notes" or "Senior Notes") offered pursuant to a private offering to qualified institutional buyers in accordance with Rule 144A under the Securities Act, and to non-U.S. persons under Regulation S under the Securities Act. The Notes were issued pursuant to an indenture, dated as of April 18, 2018 (the “Indenture”), between the Company and U.S. Bank National Association, as trustee. The Notes will bear interest at the rate of 8.000% per annum and will mature on May 1, 2026. Interest on the Notes is payable in cash on May 1st and November 1st of each year. The Notes are general senior unsecured obligations of the Company and are not guaranteed by our subsidiaries.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44" w:right="239" w:bottom="1440" w:gutter="0" w:footer="0" w:header="0"/>
        </w:sectPr>
      </w:pPr>
    </w:p>
    <w:bookmarkStart w:id="56" w:name="page57"/>
    <w:bookmarkEnd w:id="56"/>
    <w:p>
      <w:pPr>
        <w:spacing w:after="0" w:line="262" w:lineRule="auto"/>
        <w:rPr>
          <w:sz w:val="20"/>
          <w:szCs w:val="20"/>
          <w:color w:val="auto"/>
        </w:rPr>
      </w:pPr>
      <w:r>
        <w:rPr>
          <w:rFonts w:ascii="Arial" w:cs="Arial" w:eastAsia="Arial" w:hAnsi="Arial"/>
          <w:sz w:val="18"/>
          <w:szCs w:val="18"/>
          <w:color w:val="auto"/>
        </w:rPr>
        <w:t>The following table reflects required and actual financial ratios as of September 30, 2019 included as part of the affirmative covenants in our 2018 Credit Facility.</w:t>
      </w:r>
    </w:p>
    <w:p>
      <w:pPr>
        <w:spacing w:after="0" w:line="176"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4900" w:type="dxa"/>
            <w:vAlign w:val="bottom"/>
            <w:gridSpan w:val="2"/>
          </w:tcPr>
          <w:p>
            <w:pPr>
              <w:ind w:left="40"/>
              <w:spacing w:after="0"/>
              <w:rPr>
                <w:sz w:val="20"/>
                <w:szCs w:val="20"/>
                <w:color w:val="auto"/>
              </w:rPr>
            </w:pPr>
            <w:r>
              <w:rPr>
                <w:rFonts w:ascii="Arial" w:cs="Arial" w:eastAsia="Arial" w:hAnsi="Arial"/>
                <w:sz w:val="15"/>
                <w:szCs w:val="15"/>
                <w:b w:val="1"/>
                <w:bCs w:val="1"/>
                <w:color w:val="auto"/>
              </w:rPr>
              <w:t>Description of Required Covenant Ratio</w:t>
            </w:r>
          </w:p>
        </w:tc>
        <w:tc>
          <w:tcPr>
            <w:tcW w:w="3780" w:type="dxa"/>
            <w:vAlign w:val="bottom"/>
            <w:gridSpan w:val="2"/>
          </w:tcPr>
          <w:p>
            <w:pPr>
              <w:ind w:left="40"/>
              <w:spacing w:after="0"/>
              <w:rPr>
                <w:sz w:val="20"/>
                <w:szCs w:val="20"/>
                <w:color w:val="auto"/>
              </w:rPr>
            </w:pPr>
            <w:r>
              <w:rPr>
                <w:rFonts w:ascii="Arial" w:cs="Arial" w:eastAsia="Arial" w:hAnsi="Arial"/>
                <w:sz w:val="15"/>
                <w:szCs w:val="15"/>
                <w:b w:val="1"/>
                <w:bCs w:val="1"/>
                <w:color w:val="auto"/>
              </w:rPr>
              <w:t>Covenant Ratio Requirement</w:t>
            </w:r>
          </w:p>
        </w:tc>
        <w:tc>
          <w:tcPr>
            <w:tcW w:w="1300" w:type="dxa"/>
            <w:vAlign w:val="bottom"/>
          </w:tcPr>
          <w:p>
            <w:pPr>
              <w:jc w:val="right"/>
              <w:ind w:right="123"/>
              <w:spacing w:after="0"/>
              <w:rPr>
                <w:sz w:val="20"/>
                <w:szCs w:val="20"/>
                <w:color w:val="auto"/>
              </w:rPr>
            </w:pPr>
            <w:r>
              <w:rPr>
                <w:rFonts w:ascii="Arial" w:cs="Arial" w:eastAsia="Arial" w:hAnsi="Arial"/>
                <w:sz w:val="15"/>
                <w:szCs w:val="15"/>
                <w:b w:val="1"/>
                <w:bCs w:val="1"/>
                <w:color w:val="auto"/>
              </w:rPr>
              <w:t>Actual Ratio</w:t>
            </w:r>
          </w:p>
        </w:tc>
      </w:tr>
      <w:tr>
        <w:trPr>
          <w:trHeight w:val="173"/>
        </w:trPr>
        <w:tc>
          <w:tcPr>
            <w:tcW w:w="4200" w:type="dxa"/>
            <w:vAlign w:val="bottom"/>
            <w:tcBorders>
              <w:top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310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70"/>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Consolidated Fixed Charge Coverage Ratio</w:t>
            </w:r>
          </w:p>
        </w:tc>
        <w:tc>
          <w:tcPr>
            <w:tcW w:w="37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Greater than or equal to 1.50:1.0</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1:62:1.0</w:t>
            </w:r>
          </w:p>
        </w:tc>
      </w:tr>
      <w:tr>
        <w:trPr>
          <w:trHeight w:val="270"/>
        </w:trPr>
        <w:tc>
          <w:tcPr>
            <w:tcW w:w="4900" w:type="dxa"/>
            <w:vAlign w:val="bottom"/>
            <w:gridSpan w:val="2"/>
          </w:tcPr>
          <w:p>
            <w:pPr>
              <w:ind w:left="40"/>
              <w:spacing w:after="0"/>
              <w:rPr>
                <w:sz w:val="20"/>
                <w:szCs w:val="20"/>
                <w:color w:val="auto"/>
              </w:rPr>
            </w:pPr>
            <w:r>
              <w:rPr>
                <w:rFonts w:ascii="Arial" w:cs="Arial" w:eastAsia="Arial" w:hAnsi="Arial"/>
                <w:sz w:val="15"/>
                <w:szCs w:val="15"/>
                <w:color w:val="auto"/>
              </w:rPr>
              <w:t xml:space="preserve">Consolidated Senior Secured Leverage Ratio </w:t>
            </w:r>
            <w:r>
              <w:rPr>
                <w:rFonts w:ascii="Arial" w:cs="Arial" w:eastAsia="Arial" w:hAnsi="Arial"/>
                <w:sz w:val="21"/>
                <w:szCs w:val="21"/>
                <w:b w:val="1"/>
                <w:bCs w:val="1"/>
                <w:color w:val="auto"/>
                <w:vertAlign w:val="superscript"/>
              </w:rPr>
              <w:t>(1)</w:t>
            </w:r>
          </w:p>
        </w:tc>
        <w:tc>
          <w:tcPr>
            <w:tcW w:w="3780" w:type="dxa"/>
            <w:vAlign w:val="bottom"/>
            <w:gridSpan w:val="2"/>
          </w:tcPr>
          <w:p>
            <w:pPr>
              <w:ind w:left="40"/>
              <w:spacing w:after="0"/>
              <w:rPr>
                <w:sz w:val="20"/>
                <w:szCs w:val="20"/>
                <w:color w:val="auto"/>
              </w:rPr>
            </w:pPr>
            <w:r>
              <w:rPr>
                <w:rFonts w:ascii="Arial" w:cs="Arial" w:eastAsia="Arial" w:hAnsi="Arial"/>
                <w:sz w:val="15"/>
                <w:szCs w:val="15"/>
                <w:color w:val="auto"/>
              </w:rPr>
              <w:t>Less than or equal to 3.50:1.0</w:t>
            </w:r>
          </w:p>
        </w:tc>
        <w:tc>
          <w:tcPr>
            <w:tcW w:w="1300" w:type="dxa"/>
            <w:vAlign w:val="bottom"/>
          </w:tcPr>
          <w:p>
            <w:pPr>
              <w:jc w:val="right"/>
              <w:spacing w:after="0"/>
              <w:rPr>
                <w:sz w:val="20"/>
                <w:szCs w:val="20"/>
                <w:color w:val="auto"/>
              </w:rPr>
            </w:pPr>
            <w:r>
              <w:rPr>
                <w:rFonts w:ascii="Arial" w:cs="Arial" w:eastAsia="Arial" w:hAnsi="Arial"/>
                <w:sz w:val="15"/>
                <w:szCs w:val="15"/>
                <w:color w:val="auto"/>
              </w:rPr>
              <w:t>0.55:1.0</w:t>
            </w:r>
          </w:p>
        </w:tc>
      </w:tr>
      <w:tr>
        <w:trPr>
          <w:trHeight w:val="270"/>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xml:space="preserve">Consolidated Total Leverage Ratio </w:t>
            </w:r>
            <w:r>
              <w:rPr>
                <w:rFonts w:ascii="Arial" w:cs="Arial" w:eastAsia="Arial" w:hAnsi="Arial"/>
                <w:sz w:val="21"/>
                <w:szCs w:val="21"/>
                <w:b w:val="1"/>
                <w:bCs w:val="1"/>
                <w:color w:val="auto"/>
                <w:vertAlign w:val="superscript"/>
              </w:rPr>
              <w:t>(1)</w:t>
            </w:r>
          </w:p>
        </w:tc>
        <w:tc>
          <w:tcPr>
            <w:tcW w:w="37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Less than or equal to 5.00:1.0</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2.29:1.0</w:t>
            </w:r>
          </w:p>
        </w:tc>
      </w:tr>
    </w:tbl>
    <w:p>
      <w:pPr>
        <w:spacing w:after="0" w:line="229" w:lineRule="exact"/>
        <w:rPr>
          <w:sz w:val="20"/>
          <w:szCs w:val="20"/>
          <w:color w:val="auto"/>
        </w:rPr>
      </w:pPr>
    </w:p>
    <w:p>
      <w:pPr>
        <w:jc w:val="both"/>
        <w:ind w:firstLine="8"/>
        <w:spacing w:after="0" w:line="301" w:lineRule="auto"/>
        <w:tabs>
          <w:tab w:leader="none" w:pos="162" w:val="left"/>
        </w:tabs>
        <w:numPr>
          <w:ilvl w:val="0"/>
          <w:numId w:val="22"/>
        </w:numPr>
        <w:rPr>
          <w:rFonts w:ascii="Arial" w:cs="Arial" w:eastAsia="Arial" w:hAnsi="Arial"/>
          <w:sz w:val="18"/>
          <w:szCs w:val="18"/>
          <w:b w:val="1"/>
          <w:bCs w:val="1"/>
          <w:color w:val="auto"/>
          <w:vertAlign w:val="superscript"/>
        </w:rPr>
      </w:pPr>
      <w:r>
        <w:rPr>
          <w:rFonts w:ascii="Arial" w:cs="Arial" w:eastAsia="Arial" w:hAnsi="Arial"/>
          <w:sz w:val="15"/>
          <w:szCs w:val="15"/>
          <w:color w:val="auto"/>
        </w:rPr>
        <w:t>In the calculation of our Consolidated Senior Secured Leverage Ratio and Consolidated Total Leverage Ratio, the amount of total outstanding debt is reduced by cash and cash equivalents either held by the Company on deposit at the Administrative Agent or in an account subject to a Qualifying Control Agreement. At September 30, 2019, the ratio calculations exclude $90.3 million of cash as a result of Qualifying Control Agreements not in place as of the end of the quarter. Subsequent to quarter end, the Qualifying Control Agreements were established for this cash and the resulting calculations would have been reduced for this cash balance.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65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92"/>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on credit facilities</w:t>
            </w: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46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20,225</w:t>
            </w:r>
          </w:p>
        </w:tc>
        <w:tc>
          <w:tcPr>
            <w:tcW w:w="10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23,293</w:t>
            </w:r>
          </w:p>
        </w:tc>
        <w:tc>
          <w:tcPr>
            <w:tcW w:w="0" w:type="dxa"/>
            <w:vAlign w:val="bottom"/>
          </w:tcPr>
          <w:p>
            <w:pPr>
              <w:spacing w:after="0"/>
              <w:rPr>
                <w:sz w:val="1"/>
                <w:szCs w:val="1"/>
                <w:color w:val="auto"/>
              </w:rPr>
            </w:pPr>
          </w:p>
        </w:tc>
      </w:tr>
      <w:tr>
        <w:trPr>
          <w:trHeight w:val="62"/>
        </w:trPr>
        <w:tc>
          <w:tcPr>
            <w:tcW w:w="65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40" w:type="dxa"/>
            <w:vAlign w:val="bottom"/>
          </w:tcPr>
          <w:p>
            <w:pPr>
              <w:ind w:left="20"/>
              <w:spacing w:after="0"/>
              <w:rPr>
                <w:sz w:val="20"/>
                <w:szCs w:val="20"/>
                <w:color w:val="auto"/>
              </w:rPr>
            </w:pPr>
            <w:r>
              <w:rPr>
                <w:rFonts w:ascii="Arial" w:cs="Arial" w:eastAsia="Arial" w:hAnsi="Arial"/>
                <w:sz w:val="15"/>
                <w:szCs w:val="15"/>
                <w:color w:val="auto"/>
              </w:rPr>
              <w:t>Interest on Senior Notes</w:t>
            </w:r>
          </w:p>
        </w:tc>
        <w:tc>
          <w:tcPr>
            <w:tcW w:w="360" w:type="dxa"/>
            <w:vAlign w:val="bottom"/>
          </w:tcPr>
          <w:p>
            <w:pPr>
              <w:spacing w:after="0"/>
              <w:rPr>
                <w:sz w:val="18"/>
                <w:szCs w:val="18"/>
                <w:color w:val="auto"/>
              </w:rPr>
            </w:pPr>
          </w:p>
        </w:tc>
        <w:tc>
          <w:tcPr>
            <w:tcW w:w="1460" w:type="dxa"/>
            <w:vAlign w:val="bottom"/>
            <w:vMerge w:val="restart"/>
          </w:tcPr>
          <w:p>
            <w:pPr>
              <w:jc w:val="right"/>
              <w:ind w:right="103"/>
              <w:spacing w:after="0"/>
              <w:rPr>
                <w:sz w:val="20"/>
                <w:szCs w:val="20"/>
                <w:color w:val="auto"/>
              </w:rPr>
            </w:pPr>
            <w:r>
              <w:rPr>
                <w:rFonts w:ascii="Arial" w:cs="Arial" w:eastAsia="Arial" w:hAnsi="Arial"/>
                <w:sz w:val="15"/>
                <w:szCs w:val="15"/>
                <w:color w:val="auto"/>
              </w:rPr>
              <w:t>24,000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14,489</w:t>
            </w:r>
          </w:p>
        </w:tc>
        <w:tc>
          <w:tcPr>
            <w:tcW w:w="0" w:type="dxa"/>
            <w:vAlign w:val="bottom"/>
          </w:tcPr>
          <w:p>
            <w:pPr>
              <w:spacing w:after="0"/>
              <w:rPr>
                <w:sz w:val="1"/>
                <w:szCs w:val="1"/>
                <w:color w:val="auto"/>
              </w:rPr>
            </w:pPr>
          </w:p>
        </w:tc>
      </w:tr>
      <w:tr>
        <w:trPr>
          <w:trHeight w:val="58"/>
        </w:trPr>
        <w:tc>
          <w:tcPr>
            <w:tcW w:w="6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Unused fee on Revolving Credit Facility</w:t>
            </w:r>
          </w:p>
        </w:tc>
        <w:tc>
          <w:tcPr>
            <w:tcW w:w="3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1,393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1,282</w:t>
            </w:r>
          </w:p>
        </w:tc>
        <w:tc>
          <w:tcPr>
            <w:tcW w:w="0" w:type="dxa"/>
            <w:vAlign w:val="bottom"/>
          </w:tcPr>
          <w:p>
            <w:pPr>
              <w:spacing w:after="0"/>
              <w:rPr>
                <w:sz w:val="1"/>
                <w:szCs w:val="1"/>
                <w:color w:val="auto"/>
              </w:rPr>
            </w:pPr>
          </w:p>
        </w:tc>
      </w:tr>
      <w:tr>
        <w:trPr>
          <w:trHeight w:val="62"/>
        </w:trPr>
        <w:tc>
          <w:tcPr>
            <w:tcW w:w="6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40" w:type="dxa"/>
            <w:vAlign w:val="bottom"/>
          </w:tcPr>
          <w:p>
            <w:pPr>
              <w:ind w:left="20"/>
              <w:spacing w:after="0"/>
              <w:rPr>
                <w:sz w:val="20"/>
                <w:szCs w:val="20"/>
                <w:color w:val="auto"/>
              </w:rPr>
            </w:pPr>
            <w:r>
              <w:rPr>
                <w:rFonts w:ascii="Arial" w:cs="Arial" w:eastAsia="Arial" w:hAnsi="Arial"/>
                <w:sz w:val="15"/>
                <w:szCs w:val="15"/>
                <w:color w:val="auto"/>
              </w:rPr>
              <w:t>Amortization of original issue discount</w:t>
            </w:r>
          </w:p>
        </w:tc>
        <w:tc>
          <w:tcPr>
            <w:tcW w:w="360" w:type="dxa"/>
            <w:vAlign w:val="bottom"/>
          </w:tcPr>
          <w:p>
            <w:pPr>
              <w:spacing w:after="0"/>
              <w:rPr>
                <w:sz w:val="18"/>
                <w:szCs w:val="18"/>
                <w:color w:val="auto"/>
              </w:rPr>
            </w:pPr>
          </w:p>
        </w:tc>
        <w:tc>
          <w:tcPr>
            <w:tcW w:w="1460" w:type="dxa"/>
            <w:vAlign w:val="bottom"/>
            <w:vMerge w:val="restart"/>
          </w:tcPr>
          <w:p>
            <w:pPr>
              <w:jc w:val="right"/>
              <w:ind w:right="103"/>
              <w:spacing w:after="0"/>
              <w:rPr>
                <w:sz w:val="20"/>
                <w:szCs w:val="20"/>
                <w:color w:val="auto"/>
              </w:rPr>
            </w:pPr>
            <w:r>
              <w:rPr>
                <w:rFonts w:ascii="Arial" w:cs="Arial" w:eastAsia="Arial" w:hAnsi="Arial"/>
                <w:sz w:val="15"/>
                <w:szCs w:val="15"/>
                <w:color w:val="auto"/>
              </w:rPr>
              <w:t>397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576</w:t>
            </w:r>
          </w:p>
        </w:tc>
        <w:tc>
          <w:tcPr>
            <w:tcW w:w="0" w:type="dxa"/>
            <w:vAlign w:val="bottom"/>
          </w:tcPr>
          <w:p>
            <w:pPr>
              <w:spacing w:after="0"/>
              <w:rPr>
                <w:sz w:val="1"/>
                <w:szCs w:val="1"/>
                <w:color w:val="auto"/>
              </w:rPr>
            </w:pPr>
          </w:p>
        </w:tc>
      </w:tr>
      <w:tr>
        <w:trPr>
          <w:trHeight w:val="58"/>
        </w:trPr>
        <w:tc>
          <w:tcPr>
            <w:tcW w:w="6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Unrealized (gain) loss on interest rate derivative </w:t>
            </w:r>
            <w:r>
              <w:rPr>
                <w:rFonts w:ascii="Arial" w:cs="Arial" w:eastAsia="Arial" w:hAnsi="Arial"/>
                <w:sz w:val="12"/>
                <w:szCs w:val="12"/>
                <w:color w:val="auto"/>
              </w:rPr>
              <w:t>(1)</w:t>
            </w:r>
          </w:p>
        </w:tc>
        <w:tc>
          <w:tcPr>
            <w:tcW w:w="3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3,486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(4,649)</w:t>
            </w:r>
          </w:p>
        </w:tc>
        <w:tc>
          <w:tcPr>
            <w:tcW w:w="0" w:type="dxa"/>
            <w:vAlign w:val="bottom"/>
          </w:tcPr>
          <w:p>
            <w:pPr>
              <w:spacing w:after="0"/>
              <w:rPr>
                <w:sz w:val="1"/>
                <w:szCs w:val="1"/>
                <w:color w:val="auto"/>
              </w:rPr>
            </w:pPr>
          </w:p>
        </w:tc>
      </w:tr>
      <w:tr>
        <w:trPr>
          <w:trHeight w:val="62"/>
        </w:trPr>
        <w:tc>
          <w:tcPr>
            <w:tcW w:w="6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40" w:type="dxa"/>
            <w:vAlign w:val="bottom"/>
          </w:tcPr>
          <w:p>
            <w:pPr>
              <w:ind w:left="20"/>
              <w:spacing w:after="0"/>
              <w:rPr>
                <w:sz w:val="20"/>
                <w:szCs w:val="20"/>
                <w:color w:val="auto"/>
              </w:rPr>
            </w:pPr>
            <w:r>
              <w:rPr>
                <w:rFonts w:ascii="Arial" w:cs="Arial" w:eastAsia="Arial" w:hAnsi="Arial"/>
                <w:sz w:val="15"/>
                <w:szCs w:val="15"/>
                <w:color w:val="auto"/>
              </w:rPr>
              <w:t>Other interest expense</w:t>
            </w:r>
          </w:p>
        </w:tc>
        <w:tc>
          <w:tcPr>
            <w:tcW w:w="360" w:type="dxa"/>
            <w:vAlign w:val="bottom"/>
          </w:tcPr>
          <w:p>
            <w:pPr>
              <w:spacing w:after="0"/>
              <w:rPr>
                <w:sz w:val="18"/>
                <w:szCs w:val="18"/>
                <w:color w:val="auto"/>
              </w:rPr>
            </w:pPr>
          </w:p>
        </w:tc>
        <w:tc>
          <w:tcPr>
            <w:tcW w:w="1460" w:type="dxa"/>
            <w:vAlign w:val="bottom"/>
            <w:vMerge w:val="restart"/>
          </w:tcPr>
          <w:p>
            <w:pPr>
              <w:jc w:val="right"/>
              <w:ind w:right="103"/>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58"/>
        </w:trPr>
        <w:tc>
          <w:tcPr>
            <w:tcW w:w="6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3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(1,288)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62"/>
        </w:trPr>
        <w:tc>
          <w:tcPr>
            <w:tcW w:w="654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54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Interest expense</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48,424</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35,227</w:t>
            </w:r>
          </w:p>
        </w:tc>
        <w:tc>
          <w:tcPr>
            <w:tcW w:w="0" w:type="dxa"/>
            <w:vAlign w:val="bottom"/>
          </w:tcPr>
          <w:p>
            <w:pPr>
              <w:spacing w:after="0"/>
              <w:rPr>
                <w:sz w:val="1"/>
                <w:szCs w:val="1"/>
                <w:color w:val="auto"/>
              </w:rPr>
            </w:pPr>
          </w:p>
        </w:tc>
      </w:tr>
      <w:tr>
        <w:trPr>
          <w:trHeight w:val="322"/>
        </w:trPr>
        <w:tc>
          <w:tcPr>
            <w:tcW w:w="65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20"/>
              <w:spacing w:after="0"/>
              <w:rPr>
                <w:sz w:val="20"/>
                <w:szCs w:val="20"/>
                <w:color w:val="auto"/>
              </w:rPr>
            </w:pPr>
            <w:r>
              <w:rPr>
                <w:rFonts w:ascii="Arial" w:cs="Arial" w:eastAsia="Arial" w:hAnsi="Arial"/>
                <w:sz w:val="15"/>
                <w:szCs w:val="15"/>
                <w:color w:val="auto"/>
              </w:rPr>
              <w:t>Average daily balance outstanding - credit facilities</w:t>
            </w: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540" w:type="dxa"/>
            <w:vAlign w:val="bottom"/>
            <w:tcBorders>
              <w:bottom w:val="single" w:sz="8" w:color="CCEEFF"/>
            </w:tcBorders>
            <w:vMerge w:val="continue"/>
          </w:tcPr>
          <w:p>
            <w:pPr>
              <w:spacing w:after="0"/>
              <w:rPr>
                <w:sz w:val="21"/>
                <w:szCs w:val="21"/>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547,332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709,929</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shd w:val="clear" w:color="auto" w:fill="CCEEFF"/>
          </w:tcPr>
          <w:p>
            <w:pPr>
              <w:ind w:left="20"/>
              <w:spacing w:after="0" w:line="166" w:lineRule="exact"/>
              <w:rPr>
                <w:sz w:val="20"/>
                <w:szCs w:val="20"/>
                <w:color w:val="auto"/>
              </w:rPr>
            </w:pPr>
            <w:r>
              <w:rPr>
                <w:rFonts w:ascii="Arial" w:cs="Arial" w:eastAsia="Arial" w:hAnsi="Arial"/>
                <w:sz w:val="15"/>
                <w:szCs w:val="15"/>
                <w:color w:val="auto"/>
              </w:rPr>
              <w:t>Effective interest rate - credit facilities</w:t>
            </w:r>
          </w:p>
        </w:tc>
        <w:tc>
          <w:tcPr>
            <w:tcW w:w="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346" w:lineRule="auto"/>
        <w:tabs>
          <w:tab w:leader="none" w:pos="175" w:val="left"/>
        </w:tabs>
        <w:numPr>
          <w:ilvl w:val="0"/>
          <w:numId w:val="23"/>
        </w:numPr>
        <w:rPr>
          <w:rFonts w:ascii="Arial" w:cs="Arial" w:eastAsia="Arial" w:hAnsi="Arial"/>
          <w:sz w:val="19"/>
          <w:szCs w:val="19"/>
          <w:b w:val="1"/>
          <w:bCs w:val="1"/>
          <w:color w:val="auto"/>
          <w:vertAlign w:val="superscript"/>
        </w:rPr>
      </w:pPr>
      <w:r>
        <w:rPr>
          <w:rFonts w:ascii="Arial" w:cs="Arial" w:eastAsia="Arial" w:hAnsi="Arial"/>
          <w:sz w:val="16"/>
          <w:szCs w:val="16"/>
          <w:color w:val="auto"/>
        </w:rPr>
        <w:t>On September 16, 2014, we purchased an interest rate swap (the "Swap") with a notional amount of $220 million effective April 1, 2016 through June 6, 2021. The agreement requires us to pay interest on the notional amount at the rate of 2.97% in exchange for the three-month LIBOR rate. At September 30, 2019, the current portion of the Swap was in a liability position and had a fair value of $2.6 million, and the non-current portion of the Swap was in a liability position with a fair value of $2.3 million. The fair value of the Swap reflects the present value of future payments and receipts under the agreement and is reflected as a component of interest expense and non-current assets and current liabilities at September 30, 2019.</w:t>
      </w:r>
    </w:p>
    <w:p>
      <w:pPr>
        <w:spacing w:after="0" w:line="19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the above table, we provide the effective interest rate on our credit facilities, including the effect of the Swap, and excluding the interest on our Senior Notes, which is at a fixed 8.000%.</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382"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are provided as additional information to investors in order to provide them with an alternative method for assessing our financial condition and operating results. These measures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tables below reconcile the most directly comparable GAAP financial measures to Earnings before Interest, Income Taxes, Depreciation and Amortization ("EBITDA"), Adjusted EBITDA, and Cash Flow Available for Distribution and Reinvestment ("CAD").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Net income (Loss) to EBITDA and Adjusted EBITDA</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 EBITDA is calculated as net income (loss) before interest expense, income tax expense (benefit), depreciation expense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expense. Amortization expenses consist of amortization of intangibles and debt charges, including debt issuance costs, discounts, etc.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 Adjusted EBITDA is calculated utilizing the same calculation as described above in arriving at EBITDA further adjusted by:</w:t>
      </w:r>
    </w:p>
    <w:p>
      <w:pPr>
        <w:spacing w:after="0" w:line="31" w:lineRule="exact"/>
        <w:rPr>
          <w:sz w:val="20"/>
          <w:szCs w:val="20"/>
          <w:color w:val="auto"/>
        </w:rPr>
      </w:pPr>
    </w:p>
    <w:p>
      <w:pPr>
        <w:jc w:val="both"/>
        <w:ind w:firstLine="8"/>
        <w:spacing w:after="0" w:line="252" w:lineRule="auto"/>
        <w:tabs>
          <w:tab w:leader="none" w:pos="2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(iii) management fees, which reflect fees due quarterly to our Manager in connection with our MSA, as well as Integration Services Fees paid by newly acquired companies; (iv) impairment charges, which reflect write downs to goodwill or other intangible assets; and (vi) foreign currency transaction gains or losses incurred in connection with the conversion of intercompany debt from a foreign functional currency to U.S. dollar.</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EBITDA and Adjusted EBITDA provide useful information to investors and reflect important financial measures as they exclude the effects of items which reflect the impact of long-term investment decisions, rather than the performance of near term operations. When compared to income (loss) from continuing operations these financial measures are limited in that they do not reflect the periodic costs of certain capital assets used in generating revenues of our businesses or the non-cash charges associated with impairments. This presentation also allows investors to view the performance of our businesses in a manner similar to the methods used by us and the management of our businesses, provides additional insight into our operating results and provides a measure for evaluating targeted businesses for acquisition.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these measurements are also useful in measuring our ability to service debt and other payment obligations. EBITDA and Adjusted EBITDA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following tables reconcile EBITDA and Adjusted EBITDA to net income (loss),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6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color w:val="auto"/>
        </w:rPr>
        <w:t>Adjusted EBITDA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327660</wp:posOffset>
            </wp:positionV>
            <wp:extent cx="57029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Velocity</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5.11</w:t>
            </w:r>
          </w:p>
        </w:tc>
        <w:tc>
          <w:tcPr>
            <w:tcW w:w="100" w:type="dxa"/>
            <w:vAlign w:val="bottom"/>
          </w:tcPr>
          <w:p>
            <w:pPr>
              <w:spacing w:after="0"/>
              <w:rPr>
                <w:sz w:val="17"/>
                <w:szCs w:val="17"/>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Ergobaby</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Liberty</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Outdoor</w:t>
            </w:r>
          </w:p>
        </w:tc>
        <w:tc>
          <w:tcPr>
            <w:tcW w:w="16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Arnold</w:t>
            </w:r>
          </w:p>
        </w:tc>
        <w:tc>
          <w:tcPr>
            <w:tcW w:w="14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Foam</w:t>
            </w: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1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860" w:type="dxa"/>
            <w:vAlign w:val="bottom"/>
            <w:tcBorders>
              <w:top w:val="single" w:sz="8" w:color="CCEEFF"/>
            </w:tcBorders>
            <w:shd w:val="clear" w:color="auto" w:fill="CCEEFF"/>
          </w:tcPr>
          <w:p>
            <w:pPr>
              <w:jc w:val="right"/>
              <w:ind w:right="695"/>
              <w:spacing w:after="0"/>
              <w:rPr>
                <w:sz w:val="20"/>
                <w:szCs w:val="20"/>
                <w:color w:val="auto"/>
              </w:rPr>
            </w:pPr>
            <w:r>
              <w:rPr>
                <w:rFonts w:ascii="Arial" w:cs="Arial" w:eastAsia="Arial" w:hAnsi="Arial"/>
                <w:sz w:val="9"/>
                <w:szCs w:val="9"/>
                <w:b w:val="1"/>
                <w:bCs w:val="1"/>
                <w:color w:val="auto"/>
                <w:w w:val="90"/>
              </w:rPr>
              <w:t>(1)</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292,440</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4,251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1,404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(35,242)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11,035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3,383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8,819</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284,887</w:t>
            </w:r>
          </w:p>
        </w:tc>
        <w:tc>
          <w:tcPr>
            <w:tcW w:w="0" w:type="dxa"/>
            <w:vAlign w:val="bottom"/>
          </w:tcPr>
          <w:p>
            <w:pPr>
              <w:spacing w:after="0"/>
              <w:rPr>
                <w:sz w:val="1"/>
                <w:szCs w:val="1"/>
                <w:color w:val="auto"/>
              </w:rPr>
            </w:pPr>
          </w:p>
        </w:tc>
      </w:tr>
      <w:tr>
        <w:trPr>
          <w:trHeight w:val="66"/>
        </w:trPr>
        <w:tc>
          <w:tcPr>
            <w:tcW w:w="1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240" w:type="dxa"/>
            <w:vAlign w:val="bottom"/>
          </w:tcPr>
          <w:p>
            <w:pPr>
              <w:ind w:left="20"/>
              <w:spacing w:after="0"/>
              <w:rPr>
                <w:sz w:val="20"/>
                <w:szCs w:val="20"/>
                <w:color w:val="auto"/>
              </w:rPr>
            </w:pPr>
            <w:r>
              <w:rPr>
                <w:rFonts w:ascii="Arial" w:cs="Arial" w:eastAsia="Arial" w:hAnsi="Arial"/>
                <w:sz w:val="14"/>
                <w:szCs w:val="14"/>
                <w:color w:val="auto"/>
              </w:rPr>
              <w:t>Adjusted for:</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10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1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Provision (benefit) for</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taxes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10,375</w:t>
            </w:r>
          </w:p>
        </w:tc>
        <w:tc>
          <w:tcPr>
            <w:tcW w:w="0" w:type="dxa"/>
            <w:vAlign w:val="bottom"/>
          </w:tcPr>
          <w:p>
            <w:pPr>
              <w:spacing w:after="0"/>
              <w:rPr>
                <w:sz w:val="1"/>
                <w:szCs w:val="1"/>
                <w:color w:val="auto"/>
              </w:rPr>
            </w:pPr>
          </w:p>
        </w:tc>
      </w:tr>
      <w:tr>
        <w:trPr>
          <w:trHeight w:val="264"/>
        </w:trPr>
        <w:tc>
          <w:tcPr>
            <w:tcW w:w="2100" w:type="dxa"/>
            <w:vAlign w:val="bottom"/>
            <w:gridSpan w:val="2"/>
          </w:tcPr>
          <w:p>
            <w:pPr>
              <w:ind w:left="260"/>
              <w:spacing w:after="0"/>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48,247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48,424</w:t>
            </w:r>
          </w:p>
        </w:tc>
        <w:tc>
          <w:tcPr>
            <w:tcW w:w="0" w:type="dxa"/>
            <w:vAlign w:val="bottom"/>
          </w:tcPr>
          <w:p>
            <w:pPr>
              <w:spacing w:after="0"/>
              <w:rPr>
                <w:sz w:val="1"/>
                <w:szCs w:val="1"/>
                <w:color w:val="auto"/>
              </w:rPr>
            </w:pPr>
          </w:p>
        </w:tc>
      </w:tr>
      <w:tr>
        <w:trPr>
          <w:trHeight w:val="276"/>
        </w:trPr>
        <w:tc>
          <w:tcPr>
            <w:tcW w:w="21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Intercompany interest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(61,609)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240" w:type="dxa"/>
            <w:vAlign w:val="bottom"/>
          </w:tcPr>
          <w:p>
            <w:pPr>
              <w:ind w:left="260"/>
              <w:spacing w:after="0"/>
              <w:rPr>
                <w:sz w:val="20"/>
                <w:szCs w:val="20"/>
                <w:color w:val="auto"/>
              </w:rPr>
            </w:pPr>
            <w:r>
              <w:rPr>
                <w:rFonts w:ascii="Arial" w:cs="Arial" w:eastAsia="Arial" w:hAnsi="Arial"/>
                <w:sz w:val="14"/>
                <w:szCs w:val="14"/>
                <w:color w:val="auto"/>
              </w:rPr>
              <w:t>Loss on debt</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40" w:type="dxa"/>
            <w:vAlign w:val="bottom"/>
          </w:tcPr>
          <w:p>
            <w:pPr>
              <w:ind w:left="260"/>
              <w:spacing w:after="0"/>
              <w:rPr>
                <w:sz w:val="20"/>
                <w:szCs w:val="20"/>
                <w:color w:val="auto"/>
              </w:rPr>
            </w:pPr>
            <w:r>
              <w:rPr>
                <w:rFonts w:ascii="Arial" w:cs="Arial" w:eastAsia="Arial" w:hAnsi="Arial"/>
                <w:sz w:val="14"/>
                <w:szCs w:val="14"/>
                <w:color w:val="auto"/>
              </w:rPr>
              <w:t>extinguishment</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5,038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5,038</w:t>
            </w:r>
          </w:p>
        </w:tc>
        <w:tc>
          <w:tcPr>
            <w:tcW w:w="0" w:type="dxa"/>
            <w:vAlign w:val="bottom"/>
          </w:tcPr>
          <w:p>
            <w:pPr>
              <w:spacing w:after="0"/>
              <w:rPr>
                <w:sz w:val="1"/>
                <w:szCs w:val="1"/>
                <w:color w:val="auto"/>
              </w:rPr>
            </w:pPr>
          </w:p>
        </w:tc>
      </w:tr>
      <w:tr>
        <w:trPr>
          <w:trHeight w:val="200"/>
        </w:trPr>
        <w:tc>
          <w:tcPr>
            <w:tcW w:w="21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Depreciation and</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w:t>
            </w:r>
          </w:p>
        </w:tc>
        <w:tc>
          <w:tcPr>
            <w:tcW w:w="8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1,333</w:t>
            </w: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16,037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9,937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4,883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9,258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16,793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67,885</w:t>
            </w:r>
          </w:p>
        </w:tc>
        <w:tc>
          <w:tcPr>
            <w:tcW w:w="0" w:type="dxa"/>
            <w:vAlign w:val="bottom"/>
          </w:tcPr>
          <w:p>
            <w:pPr>
              <w:spacing w:after="0"/>
              <w:rPr>
                <w:sz w:val="1"/>
                <w:szCs w:val="1"/>
                <w:color w:val="auto"/>
              </w:rPr>
            </w:pPr>
          </w:p>
        </w:tc>
      </w:tr>
      <w:tr>
        <w:trPr>
          <w:trHeight w:val="184"/>
        </w:trPr>
        <w:tc>
          <w:tcPr>
            <w:tcW w:w="1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EBITDA</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285,449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29,210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15,705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6,988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(18,846)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20,827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11,206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20,808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45,262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416,609</w:t>
            </w:r>
          </w:p>
        </w:tc>
        <w:tc>
          <w:tcPr>
            <w:tcW w:w="0" w:type="dxa"/>
            <w:vAlign w:val="bottom"/>
          </w:tcPr>
          <w:p>
            <w:pPr>
              <w:spacing w:after="0"/>
              <w:rPr>
                <w:sz w:val="1"/>
                <w:szCs w:val="1"/>
                <w:color w:val="auto"/>
              </w:rPr>
            </w:pPr>
          </w:p>
        </w:tc>
      </w:tr>
      <w:tr>
        <w:trPr>
          <w:trHeight w:val="60"/>
        </w:trPr>
        <w:tc>
          <w:tcPr>
            <w:tcW w:w="1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1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Gain on sale of business</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(330,203)</w:t>
            </w:r>
          </w:p>
        </w:tc>
        <w:tc>
          <w:tcPr>
            <w:tcW w:w="0" w:type="dxa"/>
            <w:vAlign w:val="bottom"/>
          </w:tcPr>
          <w:p>
            <w:pPr>
              <w:spacing w:after="0"/>
              <w:rPr>
                <w:sz w:val="1"/>
                <w:szCs w:val="1"/>
                <w:color w:val="auto"/>
              </w:rPr>
            </w:pPr>
          </w:p>
        </w:tc>
      </w:tr>
      <w:tr>
        <w:trPr>
          <w:trHeight w:val="264"/>
        </w:trPr>
        <w:tc>
          <w:tcPr>
            <w:tcW w:w="2100" w:type="dxa"/>
            <w:vAlign w:val="bottom"/>
            <w:gridSpan w:val="2"/>
          </w:tcPr>
          <w:p>
            <w:pPr>
              <w:ind w:left="260"/>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1,213</w:t>
            </w:r>
          </w:p>
        </w:tc>
        <w:tc>
          <w:tcPr>
            <w:tcW w:w="0" w:type="dxa"/>
            <w:vAlign w:val="bottom"/>
          </w:tcPr>
          <w:p>
            <w:pPr>
              <w:spacing w:after="0"/>
              <w:rPr>
                <w:sz w:val="1"/>
                <w:szCs w:val="1"/>
                <w:color w:val="auto"/>
              </w:rPr>
            </w:pPr>
          </w:p>
        </w:tc>
      </w:tr>
      <w:tr>
        <w:trPr>
          <w:trHeight w:val="200"/>
        </w:trPr>
        <w:tc>
          <w:tcPr>
            <w:tcW w:w="21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Noncontrolling shareholder</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4,265</w:t>
            </w:r>
          </w:p>
        </w:tc>
        <w:tc>
          <w:tcPr>
            <w:tcW w:w="0" w:type="dxa"/>
            <w:vAlign w:val="bottom"/>
          </w:tcPr>
          <w:p>
            <w:pPr>
              <w:spacing w:after="0"/>
              <w:rPr>
                <w:sz w:val="1"/>
                <w:szCs w:val="1"/>
                <w:color w:val="auto"/>
              </w:rPr>
            </w:pPr>
          </w:p>
        </w:tc>
      </w:tr>
      <w:tr>
        <w:trPr>
          <w:trHeight w:val="264"/>
        </w:trPr>
        <w:tc>
          <w:tcPr>
            <w:tcW w:w="2100" w:type="dxa"/>
            <w:vAlign w:val="bottom"/>
            <w:gridSpan w:val="2"/>
          </w:tcPr>
          <w:p>
            <w:pPr>
              <w:ind w:left="260"/>
              <w:spacing w:after="0"/>
              <w:rPr>
                <w:sz w:val="20"/>
                <w:szCs w:val="20"/>
                <w:color w:val="auto"/>
              </w:rPr>
            </w:pPr>
            <w:r>
              <w:rPr>
                <w:rFonts w:ascii="Arial" w:cs="Arial" w:eastAsia="Arial" w:hAnsi="Arial"/>
                <w:sz w:val="14"/>
                <w:szCs w:val="14"/>
                <w:color w:val="auto"/>
              </w:rPr>
              <w:t>Impairment expense</w:t>
            </w:r>
          </w:p>
        </w:tc>
        <w:tc>
          <w:tcPr>
            <w:tcW w:w="12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33,381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33,381</w:t>
            </w:r>
          </w:p>
        </w:tc>
        <w:tc>
          <w:tcPr>
            <w:tcW w:w="0" w:type="dxa"/>
            <w:vAlign w:val="bottom"/>
          </w:tcPr>
          <w:p>
            <w:pPr>
              <w:spacing w:after="0"/>
              <w:rPr>
                <w:sz w:val="1"/>
                <w:szCs w:val="1"/>
                <w:color w:val="auto"/>
              </w:rPr>
            </w:pPr>
          </w:p>
        </w:tc>
      </w:tr>
      <w:tr>
        <w:trPr>
          <w:trHeight w:val="276"/>
        </w:trPr>
        <w:tc>
          <w:tcPr>
            <w:tcW w:w="21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Loss on sale of investment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10,193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10,193</w:t>
            </w:r>
          </w:p>
        </w:tc>
        <w:tc>
          <w:tcPr>
            <w:tcW w:w="0" w:type="dxa"/>
            <w:vAlign w:val="bottom"/>
          </w:tcPr>
          <w:p>
            <w:pPr>
              <w:spacing w:after="0"/>
              <w:rPr>
                <w:sz w:val="1"/>
                <w:szCs w:val="1"/>
                <w:color w:val="auto"/>
              </w:rPr>
            </w:pPr>
          </w:p>
        </w:tc>
      </w:tr>
      <w:tr>
        <w:trPr>
          <w:trHeight w:val="264"/>
        </w:trPr>
        <w:tc>
          <w:tcPr>
            <w:tcW w:w="2100" w:type="dxa"/>
            <w:vAlign w:val="bottom"/>
            <w:gridSpan w:val="2"/>
          </w:tcPr>
          <w:p>
            <w:pPr>
              <w:ind w:left="260"/>
              <w:spacing w:after="0"/>
              <w:rPr>
                <w:sz w:val="20"/>
                <w:szCs w:val="20"/>
                <w:color w:val="auto"/>
              </w:rPr>
            </w:pPr>
            <w:r>
              <w:rPr>
                <w:rFonts w:ascii="Arial" w:cs="Arial" w:eastAsia="Arial" w:hAnsi="Arial"/>
                <w:sz w:val="14"/>
                <w:szCs w:val="14"/>
                <w:color w:val="auto"/>
              </w:rPr>
              <w:t>Integration services fee</w:t>
            </w:r>
          </w:p>
        </w:tc>
        <w:tc>
          <w:tcPr>
            <w:tcW w:w="12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76"/>
        </w:trPr>
        <w:tc>
          <w:tcPr>
            <w:tcW w:w="1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Management fees</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24,789</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28,352</w:t>
            </w:r>
          </w:p>
        </w:tc>
        <w:tc>
          <w:tcPr>
            <w:tcW w:w="0" w:type="dxa"/>
            <w:vAlign w:val="bottom"/>
          </w:tcPr>
          <w:p>
            <w:pPr>
              <w:spacing w:after="0"/>
              <w:rPr>
                <w:sz w:val="1"/>
                <w:szCs w:val="1"/>
                <w:color w:val="auto"/>
              </w:rPr>
            </w:pPr>
          </w:p>
        </w:tc>
      </w:tr>
      <w:tr>
        <w:trPr>
          <w:trHeight w:val="237"/>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Adjusted EBITDA</w:t>
            </w: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(9,681)</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46,519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164,415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right="2580" w:hanging="5612"/>
        <w:spacing w:after="0"/>
        <w:tabs>
          <w:tab w:leader="none" w:pos="166" w:val="left"/>
        </w:tabs>
        <w:numPr>
          <w:ilvl w:val="0"/>
          <w:numId w:val="25"/>
        </w:numPr>
        <w:rPr>
          <w:rFonts w:ascii="Arial" w:cs="Arial" w:eastAsia="Arial" w:hAnsi="Arial"/>
          <w:sz w:val="19"/>
          <w:szCs w:val="19"/>
          <w:b w:val="1"/>
          <w:bCs w:val="1"/>
          <w:color w:val="auto"/>
          <w:vertAlign w:val="superscript"/>
        </w:rPr>
      </w:pPr>
      <w:r>
        <w:rPr>
          <w:rFonts w:ascii="Arial" w:cs="Arial" w:eastAsia="Arial" w:hAnsi="Arial"/>
          <w:sz w:val="15"/>
          <w:szCs w:val="15"/>
          <w:color w:val="auto"/>
        </w:rPr>
        <w:t>Net income (loss) does not include income from discontinued operations for the nine months ended September 30, 2019. 59</w:t>
      </w:r>
    </w:p>
    <w:p>
      <w:pPr>
        <w:sectPr>
          <w:pgSz w:w="11900" w:h="16838" w:orient="portrait"/>
          <w:cols w:equalWidth="0" w:num="1">
            <w:col w:w="11420"/>
          </w:cols>
          <w:pgMar w:left="240" w:top="58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auto"/>
        </w:rPr>
        <w:t>Adjusted EBITDA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327660</wp:posOffset>
            </wp:positionV>
            <wp:extent cx="57029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Velocity</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5.11</w:t>
            </w:r>
          </w:p>
        </w:tc>
        <w:tc>
          <w:tcPr>
            <w:tcW w:w="100" w:type="dxa"/>
            <w:vAlign w:val="bottom"/>
          </w:tcPr>
          <w:p>
            <w:pPr>
              <w:spacing w:after="0"/>
              <w:rPr>
                <w:sz w:val="17"/>
                <w:szCs w:val="17"/>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Ergobaby</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Liberty</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Outdoor</w:t>
            </w:r>
          </w:p>
        </w:tc>
        <w:tc>
          <w:tcPr>
            <w:tcW w:w="16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Arnold</w:t>
            </w:r>
          </w:p>
        </w:tc>
        <w:tc>
          <w:tcPr>
            <w:tcW w:w="14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Foam</w:t>
            </w: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70"/>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Net income (loss) </w:t>
            </w:r>
            <w:r>
              <w:rPr>
                <w:rFonts w:ascii="Arial" w:cs="Arial" w:eastAsia="Arial" w:hAnsi="Arial"/>
                <w:sz w:val="17"/>
                <w:szCs w:val="17"/>
                <w:b w:val="1"/>
                <w:bCs w:val="1"/>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(19,267)</w:t>
            </w: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(9,612)</w:t>
            </w: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4,550</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1,282</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10,646</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2,882</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(10,253)</w:t>
            </w:r>
          </w:p>
        </w:tc>
        <w:tc>
          <w:tcPr>
            <w:tcW w:w="0" w:type="dxa"/>
            <w:vAlign w:val="bottom"/>
          </w:tcPr>
          <w:p>
            <w:pPr>
              <w:spacing w:after="0"/>
              <w:rPr>
                <w:sz w:val="1"/>
                <w:szCs w:val="1"/>
                <w:color w:val="auto"/>
              </w:rPr>
            </w:pPr>
          </w:p>
        </w:tc>
      </w:tr>
      <w:tr>
        <w:trPr>
          <w:trHeight w:val="204"/>
        </w:trPr>
        <w:tc>
          <w:tcPr>
            <w:tcW w:w="2100" w:type="dxa"/>
            <w:vAlign w:val="bottom"/>
          </w:tcPr>
          <w:p>
            <w:pPr>
              <w:ind w:left="20"/>
              <w:spacing w:after="0"/>
              <w:rPr>
                <w:sz w:val="20"/>
                <w:szCs w:val="20"/>
                <w:color w:val="auto"/>
              </w:rPr>
            </w:pPr>
            <w:r>
              <w:rPr>
                <w:rFonts w:ascii="Arial" w:cs="Arial" w:eastAsia="Arial" w:hAnsi="Arial"/>
                <w:sz w:val="14"/>
                <w:szCs w:val="14"/>
                <w:color w:val="auto"/>
              </w:rPr>
              <w:t>Adjusted for:</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Provision (benefit) for</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7,557</w:t>
            </w:r>
          </w:p>
        </w:tc>
        <w:tc>
          <w:tcPr>
            <w:tcW w:w="0" w:type="dxa"/>
            <w:vAlign w:val="bottom"/>
          </w:tcPr>
          <w:p>
            <w:pPr>
              <w:spacing w:after="0"/>
              <w:rPr>
                <w:sz w:val="1"/>
                <w:szCs w:val="1"/>
                <w:color w:val="auto"/>
              </w:rPr>
            </w:pPr>
          </w:p>
        </w:tc>
      </w:tr>
      <w:tr>
        <w:trPr>
          <w:trHeight w:val="264"/>
        </w:trPr>
        <w:tc>
          <w:tcPr>
            <w:tcW w:w="210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34,979</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35,227</w:t>
            </w:r>
          </w:p>
        </w:tc>
        <w:tc>
          <w:tcPr>
            <w:tcW w:w="0" w:type="dxa"/>
            <w:vAlign w:val="bottom"/>
          </w:tcPr>
          <w:p>
            <w:pPr>
              <w:spacing w:after="0"/>
              <w:rPr>
                <w:sz w:val="1"/>
                <w:szCs w:val="1"/>
                <w:color w:val="auto"/>
              </w:rPr>
            </w:pPr>
          </w:p>
        </w:tc>
      </w:tr>
      <w:tr>
        <w:trPr>
          <w:trHeight w:val="276"/>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interest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(57,311)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100" w:type="dxa"/>
            <w:vAlign w:val="bottom"/>
          </w:tcPr>
          <w:p>
            <w:pPr>
              <w:ind w:left="380"/>
              <w:spacing w:after="0"/>
              <w:rPr>
                <w:sz w:val="20"/>
                <w:szCs w:val="20"/>
                <w:color w:val="auto"/>
              </w:rPr>
            </w:pPr>
            <w:r>
              <w:rPr>
                <w:rFonts w:ascii="Arial" w:cs="Arial" w:eastAsia="Arial" w:hAnsi="Arial"/>
                <w:sz w:val="14"/>
                <w:szCs w:val="14"/>
                <w:color w:val="auto"/>
              </w:rPr>
              <w:t>Loss on debt</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00" w:type="dxa"/>
            <w:vAlign w:val="bottom"/>
          </w:tcPr>
          <w:p>
            <w:pPr>
              <w:ind w:left="380"/>
              <w:spacing w:after="0"/>
              <w:rPr>
                <w:sz w:val="20"/>
                <w:szCs w:val="20"/>
                <w:color w:val="auto"/>
              </w:rPr>
            </w:pPr>
            <w:r>
              <w:rPr>
                <w:rFonts w:ascii="Arial" w:cs="Arial" w:eastAsia="Arial" w:hAnsi="Arial"/>
                <w:sz w:val="14"/>
                <w:szCs w:val="14"/>
                <w:color w:val="auto"/>
              </w:rPr>
              <w:t>extinguishment</w:t>
            </w: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744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200"/>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1,352</w:t>
            </w: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16,201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6,397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6,252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2,497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4,789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7,912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21,758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68,348</w:t>
            </w:r>
          </w:p>
        </w:tc>
        <w:tc>
          <w:tcPr>
            <w:tcW w:w="0" w:type="dxa"/>
            <w:vAlign w:val="bottom"/>
          </w:tcPr>
          <w:p>
            <w:pPr>
              <w:spacing w:after="0"/>
              <w:rPr>
                <w:sz w:val="1"/>
                <w:szCs w:val="1"/>
                <w:color w:val="auto"/>
              </w:rPr>
            </w:pPr>
          </w:p>
        </w:tc>
      </w:tr>
      <w:tr>
        <w:trPr>
          <w:trHeight w:val="184"/>
        </w:trPr>
        <w:tc>
          <w:tcPr>
            <w:tcW w:w="2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EBITDA</w:t>
            </w: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(39,503)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18,920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16,306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6,031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11,218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21,536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11,565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15,029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40,521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101,623</w:t>
            </w:r>
          </w:p>
        </w:tc>
        <w:tc>
          <w:tcPr>
            <w:tcW w:w="0" w:type="dxa"/>
            <w:vAlign w:val="bottom"/>
          </w:tcPr>
          <w:p>
            <w:pPr>
              <w:spacing w:after="0"/>
              <w:rPr>
                <w:sz w:val="1"/>
                <w:szCs w:val="1"/>
                <w:color w:val="auto"/>
              </w:rPr>
            </w:pPr>
          </w:p>
        </w:tc>
      </w:tr>
      <w:tr>
        <w:trPr>
          <w:trHeight w:val="60"/>
        </w:trPr>
        <w:tc>
          <w:tcPr>
            <w:tcW w:w="2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sale of</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businesses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94"/>
        </w:trPr>
        <w:tc>
          <w:tcPr>
            <w:tcW w:w="2100" w:type="dxa"/>
            <w:vAlign w:val="bottom"/>
          </w:tcPr>
          <w:p>
            <w:pPr>
              <w:ind w:left="380"/>
              <w:spacing w:after="0"/>
              <w:rPr>
                <w:sz w:val="20"/>
                <w:szCs w:val="20"/>
                <w:color w:val="auto"/>
              </w:rPr>
            </w:pPr>
            <w:r>
              <w:rPr>
                <w:rFonts w:ascii="Arial" w:cs="Arial" w:eastAsia="Arial" w:hAnsi="Arial"/>
                <w:sz w:val="14"/>
                <w:szCs w:val="14"/>
                <w:color w:val="auto"/>
              </w:rPr>
              <w:t>Gain (loss) on sale of</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00" w:type="dxa"/>
            <w:vAlign w:val="bottom"/>
          </w:tcPr>
          <w:p>
            <w:pPr>
              <w:ind w:left="380"/>
              <w:spacing w:after="0"/>
              <w:rPr>
                <w:sz w:val="20"/>
                <w:szCs w:val="20"/>
                <w:color w:val="auto"/>
              </w:rPr>
            </w:pPr>
            <w:r>
              <w:rPr>
                <w:rFonts w:ascii="Arial" w:cs="Arial" w:eastAsia="Arial" w:hAnsi="Arial"/>
                <w:sz w:val="14"/>
                <w:szCs w:val="14"/>
                <w:color w:val="auto"/>
              </w:rPr>
              <w:t>fixed assets</w:t>
            </w:r>
          </w:p>
        </w:tc>
        <w:tc>
          <w:tcPr>
            <w:tcW w:w="16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0"/>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Noncontrolling</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shareholder compensation</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5,972</w:t>
            </w:r>
          </w:p>
        </w:tc>
        <w:tc>
          <w:tcPr>
            <w:tcW w:w="0" w:type="dxa"/>
            <w:vAlign w:val="bottom"/>
          </w:tcPr>
          <w:p>
            <w:pPr>
              <w:spacing w:after="0"/>
              <w:rPr>
                <w:sz w:val="1"/>
                <w:szCs w:val="1"/>
                <w:color w:val="auto"/>
              </w:rPr>
            </w:pPr>
          </w:p>
        </w:tc>
      </w:tr>
      <w:tr>
        <w:trPr>
          <w:trHeight w:val="194"/>
        </w:trPr>
        <w:tc>
          <w:tcPr>
            <w:tcW w:w="2100" w:type="dxa"/>
            <w:vAlign w:val="bottom"/>
          </w:tcPr>
          <w:p>
            <w:pPr>
              <w:ind w:left="380"/>
              <w:spacing w:after="0"/>
              <w:rPr>
                <w:sz w:val="20"/>
                <w:szCs w:val="20"/>
                <w:color w:val="auto"/>
              </w:rPr>
            </w:pPr>
            <w:r>
              <w:rPr>
                <w:rFonts w:ascii="Arial" w:cs="Arial" w:eastAsia="Arial" w:hAnsi="Arial"/>
                <w:sz w:val="14"/>
                <w:szCs w:val="14"/>
                <w:color w:val="auto"/>
              </w:rPr>
              <w:t>Acquisition related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00" w:type="dxa"/>
            <w:vAlign w:val="bottom"/>
          </w:tcPr>
          <w:p>
            <w:pPr>
              <w:ind w:left="38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632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3,551</w:t>
            </w:r>
          </w:p>
        </w:tc>
        <w:tc>
          <w:tcPr>
            <w:tcW w:w="0" w:type="dxa"/>
            <w:vAlign w:val="bottom"/>
          </w:tcPr>
          <w:p>
            <w:pPr>
              <w:spacing w:after="0"/>
              <w:rPr>
                <w:sz w:val="1"/>
                <w:szCs w:val="1"/>
                <w:color w:val="auto"/>
              </w:rPr>
            </w:pPr>
          </w:p>
        </w:tc>
      </w:tr>
      <w:tr>
        <w:trPr>
          <w:trHeight w:val="276"/>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Integration services fee</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2,156</w:t>
            </w:r>
          </w:p>
        </w:tc>
        <w:tc>
          <w:tcPr>
            <w:tcW w:w="0" w:type="dxa"/>
            <w:vAlign w:val="bottom"/>
          </w:tcPr>
          <w:p>
            <w:pPr>
              <w:spacing w:after="0"/>
              <w:rPr>
                <w:sz w:val="1"/>
                <w:szCs w:val="1"/>
                <w:color w:val="auto"/>
              </w:rPr>
            </w:pPr>
          </w:p>
        </w:tc>
      </w:tr>
      <w:tr>
        <w:trPr>
          <w:trHeight w:val="194"/>
        </w:trPr>
        <w:tc>
          <w:tcPr>
            <w:tcW w:w="2100" w:type="dxa"/>
            <w:vAlign w:val="bottom"/>
          </w:tcPr>
          <w:p>
            <w:pPr>
              <w:ind w:left="380"/>
              <w:spacing w:after="0"/>
              <w:rPr>
                <w:sz w:val="20"/>
                <w:szCs w:val="20"/>
                <w:color w:val="auto"/>
              </w:rPr>
            </w:pPr>
            <w:r>
              <w:rPr>
                <w:rFonts w:ascii="Arial" w:cs="Arial" w:eastAsia="Arial" w:hAnsi="Arial"/>
                <w:sz w:val="14"/>
                <w:szCs w:val="14"/>
                <w:color w:val="auto"/>
              </w:rPr>
              <w:t>Loss on foreign currency</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00" w:type="dxa"/>
            <w:vAlign w:val="bottom"/>
          </w:tcPr>
          <w:p>
            <w:pPr>
              <w:ind w:left="380"/>
              <w:spacing w:after="0"/>
              <w:rPr>
                <w:sz w:val="20"/>
                <w:szCs w:val="20"/>
                <w:color w:val="auto"/>
              </w:rPr>
            </w:pPr>
            <w:r>
              <w:rPr>
                <w:rFonts w:ascii="Arial" w:cs="Arial" w:eastAsia="Arial" w:hAnsi="Arial"/>
                <w:sz w:val="14"/>
                <w:szCs w:val="14"/>
                <w:color w:val="auto"/>
              </w:rPr>
              <w:t>transactions</w:t>
            </w: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1,364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276"/>
        </w:trPr>
        <w:tc>
          <w:tcPr>
            <w:tcW w:w="2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Management fees</w:t>
            </w: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28,734</w:t>
            </w:r>
          </w:p>
        </w:tc>
        <w:tc>
          <w:tcPr>
            <w:tcW w:w="1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32,204</w:t>
            </w:r>
          </w:p>
        </w:tc>
        <w:tc>
          <w:tcPr>
            <w:tcW w:w="0" w:type="dxa"/>
            <w:vAlign w:val="bottom"/>
          </w:tcPr>
          <w:p>
            <w:pPr>
              <w:spacing w:after="0"/>
              <w:rPr>
                <w:sz w:val="1"/>
                <w:szCs w:val="1"/>
                <w:color w:val="auto"/>
              </w:rPr>
            </w:pPr>
          </w:p>
        </w:tc>
      </w:tr>
      <w:tr>
        <w:trPr>
          <w:trHeight w:val="264"/>
        </w:trPr>
        <w:tc>
          <w:tcPr>
            <w:tcW w:w="2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xml:space="preserve">Adjusted EBITDA </w:t>
            </w:r>
            <w:r>
              <w:rPr>
                <w:rFonts w:ascii="Arial" w:cs="Arial" w:eastAsia="Arial" w:hAnsi="Arial"/>
                <w:sz w:val="17"/>
                <w:szCs w:val="17"/>
                <w:b w:val="1"/>
                <w:bCs w:val="1"/>
                <w:i w:val="1"/>
                <w:iCs w:val="1"/>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(10,565)</w:t>
            </w: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21,314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17,414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6,502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14,779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21,929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12,105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19,123</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43,024</w:t>
            </w:r>
          </w:p>
        </w:tc>
        <w:tc>
          <w:tcPr>
            <w:tcW w:w="120" w:type="dxa"/>
            <w:vAlign w:val="bottom"/>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145,625</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21"/>
          <w:szCs w:val="21"/>
          <w:b w:val="1"/>
          <w:bCs w:val="1"/>
          <w:color w:val="auto"/>
          <w:vertAlign w:val="superscript"/>
        </w:rPr>
      </w:pPr>
      <w:r>
        <w:rPr>
          <w:rFonts w:ascii="Arial" w:cs="Arial" w:eastAsia="Arial" w:hAnsi="Arial"/>
          <w:sz w:val="15"/>
          <w:szCs w:val="15"/>
          <w:color w:val="auto"/>
        </w:rPr>
        <w:t>Net income (loss) does not include loss from discontinued operations for the nine months ended September 30, 2018.</w:t>
      </w:r>
    </w:p>
    <w:p>
      <w:pPr>
        <w:spacing w:after="0" w:line="237" w:lineRule="exact"/>
        <w:rPr>
          <w:rFonts w:ascii="Arial" w:cs="Arial" w:eastAsia="Arial" w:hAnsi="Arial"/>
          <w:sz w:val="21"/>
          <w:szCs w:val="21"/>
          <w:b w:val="1"/>
          <w:bCs w:val="1"/>
          <w:color w:val="auto"/>
          <w:vertAlign w:val="superscript"/>
        </w:rPr>
      </w:pPr>
    </w:p>
    <w:p>
      <w:pPr>
        <w:ind w:firstLine="8"/>
        <w:spacing w:after="0" w:line="238" w:lineRule="auto"/>
        <w:tabs>
          <w:tab w:leader="none" w:pos="182" w:val="left"/>
        </w:tabs>
        <w:numPr>
          <w:ilvl w:val="0"/>
          <w:numId w:val="26"/>
        </w:numPr>
        <w:rPr>
          <w:rFonts w:ascii="Arial" w:cs="Arial" w:eastAsia="Arial" w:hAnsi="Arial"/>
          <w:sz w:val="21"/>
          <w:szCs w:val="21"/>
          <w:b w:val="1"/>
          <w:bCs w:val="1"/>
          <w:color w:val="auto"/>
          <w:vertAlign w:val="superscript"/>
        </w:rPr>
      </w:pPr>
      <w:r>
        <w:rPr>
          <w:rFonts w:ascii="Arial" w:cs="Arial" w:eastAsia="Arial" w:hAnsi="Arial"/>
          <w:sz w:val="15"/>
          <w:szCs w:val="15"/>
          <w:color w:val="auto"/>
        </w:rPr>
        <w:t>As a result of the sales of Manitoba Harvest in February 2019 and Clean Earth in June 2019, Adjusted EBITDA for the nine months ended September 30, 2018 does not include Adjusted EBITDA from Manitoba Harvest of $4.9 million and Clean Earth of $32.9 million.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689"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u w:val="single" w:color="auto"/>
          <w:color w:val="auto"/>
        </w:rPr>
        <w:t>Cash Flow Available for Distribution and Reinvestment</w:t>
      </w:r>
    </w:p>
    <w:p>
      <w:pPr>
        <w:spacing w:after="0" w:line="8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table below details cash receipts and payments that are not reflected on our income statement in order to provide an additional measure of management's estimate of cash available for distribution ("CAD"). CAD is a non-GAAP measure that we believe provides additional, useful information to our shareholders in order to enable them to evaluate our ability to make anticipated quarterly distributions. CAD is not meant to be a substitute for GAAP, and may be different from or otherwise inconsistent with non-GAAP financial measures used by other companies.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reconciles CAD to net income (loss) and cash flows provided by operating activities, which we consider to be the most directly comparable financial measure calculated and presented in accordance with GAAP.</w:t>
      </w:r>
    </w:p>
    <w:p>
      <w:pPr>
        <w:spacing w:after="0" w:line="230" w:lineRule="exact"/>
        <w:rPr>
          <w:sz w:val="20"/>
          <w:szCs w:val="20"/>
          <w:color w:val="auto"/>
        </w:rPr>
      </w:pPr>
    </w:p>
    <w:p>
      <w:pPr>
        <w:ind w:left="8480"/>
        <w:spacing w:after="0"/>
        <w:rPr>
          <w:sz w:val="20"/>
          <w:szCs w:val="20"/>
          <w:color w:val="auto"/>
        </w:rPr>
      </w:pPr>
      <w:r>
        <w:rPr>
          <w:rFonts w:ascii="Arial" w:cs="Arial" w:eastAsia="Arial" w:hAnsi="Arial"/>
          <w:sz w:val="15"/>
          <w:szCs w:val="15"/>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24130</wp:posOffset>
            </wp:positionV>
            <wp:extent cx="25901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698944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Net income</w:t>
      </w:r>
    </w:p>
    <w:p>
      <w:pPr>
        <w:spacing w:after="0" w:line="9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Adjustment to reconcile net income to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8944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Depreciation and amortization</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Impairment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8944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Gain on sale of businesses</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Amortization of debt issuance costs and original issue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8944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Unrealized (gain) loss on interest rate hedge</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Noncontrolling shareholder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8944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Provision for loss on receivables</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8944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Other</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8944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Net cash provided by operating activities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Plus: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2019</w:t>
            </w:r>
          </w:p>
        </w:tc>
        <w:tc>
          <w:tcPr>
            <w:tcW w:w="180" w:type="dxa"/>
            <w:vAlign w:val="bottom"/>
          </w:tcPr>
          <w:p>
            <w:pPr>
              <w:spacing w:after="0"/>
              <w:rPr>
                <w:sz w:val="17"/>
                <w:szCs w:val="17"/>
                <w:color w:val="auto"/>
              </w:rPr>
            </w:pPr>
          </w:p>
        </w:tc>
        <w:tc>
          <w:tcPr>
            <w:tcW w:w="1800" w:type="dxa"/>
            <w:vAlign w:val="bottom"/>
          </w:tcPr>
          <w:p>
            <w:pPr>
              <w:jc w:val="right"/>
              <w:ind w:right="203"/>
              <w:spacing w:after="0"/>
              <w:rPr>
                <w:sz w:val="20"/>
                <w:szCs w:val="20"/>
                <w:color w:val="auto"/>
              </w:rPr>
            </w:pPr>
            <w:r>
              <w:rPr>
                <w:rFonts w:ascii="Arial" w:cs="Arial" w:eastAsia="Arial" w:hAnsi="Arial"/>
                <w:sz w:val="15"/>
                <w:szCs w:val="15"/>
                <w:b w:val="1"/>
                <w:bCs w:val="1"/>
                <w:color w:val="auto"/>
              </w:rPr>
              <w:t>September 30, 2018</w:t>
            </w:r>
          </w:p>
        </w:tc>
      </w:tr>
      <w:tr>
        <w:trPr>
          <w:trHeight w:val="246"/>
        </w:trPr>
        <w:tc>
          <w:tcPr>
            <w:tcW w:w="2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7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301,788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4,678</w:t>
            </w:r>
          </w:p>
        </w:tc>
      </w:tr>
      <w:tr>
        <w:trPr>
          <w:trHeight w:val="540"/>
        </w:trPr>
        <w:tc>
          <w:tcPr>
            <w:tcW w:w="200" w:type="dxa"/>
            <w:vAlign w:val="bottom"/>
          </w:tcPr>
          <w:p>
            <w:pPr>
              <w:spacing w:after="0"/>
              <w:rPr>
                <w:sz w:val="24"/>
                <w:szCs w:val="24"/>
                <w:color w:val="auto"/>
              </w:rPr>
            </w:pPr>
          </w:p>
        </w:tc>
        <w:tc>
          <w:tcPr>
            <w:tcW w:w="1780" w:type="dxa"/>
            <w:vAlign w:val="bottom"/>
          </w:tcPr>
          <w:p>
            <w:pPr>
              <w:jc w:val="right"/>
              <w:ind w:right="23"/>
              <w:spacing w:after="0"/>
              <w:rPr>
                <w:sz w:val="20"/>
                <w:szCs w:val="20"/>
                <w:color w:val="auto"/>
              </w:rPr>
            </w:pPr>
            <w:r>
              <w:rPr>
                <w:rFonts w:ascii="Arial" w:cs="Arial" w:eastAsia="Arial" w:hAnsi="Arial"/>
                <w:sz w:val="15"/>
                <w:szCs w:val="15"/>
                <w:color w:val="auto"/>
              </w:rPr>
              <w:t>78,413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right"/>
              <w:ind w:right="43"/>
              <w:spacing w:after="0"/>
              <w:rPr>
                <w:sz w:val="20"/>
                <w:szCs w:val="20"/>
                <w:color w:val="auto"/>
              </w:rPr>
            </w:pPr>
            <w:r>
              <w:rPr>
                <w:rFonts w:ascii="Arial" w:cs="Arial" w:eastAsia="Arial" w:hAnsi="Arial"/>
                <w:sz w:val="15"/>
                <w:szCs w:val="15"/>
                <w:color w:val="auto"/>
              </w:rPr>
              <w:t>87,878</w:t>
            </w:r>
          </w:p>
        </w:tc>
      </w:tr>
      <w:tr>
        <w:trPr>
          <w:trHeight w:val="270"/>
        </w:trPr>
        <w:tc>
          <w:tcPr>
            <w:tcW w:w="200" w:type="dxa"/>
            <w:vAlign w:val="bottom"/>
          </w:tcPr>
          <w:p>
            <w:pPr>
              <w:spacing w:after="0"/>
              <w:rPr>
                <w:sz w:val="23"/>
                <w:szCs w:val="23"/>
                <w:color w:val="auto"/>
              </w:rPr>
            </w:pPr>
          </w:p>
        </w:tc>
        <w:tc>
          <w:tcPr>
            <w:tcW w:w="1780" w:type="dxa"/>
            <w:vAlign w:val="bottom"/>
          </w:tcPr>
          <w:p>
            <w:pPr>
              <w:jc w:val="right"/>
              <w:ind w:right="23"/>
              <w:spacing w:after="0"/>
              <w:rPr>
                <w:sz w:val="20"/>
                <w:szCs w:val="20"/>
                <w:color w:val="auto"/>
              </w:rPr>
            </w:pPr>
            <w:r>
              <w:rPr>
                <w:rFonts w:ascii="Arial" w:cs="Arial" w:eastAsia="Arial" w:hAnsi="Arial"/>
                <w:sz w:val="15"/>
                <w:szCs w:val="15"/>
                <w:color w:val="auto"/>
              </w:rPr>
              <w:t>33,381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ind w:right="43"/>
              <w:spacing w:after="0"/>
              <w:rPr>
                <w:sz w:val="20"/>
                <w:szCs w:val="20"/>
                <w:color w:val="auto"/>
              </w:rPr>
            </w:pPr>
            <w:r>
              <w:rPr>
                <w:rFonts w:ascii="Arial" w:cs="Arial" w:eastAsia="Arial" w:hAnsi="Arial"/>
                <w:sz w:val="15"/>
                <w:szCs w:val="15"/>
                <w:color w:val="auto"/>
              </w:rPr>
              <w:t>—</w:t>
            </w:r>
          </w:p>
        </w:tc>
      </w:tr>
      <w:tr>
        <w:trPr>
          <w:trHeight w:val="270"/>
        </w:trPr>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(330,203)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(1,165)</w:t>
            </w:r>
          </w:p>
        </w:tc>
      </w:tr>
      <w:tr>
        <w:trPr>
          <w:trHeight w:val="270"/>
        </w:trPr>
        <w:tc>
          <w:tcPr>
            <w:tcW w:w="200" w:type="dxa"/>
            <w:vAlign w:val="bottom"/>
          </w:tcPr>
          <w:p>
            <w:pPr>
              <w:spacing w:after="0"/>
              <w:rPr>
                <w:sz w:val="23"/>
                <w:szCs w:val="23"/>
                <w:color w:val="auto"/>
              </w:rPr>
            </w:pPr>
          </w:p>
        </w:tc>
        <w:tc>
          <w:tcPr>
            <w:tcW w:w="1780" w:type="dxa"/>
            <w:vAlign w:val="bottom"/>
          </w:tcPr>
          <w:p>
            <w:pPr>
              <w:jc w:val="right"/>
              <w:ind w:right="23"/>
              <w:spacing w:after="0"/>
              <w:rPr>
                <w:sz w:val="20"/>
                <w:szCs w:val="20"/>
                <w:color w:val="auto"/>
              </w:rPr>
            </w:pPr>
            <w:r>
              <w:rPr>
                <w:rFonts w:ascii="Arial" w:cs="Arial" w:eastAsia="Arial" w:hAnsi="Arial"/>
                <w:sz w:val="15"/>
                <w:szCs w:val="15"/>
                <w:color w:val="auto"/>
              </w:rPr>
              <w:t>3,022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ind w:right="43"/>
              <w:spacing w:after="0"/>
              <w:rPr>
                <w:sz w:val="20"/>
                <w:szCs w:val="20"/>
                <w:color w:val="auto"/>
              </w:rPr>
            </w:pPr>
            <w:r>
              <w:rPr>
                <w:rFonts w:ascii="Arial" w:cs="Arial" w:eastAsia="Arial" w:hAnsi="Arial"/>
                <w:sz w:val="15"/>
                <w:szCs w:val="15"/>
                <w:color w:val="auto"/>
              </w:rPr>
              <w:t>3,403</w:t>
            </w:r>
          </w:p>
        </w:tc>
      </w:tr>
      <w:tr>
        <w:trPr>
          <w:trHeight w:val="270"/>
        </w:trPr>
        <w:tc>
          <w:tcPr>
            <w:tcW w:w="200" w:type="dxa"/>
            <w:vAlign w:val="bottom"/>
          </w:tcPr>
          <w:p>
            <w:pPr>
              <w:spacing w:after="0"/>
              <w:rPr>
                <w:sz w:val="23"/>
                <w:szCs w:val="23"/>
                <w:color w:val="auto"/>
              </w:rPr>
            </w:pPr>
          </w:p>
        </w:tc>
        <w:tc>
          <w:tcPr>
            <w:tcW w:w="1780" w:type="dxa"/>
            <w:vAlign w:val="bottom"/>
          </w:tcPr>
          <w:p>
            <w:pPr>
              <w:jc w:val="right"/>
              <w:ind w:right="23"/>
              <w:spacing w:after="0"/>
              <w:rPr>
                <w:sz w:val="20"/>
                <w:szCs w:val="20"/>
                <w:color w:val="auto"/>
              </w:rPr>
            </w:pPr>
            <w:r>
              <w:rPr>
                <w:rFonts w:ascii="Arial" w:cs="Arial" w:eastAsia="Arial" w:hAnsi="Arial"/>
                <w:sz w:val="15"/>
                <w:szCs w:val="15"/>
                <w:color w:val="auto"/>
              </w:rPr>
              <w:t>3,486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(4,649)</w:t>
            </w:r>
          </w:p>
        </w:tc>
      </w:tr>
      <w:tr>
        <w:trPr>
          <w:trHeight w:val="270"/>
        </w:trPr>
        <w:tc>
          <w:tcPr>
            <w:tcW w:w="200" w:type="dxa"/>
            <w:vAlign w:val="bottom"/>
          </w:tcPr>
          <w:p>
            <w:pPr>
              <w:spacing w:after="0"/>
              <w:rPr>
                <w:sz w:val="23"/>
                <w:szCs w:val="23"/>
                <w:color w:val="auto"/>
              </w:rPr>
            </w:pPr>
          </w:p>
        </w:tc>
        <w:tc>
          <w:tcPr>
            <w:tcW w:w="1780" w:type="dxa"/>
            <w:vAlign w:val="bottom"/>
          </w:tcPr>
          <w:p>
            <w:pPr>
              <w:jc w:val="right"/>
              <w:ind w:right="23"/>
              <w:spacing w:after="0"/>
              <w:rPr>
                <w:sz w:val="20"/>
                <w:szCs w:val="20"/>
                <w:color w:val="auto"/>
              </w:rPr>
            </w:pPr>
            <w:r>
              <w:rPr>
                <w:rFonts w:ascii="Arial" w:cs="Arial" w:eastAsia="Arial" w:hAnsi="Arial"/>
                <w:sz w:val="15"/>
                <w:szCs w:val="15"/>
                <w:color w:val="auto"/>
              </w:rPr>
              <w:t>6,204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ind w:right="43"/>
              <w:spacing w:after="0"/>
              <w:rPr>
                <w:sz w:val="20"/>
                <w:szCs w:val="20"/>
                <w:color w:val="auto"/>
              </w:rPr>
            </w:pPr>
            <w:r>
              <w:rPr>
                <w:rFonts w:ascii="Arial" w:cs="Arial" w:eastAsia="Arial" w:hAnsi="Arial"/>
                <w:sz w:val="15"/>
                <w:szCs w:val="15"/>
                <w:color w:val="auto"/>
              </w:rPr>
              <w:t>7,694</w:t>
            </w:r>
          </w:p>
        </w:tc>
      </w:tr>
      <w:tr>
        <w:trPr>
          <w:trHeight w:val="270"/>
        </w:trPr>
        <w:tc>
          <w:tcPr>
            <w:tcW w:w="200" w:type="dxa"/>
            <w:vAlign w:val="bottom"/>
          </w:tcPr>
          <w:p>
            <w:pPr>
              <w:spacing w:after="0"/>
              <w:rPr>
                <w:sz w:val="23"/>
                <w:szCs w:val="23"/>
                <w:color w:val="auto"/>
              </w:rPr>
            </w:pPr>
          </w:p>
        </w:tc>
        <w:tc>
          <w:tcPr>
            <w:tcW w:w="1780" w:type="dxa"/>
            <w:vAlign w:val="bottom"/>
          </w:tcPr>
          <w:p>
            <w:pPr>
              <w:jc w:val="right"/>
              <w:ind w:right="23"/>
              <w:spacing w:after="0"/>
              <w:rPr>
                <w:sz w:val="20"/>
                <w:szCs w:val="20"/>
                <w:color w:val="auto"/>
              </w:rPr>
            </w:pPr>
            <w:r>
              <w:rPr>
                <w:rFonts w:ascii="Arial" w:cs="Arial" w:eastAsia="Arial" w:hAnsi="Arial"/>
                <w:sz w:val="15"/>
                <w:szCs w:val="15"/>
                <w:color w:val="auto"/>
              </w:rPr>
              <w:t>2,786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ind w:right="43"/>
              <w:spacing w:after="0"/>
              <w:rPr>
                <w:sz w:val="20"/>
                <w:szCs w:val="20"/>
                <w:color w:val="auto"/>
              </w:rPr>
            </w:pPr>
            <w:r>
              <w:rPr>
                <w:rFonts w:ascii="Arial" w:cs="Arial" w:eastAsia="Arial" w:hAnsi="Arial"/>
                <w:sz w:val="15"/>
                <w:szCs w:val="15"/>
                <w:color w:val="auto"/>
              </w:rPr>
              <w:t>459</w:t>
            </w:r>
          </w:p>
        </w:tc>
      </w:tr>
      <w:tr>
        <w:trPr>
          <w:trHeight w:val="270"/>
        </w:trPr>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(14,538)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(6,622)</w:t>
            </w:r>
          </w:p>
        </w:tc>
      </w:tr>
      <w:tr>
        <w:trPr>
          <w:trHeight w:val="270"/>
        </w:trPr>
        <w:tc>
          <w:tcPr>
            <w:tcW w:w="200" w:type="dxa"/>
            <w:vAlign w:val="bottom"/>
          </w:tcPr>
          <w:p>
            <w:pPr>
              <w:spacing w:after="0"/>
              <w:rPr>
                <w:sz w:val="23"/>
                <w:szCs w:val="23"/>
                <w:color w:val="auto"/>
              </w:rPr>
            </w:pPr>
          </w:p>
        </w:tc>
        <w:tc>
          <w:tcPr>
            <w:tcW w:w="1780" w:type="dxa"/>
            <w:vAlign w:val="bottom"/>
          </w:tcPr>
          <w:p>
            <w:pPr>
              <w:jc w:val="right"/>
              <w:ind w:right="23"/>
              <w:spacing w:after="0"/>
              <w:rPr>
                <w:sz w:val="20"/>
                <w:szCs w:val="20"/>
                <w:color w:val="auto"/>
              </w:rPr>
            </w:pPr>
            <w:r>
              <w:rPr>
                <w:rFonts w:ascii="Arial" w:cs="Arial" w:eastAsia="Arial" w:hAnsi="Arial"/>
                <w:sz w:val="15"/>
                <w:szCs w:val="15"/>
                <w:color w:val="auto"/>
              </w:rPr>
              <w:t>5,961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ind w:right="43"/>
              <w:spacing w:after="0"/>
              <w:rPr>
                <w:sz w:val="20"/>
                <w:szCs w:val="20"/>
                <w:color w:val="auto"/>
              </w:rPr>
            </w:pPr>
            <w:r>
              <w:rPr>
                <w:rFonts w:ascii="Arial" w:cs="Arial" w:eastAsia="Arial" w:hAnsi="Arial"/>
                <w:sz w:val="15"/>
                <w:szCs w:val="15"/>
                <w:color w:val="auto"/>
              </w:rPr>
              <w:t>46</w:t>
            </w:r>
          </w:p>
        </w:tc>
      </w:tr>
      <w:tr>
        <w:trPr>
          <w:trHeight w:val="274"/>
        </w:trPr>
        <w:tc>
          <w:tcPr>
            <w:tcW w:w="2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(58,716)</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(32,950)</w:t>
            </w:r>
          </w:p>
        </w:tc>
      </w:tr>
      <w:tr>
        <w:trPr>
          <w:trHeight w:val="246"/>
        </w:trPr>
        <w:tc>
          <w:tcPr>
            <w:tcW w:w="200" w:type="dxa"/>
            <w:vAlign w:val="bottom"/>
          </w:tcPr>
          <w:p>
            <w:pPr>
              <w:spacing w:after="0"/>
              <w:rPr>
                <w:sz w:val="21"/>
                <w:szCs w:val="21"/>
                <w:color w:val="auto"/>
              </w:rPr>
            </w:pPr>
          </w:p>
        </w:tc>
        <w:tc>
          <w:tcPr>
            <w:tcW w:w="1780" w:type="dxa"/>
            <w:vAlign w:val="bottom"/>
          </w:tcPr>
          <w:p>
            <w:pPr>
              <w:jc w:val="right"/>
              <w:ind w:right="23"/>
              <w:spacing w:after="0"/>
              <w:rPr>
                <w:sz w:val="20"/>
                <w:szCs w:val="20"/>
                <w:color w:val="auto"/>
              </w:rPr>
            </w:pPr>
            <w:r>
              <w:rPr>
                <w:rFonts w:ascii="Arial" w:cs="Arial" w:eastAsia="Arial" w:hAnsi="Arial"/>
                <w:sz w:val="15"/>
                <w:szCs w:val="15"/>
                <w:color w:val="auto"/>
              </w:rPr>
              <w:t>31,584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43"/>
              <w:spacing w:after="0"/>
              <w:rPr>
                <w:sz w:val="20"/>
                <w:szCs w:val="20"/>
                <w:color w:val="auto"/>
              </w:rPr>
            </w:pPr>
            <w:r>
              <w:rPr>
                <w:rFonts w:ascii="Arial" w:cs="Arial" w:eastAsia="Arial" w:hAnsi="Arial"/>
                <w:sz w:val="15"/>
                <w:szCs w:val="15"/>
                <w:color w:val="auto"/>
              </w:rPr>
              <w:t>58,772</w:t>
            </w:r>
          </w:p>
        </w:tc>
      </w:tr>
    </w:tbl>
    <w:p>
      <w:pPr>
        <w:spacing w:after="0" w:line="278" w:lineRule="exact"/>
        <w:rPr>
          <w:sz w:val="20"/>
          <w:szCs w:val="20"/>
          <w:color w:val="auto"/>
        </w:rPr>
      </w:pPr>
    </w:p>
    <w:p>
      <w:pPr>
        <w:sectPr>
          <w:pgSz w:w="11900" w:h="16838" w:orient="portrait"/>
          <w:cols w:equalWidth="0" w:num="2">
            <w:col w:w="6420" w:space="720"/>
            <w:col w:w="4280"/>
          </w:cols>
          <w:pgMar w:left="240" w:top="418" w:right="239" w:bottom="1440" w:gutter="0" w:footer="0" w:header="0"/>
          <w:type w:val="continuous"/>
        </w:sectPr>
      </w:pPr>
    </w:p>
    <w:tbl>
      <w:tblPr>
        <w:tblLayout w:type="fixed"/>
        <w:tblInd w:w="220" w:type="dxa"/>
        <w:tblCellMar>
          <w:top w:w="0" w:type="dxa"/>
          <w:left w:w="0" w:type="dxa"/>
          <w:bottom w:w="0" w:type="dxa"/>
          <w:right w:w="0" w:type="dxa"/>
        </w:tblCellMar>
      </w:tblPr>
      <w:tr>
        <w:trPr>
          <w:trHeight w:val="208"/>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Unused fee on revolving credit facility</w:t>
            </w: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1,393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1,282</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 xml:space="preserve">Integration services fee </w:t>
            </w:r>
            <w:r>
              <w:rPr>
                <w:rFonts w:ascii="Arial" w:cs="Arial" w:eastAsia="Arial" w:hAnsi="Arial"/>
                <w:sz w:val="12"/>
                <w:szCs w:val="12"/>
                <w:color w:val="auto"/>
              </w:rPr>
              <w:t>(1)</w:t>
            </w:r>
          </w:p>
        </w:tc>
        <w:tc>
          <w:tcPr>
            <w:tcW w:w="7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281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2,156</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Successful acquisition costs</w:t>
            </w: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596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4,995</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 xml:space="preserve">Realized loss from foreign currency </w:t>
            </w:r>
            <w:r>
              <w:rPr>
                <w:rFonts w:ascii="Arial" w:cs="Arial" w:eastAsia="Arial" w:hAnsi="Arial"/>
                <w:sz w:val="12"/>
                <w:szCs w:val="12"/>
                <w:color w:val="auto"/>
              </w:rPr>
              <w:t>(2)</w:t>
            </w:r>
          </w:p>
        </w:tc>
        <w:tc>
          <w:tcPr>
            <w:tcW w:w="7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363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1,364</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Loss on sale of Tilray Common Stock</w:t>
            </w: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10,193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7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58,716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32,950</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w:t>
            </w:r>
          </w:p>
        </w:tc>
        <w:tc>
          <w:tcPr>
            <w:tcW w:w="76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885</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340" w:type="dxa"/>
            <w:vAlign w:val="bottom"/>
            <w:gridSpan w:val="2"/>
            <w:vMerge w:val="continue"/>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20"/>
              <w:spacing w:after="0"/>
              <w:rPr>
                <w:sz w:val="20"/>
                <w:szCs w:val="20"/>
                <w:color w:val="auto"/>
              </w:rPr>
            </w:pPr>
            <w:r>
              <w:rPr>
                <w:rFonts w:ascii="Arial" w:cs="Arial" w:eastAsia="Arial" w:hAnsi="Arial"/>
                <w:sz w:val="15"/>
                <w:szCs w:val="15"/>
                <w:color w:val="auto"/>
              </w:rPr>
              <w:t>Less:</w:t>
            </w: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Payment of interest rate swap</w:t>
            </w: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675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1,444</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 xml:space="preserve">Maintenance capital expenditures: </w:t>
            </w:r>
            <w:r>
              <w:rPr>
                <w:rFonts w:ascii="Arial" w:cs="Arial" w:eastAsia="Arial" w:hAnsi="Arial"/>
                <w:sz w:val="12"/>
                <w:szCs w:val="12"/>
                <w:color w:val="auto"/>
              </w:rPr>
              <w:t>(3)</w:t>
            </w: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Compass Group Diversified Holdings LLC</w:t>
            </w:r>
          </w:p>
        </w:tc>
        <w:tc>
          <w:tcPr>
            <w:tcW w:w="76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340" w:type="dxa"/>
            <w:vAlign w:val="bottom"/>
            <w:gridSpan w:val="2"/>
            <w:vMerge w:val="continue"/>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5.11 Tactical</w:t>
            </w:r>
          </w:p>
        </w:tc>
        <w:tc>
          <w:tcPr>
            <w:tcW w:w="7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1,547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2,629</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Advanced Circuits</w:t>
            </w: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1,126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1,169</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Arnold</w:t>
            </w:r>
          </w:p>
        </w:tc>
        <w:tc>
          <w:tcPr>
            <w:tcW w:w="7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2,874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3,160</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Clean Earth</w:t>
            </w: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3,495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5,998</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Ergobaby</w:t>
            </w:r>
          </w:p>
        </w:tc>
        <w:tc>
          <w:tcPr>
            <w:tcW w:w="7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583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646</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Foam Fabricators</w:t>
            </w: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1,387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1,455</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Liberty</w:t>
            </w:r>
          </w:p>
        </w:tc>
        <w:tc>
          <w:tcPr>
            <w:tcW w:w="7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720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1,039</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Manitoba Harvest</w:t>
            </w:r>
          </w:p>
        </w:tc>
        <w:tc>
          <w:tcPr>
            <w:tcW w:w="76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342</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340" w:type="dxa"/>
            <w:vAlign w:val="bottom"/>
            <w:gridSpan w:val="2"/>
            <w:vMerge w:val="continue"/>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Sterno</w:t>
            </w:r>
          </w:p>
        </w:tc>
        <w:tc>
          <w:tcPr>
            <w:tcW w:w="7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932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2,320</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Velocity Outdoor</w:t>
            </w: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2,096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3,063</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Other</w:t>
            </w:r>
          </w:p>
        </w:tc>
        <w:tc>
          <w:tcPr>
            <w:tcW w:w="7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2,301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Preferred share distribution</w:t>
            </w: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11,344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8,398</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6920" w:type="dxa"/>
            <w:vAlign w:val="bottom"/>
          </w:tcPr>
          <w:p>
            <w:pPr>
              <w:ind w:left="20"/>
              <w:spacing w:after="0"/>
              <w:rPr>
                <w:sz w:val="20"/>
                <w:szCs w:val="20"/>
                <w:color w:val="auto"/>
              </w:rPr>
            </w:pPr>
            <w:r>
              <w:rPr>
                <w:rFonts w:ascii="Arial" w:cs="Arial" w:eastAsia="Arial" w:hAnsi="Arial"/>
                <w:sz w:val="15"/>
                <w:szCs w:val="15"/>
                <w:b w:val="1"/>
                <w:bCs w:val="1"/>
                <w:color w:val="auto"/>
              </w:rPr>
              <w:t>Estimated cash flow available for distribution and reinvestment</w:t>
            </w:r>
          </w:p>
        </w:tc>
        <w:tc>
          <w:tcPr>
            <w:tcW w:w="760" w:type="dxa"/>
            <w:vAlign w:val="bottom"/>
          </w:tcPr>
          <w:p>
            <w:pPr>
              <w:jc w:val="right"/>
              <w:ind w:right="5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74,046</w:t>
            </w:r>
          </w:p>
        </w:tc>
        <w:tc>
          <w:tcPr>
            <w:tcW w:w="120" w:type="dxa"/>
            <w:vAlign w:val="bottom"/>
          </w:tcPr>
          <w:p>
            <w:pPr>
              <w:spacing w:after="0"/>
              <w:rPr>
                <w:sz w:val="21"/>
                <w:szCs w:val="21"/>
                <w:color w:val="auto"/>
              </w:rPr>
            </w:pPr>
          </w:p>
        </w:tc>
        <w:tc>
          <w:tcPr>
            <w:tcW w:w="760" w:type="dxa"/>
            <w:vAlign w:val="bottom"/>
          </w:tcPr>
          <w:p>
            <w:pPr>
              <w:jc w:val="right"/>
              <w:ind w:right="5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3"/>
              <w:spacing w:after="0"/>
              <w:rPr>
                <w:sz w:val="20"/>
                <w:szCs w:val="20"/>
                <w:color w:val="auto"/>
              </w:rPr>
            </w:pPr>
            <w:r>
              <w:rPr>
                <w:rFonts w:ascii="Arial" w:cs="Arial" w:eastAsia="Arial" w:hAnsi="Arial"/>
                <w:sz w:val="15"/>
                <w:szCs w:val="15"/>
                <w:color w:val="auto"/>
              </w:rPr>
              <w:t>70,741</w:t>
            </w:r>
          </w:p>
        </w:tc>
        <w:tc>
          <w:tcPr>
            <w:tcW w:w="0" w:type="dxa"/>
            <w:vAlign w:val="bottom"/>
          </w:tcPr>
          <w:p>
            <w:pPr>
              <w:spacing w:after="0"/>
              <w:rPr>
                <w:sz w:val="1"/>
                <w:szCs w:val="1"/>
                <w:color w:val="auto"/>
              </w:rPr>
            </w:pPr>
          </w:p>
        </w:tc>
      </w:tr>
      <w:tr>
        <w:trPr>
          <w:trHeight w:val="193"/>
        </w:trPr>
        <w:tc>
          <w:tcPr>
            <w:tcW w:w="69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8" w:right="239" w:bottom="1440" w:gutter="0" w:footer="0" w:header="0"/>
          <w:type w:val="continuous"/>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18" w:right="239" w:bottom="1440" w:gutter="0" w:footer="0" w:header="0"/>
          <w:type w:val="continuous"/>
        </w:sectPr>
      </w:pPr>
    </w:p>
    <w:bookmarkStart w:id="61" w:name="page62"/>
    <w:bookmarkEnd w:id="61"/>
    <w:tbl>
      <w:tblPr>
        <w:tblLayout w:type="fixed"/>
        <w:tblInd w:w="220" w:type="dxa"/>
        <w:tblCellMar>
          <w:top w:w="0" w:type="dxa"/>
          <w:left w:w="0" w:type="dxa"/>
          <w:bottom w:w="0" w:type="dxa"/>
          <w:right w:w="0" w:type="dxa"/>
        </w:tblCellMar>
      </w:tblPr>
      <w:tr>
        <w:trPr>
          <w:trHeight w:val="184"/>
        </w:trPr>
        <w:tc>
          <w:tcPr>
            <w:tcW w:w="6920" w:type="dxa"/>
            <w:vAlign w:val="bottom"/>
          </w:tcPr>
          <w:p>
            <w:pPr>
              <w:ind w:left="20"/>
              <w:spacing w:after="0"/>
              <w:rPr>
                <w:sz w:val="20"/>
                <w:szCs w:val="20"/>
                <w:color w:val="auto"/>
              </w:rPr>
            </w:pPr>
            <w:r>
              <w:rPr>
                <w:rFonts w:ascii="Arial" w:cs="Arial" w:eastAsia="Arial" w:hAnsi="Arial"/>
                <w:sz w:val="15"/>
                <w:szCs w:val="15"/>
                <w:color w:val="auto"/>
              </w:rPr>
              <w:t>Distribution paid in April 2019/2018</w:t>
            </w:r>
          </w:p>
        </w:tc>
        <w:tc>
          <w:tcPr>
            <w:tcW w:w="740" w:type="dxa"/>
            <w:vAlign w:val="bottom"/>
            <w:vMerge w:val="restart"/>
          </w:tcPr>
          <w:p>
            <w:pPr>
              <w:jc w:val="right"/>
              <w:ind w:right="543"/>
              <w:spacing w:after="0"/>
              <w:rPr>
                <w:sz w:val="20"/>
                <w:szCs w:val="20"/>
                <w:color w:val="auto"/>
              </w:rPr>
            </w:pPr>
            <w:r>
              <w:rPr>
                <w:rFonts w:ascii="Arial" w:cs="Arial" w:eastAsia="Arial" w:hAnsi="Arial"/>
                <w:sz w:val="15"/>
                <w:szCs w:val="15"/>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(21,564)</w:t>
            </w:r>
          </w:p>
        </w:tc>
        <w:tc>
          <w:tcPr>
            <w:tcW w:w="120" w:type="dxa"/>
            <w:vAlign w:val="bottom"/>
          </w:tcPr>
          <w:p>
            <w:pPr>
              <w:spacing w:after="0"/>
              <w:rPr>
                <w:sz w:val="16"/>
                <w:szCs w:val="16"/>
                <w:color w:val="auto"/>
              </w:rPr>
            </w:pPr>
          </w:p>
        </w:tc>
        <w:tc>
          <w:tcPr>
            <w:tcW w:w="720" w:type="dxa"/>
            <w:vAlign w:val="bottom"/>
            <w:vMerge w:val="restart"/>
          </w:tcPr>
          <w:p>
            <w:pPr>
              <w:jc w:val="right"/>
              <w:ind w:right="543"/>
              <w:spacing w:after="0"/>
              <w:rPr>
                <w:sz w:val="20"/>
                <w:szCs w:val="20"/>
                <w:color w:val="auto"/>
              </w:rPr>
            </w:pPr>
            <w:r>
              <w:rPr>
                <w:rFonts w:ascii="Arial" w:cs="Arial" w:eastAsia="Arial" w:hAnsi="Arial"/>
                <w:sz w:val="15"/>
                <w:szCs w:val="15"/>
                <w:color w:val="auto"/>
                <w:w w:val="95"/>
              </w:rPr>
              <w:t>$</w:t>
            </w: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(21,564)</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 paid in July 2019/2018</w:t>
            </w:r>
          </w:p>
        </w:tc>
        <w:tc>
          <w:tcPr>
            <w:tcW w:w="74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(21,564)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(21,564)</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20"/>
              <w:spacing w:after="0"/>
              <w:rPr>
                <w:sz w:val="20"/>
                <w:szCs w:val="20"/>
                <w:color w:val="auto"/>
              </w:rPr>
            </w:pPr>
            <w:r>
              <w:rPr>
                <w:rFonts w:ascii="Arial" w:cs="Arial" w:eastAsia="Arial" w:hAnsi="Arial"/>
                <w:sz w:val="15"/>
                <w:szCs w:val="15"/>
                <w:color w:val="auto"/>
              </w:rPr>
              <w:t>Distribution paid in October 2019/2018</w:t>
            </w:r>
          </w:p>
        </w:tc>
        <w:tc>
          <w:tcPr>
            <w:tcW w:w="74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(21,564)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(21,564)</w:t>
            </w:r>
          </w:p>
        </w:tc>
        <w:tc>
          <w:tcPr>
            <w:tcW w:w="0" w:type="dxa"/>
            <w:vAlign w:val="bottom"/>
          </w:tcPr>
          <w:p>
            <w:pPr>
              <w:spacing w:after="0"/>
              <w:rPr>
                <w:sz w:val="1"/>
                <w:szCs w:val="1"/>
                <w:color w:val="auto"/>
              </w:rPr>
            </w:pPr>
          </w:p>
        </w:tc>
      </w:tr>
      <w:tr>
        <w:trPr>
          <w:trHeight w:val="58"/>
        </w:trPr>
        <w:tc>
          <w:tcPr>
            <w:tcW w:w="692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(64,692)</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(64,692)</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hanging="170"/>
        <w:spacing w:after="0"/>
        <w:tabs>
          <w:tab w:leader="none" w:pos="340" w:val="left"/>
        </w:tabs>
        <w:numPr>
          <w:ilvl w:val="0"/>
          <w:numId w:val="27"/>
        </w:numPr>
        <w:rPr>
          <w:rFonts w:ascii="Arial" w:cs="Arial" w:eastAsia="Arial" w:hAnsi="Arial"/>
          <w:sz w:val="19"/>
          <w:szCs w:val="19"/>
          <w:b w:val="1"/>
          <w:bCs w:val="1"/>
          <w:color w:val="auto"/>
          <w:vertAlign w:val="superscript"/>
        </w:rPr>
      </w:pPr>
      <w:r>
        <w:rPr>
          <w:rFonts w:ascii="Arial" w:cs="Arial" w:eastAsia="Arial" w:hAnsi="Arial"/>
          <w:sz w:val="15"/>
          <w:szCs w:val="15"/>
          <w:color w:val="auto"/>
        </w:rPr>
        <w:t>Represents fees paid by newly acquired companies to the Manager for integration services performed during the first year of ownership, payable quarterly.</w:t>
      </w:r>
    </w:p>
    <w:p>
      <w:pPr>
        <w:spacing w:after="0" w:line="92" w:lineRule="exact"/>
        <w:rPr>
          <w:rFonts w:ascii="Arial" w:cs="Arial" w:eastAsia="Arial" w:hAnsi="Arial"/>
          <w:sz w:val="19"/>
          <w:szCs w:val="19"/>
          <w:b w:val="1"/>
          <w:bCs w:val="1"/>
          <w:color w:val="auto"/>
          <w:vertAlign w:val="superscript"/>
        </w:rPr>
      </w:pPr>
    </w:p>
    <w:p>
      <w:pPr>
        <w:ind w:left="340" w:hanging="170"/>
        <w:spacing w:after="0"/>
        <w:tabs>
          <w:tab w:leader="none" w:pos="340" w:val="left"/>
        </w:tabs>
        <w:numPr>
          <w:ilvl w:val="0"/>
          <w:numId w:val="27"/>
        </w:numPr>
        <w:rPr>
          <w:rFonts w:ascii="Arial" w:cs="Arial" w:eastAsia="Arial" w:hAnsi="Arial"/>
          <w:sz w:val="19"/>
          <w:szCs w:val="19"/>
          <w:b w:val="1"/>
          <w:bCs w:val="1"/>
          <w:color w:val="auto"/>
          <w:vertAlign w:val="superscript"/>
        </w:rPr>
      </w:pPr>
      <w:r>
        <w:rPr>
          <w:rFonts w:ascii="Arial" w:cs="Arial" w:eastAsia="Arial" w:hAnsi="Arial"/>
          <w:sz w:val="15"/>
          <w:szCs w:val="15"/>
          <w:color w:val="auto"/>
        </w:rPr>
        <w:t>Reflects the foreign currency transaction gain or loss resulting from the Canadian dollar intercompany loans issued to Manitoba Harvest.</w:t>
      </w:r>
    </w:p>
    <w:p>
      <w:pPr>
        <w:spacing w:after="0" w:line="210" w:lineRule="exact"/>
        <w:rPr>
          <w:rFonts w:ascii="Arial" w:cs="Arial" w:eastAsia="Arial" w:hAnsi="Arial"/>
          <w:sz w:val="19"/>
          <w:szCs w:val="19"/>
          <w:b w:val="1"/>
          <w:bCs w:val="1"/>
          <w:color w:val="auto"/>
          <w:vertAlign w:val="superscript"/>
        </w:rPr>
      </w:pPr>
    </w:p>
    <w:p>
      <w:pPr>
        <w:jc w:val="both"/>
        <w:ind w:left="420" w:hanging="250"/>
        <w:spacing w:after="0" w:line="221" w:lineRule="auto"/>
        <w:tabs>
          <w:tab w:leader="none" w:pos="420" w:val="left"/>
        </w:tabs>
        <w:numPr>
          <w:ilvl w:val="0"/>
          <w:numId w:val="27"/>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maintenance capital expenditures that were funded from operating cash flow, net of proceeds from the sale of property, plant and equipment, and excludes growth capital expenditures of approximately $10.7 million for the nine months ended September 30, 2019 and $19.2 million for the nine months ended September 30,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We entered into a Management Services Agreement ("MSA") with CGM effective May 16, 2006. The MSA provides for, among other things, CGM to perform services for the Company in exchange for a management fee paid quarterly and equal to 0.5% of the Company's adjusted net assets, as defined in the MSA. Concurrent with the June 2019 sale of Clean Earth (refer to </w:t>
      </w:r>
      <w:hyperlink w:anchor="page15">
        <w:r>
          <w:rPr>
            <w:rFonts w:ascii="Arial" w:cs="Arial" w:eastAsia="Arial" w:hAnsi="Arial"/>
            <w:sz w:val="18"/>
            <w:szCs w:val="18"/>
            <w:u w:val="single" w:color="auto"/>
            <w:color w:val="0000EE"/>
          </w:rPr>
          <w:t>Note C - Discontinued Operations</w:t>
        </w:r>
      </w:hyperlink>
      <w:r>
        <w:rPr>
          <w:rFonts w:ascii="Arial" w:cs="Arial" w:eastAsia="Arial" w:hAnsi="Arial"/>
          <w:sz w:val="18"/>
          <w:szCs w:val="18"/>
          <w:color w:val="auto"/>
        </w:rPr>
        <w:t>) CGM agreed to waive the management fee on cash balances held at the Company, commencing with the quarter ended June 30, 2019 and continuing until the quarter during which the Company next borrows under the 2018 Revolving Credit Facility.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Integrations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Foam Fabricators, which was acquired in 2018, entered into an Integration Services Agreement ("ISA") with CGM. The ISA provides for CGM to provide services for new platform acquisitions to, amongst other things, assist the management at the acquired entities in establishing a corporate governance program, implement compliance and reporting requirements of the Sarbanes-Oxley Act and align the acquired entity's policies and procedures with our other subsidiaries. Each ISA is for the twelve-month period subsequent to the acquisition. </w:t>
      </w:r>
      <w:r>
        <w:rPr>
          <w:rFonts w:ascii="Arial" w:cs="Arial" w:eastAsia="Arial" w:hAnsi="Arial"/>
          <w:sz w:val="17"/>
          <w:szCs w:val="17"/>
          <w:color w:val="auto"/>
        </w:rPr>
        <w:t>Foam Fabricators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paid CGM $2.3 million over the term of the ISA, $2.0 million in 2018 and $0.3 million in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5.11 - Related Party Vendor Purchases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5.11 purchases inventory from a vendor who is a related party to 5.11 through one of the executive officers of 5.11 via the executive's 40% ownership interest in the vendor. </w:t>
      </w:r>
      <w:r>
        <w:rPr>
          <w:rFonts w:ascii="Arial" w:cs="Arial" w:eastAsia="Arial" w:hAnsi="Arial"/>
          <w:sz w:val="17"/>
          <w:szCs w:val="17"/>
          <w:color w:val="auto"/>
        </w:rPr>
        <w:t>During the nine months ended September 30, 2019, 5.11 purchased approximately $3.2 million in inventory from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vendor.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Allocation Payments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sales of Manitoba Harvest in February 2019 and Clean Earth in June 2019 each qualified as a Sale Event under the Company's LLC Agreement. During the second quarter of 2019, the Company declared a distribution to the Allocation Member in connection with the Sale Event of Manitoba Harvest of $7.7 million which was paid in the second quarter of 2019. The profit allocation distribution was calculated based on the portion of the gain on sale related to the Closing Date Consideration, less the loss on sale of shares that were received as part of the Closing Consideration. An additional profit allocation distribution related to the Sale Event of Manitoba Harvest will be declared subsequent to receipt of the Deferred Consideration in August 2019. During the third quarter of 2019, the Company declared a distribution to the Allocation Member in connection with the Sale Event of Clean Earth of $43.3 million which was paid in the third quarter of 2019. During the fourth quarter of 2019, the Company declared a distribution to the Allocation Member in connection with the Deferred Consideration received related to the Manitoba Harvest sale of $8.7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41"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Long-term contractual obligations, except for our long-term debt obligations and operating lease liabilities, are generally not recognized in our consolidated balance sheet. Non-cancelable purchase obligations are obligations we incur during the normal course of business, based on projected needs.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payment schedule of our contractual obligations at September 30, 2019:</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Long-term debt obligations </w:t>
      </w:r>
      <w:r>
        <w:rPr>
          <w:rFonts w:ascii="Arial" w:cs="Arial" w:eastAsia="Arial" w:hAnsi="Arial"/>
          <w:sz w:val="21"/>
          <w:szCs w:val="21"/>
          <w:color w:val="auto"/>
          <w:vertAlign w:val="superscript"/>
        </w:rPr>
        <w:t>(1)</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Operating lease obligations </w:t>
      </w:r>
      <w:r>
        <w:rPr>
          <w:rFonts w:ascii="Arial" w:cs="Arial" w:eastAsia="Arial" w:hAnsi="Arial"/>
          <w:sz w:val="20"/>
          <w:szCs w:val="20"/>
          <w:color w:val="auto"/>
          <w:vertAlign w:val="superscript"/>
        </w:rPr>
        <w:t>(2)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(3)</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5"/>
                <w:szCs w:val="15"/>
                <w:color w:val="auto"/>
              </w:rPr>
              <w:t>Less than 1</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60"/>
              <w:spacing w:after="0"/>
              <w:rPr>
                <w:sz w:val="20"/>
                <w:szCs w:val="20"/>
                <w:color w:val="auto"/>
              </w:rPr>
            </w:pPr>
            <w:r>
              <w:rPr>
                <w:rFonts w:ascii="Arial" w:cs="Arial" w:eastAsia="Arial" w:hAnsi="Arial"/>
                <w:sz w:val="15"/>
                <w:szCs w:val="15"/>
                <w:color w:val="auto"/>
              </w:rPr>
              <w:t>More than</w:t>
            </w:r>
          </w:p>
        </w:tc>
      </w:tr>
      <w:tr>
        <w:trPr>
          <w:trHeight w:val="188"/>
        </w:trPr>
        <w:tc>
          <w:tcPr>
            <w:tcW w:w="34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5"/>
                <w:szCs w:val="15"/>
                <w:color w:val="auto"/>
              </w:rPr>
              <w:t>Total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5"/>
                <w:szCs w:val="15"/>
                <w:color w:val="auto"/>
              </w:rPr>
              <w:t>Year</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color w:val="auto"/>
              </w:rPr>
              <w:t>1-3 Years</w:t>
            </w:r>
          </w:p>
        </w:tc>
        <w:tc>
          <w:tcPr>
            <w:tcW w:w="24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color w:val="auto"/>
              </w:rPr>
              <w:t>3-5 Years</w:t>
            </w:r>
          </w:p>
        </w:tc>
        <w:tc>
          <w:tcPr>
            <w:tcW w:w="220" w:type="dxa"/>
            <w:vAlign w:val="bottom"/>
          </w:tcPr>
          <w:p>
            <w:pPr>
              <w:spacing w:after="0"/>
              <w:rPr>
                <w:sz w:val="16"/>
                <w:szCs w:val="16"/>
                <w:color w:val="auto"/>
              </w:rPr>
            </w:pPr>
          </w:p>
        </w:tc>
        <w:tc>
          <w:tcPr>
            <w:tcW w:w="1140" w:type="dxa"/>
            <w:vAlign w:val="bottom"/>
          </w:tcPr>
          <w:p>
            <w:pPr>
              <w:jc w:val="right"/>
              <w:ind w:right="340"/>
              <w:spacing w:after="0"/>
              <w:rPr>
                <w:sz w:val="20"/>
                <w:szCs w:val="20"/>
                <w:color w:val="auto"/>
              </w:rPr>
            </w:pPr>
            <w:r>
              <w:rPr>
                <w:rFonts w:ascii="Arial" w:cs="Arial" w:eastAsia="Arial" w:hAnsi="Arial"/>
                <w:sz w:val="15"/>
                <w:szCs w:val="15"/>
                <w:color w:val="auto"/>
              </w:rPr>
              <w:t>5 Years</w:t>
            </w:r>
          </w:p>
        </w:tc>
      </w:tr>
      <w:tr>
        <w:trPr>
          <w:trHeight w:val="235"/>
        </w:trPr>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993,024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25,076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104,647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103,837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759,464</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132,816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4,775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47,251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33,914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46,876</w:t>
            </w:r>
          </w:p>
        </w:tc>
      </w:tr>
      <w:tr>
        <w:trPr>
          <w:trHeight w:val="283"/>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351,708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126,063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108,594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81,609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35,442</w:t>
            </w:r>
          </w:p>
        </w:tc>
      </w:tr>
      <w:tr>
        <w:trPr>
          <w:trHeight w:val="237"/>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1,477,548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155,914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260,492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219,360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841,782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-702310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-359410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576" w:right="239" w:bottom="1440" w:gutter="0" w:footer="0" w:header="0"/>
          <w:type w:val="continuous"/>
        </w:sectPr>
      </w:pPr>
    </w:p>
    <w:p>
      <w:pPr>
        <w:spacing w:after="0" w:line="54"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amounts due under our 2018 Credit Facility, as well as our Senior Notes, together with interest on our debt obligations.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28"/>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various operating leases for office space, manufacturing facilities and equipment from third parties with various lease terms.</w:t>
      </w:r>
    </w:p>
    <w:p>
      <w:pPr>
        <w:spacing w:after="0" w:line="49" w:lineRule="exact"/>
        <w:rPr>
          <w:rFonts w:ascii="Arial" w:cs="Arial" w:eastAsia="Arial" w:hAnsi="Arial"/>
          <w:sz w:val="22"/>
          <w:szCs w:val="22"/>
          <w:b w:val="1"/>
          <w:bCs w:val="1"/>
          <w:color w:val="auto"/>
          <w:vertAlign w:val="superscript"/>
        </w:rPr>
      </w:pPr>
    </w:p>
    <w:p>
      <w:pPr>
        <w:jc w:val="both"/>
        <w:ind w:left="340" w:hanging="332"/>
        <w:spacing w:after="0" w:line="227" w:lineRule="auto"/>
        <w:tabs>
          <w:tab w:leader="none" w:pos="340" w:val="left"/>
        </w:tabs>
        <w:numPr>
          <w:ilvl w:val="0"/>
          <w:numId w:val="28"/>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non-cancelable commitments as of September 30, 2019, including: (i) shareholder distributions of $116.0 million; (ii) estimated management fees of $30.4 million per year over the next five years; and (iii) other obligations including amounts due under employment agreements. Distributions to our shareholders are approved by our board of directors each quarter. The amount ultimately approved as future quarterly distributions may differ from the amount included in this schedule.</w:t>
      </w:r>
    </w:p>
    <w:p>
      <w:pPr>
        <w:spacing w:after="0" w:line="48" w:lineRule="exact"/>
        <w:rPr>
          <w:rFonts w:ascii="Arial" w:cs="Arial" w:eastAsia="Arial" w:hAnsi="Arial"/>
          <w:sz w:val="22"/>
          <w:szCs w:val="22"/>
          <w:b w:val="1"/>
          <w:bCs w:val="1"/>
          <w:color w:val="auto"/>
          <w:vertAlign w:val="superscript"/>
        </w:rPr>
      </w:pPr>
    </w:p>
    <w:p>
      <w:pPr>
        <w:jc w:val="both"/>
        <w:ind w:left="340" w:hanging="332"/>
        <w:spacing w:after="0"/>
        <w:tabs>
          <w:tab w:leader="none" w:pos="340" w:val="left"/>
        </w:tabs>
        <w:numPr>
          <w:ilvl w:val="0"/>
          <w:numId w:val="28"/>
        </w:numPr>
        <w:rPr>
          <w:rFonts w:ascii="Arial" w:cs="Arial" w:eastAsia="Arial" w:hAnsi="Arial"/>
          <w:sz w:val="22"/>
          <w:szCs w:val="22"/>
          <w:b w:val="1"/>
          <w:bCs w:val="1"/>
          <w:color w:val="auto"/>
          <w:vertAlign w:val="superscript"/>
        </w:rPr>
      </w:pPr>
      <w:r>
        <w:rPr>
          <w:rFonts w:ascii="Arial" w:cs="Arial" w:eastAsia="Arial" w:hAnsi="Arial"/>
          <w:sz w:val="16"/>
          <w:szCs w:val="16"/>
          <w:color w:val="auto"/>
        </w:rPr>
        <w:t>The contractual obligation table does not include approximately $1.1 million in liabilities associated with unrecognized tax benefits as of September 30, 2019 as the timing of the recognition of this liability is not certain. The amount of the liability is not expected to significantly change in the next twelve months.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estimates are reviewed periodically by our independent auditors and the audit committee of our board of directors.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our Annual Report on Form 10-K, for the year ended December 31, 2018, as filed with the Securities and Exchange Commission ("SEC") on February 27,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Indefinite-lived Intangible Asset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1"/>
          <w:szCs w:val="21"/>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or one level below the operating segment. Each of our businesses represents a reporting unit.</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use a qualitative approach to test goodwill for impairment by first assessing qualitative factors to determine whether it is more-likely than-not that the fair value of a reporting unit is less than its carrying amount as a basis for determining whether it is necessary to perform the two-step goodwill impairment testing.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than not to exceed its carrying value. we will perform a quantitative test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576" w:right="239" w:bottom="1440" w:gutter="0" w:footer="0" w:header="0"/>
          <w:type w:val="continuous"/>
        </w:sectPr>
      </w:pPr>
    </w:p>
    <w:bookmarkStart w:id="63" w:name="page64"/>
    <w:bookmarkEnd w:id="63"/>
    <w:p>
      <w:pPr>
        <w:jc w:val="both"/>
        <w:spacing w:after="0" w:line="253" w:lineRule="auto"/>
        <w:rPr>
          <w:sz w:val="20"/>
          <w:szCs w:val="20"/>
          <w:color w:val="auto"/>
        </w:rPr>
      </w:pPr>
      <w:r>
        <w:rPr>
          <w:rFonts w:ascii="Arial" w:cs="Arial" w:eastAsia="Arial" w:hAnsi="Arial"/>
          <w:sz w:val="18"/>
          <w:szCs w:val="18"/>
          <w:color w:val="auto"/>
        </w:rPr>
        <w:t>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2019 Interim Impairment Testing - </w:t>
      </w:r>
      <w:r>
        <w:rPr>
          <w:rFonts w:ascii="Arial" w:cs="Arial" w:eastAsia="Arial" w:hAnsi="Arial"/>
          <w:sz w:val="18"/>
          <w:szCs w:val="18"/>
          <w:color w:val="auto"/>
        </w:rPr>
        <w:t>As a result of operating results below forecasts in the current period as well as a re-forecast of the Velocity</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 which planned earnings and revenue fell below the forecasts of prior periods, we determined that a triggering event had occurred at Velocity Outdoor in the third quarter of 2019. We performed goodwill impairment testing at Velocity as of September 30, 2019. For the quantitative impairment test at Velocity, we utilized an income approach. Cash flow projections are based on management's estimate of revenue growth rates and operating margins, and take into consideration industry and market conditions as well as company specific economic factors. We used a weighted average cost of capital of 12.2% in the income approach. The discount rate used was based on the weighted average cost of capital adjusted for the relevant risk associated with business specific characteristics and Velocity's ability to execute on the projected cash flows. Based on the results of the impairment test, the fair value of Velocity did not exceed the carrying value, indicating that the goodwill at Velocity is impaired. The difference between the carrying value and fair value of the Velocity business was $33.4 million, which the Company has recorded as impairment expense as of September 30, 2019. We expect to finalize the impairment test during the fourth quarter of 2019.</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2019 Annual Impairment Testing </w:t>
      </w:r>
      <w:r>
        <w:rPr>
          <w:rFonts w:ascii="Arial" w:cs="Arial" w:eastAsia="Arial" w:hAnsi="Arial"/>
          <w:sz w:val="18"/>
          <w:szCs w:val="18"/>
          <w:color w:val="auto"/>
        </w:rPr>
        <w:t>- For our annual impairment testing at March 31, 2019, we determined that our Liberty operating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quantitative testing because we could not conclude that the fair value of Liberty significantly exceeded its carrying value based on qualitative factors alone. We concluded the goodwill impairment testing during the quarter ended June 30, 2019. The results of the quantitative impairment testing of the Liberty reporting unit indicated that the fair value of the Liberty reporting unit exceeded the carrying value by 135%. All of our other reporting units were tested qualitatively as of March 31, 2019, and the results of the qualitative analysis indicated that the fair value exceeded their carrying value.</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reporting units that were tested qualitatively for the 2019 annual impairment testing, the results of the qualitative analysis indicated that it is more likely than not that the fair value exceeded their carrying value.</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2018 Annual Impairment Testing </w:t>
      </w:r>
      <w:r>
        <w:rPr>
          <w:rFonts w:ascii="Arial" w:cs="Arial" w:eastAsia="Arial" w:hAnsi="Arial"/>
          <w:sz w:val="18"/>
          <w:szCs w:val="18"/>
          <w:color w:val="auto"/>
        </w:rPr>
        <w:t>- Our Arnold operating segment previously had three separate reporting units. As a result of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implemented by Arnold management during 2016 and 2017, we reassessed the reporting units at Arnold as of the annual impairment testing date in 2018. The separate Arnold reporting units were determined to only comprise one reporting unit at the Arnold operating segment level as of March 31, 2018. As part of the exercise of combining the separate Arnold reporting units into one reporting unit, we performed "before" and "after" goodwill impairment testing, whereby we performed the annual impairment testing for each of the existing reporting units of Arnold and then subsequent to the completion of the annual impairment testing of the separate reporting units, we performed a quantitative impairment test of the Arnold operating segment. Two of the Arnold reporting units, PMAG and PTM, were tested qualitatively as part of the "before" test, while a quantitative impairment test was performed on the Flexmag reporting unit because we could not determine that it was more-likely than-not that the fair value of a reporting unit exceeded its carrying value. We then performed a quantitative impairment test of the Arnold operating segment, which combined the three reporting units. The results of the quantitative impairment testing of the Arnold reporting unit indicated that the fair value of the Arnold reporting unit exceeded the carrying value by 254%. All of our other reporting units were tested qualitatively as of March 31, 2018, and the results of the qualitative analysis indicated that the fair value exceeded their carrying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Our indefinite-lived intangible assets consist of trade names with a carrying value of approximately $60.0 million. The results of the qualitative analysis of our reporting unit's indefinite-lived intangible assets, which we completed as of March 31, 2019, indicated that the fair value of the indefinite lived intangible assets exceeded their carrying value.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from Contracts with Customers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2014, the Financial Accounting Standards Board ("FASB") issued a comprehensive new revenue recognition standard. The new standard outlines a single comprehensive model for entities to use in accounting for revenue arising</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544" w:right="239" w:bottom="1440" w:gutter="0" w:footer="0" w:header="0"/>
        </w:sectPr>
      </w:pPr>
    </w:p>
    <w:bookmarkStart w:id="64" w:name="page65"/>
    <w:bookmarkEnd w:id="64"/>
    <w:p>
      <w:pPr>
        <w:jc w:val="both"/>
        <w:spacing w:after="0" w:line="254" w:lineRule="auto"/>
        <w:rPr>
          <w:sz w:val="20"/>
          <w:szCs w:val="20"/>
          <w:color w:val="auto"/>
        </w:rPr>
      </w:pPr>
      <w:r>
        <w:rPr>
          <w:rFonts w:ascii="Arial" w:cs="Arial" w:eastAsia="Arial" w:hAnsi="Arial"/>
          <w:sz w:val="18"/>
          <w:szCs w:val="18"/>
          <w:color w:val="auto"/>
        </w:rPr>
        <w:t>from contracts with customers and supersedes most current revenue recognition guidance, including industry-specific guidance. In addition, the standard requires disclosure of the amount, timing and uncertainty of cash flows arising from contracts with customers. The new standard, and all related amendments, was effective for us beginning January 1, 2018 and was adopted using the modified retrospective method for all contracts not completed as of the date of adoption.</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adoption of the new revenue guidance represented a change in accounting principle that will more closely align revenue recognition with the transfer of control of our goods and services and will provide financial statement readers with enhanced disclosures. In accordance with the new revenue guidance, revenue is recognized when a customer obtains control of promised goods or services. The amount of revenue recognized reflects the consideration to which we expect to be entitled to receive in exchange for these goods or services, and excludes any sales incentives or taxes collected from customers which are subsequently remitted to government authorities.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contracts with customers often include promises to transfer multiple products to a customer. Determining whether the promises are considered distinct performance obligations that should be accounted for separately versus together may require significant judgment. Once the performance obligations are identified, the Company determines the transaction price, which includes estimating the amount of variable consideration to be included in the transaction price, if any. The Company then allocates the transaction price to each performance obligation in the contract based on a relative stand-alone selling price method. The corresponding revenues are recognized as the related performance obligations are satisfied as discussed above. Judgment is required to determine the standalone selling price for each distinct performance obligation. The Company determines standalone selling prices based on the price at which the performance obligation is sold separately and therefore observable.</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Upon adoption of the new revenue guidance, the Company’s policy around estimating variable consideration related to sales incentives (early pay discounts, rights of return, rebates, chargebacks, and other discounts) included in certain customer contracts remained consistent with previous guidance. These incentives are recorded as a reduction in the transaction price. Under the new guidance, variable consideration is estimated and included in total consideration at contract inception based on either the expected value method or the most likely outcome method. The method was applied consistently among each type of variable consideration and the Company applies the expected value method to estimate variable consideration. These estimates are based on historical experience, anticipated performance and the Company’s best judgment at the time and as a result, reflect applicable constraints. The Company includes in the transaction price an amount of variable consideration estimated in accordance with the new guidance only to the extent that it is probable that a significant reversal in the amount of cumulative revenue recognized will not occur when the uncertainty associated with the variable consideration is subsequently resolved.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acquisitions of our businesses are accounted for under the acquisition method of accounting. Accounting for business combinations requires the use of estimates and assumptions in determining the fair value of assets acquired and liabilities assumed in order to allocate the purchase price. The estimates of fair value of the assets acquired and liabilities assumed are based upon assumptions believed to be reasonable using established valuation methods, taking into consideration information supplied by the management of the acquired entities and other relevant information. The determination of fair values requires significant judgment both by our management team and, when appropriate, valuations by independent third-party appraisers. We amortize intangible assets, such as trademarks and customer relationships, as well as property, plant and equipment, over their economic useful lives, unless those lives are indefinite. We consider factors such as historical information, our plans for the asset and similar assets held by our previously acquired portfolio companies. The impact could result in either higher or lower amortization and/or depreciation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2">
        <w:r>
          <w:rPr>
            <w:rFonts w:ascii="Arial" w:cs="Arial" w:eastAsia="Arial" w:hAnsi="Arial"/>
            <w:sz w:val="18"/>
            <w:szCs w:val="18"/>
            <w:u w:val="single" w:color="auto"/>
            <w:color w:val="0000EE"/>
          </w:rPr>
          <w:t>Note A - "Presentation and Principles of Consolidation"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for a discussion of recent accounting pronouncements.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our market risk since December 31, 2018. For a further discussion of our exposure to market risk, refer to the section entitled "Quantitative and Qualitative Disclosures about Market Risk" that was disclosed in Part II, Item 7A of our Annual Report on Form 10-K for the year ended December 31, 2018, as filed with the SEC on February 27, 2019.</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9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required by Securities Exchange Act of 1934, as amended (the "Exchange Act") Rule 13a-15(b), Holdings’ Regular Trustees and the Company’s management, including the Chief Executive Officer and Chief Financial Officer of the Company, conducted an evaluation of the effectiveness of Holdings’ and the Company’s disclosure controls and procedures (as defined in Exchange Act Rules 13a-15(e) and 15d-15(e)), as of September 30, 2019. Based on that evaluation, the Holdings’ Regular Trustees and the Chief Executive Officer and Chief Financial Officer of the Company concluded that Holdings’ and the Company’s disclosure controls and procedures were effective as of September 30, 2019.</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Exchange Act Rules 13a-15(f) and 15d-15(f)) during our most recently completed fiscal quarter, that have materially affected, or are reasonably likely to materially affect, our internal control over financial reporting.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630"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those legal proceedings associated with the Company’s and Holdings’ business together with legal proceedings for the businesses discussed in the section entitled "Legal Proceedings" that was disclosed in Part I, Item 3 of our Annual Report on Form 10-K for the year ended December 31, 2018, as filed with the SEC on February 27,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in those risk factors and other uncertainties associated with the Company and Holdings discussed in the section entitled "Risk Factors" that was disclosed in Part I, Item 1A of our Annual Report on Form 10-K for the year ended December 31, 2018, as filed with the SEC on February 27, 2019.</w:t>
      </w:r>
    </w:p>
    <w:p>
      <w:pPr>
        <w:spacing w:after="0" w:line="3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6. EXHIBITS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200" w:type="dxa"/>
            <w:vAlign w:val="bottom"/>
          </w:tcPr>
          <w:p>
            <w:pPr>
              <w:spacing w:after="0"/>
              <w:rPr>
                <w:sz w:val="20"/>
                <w:szCs w:val="20"/>
                <w:color w:val="auto"/>
              </w:rPr>
            </w:pPr>
            <w:r>
              <w:rPr>
                <w:rFonts w:ascii="Arial" w:cs="Arial" w:eastAsia="Arial" w:hAnsi="Arial"/>
                <w:sz w:val="16"/>
                <w:szCs w:val="16"/>
                <w:b w:val="1"/>
                <w:bCs w:val="1"/>
                <w:color w:val="auto"/>
                <w:w w:val="99"/>
              </w:rPr>
              <w:t>Exhibit Number</w:t>
            </w:r>
          </w:p>
        </w:tc>
        <w:tc>
          <w:tcPr>
            <w:tcW w:w="1260" w:type="dxa"/>
            <w:vAlign w:val="bottom"/>
          </w:tcPr>
          <w:p>
            <w:pPr>
              <w:spacing w:after="0"/>
              <w:rPr>
                <w:sz w:val="16"/>
                <w:szCs w:val="16"/>
                <w:color w:val="auto"/>
              </w:rPr>
            </w:pPr>
          </w:p>
        </w:tc>
        <w:tc>
          <w:tcPr>
            <w:tcW w:w="8620" w:type="dxa"/>
            <w:vAlign w:val="bottom"/>
            <w:gridSpan w:val="6"/>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tcPr>
          <w:p>
            <w:pPr>
              <w:ind w:left="140"/>
              <w:spacing w:after="0"/>
              <w:rPr>
                <w:sz w:val="20"/>
                <w:szCs w:val="20"/>
                <w:color w:val="auto"/>
              </w:rPr>
            </w:pPr>
            <w:r>
              <w:rPr>
                <w:rFonts w:ascii="Arial" w:cs="Arial" w:eastAsia="Arial" w:hAnsi="Arial"/>
                <w:sz w:val="16"/>
                <w:szCs w:val="16"/>
                <w:color w:val="auto"/>
              </w:rPr>
              <w:t>31.1*</w:t>
            </w:r>
          </w:p>
        </w:tc>
        <w:tc>
          <w:tcPr>
            <w:tcW w:w="1260" w:type="dxa"/>
            <w:vAlign w:val="bottom"/>
          </w:tcPr>
          <w:p>
            <w:pPr>
              <w:spacing w:after="0"/>
              <w:rPr>
                <w:sz w:val="24"/>
                <w:szCs w:val="24"/>
                <w:color w:val="auto"/>
              </w:rPr>
            </w:pPr>
          </w:p>
        </w:tc>
        <w:tc>
          <w:tcPr>
            <w:tcW w:w="5560" w:type="dxa"/>
            <w:vAlign w:val="bottom"/>
            <w:tcBorders>
              <w:bottom w:val="single" w:sz="8" w:color="0000FF"/>
            </w:tcBorders>
            <w:gridSpan w:val="4"/>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Rule 13a-14(a)/15d-14(a) Certification of Chief Executive Officer of Registrant</w:t>
              </w:r>
            </w:hyperlink>
          </w:p>
        </w:tc>
        <w:tc>
          <w:tcPr>
            <w:tcW w:w="3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00" w:type="dxa"/>
            <w:vAlign w:val="bottom"/>
          </w:tcPr>
          <w:p>
            <w:pPr>
              <w:ind w:left="140"/>
              <w:spacing w:after="0"/>
              <w:rPr>
                <w:sz w:val="20"/>
                <w:szCs w:val="20"/>
                <w:color w:val="auto"/>
              </w:rPr>
            </w:pPr>
            <w:r>
              <w:rPr>
                <w:rFonts w:ascii="Arial" w:cs="Arial" w:eastAsia="Arial" w:hAnsi="Arial"/>
                <w:sz w:val="16"/>
                <w:szCs w:val="16"/>
                <w:color w:val="auto"/>
              </w:rPr>
              <w:t>31.2*</w:t>
            </w:r>
          </w:p>
        </w:tc>
        <w:tc>
          <w:tcPr>
            <w:tcW w:w="1260" w:type="dxa"/>
            <w:vAlign w:val="bottom"/>
          </w:tcPr>
          <w:p>
            <w:pPr>
              <w:spacing w:after="0"/>
              <w:rPr>
                <w:sz w:val="24"/>
                <w:szCs w:val="24"/>
                <w:color w:val="auto"/>
              </w:rPr>
            </w:pPr>
          </w:p>
        </w:tc>
        <w:tc>
          <w:tcPr>
            <w:tcW w:w="8620" w:type="dxa"/>
            <w:vAlign w:val="bottom"/>
            <w:gridSpan w:val="6"/>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Rule 13a-14(a)/15d-14(a) Certification of Chief Financial Officer of Registrant</w:t>
              </w:r>
            </w:hyperlink>
          </w:p>
        </w:tc>
        <w:tc>
          <w:tcPr>
            <w:tcW w:w="0" w:type="dxa"/>
            <w:vAlign w:val="bottom"/>
          </w:tcPr>
          <w:p>
            <w:pPr>
              <w:spacing w:after="0"/>
              <w:rPr>
                <w:sz w:val="1"/>
                <w:szCs w:val="1"/>
                <w:color w:val="auto"/>
              </w:rPr>
            </w:pPr>
          </w:p>
        </w:tc>
      </w:tr>
      <w:tr>
        <w:trPr>
          <w:trHeight w:val="20"/>
        </w:trPr>
        <w:tc>
          <w:tcPr>
            <w:tcW w:w="1200" w:type="dxa"/>
            <w:vAlign w:val="bottom"/>
            <w:vMerge w:val="restart"/>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126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620" w:type="dxa"/>
            <w:vAlign w:val="bottom"/>
            <w:tcBorders>
              <w:bottom w:val="single" w:sz="8" w:color="0000FF"/>
            </w:tcBorders>
            <w:gridSpan w:val="6"/>
          </w:tcPr>
          <w:p>
            <w:pPr>
              <w:spacing w:after="0"/>
              <w:rPr>
                <w:rFonts w:ascii="Arial" w:cs="Arial" w:eastAsia="Arial" w:hAnsi="Arial"/>
                <w:sz w:val="16"/>
                <w:szCs w:val="16"/>
                <w:color w:val="0000FF"/>
              </w:rPr>
            </w:pPr>
            <w:hyperlink w:anchor="page72">
              <w:r>
                <w:rPr>
                  <w:rFonts w:ascii="Arial" w:cs="Arial" w:eastAsia="Arial" w:hAnsi="Arial"/>
                  <w:sz w:val="16"/>
                  <w:szCs w:val="16"/>
                  <w:color w:val="0000FF"/>
                </w:rPr>
                <w:t>Certification of Chief Executive Officer of Registrant pursuant to 18 U.S.C. Section 1350, as adopted pursuant to Section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20" w:type="dxa"/>
            <w:vAlign w:val="bottom"/>
            <w:gridSpan w:val="6"/>
          </w:tcPr>
          <w:p>
            <w:pPr>
              <w:spacing w:after="0" w:line="169" w:lineRule="exact"/>
              <w:rPr>
                <w:rFonts w:ascii="Arial" w:cs="Arial" w:eastAsia="Arial" w:hAnsi="Arial"/>
                <w:sz w:val="16"/>
                <w:szCs w:val="16"/>
                <w:color w:val="0000FF"/>
              </w:rPr>
            </w:pPr>
            <w:hyperlink w:anchor="page72">
              <w:r>
                <w:rPr>
                  <w:rFonts w:ascii="Arial" w:cs="Arial" w:eastAsia="Arial" w:hAnsi="Arial"/>
                  <w:sz w:val="16"/>
                  <w:szCs w:val="16"/>
                  <w:color w:val="0000FF"/>
                </w:rPr>
                <w:t>906 of the Sarbanes-Oxley Act of 2002</w:t>
              </w:r>
            </w:hyperlink>
          </w:p>
        </w:tc>
        <w:tc>
          <w:tcPr>
            <w:tcW w:w="0" w:type="dxa"/>
            <w:vAlign w:val="bottom"/>
          </w:tcPr>
          <w:p>
            <w:pPr>
              <w:spacing w:after="0"/>
              <w:rPr>
                <w:sz w:val="1"/>
                <w:szCs w:val="1"/>
                <w:color w:val="auto"/>
              </w:rPr>
            </w:pPr>
          </w:p>
        </w:tc>
      </w:tr>
      <w:tr>
        <w:trPr>
          <w:trHeight w:val="20"/>
        </w:trPr>
        <w:tc>
          <w:tcPr>
            <w:tcW w:w="1200" w:type="dxa"/>
            <w:vAlign w:val="bottom"/>
            <w:vMerge w:val="restart"/>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126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560" w:type="dxa"/>
            <w:vAlign w:val="bottom"/>
            <w:tcBorders>
              <w:bottom w:val="single" w:sz="8" w:color="0000FF"/>
            </w:tcBorders>
            <w:gridSpan w:val="5"/>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Certification of Chief Financial Officer of Registrant pursuant to 18 U.S.C. Section 1350, as adopted pursuant to Section</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20" w:type="dxa"/>
            <w:vAlign w:val="bottom"/>
            <w:gridSpan w:val="6"/>
          </w:tcPr>
          <w:p>
            <w:pPr>
              <w:spacing w:after="0" w:line="169" w:lineRule="exact"/>
              <w:rPr>
                <w:rFonts w:ascii="Arial" w:cs="Arial" w:eastAsia="Arial" w:hAnsi="Arial"/>
                <w:sz w:val="16"/>
                <w:szCs w:val="16"/>
                <w:color w:val="0000FF"/>
              </w:rPr>
            </w:pPr>
            <w:hyperlink w:anchor="page73">
              <w:r>
                <w:rPr>
                  <w:rFonts w:ascii="Arial" w:cs="Arial" w:eastAsia="Arial" w:hAnsi="Arial"/>
                  <w:sz w:val="16"/>
                  <w:szCs w:val="16"/>
                  <w:color w:val="0000FF"/>
                </w:rPr>
                <w:t>906 of the Sarbanes-Oxley Act of 2002</w:t>
              </w:r>
            </w:hyperlink>
          </w:p>
        </w:tc>
        <w:tc>
          <w:tcPr>
            <w:tcW w:w="0" w:type="dxa"/>
            <w:vAlign w:val="bottom"/>
          </w:tcPr>
          <w:p>
            <w:pPr>
              <w:spacing w:after="0"/>
              <w:rPr>
                <w:sz w:val="1"/>
                <w:szCs w:val="1"/>
                <w:color w:val="auto"/>
              </w:rPr>
            </w:pPr>
          </w:p>
        </w:tc>
      </w:tr>
      <w:tr>
        <w:trPr>
          <w:trHeight w:val="20"/>
        </w:trPr>
        <w:tc>
          <w:tcPr>
            <w:tcW w:w="2460" w:type="dxa"/>
            <w:vAlign w:val="bottom"/>
            <w:gridSpan w:val="2"/>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246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620" w:type="dxa"/>
            <w:vAlign w:val="bottom"/>
            <w:gridSpan w:val="6"/>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20" w:type="dxa"/>
            <w:vAlign w:val="bottom"/>
            <w:gridSpan w:val="6"/>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62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62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62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62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62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567"/>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260" w:type="dxa"/>
            <w:vAlign w:val="bottom"/>
          </w:tcPr>
          <w:p>
            <w:pPr>
              <w:spacing w:after="0"/>
              <w:rPr>
                <w:sz w:val="24"/>
                <w:szCs w:val="24"/>
                <w:color w:val="auto"/>
              </w:rPr>
            </w:pPr>
          </w:p>
        </w:tc>
        <w:tc>
          <w:tcPr>
            <w:tcW w:w="8620" w:type="dxa"/>
            <w:vAlign w:val="bottom"/>
            <w:gridSpan w:val="6"/>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420" w:hanging="1385"/>
        <w:spacing w:after="0"/>
        <w:tabs>
          <w:tab w:leader="none" w:pos="1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81" w:lineRule="exact"/>
        <w:rPr>
          <w:sz w:val="20"/>
          <w:szCs w:val="20"/>
          <w:color w:val="auto"/>
        </w:rPr>
      </w:pPr>
    </w:p>
    <w:p>
      <w:pPr>
        <w:jc w:val="both"/>
        <w:ind w:left="1420" w:right="20" w:hanging="1385"/>
        <w:spacing w:after="0" w:line="253" w:lineRule="auto"/>
        <w:tabs>
          <w:tab w:leader="none" w:pos="1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360"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COMPASS DIVERSIFIED HOLDINGS</w:t>
      </w:r>
    </w:p>
    <w:p>
      <w:pPr>
        <w:spacing w:after="0" w:line="200" w:lineRule="exact"/>
        <w:rPr>
          <w:sz w:val="20"/>
          <w:szCs w:val="20"/>
          <w:color w:val="auto"/>
        </w:rPr>
      </w:pPr>
    </w:p>
    <w:p>
      <w:pPr>
        <w:spacing w:after="0" w:line="210"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10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Pr>
          <w:p>
            <w:pPr>
              <w:ind w:left="40"/>
              <w:spacing w:after="0"/>
              <w:rPr>
                <w:sz w:val="20"/>
                <w:szCs w:val="20"/>
                <w:color w:val="auto"/>
              </w:rPr>
            </w:pPr>
            <w:r>
              <w:rPr>
                <w:rFonts w:ascii="Arial" w:cs="Arial" w:eastAsia="Arial" w:hAnsi="Arial"/>
                <w:sz w:val="16"/>
                <w:szCs w:val="16"/>
                <w:color w:val="auto"/>
              </w:rPr>
              <w:t>/s/ Ryan J. Faulkingham</w:t>
            </w:r>
          </w:p>
        </w:tc>
      </w:tr>
      <w:tr>
        <w:trPr>
          <w:trHeight w:val="47"/>
        </w:trPr>
        <w:tc>
          <w:tcPr>
            <w:tcW w:w="100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31"/>
        </w:trPr>
        <w:tc>
          <w:tcPr>
            <w:tcW w:w="1000" w:type="dxa"/>
            <w:vAlign w:val="bottom"/>
          </w:tcPr>
          <w:p>
            <w:pPr>
              <w:spacing w:after="0"/>
              <w:rPr>
                <w:sz w:val="20"/>
                <w:szCs w:val="20"/>
                <w:color w:val="auto"/>
              </w:rPr>
            </w:pPr>
          </w:p>
        </w:tc>
        <w:tc>
          <w:tcPr>
            <w:tcW w:w="4220" w:type="dxa"/>
            <w:vAlign w:val="bottom"/>
          </w:tcPr>
          <w:p>
            <w:pPr>
              <w:ind w:left="40"/>
              <w:spacing w:after="0"/>
              <w:rPr>
                <w:sz w:val="20"/>
                <w:szCs w:val="20"/>
                <w:color w:val="auto"/>
              </w:rPr>
            </w:pPr>
            <w:r>
              <w:rPr>
                <w:rFonts w:ascii="Arial" w:cs="Arial" w:eastAsia="Arial" w:hAnsi="Arial"/>
                <w:sz w:val="16"/>
                <w:szCs w:val="16"/>
                <w:color w:val="auto"/>
              </w:rPr>
              <w:t>Ryan J. Faulkingham</w:t>
            </w:r>
          </w:p>
        </w:tc>
      </w:tr>
      <w:tr>
        <w:trPr>
          <w:trHeight w:val="270"/>
        </w:trPr>
        <w:tc>
          <w:tcPr>
            <w:tcW w:w="100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Arial" w:cs="Arial" w:eastAsia="Arial" w:hAnsi="Arial"/>
                <w:sz w:val="16"/>
                <w:szCs w:val="16"/>
                <w:i w:val="1"/>
                <w:iCs w:val="1"/>
                <w:color w:val="auto"/>
              </w:rPr>
              <w:t>Regular Trustee</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COMPASS GROUP DIVERSIFIED HOLDINGS LLC</w:t>
      </w:r>
    </w:p>
    <w:p>
      <w:pPr>
        <w:spacing w:after="0" w:line="200" w:lineRule="exact"/>
        <w:rPr>
          <w:sz w:val="20"/>
          <w:szCs w:val="20"/>
          <w:color w:val="auto"/>
        </w:rPr>
      </w:pPr>
    </w:p>
    <w:p>
      <w:pPr>
        <w:spacing w:after="0" w:line="210" w:lineRule="exact"/>
        <w:rPr>
          <w:sz w:val="20"/>
          <w:szCs w:val="20"/>
          <w:color w:val="auto"/>
        </w:rPr>
      </w:pPr>
    </w:p>
    <w:p>
      <w:pPr>
        <w:ind w:left="620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36195</wp:posOffset>
            </wp:positionV>
            <wp:extent cx="2675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9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Ryan J. Faulkingham</w:t>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Chief Financial Officer</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360" w:right="239" w:bottom="1440" w:gutter="0" w:footer="0" w:header="0"/>
        </w:sectPr>
      </w:pPr>
    </w:p>
    <w:bookmarkStart w:id="68" w:name="page69"/>
    <w:bookmarkEnd w:id="68"/>
    <w:tbl>
      <w:tblPr>
        <w:tblLayout w:type="fixed"/>
        <w:tblInd w:w="5" w:type="dxa"/>
        <w:tblCellMar>
          <w:top w:w="0" w:type="dxa"/>
          <w:left w:w="0" w:type="dxa"/>
          <w:bottom w:w="0" w:type="dxa"/>
          <w:right w:w="0" w:type="dxa"/>
        </w:tblCellMar>
      </w:tblPr>
      <w:tr>
        <w:trPr>
          <w:trHeight w:val="225"/>
        </w:trPr>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720" w:type="dxa"/>
            <w:vAlign w:val="bottom"/>
            <w:gridSpan w:val="5"/>
          </w:tcPr>
          <w:p>
            <w:pPr>
              <w:ind w:left="1700"/>
              <w:spacing w:after="0"/>
              <w:rPr>
                <w:sz w:val="20"/>
                <w:szCs w:val="20"/>
                <w:color w:val="auto"/>
              </w:rPr>
            </w:pPr>
            <w:r>
              <w:rPr>
                <w:rFonts w:ascii="Arial" w:cs="Arial" w:eastAsia="Arial" w:hAnsi="Arial"/>
                <w:sz w:val="17"/>
                <w:szCs w:val="17"/>
                <w:b w:val="1"/>
                <w:bCs w:val="1"/>
                <w:color w:val="auto"/>
              </w:rPr>
              <w:t>EXHIBIT INDEX</w:t>
            </w:r>
          </w:p>
        </w:tc>
      </w:tr>
      <w:tr>
        <w:trPr>
          <w:trHeight w:val="355"/>
        </w:trPr>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Exhibit Number</w:t>
            </w:r>
          </w:p>
        </w:tc>
        <w:tc>
          <w:tcPr>
            <w:tcW w:w="126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Description</w:t>
            </w:r>
          </w:p>
        </w:tc>
        <w:tc>
          <w:tcPr>
            <w:tcW w:w="7720" w:type="dxa"/>
            <w:vAlign w:val="bottom"/>
            <w:gridSpan w:val="5"/>
          </w:tcPr>
          <w:p>
            <w:pPr>
              <w:spacing w:after="0"/>
              <w:rPr>
                <w:sz w:val="24"/>
                <w:szCs w:val="24"/>
                <w:color w:val="auto"/>
              </w:rPr>
            </w:pPr>
          </w:p>
        </w:tc>
      </w:tr>
      <w:tr>
        <w:trPr>
          <w:trHeight w:val="399"/>
        </w:trPr>
        <w:tc>
          <w:tcPr>
            <w:tcW w:w="1200" w:type="dxa"/>
            <w:vAlign w:val="bottom"/>
          </w:tcPr>
          <w:p>
            <w:pPr>
              <w:ind w:left="140"/>
              <w:spacing w:after="0"/>
              <w:rPr>
                <w:sz w:val="20"/>
                <w:szCs w:val="20"/>
                <w:color w:val="auto"/>
              </w:rPr>
            </w:pPr>
            <w:r>
              <w:rPr>
                <w:rFonts w:ascii="Arial" w:cs="Arial" w:eastAsia="Arial" w:hAnsi="Arial"/>
                <w:sz w:val="16"/>
                <w:szCs w:val="16"/>
                <w:color w:val="auto"/>
              </w:rPr>
              <w:t>31.1*</w:t>
            </w:r>
          </w:p>
        </w:tc>
        <w:tc>
          <w:tcPr>
            <w:tcW w:w="1260" w:type="dxa"/>
            <w:vAlign w:val="bottom"/>
          </w:tcPr>
          <w:p>
            <w:pPr>
              <w:spacing w:after="0"/>
              <w:rPr>
                <w:sz w:val="24"/>
                <w:szCs w:val="24"/>
                <w:color w:val="auto"/>
              </w:rPr>
            </w:pPr>
          </w:p>
        </w:tc>
        <w:tc>
          <w:tcPr>
            <w:tcW w:w="5580" w:type="dxa"/>
            <w:vAlign w:val="bottom"/>
            <w:tcBorders>
              <w:bottom w:val="single" w:sz="8" w:color="0000FF"/>
            </w:tcBorders>
            <w:gridSpan w:val="4"/>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Rule 13a-14(a)/15d-14(a) Certification of Chief Executive Officer of Registrant</w:t>
              </w:r>
            </w:hyperlink>
          </w:p>
        </w:tc>
        <w:tc>
          <w:tcPr>
            <w:tcW w:w="3040" w:type="dxa"/>
            <w:vAlign w:val="bottom"/>
            <w:gridSpan w:val="2"/>
          </w:tcPr>
          <w:p>
            <w:pPr>
              <w:spacing w:after="0"/>
              <w:rPr>
                <w:sz w:val="24"/>
                <w:szCs w:val="24"/>
                <w:color w:val="auto"/>
              </w:rPr>
            </w:pPr>
          </w:p>
        </w:tc>
      </w:tr>
      <w:tr>
        <w:trPr>
          <w:trHeight w:val="439"/>
        </w:trPr>
        <w:tc>
          <w:tcPr>
            <w:tcW w:w="1200" w:type="dxa"/>
            <w:vAlign w:val="bottom"/>
          </w:tcPr>
          <w:p>
            <w:pPr>
              <w:ind w:left="140"/>
              <w:spacing w:after="0"/>
              <w:rPr>
                <w:sz w:val="20"/>
                <w:szCs w:val="20"/>
                <w:color w:val="auto"/>
              </w:rPr>
            </w:pPr>
            <w:r>
              <w:rPr>
                <w:rFonts w:ascii="Arial" w:cs="Arial" w:eastAsia="Arial" w:hAnsi="Arial"/>
                <w:sz w:val="16"/>
                <w:szCs w:val="16"/>
                <w:color w:val="auto"/>
              </w:rPr>
              <w:t>31.2*</w:t>
            </w:r>
          </w:p>
        </w:tc>
        <w:tc>
          <w:tcPr>
            <w:tcW w:w="1260" w:type="dxa"/>
            <w:vAlign w:val="bottom"/>
          </w:tcPr>
          <w:p>
            <w:pPr>
              <w:spacing w:after="0"/>
              <w:rPr>
                <w:sz w:val="24"/>
                <w:szCs w:val="24"/>
                <w:color w:val="auto"/>
              </w:rPr>
            </w:pPr>
          </w:p>
        </w:tc>
        <w:tc>
          <w:tcPr>
            <w:tcW w:w="5520" w:type="dxa"/>
            <w:vAlign w:val="bottom"/>
            <w:tcBorders>
              <w:bottom w:val="single" w:sz="8" w:color="0000FF"/>
            </w:tcBorders>
            <w:gridSpan w:val="3"/>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Rule 13a-14(a)/15d-14(a) Certification of Chief Financial Officer of Registrant</w:t>
              </w:r>
            </w:hyperlink>
          </w:p>
        </w:tc>
        <w:tc>
          <w:tcPr>
            <w:tcW w:w="3100" w:type="dxa"/>
            <w:vAlign w:val="bottom"/>
            <w:gridSpan w:val="3"/>
          </w:tcPr>
          <w:p>
            <w:pPr>
              <w:spacing w:after="0"/>
              <w:rPr>
                <w:sz w:val="24"/>
                <w:szCs w:val="24"/>
                <w:color w:val="auto"/>
              </w:rPr>
            </w:pPr>
          </w:p>
        </w:tc>
      </w:tr>
      <w:tr>
        <w:trPr>
          <w:trHeight w:val="439"/>
        </w:trPr>
        <w:tc>
          <w:tcPr>
            <w:tcW w:w="12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1260" w:type="dxa"/>
            <w:vAlign w:val="bottom"/>
          </w:tcPr>
          <w:p>
            <w:pPr>
              <w:spacing w:after="0"/>
              <w:rPr>
                <w:sz w:val="24"/>
                <w:szCs w:val="24"/>
                <w:color w:val="auto"/>
              </w:rPr>
            </w:pPr>
          </w:p>
        </w:tc>
        <w:tc>
          <w:tcPr>
            <w:tcW w:w="8620" w:type="dxa"/>
            <w:vAlign w:val="bottom"/>
            <w:tcBorders>
              <w:bottom w:val="single" w:sz="8" w:color="0000FF"/>
            </w:tcBorders>
            <w:gridSpan w:val="6"/>
          </w:tcPr>
          <w:p>
            <w:pPr>
              <w:spacing w:after="0"/>
              <w:rPr>
                <w:rFonts w:ascii="Arial" w:cs="Arial" w:eastAsia="Arial" w:hAnsi="Arial"/>
                <w:sz w:val="16"/>
                <w:szCs w:val="16"/>
                <w:color w:val="0000FF"/>
              </w:rPr>
            </w:pPr>
            <w:hyperlink w:anchor="page72">
              <w:r>
                <w:rPr>
                  <w:rFonts w:ascii="Arial" w:cs="Arial" w:eastAsia="Arial" w:hAnsi="Arial"/>
                  <w:sz w:val="16"/>
                  <w:szCs w:val="16"/>
                  <w:color w:val="0000FF"/>
                </w:rPr>
                <w:t>Certification of Chief Executive Officer of Registrant pursuant to 18 U.S.C. Section 1350, as adopted pursuant to Section</w:t>
              </w:r>
            </w:hyperlink>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0" w:type="dxa"/>
            <w:vAlign w:val="bottom"/>
            <w:tcBorders>
              <w:bottom w:val="single" w:sz="8" w:color="0000FF"/>
            </w:tcBorders>
            <w:gridSpan w:val="2"/>
          </w:tcPr>
          <w:p>
            <w:pPr>
              <w:spacing w:after="0" w:line="169" w:lineRule="exact"/>
              <w:rPr>
                <w:rFonts w:ascii="Arial" w:cs="Arial" w:eastAsia="Arial" w:hAnsi="Arial"/>
                <w:sz w:val="16"/>
                <w:szCs w:val="16"/>
                <w:color w:val="0000FF"/>
              </w:rPr>
            </w:pPr>
            <w:hyperlink w:anchor="page72">
              <w:r>
                <w:rPr>
                  <w:rFonts w:ascii="Arial" w:cs="Arial" w:eastAsia="Arial" w:hAnsi="Arial"/>
                  <w:sz w:val="16"/>
                  <w:szCs w:val="16"/>
                  <w:color w:val="0000FF"/>
                </w:rPr>
                <w:t>906 of the Sarbanes-Oxley Act of 2002</w:t>
              </w:r>
            </w:hyperlink>
          </w:p>
        </w:tc>
        <w:tc>
          <w:tcPr>
            <w:tcW w:w="5820" w:type="dxa"/>
            <w:vAlign w:val="bottom"/>
            <w:gridSpan w:val="4"/>
          </w:tcPr>
          <w:p>
            <w:pPr>
              <w:spacing w:after="0"/>
              <w:rPr>
                <w:sz w:val="14"/>
                <w:szCs w:val="14"/>
                <w:color w:val="auto"/>
              </w:rPr>
            </w:pPr>
          </w:p>
        </w:tc>
      </w:tr>
      <w:tr>
        <w:trPr>
          <w:trHeight w:val="412"/>
        </w:trPr>
        <w:tc>
          <w:tcPr>
            <w:tcW w:w="1200" w:type="dxa"/>
            <w:vAlign w:val="bottom"/>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1260" w:type="dxa"/>
            <w:vAlign w:val="bottom"/>
          </w:tcPr>
          <w:p>
            <w:pPr>
              <w:spacing w:after="0"/>
              <w:rPr>
                <w:sz w:val="24"/>
                <w:szCs w:val="24"/>
                <w:color w:val="auto"/>
              </w:rPr>
            </w:pPr>
          </w:p>
        </w:tc>
        <w:tc>
          <w:tcPr>
            <w:tcW w:w="8580" w:type="dxa"/>
            <w:vAlign w:val="bottom"/>
            <w:tcBorders>
              <w:bottom w:val="single" w:sz="8" w:color="0000FF"/>
            </w:tcBorders>
            <w:gridSpan w:val="5"/>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Certification of Chief Financial Officer of Registrant pursuant to 18 U.S.C. Section 1350, as adopted pursuant to Section</w:t>
              </w:r>
            </w:hyperlink>
          </w:p>
        </w:tc>
        <w:tc>
          <w:tcPr>
            <w:tcW w:w="40" w:type="dxa"/>
            <w:vAlign w:val="bottom"/>
          </w:tcPr>
          <w:p>
            <w:pPr>
              <w:spacing w:after="0"/>
              <w:rPr>
                <w:sz w:val="24"/>
                <w:szCs w:val="24"/>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0" w:type="dxa"/>
            <w:vAlign w:val="bottom"/>
            <w:tcBorders>
              <w:bottom w:val="single" w:sz="8" w:color="0000FF"/>
            </w:tcBorders>
            <w:gridSpan w:val="2"/>
          </w:tcPr>
          <w:p>
            <w:pPr>
              <w:spacing w:after="0" w:line="169" w:lineRule="exact"/>
              <w:rPr>
                <w:rFonts w:ascii="Arial" w:cs="Arial" w:eastAsia="Arial" w:hAnsi="Arial"/>
                <w:sz w:val="16"/>
                <w:szCs w:val="16"/>
                <w:color w:val="0000FF"/>
              </w:rPr>
            </w:pPr>
            <w:hyperlink w:anchor="page73">
              <w:r>
                <w:rPr>
                  <w:rFonts w:ascii="Arial" w:cs="Arial" w:eastAsia="Arial" w:hAnsi="Arial"/>
                  <w:sz w:val="16"/>
                  <w:szCs w:val="16"/>
                  <w:color w:val="0000FF"/>
                </w:rPr>
                <w:t>906 of the Sarbanes-Oxley Act of 2002</w:t>
              </w:r>
            </w:hyperlink>
          </w:p>
        </w:tc>
        <w:tc>
          <w:tcPr>
            <w:tcW w:w="5820" w:type="dxa"/>
            <w:vAlign w:val="bottom"/>
            <w:gridSpan w:val="4"/>
          </w:tcPr>
          <w:p>
            <w:pPr>
              <w:spacing w:after="0"/>
              <w:rPr>
                <w:sz w:val="14"/>
                <w:szCs w:val="14"/>
                <w:color w:val="auto"/>
              </w:rPr>
            </w:pPr>
          </w:p>
        </w:tc>
      </w:tr>
      <w:tr>
        <w:trPr>
          <w:trHeight w:val="576"/>
        </w:trPr>
        <w:tc>
          <w:tcPr>
            <w:tcW w:w="246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620" w:type="dxa"/>
            <w:vAlign w:val="bottom"/>
            <w:gridSpan w:val="6"/>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r>
      <w:tr>
        <w:trPr>
          <w:trHeight w:val="195"/>
        </w:trPr>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20" w:type="dxa"/>
            <w:vAlign w:val="bottom"/>
            <w:gridSpan w:val="6"/>
          </w:tcPr>
          <w:p>
            <w:pPr>
              <w:spacing w:after="0"/>
              <w:rPr>
                <w:sz w:val="20"/>
                <w:szCs w:val="20"/>
                <w:color w:val="auto"/>
              </w:rPr>
            </w:pPr>
            <w:r>
              <w:rPr>
                <w:rFonts w:ascii="Arial" w:cs="Arial" w:eastAsia="Arial" w:hAnsi="Arial"/>
                <w:sz w:val="16"/>
                <w:szCs w:val="16"/>
                <w:color w:val="auto"/>
              </w:rPr>
              <w:t>tags are embedded within the Inline XBRL document.</w:t>
            </w: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62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594"/>
        </w:trPr>
        <w:tc>
          <w:tcPr>
            <w:tcW w:w="246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62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594"/>
        </w:trPr>
        <w:tc>
          <w:tcPr>
            <w:tcW w:w="246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62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594"/>
        </w:trPr>
        <w:tc>
          <w:tcPr>
            <w:tcW w:w="246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62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594"/>
        </w:trPr>
        <w:tc>
          <w:tcPr>
            <w:tcW w:w="246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62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594"/>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260" w:type="dxa"/>
            <w:vAlign w:val="bottom"/>
          </w:tcPr>
          <w:p>
            <w:pPr>
              <w:spacing w:after="0"/>
              <w:rPr>
                <w:sz w:val="24"/>
                <w:szCs w:val="24"/>
                <w:color w:val="auto"/>
              </w:rPr>
            </w:pPr>
          </w:p>
        </w:tc>
        <w:tc>
          <w:tcPr>
            <w:tcW w:w="8620" w:type="dxa"/>
            <w:vAlign w:val="bottom"/>
            <w:gridSpan w:val="6"/>
          </w:tcPr>
          <w:p>
            <w:pPr>
              <w:spacing w:after="0"/>
              <w:rPr>
                <w:sz w:val="20"/>
                <w:szCs w:val="20"/>
                <w:color w:val="auto"/>
              </w:rPr>
            </w:pPr>
            <w:r>
              <w:rPr>
                <w:rFonts w:ascii="Arial" w:cs="Arial" w:eastAsia="Arial" w:hAnsi="Arial"/>
                <w:sz w:val="16"/>
                <w:szCs w:val="16"/>
                <w:color w:val="auto"/>
              </w:rPr>
              <w:t>Cover page formatted as Inline XBRL and contained in Exhibit 101</w:t>
            </w:r>
          </w:p>
        </w:tc>
      </w:tr>
    </w:tbl>
    <w:p>
      <w:pPr>
        <w:spacing w:after="0" w:line="383" w:lineRule="exact"/>
        <w:rPr>
          <w:sz w:val="20"/>
          <w:szCs w:val="20"/>
          <w:color w:val="auto"/>
        </w:rPr>
      </w:pPr>
    </w:p>
    <w:p>
      <w:pPr>
        <w:ind w:left="1385" w:hanging="1385"/>
        <w:spacing w:after="0"/>
        <w:tabs>
          <w:tab w:leader="none" w:pos="1385" w:val="left"/>
        </w:tabs>
        <w:numPr>
          <w:ilvl w:val="0"/>
          <w:numId w:val="31"/>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180" w:lineRule="exact"/>
        <w:rPr>
          <w:sz w:val="20"/>
          <w:szCs w:val="20"/>
          <w:color w:val="auto"/>
        </w:rPr>
      </w:pPr>
    </w:p>
    <w:p>
      <w:pPr>
        <w:ind w:left="1385" w:right="20" w:hanging="1385"/>
        <w:spacing w:after="0" w:line="225" w:lineRule="auto"/>
        <w:tabs>
          <w:tab w:leader="none" w:pos="1385" w:val="left"/>
        </w:tabs>
        <w:numPr>
          <w:ilvl w:val="0"/>
          <w:numId w:val="32"/>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71" w:lineRule="exact"/>
        <w:rPr>
          <w:sz w:val="20"/>
          <w:szCs w:val="20"/>
          <w:color w:val="auto"/>
        </w:rPr>
      </w:pPr>
    </w:p>
    <w:p>
      <w:pPr>
        <w:jc w:val="center"/>
        <w:ind w:right="-264"/>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085"/>
          </w:cols>
          <w:pgMar w:left="275" w:top="357" w:right="5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 Elias J. Sabo, certify that:</w:t>
      </w:r>
    </w:p>
    <w:p>
      <w:pPr>
        <w:spacing w:after="0" w:line="22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Compass Group Diversified Holdings LLC (the “registrant”);</w:t>
      </w:r>
    </w:p>
    <w:p>
      <w:pPr>
        <w:spacing w:after="0" w:line="221"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980" w:right="160" w:hanging="324"/>
        <w:spacing w:after="0" w:line="253"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980" w:right="40" w:hanging="324"/>
        <w:spacing w:after="0" w:line="253"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980" w:right="660" w:hanging="324"/>
        <w:spacing w:after="0" w:line="260"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980" w:right="100" w:hanging="324"/>
        <w:spacing w:after="0" w:line="253"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980" w:right="320" w:hanging="324"/>
        <w:spacing w:after="0" w:line="260"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980" w:right="260" w:hanging="324"/>
        <w:spacing w:after="0" w:line="260"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October 30, 2019</w:t>
      </w:r>
    </w:p>
    <w:p>
      <w:pPr>
        <w:spacing w:after="0" w:line="162" w:lineRule="exact"/>
        <w:rPr>
          <w:sz w:val="20"/>
          <w:szCs w:val="20"/>
          <w:color w:val="auto"/>
        </w:rPr>
      </w:pPr>
    </w:p>
    <w:p>
      <w:pPr>
        <w:ind w:left="7460"/>
        <w:spacing w:after="0"/>
        <w:rPr>
          <w:sz w:val="20"/>
          <w:szCs w:val="20"/>
          <w:color w:val="auto"/>
        </w:rPr>
      </w:pPr>
      <w:r>
        <w:rPr>
          <w:rFonts w:ascii="Arial" w:cs="Arial" w:eastAsia="Arial" w:hAnsi="Arial"/>
          <w:sz w:val="15"/>
          <w:szCs w:val="15"/>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46990</wp:posOffset>
            </wp:positionV>
            <wp:extent cx="25298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91" w:lineRule="exact"/>
        <w:rPr>
          <w:sz w:val="20"/>
          <w:szCs w:val="20"/>
          <w:color w:val="auto"/>
        </w:rPr>
      </w:pPr>
    </w:p>
    <w:p>
      <w:pPr>
        <w:ind w:left="7460"/>
        <w:spacing w:after="0"/>
        <w:rPr>
          <w:sz w:val="20"/>
          <w:szCs w:val="20"/>
          <w:color w:val="auto"/>
        </w:rPr>
      </w:pPr>
      <w:r>
        <w:rPr>
          <w:rFonts w:ascii="Arial" w:cs="Arial" w:eastAsia="Arial" w:hAnsi="Arial"/>
          <w:sz w:val="15"/>
          <w:szCs w:val="15"/>
          <w:color w:val="auto"/>
        </w:rPr>
        <w:t>Elias J. Sabo</w:t>
      </w:r>
    </w:p>
    <w:p>
      <w:pPr>
        <w:spacing w:after="0" w:line="68" w:lineRule="exact"/>
        <w:rPr>
          <w:sz w:val="20"/>
          <w:szCs w:val="20"/>
          <w:color w:val="auto"/>
        </w:rPr>
      </w:pPr>
    </w:p>
    <w:p>
      <w:pPr>
        <w:ind w:left="7460"/>
        <w:spacing w:after="0"/>
        <w:rPr>
          <w:sz w:val="20"/>
          <w:szCs w:val="20"/>
          <w:color w:val="auto"/>
        </w:rPr>
      </w:pPr>
      <w:r>
        <w:rPr>
          <w:rFonts w:ascii="Arial" w:cs="Arial" w:eastAsia="Arial" w:hAnsi="Arial"/>
          <w:sz w:val="15"/>
          <w:szCs w:val="15"/>
          <w:i w:val="1"/>
          <w:iCs w:val="1"/>
          <w:color w:val="auto"/>
        </w:rPr>
        <w:t>Chief Executive Officer of</w:t>
      </w:r>
    </w:p>
    <w:p>
      <w:pPr>
        <w:ind w:left="7460"/>
        <w:spacing w:after="0" w:line="233" w:lineRule="auto"/>
        <w:rPr>
          <w:sz w:val="20"/>
          <w:szCs w:val="20"/>
          <w:color w:val="auto"/>
        </w:rPr>
      </w:pPr>
      <w:r>
        <w:rPr>
          <w:rFonts w:ascii="Arial" w:cs="Arial" w:eastAsia="Arial" w:hAnsi="Arial"/>
          <w:sz w:val="15"/>
          <w:szCs w:val="15"/>
          <w:i w:val="1"/>
          <w:iCs w:val="1"/>
          <w:color w:val="auto"/>
        </w:rPr>
        <w:t>Compass Group Diversified Holdings LLC</w:t>
      </w:r>
    </w:p>
    <w:p>
      <w:pPr>
        <w:ind w:left="746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420"/>
          </w:cols>
          <w:pgMar w:left="240" w:top="572"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Ryan J. Faulkingham, certify that:</w:t>
      </w:r>
    </w:p>
    <w:p>
      <w:pPr>
        <w:spacing w:after="0" w:line="223" w:lineRule="exact"/>
        <w:rPr>
          <w:sz w:val="20"/>
          <w:szCs w:val="20"/>
          <w:color w:val="auto"/>
        </w:rPr>
      </w:pPr>
    </w:p>
    <w:p>
      <w:pPr>
        <w:ind w:left="660" w:right="240" w:hanging="328"/>
        <w:spacing w:after="0" w:line="260"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97" w:lineRule="exact"/>
        <w:rPr>
          <w:rFonts w:ascii="Arial" w:cs="Arial" w:eastAsia="Arial" w:hAnsi="Arial"/>
          <w:sz w:val="17"/>
          <w:szCs w:val="17"/>
          <w:color w:val="auto"/>
        </w:rPr>
      </w:pPr>
    </w:p>
    <w:p>
      <w:pPr>
        <w:ind w:left="660" w:right="180" w:hanging="328"/>
        <w:spacing w:after="0" w:line="254"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17"/>
          <w:szCs w:val="17"/>
          <w:color w:val="auto"/>
        </w:rPr>
      </w:pPr>
    </w:p>
    <w:p>
      <w:pPr>
        <w:ind w:left="660" w:right="140" w:hanging="328"/>
        <w:spacing w:after="0" w:line="260"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7"/>
          <w:szCs w:val="17"/>
          <w:color w:val="auto"/>
        </w:rPr>
      </w:pPr>
    </w:p>
    <w:p>
      <w:pPr>
        <w:ind w:left="660" w:right="40" w:hanging="328"/>
        <w:spacing w:after="0" w:line="24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23" w:lineRule="exact"/>
        <w:rPr>
          <w:rFonts w:ascii="Arial" w:cs="Arial" w:eastAsia="Arial" w:hAnsi="Arial"/>
          <w:sz w:val="17"/>
          <w:szCs w:val="17"/>
          <w:color w:val="auto"/>
        </w:rPr>
      </w:pPr>
    </w:p>
    <w:p>
      <w:pPr>
        <w:ind w:left="1300" w:right="120" w:hanging="320"/>
        <w:spacing w:after="0" w:line="254"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7"/>
          <w:szCs w:val="17"/>
          <w:color w:val="auto"/>
        </w:rPr>
      </w:pPr>
    </w:p>
    <w:p>
      <w:pPr>
        <w:ind w:left="1300" w:right="220" w:hanging="320"/>
        <w:spacing w:after="0" w:line="254"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Arial" w:cs="Arial" w:eastAsia="Arial" w:hAnsi="Arial"/>
          <w:sz w:val="17"/>
          <w:szCs w:val="17"/>
          <w:color w:val="auto"/>
        </w:rPr>
      </w:pPr>
    </w:p>
    <w:p>
      <w:pPr>
        <w:ind w:left="1300" w:right="160" w:hanging="320"/>
        <w:spacing w:after="0" w:line="254"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7"/>
          <w:szCs w:val="17"/>
          <w:color w:val="auto"/>
        </w:rPr>
      </w:pPr>
    </w:p>
    <w:p>
      <w:pPr>
        <w:jc w:val="both"/>
        <w:ind w:left="1300" w:right="40" w:hanging="320"/>
        <w:spacing w:after="0" w:line="254"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7"/>
          <w:szCs w:val="17"/>
          <w:color w:val="auto"/>
        </w:rPr>
      </w:pPr>
    </w:p>
    <w:p>
      <w:pPr>
        <w:ind w:left="660" w:right="80" w:hanging="328"/>
        <w:spacing w:after="0" w:line="260"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7"/>
          <w:szCs w:val="17"/>
          <w:color w:val="auto"/>
        </w:rPr>
      </w:pPr>
    </w:p>
    <w:p>
      <w:pPr>
        <w:ind w:left="1300" w:right="320" w:hanging="320"/>
        <w:spacing w:after="0" w:line="260"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7"/>
          <w:szCs w:val="17"/>
          <w:color w:val="auto"/>
        </w:rPr>
      </w:pPr>
    </w:p>
    <w:p>
      <w:pPr>
        <w:ind w:left="1300" w:right="560" w:hanging="320"/>
        <w:spacing w:after="0" w:line="260"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October 30, 2019</w:t>
      </w:r>
    </w:p>
    <w:p>
      <w:pPr>
        <w:spacing w:after="0" w:line="169"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8"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Ryan J. Faulkingham</w:t>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Regular Trustee of Compass Diversified Holdings and Chief</w:t>
      </w:r>
    </w:p>
    <w:p>
      <w:pPr>
        <w:spacing w:after="0" w:line="5"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Financial Officer of</w:t>
      </w:r>
    </w:p>
    <w:p>
      <w:pPr>
        <w:ind w:left="6660"/>
        <w:spacing w:after="0" w:line="232" w:lineRule="auto"/>
        <w:rPr>
          <w:sz w:val="20"/>
          <w:szCs w:val="20"/>
          <w:color w:val="auto"/>
        </w:rPr>
      </w:pPr>
      <w:r>
        <w:rPr>
          <w:rFonts w:ascii="Arial" w:cs="Arial" w:eastAsia="Arial" w:hAnsi="Arial"/>
          <w:sz w:val="17"/>
          <w:szCs w:val="17"/>
          <w:i w:val="1"/>
          <w:iCs w:val="1"/>
          <w:color w:val="auto"/>
        </w:rPr>
        <w:t>Compass Group Diversified Holdings LLC</w:t>
      </w:r>
    </w:p>
    <w:p>
      <w:pPr>
        <w:ind w:left="666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420"/>
          </w:cols>
          <w:pgMar w:left="240" w:top="573"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Quarterly Report of COMPASS GROUP DIVERSIFIED HOLDINGS LLC on Form 10-Q for the period ended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2019 as filed with the Securities and Exchange Commission on the date hereof (the “Report”), I, Elias J. Sabo, 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of Compass Group Diversified Holdings LLC, certify, pursuant to 18 U.S.C. Section 1350, as adopted pursuant to Section 906 of the Sarbanes-Oxley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Act of 2002, that to my knowledge:</w:t>
      </w:r>
    </w:p>
    <w:p>
      <w:pPr>
        <w:spacing w:after="0" w:line="142" w:lineRule="exact"/>
        <w:rPr>
          <w:sz w:val="20"/>
          <w:szCs w:val="20"/>
          <w:color w:val="auto"/>
        </w:rPr>
      </w:pPr>
    </w:p>
    <w:p>
      <w:pPr>
        <w:ind w:left="540" w:hanging="316"/>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540" w:right="340" w:hanging="316"/>
        <w:spacing w:after="0" w:line="260"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Group Diversified Holdings LLC.</w:t>
      </w:r>
    </w:p>
    <w:p>
      <w:pPr>
        <w:spacing w:after="0" w:line="279" w:lineRule="exact"/>
        <w:rPr>
          <w:sz w:val="20"/>
          <w:szCs w:val="20"/>
          <w:color w:val="auto"/>
        </w:rPr>
      </w:pPr>
    </w:p>
    <w:p>
      <w:pPr>
        <w:ind w:left="40"/>
        <w:spacing w:after="0"/>
        <w:tabs>
          <w:tab w:leader="none" w:pos="700" w:val="left"/>
          <w:tab w:leader="none" w:pos="7060" w:val="left"/>
        </w:tabs>
        <w:rPr>
          <w:sz w:val="20"/>
          <w:szCs w:val="20"/>
          <w:color w:val="auto"/>
        </w:rPr>
      </w:pPr>
      <w:r>
        <w:rPr>
          <w:rFonts w:ascii="Arial" w:cs="Arial" w:eastAsia="Arial" w:hAnsi="Arial"/>
          <w:sz w:val="17"/>
          <w:szCs w:val="17"/>
          <w:color w:val="auto"/>
        </w:rPr>
        <w:t>Dated:</w:t>
        <w:tab/>
        <w:t>October 30, 2019</w:t>
      </w:r>
      <w:r>
        <w:rPr>
          <w:sz w:val="20"/>
          <w:szCs w:val="20"/>
          <w:color w:val="auto"/>
        </w:rPr>
        <w:tab/>
      </w:r>
      <w:r>
        <w:rPr>
          <w:rFonts w:ascii="Arial" w:cs="Arial" w:eastAsia="Arial" w:hAnsi="Arial"/>
          <w:sz w:val="17"/>
          <w:szCs w:val="17"/>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17145</wp:posOffset>
            </wp:positionV>
            <wp:extent cx="2735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41"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Elias J. Sabo</w:t>
      </w:r>
    </w:p>
    <w:p>
      <w:pPr>
        <w:spacing w:after="0" w:line="55"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Chief Executive Officer,</w:t>
      </w:r>
    </w:p>
    <w:p>
      <w:pPr>
        <w:ind w:left="7080"/>
        <w:spacing w:after="0"/>
        <w:rPr>
          <w:sz w:val="20"/>
          <w:szCs w:val="20"/>
          <w:color w:val="auto"/>
        </w:rPr>
      </w:pPr>
      <w:r>
        <w:rPr>
          <w:rFonts w:ascii="Arial" w:cs="Arial" w:eastAsia="Arial" w:hAnsi="Arial"/>
          <w:sz w:val="17"/>
          <w:szCs w:val="17"/>
          <w:color w:val="auto"/>
        </w:rPr>
        <w:t>Compass Group Diversified Holdings LLC</w:t>
      </w:r>
    </w:p>
    <w:p>
      <w:pPr>
        <w:spacing w:after="0" w:line="237" w:lineRule="exact"/>
        <w:rPr>
          <w:sz w:val="20"/>
          <w:szCs w:val="20"/>
          <w:color w:val="auto"/>
        </w:rPr>
      </w:pPr>
    </w:p>
    <w:p>
      <w:pPr>
        <w:ind w:right="40" w:firstLine="432"/>
        <w:spacing w:after="0" w:line="250" w:lineRule="auto"/>
        <w:rPr>
          <w:sz w:val="20"/>
          <w:szCs w:val="20"/>
          <w:color w:val="auto"/>
        </w:rPr>
      </w:pPr>
      <w:r>
        <w:rPr>
          <w:rFonts w:ascii="Arial" w:cs="Arial" w:eastAsia="Arial" w:hAnsi="Arial"/>
          <w:sz w:val="17"/>
          <w:szCs w:val="17"/>
          <w:color w:val="auto"/>
        </w:rPr>
        <w:t>The foregoing certification is being furnished to accompany Compass Group Diversified Holdings LLC’s Quarterly Report on Form 10-Q for the quarterly period ended September 30, 2019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420"/>
          </w:cols>
          <w:pgMar w:left="240" w:top="573"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120" w:firstLine="432"/>
        <w:spacing w:after="0" w:line="252" w:lineRule="auto"/>
        <w:rPr>
          <w:sz w:val="20"/>
          <w:szCs w:val="20"/>
          <w:color w:val="auto"/>
        </w:rPr>
      </w:pPr>
      <w:r>
        <w:rPr>
          <w:rFonts w:ascii="Arial" w:cs="Arial" w:eastAsia="Arial" w:hAnsi="Arial"/>
          <w:sz w:val="17"/>
          <w:szCs w:val="17"/>
          <w:color w:val="auto"/>
        </w:rPr>
        <w:t>In connection with the Quarterly Report of COMPASS DIVERSIFIED HOLDINGS and COMPASS GROUP DIVERSIFIED HOLDINGS LLC on Form 10-Q for the period ended September 30, 2019 as filed with the Securities and Exchange Commission on the date hereof (the “Report”), I, Ryan J. Faulkingham,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124" w:lineRule="exact"/>
        <w:rPr>
          <w:sz w:val="20"/>
          <w:szCs w:val="20"/>
          <w:color w:val="auto"/>
        </w:rPr>
      </w:pPr>
    </w:p>
    <w:p>
      <w:pPr>
        <w:ind w:left="540" w:hanging="316"/>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540" w:right="340" w:hanging="316"/>
        <w:spacing w:after="0" w:line="260"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Diversified Holdings and Compass Group Diversified Holdings LLC.</w:t>
      </w:r>
    </w:p>
    <w:p>
      <w:pPr>
        <w:spacing w:after="0" w:line="279" w:lineRule="exact"/>
        <w:rPr>
          <w:sz w:val="20"/>
          <w:szCs w:val="20"/>
          <w:color w:val="auto"/>
        </w:rPr>
      </w:pPr>
    </w:p>
    <w:p>
      <w:pPr>
        <w:ind w:left="40"/>
        <w:spacing w:after="0"/>
        <w:tabs>
          <w:tab w:leader="none" w:pos="700" w:val="left"/>
          <w:tab w:leader="none" w:pos="7060" w:val="left"/>
        </w:tabs>
        <w:rPr>
          <w:sz w:val="20"/>
          <w:szCs w:val="20"/>
          <w:color w:val="auto"/>
        </w:rPr>
      </w:pPr>
      <w:r>
        <w:rPr>
          <w:rFonts w:ascii="Arial" w:cs="Arial" w:eastAsia="Arial" w:hAnsi="Arial"/>
          <w:sz w:val="17"/>
          <w:szCs w:val="17"/>
          <w:color w:val="auto"/>
        </w:rPr>
        <w:t>Dated:</w:t>
        <w:tab/>
        <w:t>October 30, 2019</w:t>
      </w:r>
      <w:r>
        <w:rPr>
          <w:sz w:val="20"/>
          <w:szCs w:val="20"/>
          <w:color w:val="auto"/>
        </w:rPr>
        <w:tab/>
      </w:r>
      <w:r>
        <w:rPr>
          <w:rFonts w:ascii="Arial" w:cs="Arial" w:eastAsia="Arial" w:hAnsi="Arial"/>
          <w:sz w:val="17"/>
          <w:szCs w:val="17"/>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17145</wp:posOffset>
            </wp:positionV>
            <wp:extent cx="2735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41"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Ryan J. Faulkingham</w:t>
      </w:r>
    </w:p>
    <w:p>
      <w:pPr>
        <w:spacing w:after="0" w:line="55"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Regular Trustee, Compass Diversified Holdings and</w:t>
      </w:r>
    </w:p>
    <w:p>
      <w:pPr>
        <w:ind w:left="7080"/>
        <w:spacing w:after="0" w:line="232" w:lineRule="auto"/>
        <w:rPr>
          <w:sz w:val="20"/>
          <w:szCs w:val="20"/>
          <w:color w:val="auto"/>
        </w:rPr>
      </w:pPr>
      <w:r>
        <w:rPr>
          <w:rFonts w:ascii="Arial" w:cs="Arial" w:eastAsia="Arial" w:hAnsi="Arial"/>
          <w:sz w:val="17"/>
          <w:szCs w:val="17"/>
          <w:color w:val="auto"/>
        </w:rPr>
        <w:t>Chief Financial Officer,</w:t>
      </w:r>
    </w:p>
    <w:p>
      <w:pPr>
        <w:ind w:left="7080"/>
        <w:spacing w:after="0"/>
        <w:rPr>
          <w:sz w:val="20"/>
          <w:szCs w:val="20"/>
          <w:color w:val="auto"/>
        </w:rPr>
      </w:pPr>
      <w:r>
        <w:rPr>
          <w:rFonts w:ascii="Arial" w:cs="Arial" w:eastAsia="Arial" w:hAnsi="Arial"/>
          <w:sz w:val="17"/>
          <w:szCs w:val="17"/>
          <w:color w:val="auto"/>
        </w:rPr>
        <w:t>Compass Group Diversified Holdings LLC</w:t>
      </w:r>
    </w:p>
    <w:p>
      <w:pPr>
        <w:spacing w:after="0" w:line="237" w:lineRule="exact"/>
        <w:rPr>
          <w:sz w:val="20"/>
          <w:szCs w:val="20"/>
          <w:color w:val="auto"/>
        </w:rPr>
      </w:pPr>
    </w:p>
    <w:p>
      <w:pPr>
        <w:ind w:right="40" w:firstLine="432"/>
        <w:spacing w:after="0" w:line="250" w:lineRule="auto"/>
        <w:rPr>
          <w:sz w:val="20"/>
          <w:szCs w:val="20"/>
          <w:color w:val="auto"/>
        </w:rPr>
      </w:pPr>
      <w:r>
        <w:rPr>
          <w:rFonts w:ascii="Arial" w:cs="Arial" w:eastAsia="Arial" w:hAnsi="Arial"/>
          <w:sz w:val="17"/>
          <w:szCs w:val="17"/>
          <w:color w:val="auto"/>
        </w:rPr>
        <w:t>The foregoing certification is being furnished to accompany Compass Diversified Holdings’ and Compass Group Diversified Holdings LLC’s Quarterly Report on Form 10-Q for the quarterly period ended September 30, 2019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420"/>
      </w:cols>
      <w:pgMar w:left="240" w:top="5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lvl w:ilvl="1">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3"/>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lowerRoman"/>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2019-12-28T04:18:26Z</dcterms:created>
  <dcterms:modified xsi:type="dcterms:W3CDTF">2019-12-28T04:18:26Z</dcterms:modified>
</cp:coreProperties>
</file>