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541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541135"/>
                    </a:xfrm>
                    <a:prstGeom prst="rect">
                      <a:avLst/>
                    </a:prstGeom>
                    <a:noFill/>
                  </pic:spPr>
                </pic:pic>
              </a:graphicData>
            </a:graphic>
          </wp:anchor>
        </w:drawing>
      </w:r>
    </w:p>
    <w:p>
      <w:pPr>
        <w:spacing w:after="0" w:line="90" w:lineRule="exact"/>
        <w:rPr>
          <w:sz w:val="24"/>
          <w:szCs w:val="24"/>
          <w:color w:val="auto"/>
        </w:rPr>
      </w:pPr>
    </w:p>
    <w:p>
      <w:pPr>
        <w:sectPr>
          <w:pgSz w:w="11900" w:h="16854"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SABO ELIAS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301 RIVERSIDE AVENUE</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SECOND FLOOR</w:t>
            </w: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WESTPORT</w:t>
            </w:r>
          </w:p>
        </w:tc>
        <w:tc>
          <w:tcPr>
            <w:tcW w:w="1140" w:type="dxa"/>
            <w:vAlign w:val="bottom"/>
          </w:tcPr>
          <w:p>
            <w:pPr>
              <w:ind w:left="160"/>
              <w:spacing w:after="0"/>
              <w:rPr>
                <w:sz w:val="20"/>
                <w:szCs w:val="20"/>
                <w:color w:val="auto"/>
              </w:rPr>
            </w:pPr>
            <w:r>
              <w:rPr>
                <w:rFonts w:ascii="Arial" w:cs="Arial" w:eastAsia="Arial" w:hAnsi="Arial"/>
                <w:sz w:val="18"/>
                <w:szCs w:val="18"/>
                <w:color w:val="0000FF"/>
              </w:rPr>
              <w:t>CT</w:t>
            </w:r>
          </w:p>
        </w:tc>
        <w:tc>
          <w:tcPr>
            <w:tcW w:w="1420" w:type="dxa"/>
            <w:vAlign w:val="bottom"/>
          </w:tcPr>
          <w:p>
            <w:pPr>
              <w:ind w:left="240"/>
              <w:spacing w:after="0"/>
              <w:rPr>
                <w:sz w:val="20"/>
                <w:szCs w:val="20"/>
                <w:color w:val="auto"/>
              </w:rPr>
            </w:pPr>
            <w:r>
              <w:rPr>
                <w:rFonts w:ascii="Arial" w:cs="Arial" w:eastAsia="Arial" w:hAnsi="Arial"/>
                <w:sz w:val="18"/>
                <w:szCs w:val="18"/>
                <w:color w:val="0000FF"/>
              </w:rPr>
              <w:t>06880</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16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Compass Diversified Holdings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CODI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680" w:type="dxa"/>
            <w:vAlign w:val="bottom"/>
          </w:tcPr>
          <w:p>
            <w:pPr>
              <w:ind w:left="580"/>
              <w:spacing w:after="0" w:line="133" w:lineRule="exact"/>
              <w:rPr>
                <w:sz w:val="20"/>
                <w:szCs w:val="20"/>
                <w:color w:val="auto"/>
              </w:rPr>
            </w:pPr>
            <w:r>
              <w:rPr>
                <w:rFonts w:ascii="Arial" w:cs="Arial" w:eastAsia="Arial" w:hAnsi="Arial"/>
                <w:sz w:val="14"/>
                <w:szCs w:val="14"/>
                <w:color w:val="auto"/>
              </w:rPr>
              <w:t>below)</w:t>
            </w:r>
          </w:p>
        </w:tc>
        <w:tc>
          <w:tcPr>
            <w:tcW w:w="360" w:type="dxa"/>
            <w:vAlign w:val="bottom"/>
            <w:vMerge w:val="continue"/>
          </w:tcPr>
          <w:p>
            <w:pPr>
              <w:spacing w:after="0"/>
              <w:rPr>
                <w:sz w:val="11"/>
                <w:szCs w:val="11"/>
                <w:color w:val="auto"/>
              </w:rPr>
            </w:pPr>
          </w:p>
        </w:tc>
        <w:tc>
          <w:tcPr>
            <w:tcW w:w="12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740" w:type="dxa"/>
            <w:vAlign w:val="bottom"/>
            <w:gridSpan w:val="3"/>
          </w:tcPr>
          <w:p>
            <w:pPr>
              <w:ind w:left="80"/>
              <w:spacing w:after="0"/>
              <w:rPr>
                <w:sz w:val="20"/>
                <w:szCs w:val="20"/>
                <w:color w:val="auto"/>
              </w:rPr>
            </w:pPr>
            <w:r>
              <w:rPr>
                <w:rFonts w:ascii="Arial" w:cs="Arial" w:eastAsia="Arial" w:hAnsi="Arial"/>
                <w:sz w:val="18"/>
                <w:szCs w:val="18"/>
                <w:color w:val="0000FF"/>
              </w:rPr>
              <w:t>05/09/2023</w:t>
            </w:r>
          </w:p>
        </w:tc>
        <w:tc>
          <w:tcPr>
            <w:tcW w:w="1100" w:type="dxa"/>
            <w:vAlign w:val="bottom"/>
          </w:tcPr>
          <w:p>
            <w:pPr>
              <w:spacing w:after="0"/>
              <w:rPr>
                <w:sz w:val="19"/>
                <w:szCs w:val="19"/>
                <w:color w:val="auto"/>
              </w:rPr>
            </w:pPr>
          </w:p>
        </w:tc>
        <w:tc>
          <w:tcPr>
            <w:tcW w:w="3280" w:type="dxa"/>
            <w:vAlign w:val="bottom"/>
            <w:gridSpan w:val="3"/>
            <w:vMerge w:val="restart"/>
          </w:tcPr>
          <w:p>
            <w:pPr>
              <w:ind w:left="1060"/>
              <w:spacing w:after="0"/>
              <w:rPr>
                <w:sz w:val="20"/>
                <w:szCs w:val="20"/>
                <w:color w:val="auto"/>
              </w:rPr>
            </w:pPr>
            <w:r>
              <w:rPr>
                <w:rFonts w:ascii="Arial" w:cs="Arial" w:eastAsia="Arial" w:hAnsi="Arial"/>
                <w:sz w:val="18"/>
                <w:szCs w:val="18"/>
                <w:color w:val="0000FF"/>
              </w:rPr>
              <w:t>See Remarks (a)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2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54"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1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46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11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460" w:type="dxa"/>
            <w:vAlign w:val="bottom"/>
          </w:tcPr>
          <w:p>
            <w:pPr>
              <w:spacing w:after="0"/>
              <w:rPr>
                <w:sz w:val="6"/>
                <w:szCs w:val="6"/>
                <w:color w:val="auto"/>
              </w:rPr>
            </w:pPr>
          </w:p>
        </w:tc>
        <w:tc>
          <w:tcPr>
            <w:tcW w:w="90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3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10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By Compass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4"/>
              </w:rPr>
              <w:t>Common Shares</w:t>
            </w:r>
            <w:r>
              <w:rPr>
                <w:rFonts w:ascii="Arial" w:cs="Arial" w:eastAsia="Arial" w:hAnsi="Arial"/>
                <w:sz w:val="22"/>
                <w:szCs w:val="22"/>
                <w:color w:val="008000"/>
                <w:w w:val="94"/>
                <w:vertAlign w:val="superscript"/>
              </w:rPr>
              <w:t>(1)</w:t>
            </w:r>
          </w:p>
        </w:tc>
        <w:tc>
          <w:tcPr>
            <w:tcW w:w="1120" w:type="dxa"/>
            <w:vAlign w:val="bottom"/>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05/09/2023</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vMerge w:val="restart"/>
          </w:tcPr>
          <w:p>
            <w:pPr>
              <w:jc w:val="right"/>
              <w:ind w:right="57"/>
              <w:spacing w:after="0"/>
              <w:rPr>
                <w:sz w:val="20"/>
                <w:szCs w:val="20"/>
                <w:color w:val="auto"/>
              </w:rPr>
            </w:pPr>
            <w:r>
              <w:rPr>
                <w:rFonts w:ascii="Arial" w:cs="Arial" w:eastAsia="Arial" w:hAnsi="Arial"/>
                <w:sz w:val="14"/>
                <w:szCs w:val="14"/>
                <w:color w:val="0000FF"/>
              </w:rPr>
              <w:t>P</w:t>
            </w:r>
          </w:p>
        </w:tc>
        <w:tc>
          <w:tcPr>
            <w:tcW w:w="400" w:type="dxa"/>
            <w:vAlign w:val="bottom"/>
          </w:tcPr>
          <w:p>
            <w:pPr>
              <w:spacing w:after="0"/>
              <w:rPr>
                <w:sz w:val="18"/>
                <w:szCs w:val="18"/>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0000FF"/>
              </w:rPr>
              <w:t>14,144</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0000FF"/>
              </w:rPr>
              <w:t>A</w:t>
            </w:r>
          </w:p>
        </w:tc>
        <w:tc>
          <w:tcPr>
            <w:tcW w:w="980" w:type="dxa"/>
            <w:vAlign w:val="bottom"/>
            <w:vMerge w:val="restart"/>
          </w:tcPr>
          <w:p>
            <w:pPr>
              <w:jc w:val="center"/>
              <w:ind w:righ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18.77</w:t>
            </w:r>
            <w:r>
              <w:rPr>
                <w:rFonts w:ascii="Arial" w:cs="Arial" w:eastAsia="Arial" w:hAnsi="Arial"/>
                <w:sz w:val="22"/>
                <w:szCs w:val="22"/>
                <w:color w:val="008000"/>
                <w:vertAlign w:val="superscript"/>
              </w:rPr>
              <w:t>(2)</w:t>
            </w:r>
          </w:p>
        </w:tc>
        <w:tc>
          <w:tcPr>
            <w:tcW w:w="40" w:type="dxa"/>
            <w:vAlign w:val="bottom"/>
          </w:tcPr>
          <w:p>
            <w:pPr>
              <w:spacing w:after="0"/>
              <w:rPr>
                <w:sz w:val="18"/>
                <w:szCs w:val="18"/>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243,745</w:t>
            </w:r>
          </w:p>
        </w:tc>
        <w:tc>
          <w:tcPr>
            <w:tcW w:w="320" w:type="dxa"/>
            <w:vAlign w:val="bottom"/>
          </w:tcPr>
          <w:p>
            <w:pPr>
              <w:spacing w:after="0"/>
              <w:rPr>
                <w:sz w:val="18"/>
                <w:szCs w:val="18"/>
                <w:color w:val="auto"/>
              </w:rPr>
            </w:pPr>
          </w:p>
        </w:tc>
        <w:tc>
          <w:tcPr>
            <w:tcW w:w="580" w:type="dxa"/>
            <w:vAlign w:val="bottom"/>
            <w:vMerge w:val="restart"/>
          </w:tcPr>
          <w:p>
            <w:pPr>
              <w:jc w:val="center"/>
              <w:ind w:right="370"/>
              <w:spacing w:after="0"/>
              <w:rPr>
                <w:sz w:val="20"/>
                <w:szCs w:val="20"/>
                <w:color w:val="auto"/>
              </w:rPr>
            </w:pPr>
            <w:r>
              <w:rPr>
                <w:rFonts w:ascii="Arial" w:cs="Arial" w:eastAsia="Arial" w:hAnsi="Arial"/>
                <w:sz w:val="18"/>
                <w:szCs w:val="18"/>
                <w:color w:val="0000FF"/>
              </w:rPr>
              <w:t>I</w:t>
            </w: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Group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8"/>
                <w:szCs w:val="18"/>
                <w:color w:val="0000FF"/>
              </w:rPr>
              <w:t>Management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By Compass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4"/>
              </w:rPr>
              <w:t>Common Shares</w:t>
            </w:r>
            <w:r>
              <w:rPr>
                <w:rFonts w:ascii="Arial" w:cs="Arial" w:eastAsia="Arial" w:hAnsi="Arial"/>
                <w:sz w:val="22"/>
                <w:szCs w:val="22"/>
                <w:color w:val="008000"/>
                <w:w w:val="94"/>
                <w:vertAlign w:val="superscript"/>
              </w:rPr>
              <w:t>(1)</w:t>
            </w:r>
          </w:p>
        </w:tc>
        <w:tc>
          <w:tcPr>
            <w:tcW w:w="1120" w:type="dxa"/>
            <w:vAlign w:val="bottom"/>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05/10/2023</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vMerge w:val="restart"/>
          </w:tcPr>
          <w:p>
            <w:pPr>
              <w:jc w:val="right"/>
              <w:ind w:right="57"/>
              <w:spacing w:after="0"/>
              <w:rPr>
                <w:sz w:val="20"/>
                <w:szCs w:val="20"/>
                <w:color w:val="auto"/>
              </w:rPr>
            </w:pPr>
            <w:r>
              <w:rPr>
                <w:rFonts w:ascii="Arial" w:cs="Arial" w:eastAsia="Arial" w:hAnsi="Arial"/>
                <w:sz w:val="14"/>
                <w:szCs w:val="14"/>
                <w:color w:val="0000FF"/>
              </w:rPr>
              <w:t>P</w:t>
            </w:r>
          </w:p>
        </w:tc>
        <w:tc>
          <w:tcPr>
            <w:tcW w:w="400" w:type="dxa"/>
            <w:vAlign w:val="bottom"/>
          </w:tcPr>
          <w:p>
            <w:pPr>
              <w:spacing w:after="0"/>
              <w:rPr>
                <w:sz w:val="18"/>
                <w:szCs w:val="18"/>
                <w:color w:val="auto"/>
              </w:rPr>
            </w:pPr>
          </w:p>
        </w:tc>
        <w:tc>
          <w:tcPr>
            <w:tcW w:w="800" w:type="dxa"/>
            <w:vAlign w:val="bottom"/>
            <w:vMerge w:val="restart"/>
          </w:tcPr>
          <w:p>
            <w:pPr>
              <w:jc w:val="right"/>
              <w:ind w:right="90"/>
              <w:spacing w:after="0"/>
              <w:rPr>
                <w:sz w:val="20"/>
                <w:szCs w:val="20"/>
                <w:color w:val="auto"/>
              </w:rPr>
            </w:pPr>
            <w:r>
              <w:rPr>
                <w:rFonts w:ascii="Arial" w:cs="Arial" w:eastAsia="Arial" w:hAnsi="Arial"/>
                <w:sz w:val="18"/>
                <w:szCs w:val="18"/>
                <w:color w:val="0000FF"/>
              </w:rPr>
              <w:t>20,652</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0000FF"/>
              </w:rPr>
              <w:t>A</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18.8256</w:t>
            </w:r>
            <w:r>
              <w:rPr>
                <w:rFonts w:ascii="Arial" w:cs="Arial" w:eastAsia="Arial" w:hAnsi="Arial"/>
                <w:sz w:val="22"/>
                <w:szCs w:val="22"/>
                <w:color w:val="008000"/>
                <w:vertAlign w:val="superscript"/>
              </w:rPr>
              <w:t>(4)</w:t>
            </w:r>
          </w:p>
        </w:tc>
        <w:tc>
          <w:tcPr>
            <w:tcW w:w="40" w:type="dxa"/>
            <w:vAlign w:val="bottom"/>
          </w:tcPr>
          <w:p>
            <w:pPr>
              <w:spacing w:after="0"/>
              <w:rPr>
                <w:sz w:val="18"/>
                <w:szCs w:val="18"/>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264,397</w:t>
            </w:r>
          </w:p>
        </w:tc>
        <w:tc>
          <w:tcPr>
            <w:tcW w:w="320" w:type="dxa"/>
            <w:vAlign w:val="bottom"/>
          </w:tcPr>
          <w:p>
            <w:pPr>
              <w:spacing w:after="0"/>
              <w:rPr>
                <w:sz w:val="18"/>
                <w:szCs w:val="18"/>
                <w:color w:val="auto"/>
              </w:rPr>
            </w:pPr>
          </w:p>
        </w:tc>
        <w:tc>
          <w:tcPr>
            <w:tcW w:w="580" w:type="dxa"/>
            <w:vAlign w:val="bottom"/>
            <w:vMerge w:val="restart"/>
          </w:tcPr>
          <w:p>
            <w:pPr>
              <w:jc w:val="center"/>
              <w:ind w:right="370"/>
              <w:spacing w:after="0"/>
              <w:rPr>
                <w:sz w:val="20"/>
                <w:szCs w:val="20"/>
                <w:color w:val="auto"/>
              </w:rPr>
            </w:pPr>
            <w:r>
              <w:rPr>
                <w:rFonts w:ascii="Arial" w:cs="Arial" w:eastAsia="Arial" w:hAnsi="Arial"/>
                <w:sz w:val="18"/>
                <w:szCs w:val="18"/>
                <w:color w:val="0000FF"/>
              </w:rPr>
              <w:t>I</w:t>
            </w: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Group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8"/>
                <w:szCs w:val="18"/>
                <w:color w:val="0000FF"/>
              </w:rPr>
              <w:t>Management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4"/>
          </w:tcPr>
          <w:p>
            <w:pPr>
              <w:ind w:left="2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2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9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ind w:left="280"/>
              <w:spacing w:after="0"/>
              <w:rPr>
                <w:sz w:val="20"/>
                <w:szCs w:val="20"/>
                <w:color w:val="auto"/>
              </w:rPr>
            </w:pPr>
            <w:r>
              <w:rPr>
                <w:rFonts w:ascii="Arial" w:cs="Arial" w:eastAsia="Arial" w:hAnsi="Arial"/>
                <w:sz w:val="18"/>
                <w:szCs w:val="18"/>
                <w:color w:val="0000FF"/>
              </w:rPr>
              <w:t>585,549</w:t>
            </w:r>
          </w:p>
        </w:tc>
        <w:tc>
          <w:tcPr>
            <w:tcW w:w="3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50"/>
              <w:spacing w:after="0"/>
              <w:rPr>
                <w:sz w:val="20"/>
                <w:szCs w:val="20"/>
                <w:color w:val="auto"/>
              </w:rPr>
            </w:pPr>
            <w:r>
              <w:rPr>
                <w:rFonts w:ascii="Arial" w:cs="Arial" w:eastAsia="Arial" w:hAnsi="Arial"/>
                <w:sz w:val="18"/>
                <w:szCs w:val="18"/>
                <w:color w:val="0000FF"/>
                <w:w w:val="91"/>
              </w:rPr>
              <w:t>D</w:t>
            </w:r>
          </w:p>
        </w:tc>
        <w:tc>
          <w:tcPr>
            <w:tcW w:w="3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940" w:type="dxa"/>
            <w:vAlign w:val="bottom"/>
            <w:gridSpan w:val="10"/>
          </w:tcPr>
          <w:p>
            <w:pPr>
              <w:jc w:val="center"/>
              <w:ind w:right="1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6"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6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7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7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jc w:val="right"/>
              <w:ind w:right="57"/>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Common Share represents one undivided beneficial interest in Compass Diversified Holdings (the "Trust") property and corresponds to one underlying trust common interest of Compass Group Diversified Holdings LLC (the "Company") held by the Trust.</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$18.765 to $18.77, inclusive. Full information regarding the number of shares purchased at each separate price will be provided upon request by the SEC staff, the issuer, or any security holder of the issuer.</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Compass Group Management LLC ("CGM"), as to which Reporting Person is the managing and controlling member of CGM. Reporting Person disclaims beneficial ownership of these shares, except to the extent of his pecuniary interest.</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$18.74 to $18.85, inclusive. Full information regarding the number of shares purchased at each separate price will be provided upon request by the SEC staff, the issuer, or any security holder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(a) Mr. Sabo is a Director and the Chief Executive Officer for Compass Group Diversified Holdings LLC, Sponsor of the Trust.</w:t>
      </w:r>
    </w:p>
    <w:p>
      <w:pPr>
        <w:sectPr>
          <w:pgSz w:w="11900" w:h="16854" w:orient="portrait"/>
          <w:cols w:equalWidth="0" w:num="1">
            <w:col w:w="11080"/>
          </w:cols>
          <w:pgMar w:left="460" w:top="226" w:right="359" w:bottom="0" w:gutter="0" w:footer="0" w:header="0"/>
          <w:type w:val="continuous"/>
        </w:sectPr>
      </w:pPr>
    </w:p>
    <w:p>
      <w:pPr>
        <w:spacing w:after="0" w:line="7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Elias J. Sabo, by Carrie 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29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Ryan and Ryan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778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7851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Faulkingham as attorneys-in-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308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8100" cy="8890"/>
                    </a:xfrm>
                    <a:prstGeom prst="rect">
                      <a:avLst/>
                    </a:prstGeom>
                    <a:noFill/>
                  </pic:spPr>
                </pic:pic>
              </a:graphicData>
            </a:graphic>
          </wp:anchor>
        </w:drawing>
      </w:r>
    </w:p>
    <w:p>
      <w:pPr>
        <w:spacing w:after="0" w:line="12"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67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20" w:firstLine="9"/>
        <w:spacing w:after="0" w:line="419"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5"/>
          <w:szCs w:val="15"/>
          <w:color w:val="0000FF"/>
        </w:rPr>
        <w:t>05/11/2023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4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4190" cy="8890"/>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854" w:orient="portrait"/>
          <w:cols w:equalWidth="0" w:num="2">
            <w:col w:w="8680" w:space="100"/>
            <w:col w:w="230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6"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255015" TargetMode="External"/><Relationship Id="rId13" Type="http://schemas.openxmlformats.org/officeDocument/2006/relationships/hyperlink" Target="http://www.sec.gov/cgi-bin/browse-edgar?action=getcompany&amp;CIK=0001345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2023-05-11T15:22:44Z</dcterms:created>
  <dcterms:modified xsi:type="dcterms:W3CDTF">2023-05-11T15:22:44Z</dcterms:modified>
</cp:coreProperties>
</file>