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-156210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100330</wp:posOffset>
            </wp:positionV>
            <wp:extent cx="2289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980" w:right="2360" w:hanging="3945"/>
        <w:spacing w:after="0" w:line="308" w:lineRule="auto"/>
        <w:tabs>
          <w:tab w:leader="none" w:pos="71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3300" w:type="dxa"/>
            <w:vAlign w:val="bottom"/>
            <w:gridSpan w:val="3"/>
          </w:tcPr>
          <w:p>
            <w:pPr>
              <w:ind w:left="80"/>
              <w:spacing w:after="0"/>
              <w:rPr>
                <w:sz w:val="20"/>
                <w:szCs w:val="20"/>
                <w:color w:val="auto"/>
              </w:rPr>
            </w:pPr>
            <w:r>
              <w:rPr>
                <w:rFonts w:ascii="Arial" w:cs="Arial" w:eastAsia="Arial" w:hAnsi="Arial"/>
                <w:sz w:val="16"/>
                <w:szCs w:val="16"/>
                <w:b w:val="1"/>
                <w:bCs w:val="1"/>
                <w:color w:val="auto"/>
              </w:rPr>
              <w:t>For the transition period from</w:t>
            </w:r>
          </w:p>
        </w:tc>
        <w:tc>
          <w:tcPr>
            <w:tcW w:w="284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r>
      <w:tr>
        <w:trPr>
          <w:trHeight w:val="142"/>
        </w:trPr>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r>
      <w:tr>
        <w:trPr>
          <w:trHeight w:val="454"/>
        </w:trPr>
        <w:tc>
          <w:tcPr>
            <w:tcW w:w="2140" w:type="dxa"/>
            <w:vAlign w:val="bottom"/>
          </w:tcPr>
          <w:p>
            <w:pPr>
              <w:spacing w:after="0"/>
              <w:rPr>
                <w:sz w:val="24"/>
                <w:szCs w:val="24"/>
                <w:color w:val="auto"/>
              </w:rPr>
            </w:pPr>
          </w:p>
        </w:tc>
        <w:tc>
          <w:tcPr>
            <w:tcW w:w="6140" w:type="dxa"/>
            <w:vAlign w:val="bottom"/>
            <w:gridSpan w:val="7"/>
          </w:tcPr>
          <w:p>
            <w:pPr>
              <w:jc w:val="center"/>
              <w:ind w:right="1568"/>
              <w:spacing w:after="0"/>
              <w:rPr>
                <w:sz w:val="20"/>
                <w:szCs w:val="20"/>
                <w:color w:val="auto"/>
              </w:rPr>
            </w:pPr>
            <w:r>
              <w:rPr>
                <w:rFonts w:ascii="Arial" w:cs="Arial" w:eastAsia="Arial" w:hAnsi="Arial"/>
                <w:sz w:val="22"/>
                <w:szCs w:val="22"/>
                <w:b w:val="1"/>
                <w:bCs w:val="1"/>
                <w:color w:val="auto"/>
                <w:w w:val="97"/>
              </w:rPr>
              <w:t>COMPASS DIVERSIFIED HOLDINGS</w:t>
            </w:r>
          </w:p>
        </w:tc>
      </w:tr>
      <w:tr>
        <w:trPr>
          <w:trHeight w:val="225"/>
        </w:trPr>
        <w:tc>
          <w:tcPr>
            <w:tcW w:w="2140" w:type="dxa"/>
            <w:vAlign w:val="bottom"/>
          </w:tcPr>
          <w:p>
            <w:pPr>
              <w:spacing w:after="0"/>
              <w:rPr>
                <w:sz w:val="19"/>
                <w:szCs w:val="19"/>
                <w:color w:val="auto"/>
              </w:rPr>
            </w:pPr>
          </w:p>
        </w:tc>
        <w:tc>
          <w:tcPr>
            <w:tcW w:w="6140" w:type="dxa"/>
            <w:vAlign w:val="bottom"/>
            <w:gridSpan w:val="7"/>
          </w:tcPr>
          <w:p>
            <w:pPr>
              <w:jc w:val="center"/>
              <w:ind w:right="154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Delaware</w:t>
            </w:r>
          </w:p>
        </w:tc>
        <w:tc>
          <w:tcPr>
            <w:tcW w:w="330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001-34927</w:t>
            </w:r>
          </w:p>
        </w:tc>
        <w:tc>
          <w:tcPr>
            <w:tcW w:w="2840" w:type="dxa"/>
            <w:vAlign w:val="bottom"/>
            <w:gridSpan w:val="4"/>
          </w:tcPr>
          <w:p>
            <w:pPr>
              <w:jc w:val="center"/>
              <w:ind w:left="1245"/>
              <w:spacing w:after="0"/>
              <w:rPr>
                <w:sz w:val="20"/>
                <w:szCs w:val="20"/>
                <w:color w:val="auto"/>
              </w:rPr>
            </w:pPr>
            <w:r>
              <w:rPr>
                <w:rFonts w:ascii="Arial" w:cs="Arial" w:eastAsia="Arial" w:hAnsi="Arial"/>
                <w:sz w:val="14"/>
                <w:szCs w:val="14"/>
                <w:b w:val="1"/>
                <w:bCs w:val="1"/>
                <w:color w:val="auto"/>
              </w:rPr>
              <w:t>57-6218917</w:t>
            </w:r>
          </w:p>
        </w:tc>
      </w:tr>
      <w:tr>
        <w:trPr>
          <w:trHeight w:val="242"/>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21"/>
                <w:szCs w:val="21"/>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number)</w:t>
            </w:r>
          </w:p>
        </w:tc>
      </w:tr>
      <w:tr>
        <w:trPr>
          <w:trHeight w:val="147"/>
        </w:trPr>
        <w:tc>
          <w:tcPr>
            <w:tcW w:w="2600" w:type="dxa"/>
            <w:vAlign w:val="bottom"/>
            <w:gridSpan w:val="2"/>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399"/>
        </w:trPr>
        <w:tc>
          <w:tcPr>
            <w:tcW w:w="8280" w:type="dxa"/>
            <w:vAlign w:val="bottom"/>
            <w:gridSpan w:val="8"/>
          </w:tcPr>
          <w:p>
            <w:pPr>
              <w:jc w:val="center"/>
              <w:ind w:left="423"/>
              <w:spacing w:after="0"/>
              <w:rPr>
                <w:sz w:val="20"/>
                <w:szCs w:val="20"/>
                <w:color w:val="auto"/>
              </w:rPr>
            </w:pPr>
            <w:r>
              <w:rPr>
                <w:rFonts w:ascii="Arial" w:cs="Arial" w:eastAsia="Arial" w:hAnsi="Arial"/>
                <w:sz w:val="22"/>
                <w:szCs w:val="22"/>
                <w:b w:val="1"/>
                <w:bCs w:val="1"/>
                <w:color w:val="auto"/>
                <w:w w:val="97"/>
              </w:rPr>
              <w:t>COMPASS GROUP DIVERSIFIED HOLDINGS LLC</w:t>
            </w:r>
          </w:p>
        </w:tc>
      </w:tr>
      <w:tr>
        <w:trPr>
          <w:trHeight w:val="225"/>
        </w:trPr>
        <w:tc>
          <w:tcPr>
            <w:tcW w:w="2140" w:type="dxa"/>
            <w:vAlign w:val="bottom"/>
          </w:tcPr>
          <w:p>
            <w:pPr>
              <w:spacing w:after="0"/>
              <w:rPr>
                <w:sz w:val="19"/>
                <w:szCs w:val="19"/>
                <w:color w:val="auto"/>
              </w:rPr>
            </w:pPr>
          </w:p>
        </w:tc>
        <w:tc>
          <w:tcPr>
            <w:tcW w:w="6140" w:type="dxa"/>
            <w:vAlign w:val="bottom"/>
            <w:gridSpan w:val="7"/>
          </w:tcPr>
          <w:p>
            <w:pPr>
              <w:jc w:val="center"/>
              <w:ind w:right="154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Delaware</w:t>
            </w:r>
          </w:p>
        </w:tc>
        <w:tc>
          <w:tcPr>
            <w:tcW w:w="330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001-34926</w:t>
            </w:r>
          </w:p>
        </w:tc>
        <w:tc>
          <w:tcPr>
            <w:tcW w:w="2840" w:type="dxa"/>
            <w:vAlign w:val="bottom"/>
            <w:gridSpan w:val="4"/>
          </w:tcPr>
          <w:p>
            <w:pPr>
              <w:jc w:val="center"/>
              <w:ind w:left="1245"/>
              <w:spacing w:after="0"/>
              <w:rPr>
                <w:sz w:val="20"/>
                <w:szCs w:val="20"/>
                <w:color w:val="auto"/>
              </w:rPr>
            </w:pPr>
            <w:r>
              <w:rPr>
                <w:rFonts w:ascii="Arial" w:cs="Arial" w:eastAsia="Arial" w:hAnsi="Arial"/>
                <w:sz w:val="14"/>
                <w:szCs w:val="14"/>
                <w:b w:val="1"/>
                <w:bCs w:val="1"/>
                <w:color w:val="auto"/>
              </w:rPr>
              <w:t>20-3812051</w:t>
            </w:r>
          </w:p>
        </w:tc>
      </w:tr>
      <w:tr>
        <w:trPr>
          <w:trHeight w:val="242"/>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21"/>
                <w:szCs w:val="21"/>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number)</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94615</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70" w:type="dxa"/>
        <w:tblCellMar>
          <w:top w:w="0" w:type="dxa"/>
          <w:left w:w="0" w:type="dxa"/>
          <w:bottom w:w="0" w:type="dxa"/>
          <w:right w:w="0" w:type="dxa"/>
        </w:tblCellMar>
      </w:tblPr>
      <w:tr>
        <w:trPr>
          <w:trHeight w:val="189"/>
        </w:trPr>
        <w:tc>
          <w:tcPr>
            <w:tcW w:w="5840" w:type="dxa"/>
            <w:vAlign w:val="bottom"/>
            <w:tcBorders>
              <w:top w:val="single" w:sz="8" w:color="auto"/>
              <w:left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Trading</w:t>
            </w:r>
          </w:p>
        </w:tc>
        <w:tc>
          <w:tcPr>
            <w:tcW w:w="40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left w:val="single" w:sz="8" w:color="auto"/>
              <w:bottom w:val="single" w:sz="8" w:color="auto"/>
            </w:tcBorders>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4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4"/>
        </w:trPr>
        <w:tc>
          <w:tcPr>
            <w:tcW w:w="5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CODI</w:t>
            </w:r>
          </w:p>
        </w:tc>
        <w:tc>
          <w:tcPr>
            <w:tcW w:w="4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3"/>
        </w:trPr>
        <w:tc>
          <w:tcPr>
            <w:tcW w:w="58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Series A Trust Preferred Interest in Compass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CODI PR A</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8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80" w:type="dxa"/>
            <w:vAlign w:val="bottom"/>
            <w:vMerge w:val="continue"/>
          </w:tcPr>
          <w:p>
            <w:pPr>
              <w:spacing w:after="0"/>
              <w:rPr>
                <w:sz w:val="7"/>
                <w:szCs w:val="7"/>
                <w:color w:val="auto"/>
              </w:rPr>
            </w:pPr>
          </w:p>
        </w:tc>
        <w:tc>
          <w:tcPr>
            <w:tcW w:w="40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840" w:type="dxa"/>
            <w:vAlign w:val="bottom"/>
            <w:tcBorders>
              <w:left w:val="single" w:sz="8" w:color="auto"/>
              <w:bottom w:val="single" w:sz="8" w:color="auto"/>
            </w:tcBorders>
            <w:vMerge w:val="continue"/>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0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8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Series B Trust Preferred Interest in Compass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CODI PR B</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8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80" w:type="dxa"/>
            <w:vAlign w:val="bottom"/>
            <w:vMerge w:val="continue"/>
          </w:tcPr>
          <w:p>
            <w:pPr>
              <w:spacing w:after="0"/>
              <w:rPr>
                <w:sz w:val="7"/>
                <w:szCs w:val="7"/>
                <w:color w:val="auto"/>
              </w:rPr>
            </w:pPr>
          </w:p>
        </w:tc>
        <w:tc>
          <w:tcPr>
            <w:tcW w:w="40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840" w:type="dxa"/>
            <w:vAlign w:val="bottom"/>
            <w:tcBorders>
              <w:left w:val="single" w:sz="8" w:color="auto"/>
              <w:bottom w:val="single" w:sz="8" w:color="auto"/>
            </w:tcBorders>
            <w:vMerge w:val="continue"/>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0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420"/>
        <w:spacing w:after="0" w:line="28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07" w:lineRule="exact"/>
        <w:tabs>
          <w:tab w:leader="none" w:pos="70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20" w:lineRule="exact"/>
        <w:rPr>
          <w:sz w:val="24"/>
          <w:szCs w:val="24"/>
          <w:color w:val="auto"/>
        </w:rPr>
      </w:pPr>
    </w:p>
    <w:p>
      <w:pPr>
        <w:ind w:right="380"/>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728" w:right="259" w:bottom="1440" w:gutter="0" w:footer="0" w:header="0"/>
        </w:sectPr>
      </w:pPr>
    </w:p>
    <w:p>
      <w:pPr>
        <w:spacing w:after="0" w:line="168" w:lineRule="exact"/>
        <w:rPr>
          <w:sz w:val="24"/>
          <w:szCs w:val="24"/>
          <w:color w:val="auto"/>
        </w:rPr>
      </w:pPr>
    </w:p>
    <w:p>
      <w:pPr>
        <w:jc w:val="center"/>
        <w:ind w:left="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6">
            <w:col w:w="3040" w:space="720"/>
            <w:col w:w="80" w:space="500"/>
            <w:col w:w="1860" w:space="720"/>
            <w:col w:w="140" w:space="180"/>
            <w:col w:w="1640" w:space="720"/>
            <w:col w:w="1800"/>
          </w:cols>
          <w:pgMar w:left="240" w:top="728" w:right="259" w:bottom="1440" w:gutter="0" w:footer="0" w:header="0"/>
          <w:type w:val="continuous"/>
        </w:sectPr>
      </w:pPr>
    </w:p>
    <w:p>
      <w:pPr>
        <w:spacing w:after="0" w:line="53" w:lineRule="exact"/>
        <w:rPr>
          <w:sz w:val="24"/>
          <w:szCs w:val="24"/>
          <w:color w:val="auto"/>
        </w:rPr>
      </w:pPr>
    </w:p>
    <w:p>
      <w:pPr>
        <w:ind w:left="1160"/>
        <w:spacing w:after="0" w:line="181" w:lineRule="exact"/>
        <w:tabs>
          <w:tab w:leader="none" w:pos="3740" w:val="left"/>
          <w:tab w:leader="none" w:pos="432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200" w:space="720"/>
            <w:col w:w="4480"/>
          </w:cols>
          <w:pgMar w:left="240" w:top="728" w:right="259" w:bottom="1440" w:gutter="0" w:footer="0" w:header="0"/>
          <w:type w:val="continuous"/>
        </w:sectPr>
      </w:pPr>
    </w:p>
    <w:p>
      <w:pPr>
        <w:ind w:right="460"/>
        <w:spacing w:after="0" w:line="21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ind w:left="2140"/>
        <w:spacing w:after="0"/>
        <w:rPr>
          <w:sz w:val="20"/>
          <w:szCs w:val="20"/>
          <w:color w:val="auto"/>
        </w:rPr>
      </w:pPr>
      <w:r>
        <w:rPr>
          <w:rFonts w:ascii="Arial" w:cs="Arial" w:eastAsia="Arial" w:hAnsi="Arial"/>
          <w:sz w:val="15"/>
          <w:szCs w:val="15"/>
          <w:color w:val="auto"/>
        </w:rPr>
        <w:t>As of July 30, 2019, there were 59,900,000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175895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90170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72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For the period ended June 30, 2019</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0000EE"/>
            </w:tcBorders>
            <w:gridSpan w:val="7"/>
          </w:tcPr>
          <w:p>
            <w:pPr>
              <w:spacing w:after="0" w:line="156"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FORWARD-LOOKING STATEMENTS</w:t>
              </w:r>
            </w:hyperlink>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jc w:val="center"/>
              <w:ind w:left="375"/>
              <w:spacing w:after="0" w:line="169" w:lineRule="exact"/>
              <w:rPr>
                <w:rFonts w:ascii="Arial" w:cs="Arial" w:eastAsia="Arial" w:hAnsi="Arial"/>
                <w:sz w:val="17"/>
                <w:szCs w:val="17"/>
                <w:color w:val="0000EE"/>
              </w:rPr>
            </w:pPr>
            <w:hyperlink w:anchor="page4">
              <w:r>
                <w:rPr>
                  <w:rFonts w:ascii="Arial" w:cs="Arial" w:eastAsia="Arial" w:hAnsi="Arial"/>
                  <w:sz w:val="17"/>
                  <w:szCs w:val="17"/>
                  <w:color w:val="0000EE"/>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360" w:type="dxa"/>
            <w:vAlign w:val="bottom"/>
            <w:gridSpan w:val="19"/>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0360" w:type="dxa"/>
            <w:vAlign w:val="bottom"/>
            <w:gridSpan w:val="19"/>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00" w:type="dxa"/>
            <w:vAlign w:val="bottom"/>
            <w:gridSpan w:val="3"/>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FINANCIAL STATEMENTS (UNAUDITED)</w:t>
              </w:r>
            </w:hyperlink>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60" w:type="dxa"/>
            <w:vAlign w:val="bottom"/>
            <w:gridSpan w:val="8"/>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CONDENSED CONSOLIDATED BALANCE SHEETS</w:t>
              </w:r>
            </w:hyperlink>
          </w:p>
        </w:tc>
        <w:tc>
          <w:tcPr>
            <w:tcW w:w="4700" w:type="dxa"/>
            <w:vAlign w:val="bottom"/>
            <w:gridSpan w:val="8"/>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OPERATIONS</w:t>
              </w:r>
            </w:hyperlink>
          </w:p>
        </w:tc>
        <w:tc>
          <w:tcPr>
            <w:tcW w:w="560" w:type="dxa"/>
            <w:vAlign w:val="bottom"/>
            <w:gridSpan w:val="2"/>
          </w:tcPr>
          <w:p>
            <w:pPr>
              <w:jc w:val="center"/>
              <w:ind w:left="375"/>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40" w:type="dxa"/>
            <w:vAlign w:val="bottom"/>
            <w:gridSpan w:val="14"/>
          </w:tcPr>
          <w:p>
            <w:pPr>
              <w:spacing w:after="0"/>
              <w:rPr>
                <w:rFonts w:ascii="Arial" w:cs="Arial" w:eastAsia="Arial" w:hAnsi="Arial"/>
                <w:sz w:val="17"/>
                <w:szCs w:val="17"/>
                <w:color w:val="0000EE"/>
                <w:w w:val="99"/>
              </w:rPr>
            </w:pPr>
            <w:hyperlink w:anchor="page7">
              <w:r>
                <w:rPr>
                  <w:rFonts w:ascii="Arial" w:cs="Arial" w:eastAsia="Arial" w:hAnsi="Arial"/>
                  <w:sz w:val="17"/>
                  <w:szCs w:val="17"/>
                  <w:color w:val="0000EE"/>
                  <w:w w:val="99"/>
                </w:rPr>
                <w:t>CONDENSED CONSOLIDATED STATEMENTS OF COMPREHENSIVE INCOME (LOSS)</w:t>
              </w:r>
            </w:hyperlink>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0" w:type="dxa"/>
            <w:vAlign w:val="bottom"/>
            <w:gridSpan w:val="13"/>
          </w:tcPr>
          <w:p>
            <w:pPr>
              <w:spacing w:after="0"/>
              <w:rPr>
                <w:rFonts w:ascii="Arial" w:cs="Arial" w:eastAsia="Arial" w:hAnsi="Arial"/>
                <w:sz w:val="17"/>
                <w:szCs w:val="17"/>
                <w:color w:val="0000EE"/>
                <w:w w:val="99"/>
              </w:rPr>
            </w:pPr>
            <w:hyperlink w:anchor="page8">
              <w:r>
                <w:rPr>
                  <w:rFonts w:ascii="Arial" w:cs="Arial" w:eastAsia="Arial" w:hAnsi="Arial"/>
                  <w:sz w:val="17"/>
                  <w:szCs w:val="17"/>
                  <w:color w:val="0000EE"/>
                  <w:w w:val="99"/>
                </w:rPr>
                <w:t>CONDENSED CONSOLIDATED STATEMENT OF STOCKHOLDERS' EQUITY</w:t>
              </w:r>
            </w:hyperlink>
          </w:p>
        </w:tc>
        <w:tc>
          <w:tcPr>
            <w:tcW w:w="840" w:type="dxa"/>
            <w:vAlign w:val="bottom"/>
          </w:tcPr>
          <w:p>
            <w:pPr>
              <w:spacing w:after="0"/>
              <w:rPr>
                <w:sz w:val="21"/>
                <w:szCs w:val="21"/>
                <w:color w:val="auto"/>
              </w:rPr>
            </w:pPr>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0" w:type="dxa"/>
            <w:vAlign w:val="bottom"/>
            <w:gridSpan w:val="9"/>
          </w:tcPr>
          <w:p>
            <w:pPr>
              <w:spacing w:after="0"/>
              <w:rPr>
                <w:rFonts w:ascii="Arial" w:cs="Arial" w:eastAsia="Arial" w:hAnsi="Arial"/>
                <w:sz w:val="17"/>
                <w:szCs w:val="17"/>
                <w:color w:val="0000EE"/>
                <w:w w:val="99"/>
              </w:rPr>
            </w:pPr>
            <w:hyperlink w:anchor="page9">
              <w:r>
                <w:rPr>
                  <w:rFonts w:ascii="Arial" w:cs="Arial" w:eastAsia="Arial" w:hAnsi="Arial"/>
                  <w:sz w:val="17"/>
                  <w:szCs w:val="17"/>
                  <w:color w:val="0000EE"/>
                  <w:w w:val="99"/>
                </w:rPr>
                <w:t>CONDENSED CONSOLIDATED STATEMENT OF CASH FLOWS</w:t>
              </w:r>
            </w:hyperlink>
          </w:p>
        </w:tc>
        <w:tc>
          <w:tcPr>
            <w:tcW w:w="1000" w:type="dxa"/>
            <w:vAlign w:val="bottom"/>
            <w:gridSpan w:val="4"/>
          </w:tcPr>
          <w:p>
            <w:pPr>
              <w:spacing w:after="0"/>
              <w:rPr>
                <w:sz w:val="21"/>
                <w:szCs w:val="21"/>
                <w:color w:val="auto"/>
              </w:rPr>
            </w:pPr>
          </w:p>
        </w:tc>
        <w:tc>
          <w:tcPr>
            <w:tcW w:w="2760" w:type="dxa"/>
            <w:vAlign w:val="bottom"/>
            <w:gridSpan w:val="3"/>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9">
              <w:r>
                <w:rPr>
                  <w:rFonts w:ascii="Arial" w:cs="Arial" w:eastAsia="Arial" w:hAnsi="Arial"/>
                  <w:sz w:val="17"/>
                  <w:szCs w:val="17"/>
                  <w:color w:val="0000EE"/>
                </w:rPr>
                <w:t>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NOTES TO CONDENSED CONSOLIDATED FINANCIAL STATEMENTS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11">
              <w:r>
                <w:rPr>
                  <w:rFonts w:ascii="Arial" w:cs="Arial" w:eastAsia="Arial" w:hAnsi="Arial"/>
                  <w:sz w:val="17"/>
                  <w:szCs w:val="17"/>
                  <w:color w:val="0000EE"/>
                  <w:w w:val="94"/>
                </w:rPr>
                <w:t>11</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EE"/>
            </w:tcBorders>
            <w:gridSpan w:val="15"/>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MANAGEMENT'S DISCUSSION AND ANALYSIS OF FINANCIAL CONDITION AND RESULTS OF</w:t>
              </w:r>
            </w:hyperlink>
          </w:p>
        </w:tc>
        <w:tc>
          <w:tcPr>
            <w:tcW w:w="1240" w:type="dxa"/>
            <w:vAlign w:val="bottom"/>
          </w:tcPr>
          <w:p>
            <w:pPr>
              <w:spacing w:after="0"/>
              <w:rPr>
                <w:sz w:val="24"/>
                <w:szCs w:val="24"/>
                <w:color w:val="auto"/>
              </w:rPr>
            </w:pPr>
          </w:p>
        </w:tc>
        <w:tc>
          <w:tcPr>
            <w:tcW w:w="560" w:type="dxa"/>
            <w:vAlign w:val="bottom"/>
            <w:gridSpan w:val="2"/>
            <w:vMerge w:val="restart"/>
          </w:tcPr>
          <w:p>
            <w:pPr>
              <w:jc w:val="center"/>
              <w:ind w:left="295"/>
              <w:spacing w:after="0"/>
              <w:rPr>
                <w:rFonts w:ascii="Arial" w:cs="Arial" w:eastAsia="Arial" w:hAnsi="Arial"/>
                <w:sz w:val="17"/>
                <w:szCs w:val="17"/>
                <w:color w:val="0000EE"/>
                <w:w w:val="94"/>
              </w:rPr>
            </w:pPr>
            <w:hyperlink w:anchor="page35">
              <w:r>
                <w:rPr>
                  <w:rFonts w:ascii="Arial" w:cs="Arial" w:eastAsia="Arial" w:hAnsi="Arial"/>
                  <w:sz w:val="17"/>
                  <w:szCs w:val="17"/>
                  <w:color w:val="0000EE"/>
                  <w:w w:val="94"/>
                </w:rPr>
                <w:t>35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3.</w:t>
            </w:r>
          </w:p>
        </w:tc>
        <w:tc>
          <w:tcPr>
            <w:tcW w:w="1120" w:type="dxa"/>
            <w:vAlign w:val="bottom"/>
            <w:gridSpan w:val="2"/>
            <w:vMerge w:val="restart"/>
          </w:tcPr>
          <w:p>
            <w:pPr>
              <w:spacing w:after="0" w:line="169" w:lineRule="exact"/>
              <w:rPr>
                <w:rFonts w:ascii="Arial" w:cs="Arial" w:eastAsia="Arial" w:hAnsi="Arial"/>
                <w:sz w:val="17"/>
                <w:szCs w:val="17"/>
                <w:color w:val="0000EE"/>
                <w:w w:val="98"/>
              </w:rPr>
            </w:pPr>
            <w:hyperlink w:anchor="page35">
              <w:r>
                <w:rPr>
                  <w:rFonts w:ascii="Arial" w:cs="Arial" w:eastAsia="Arial" w:hAnsi="Arial"/>
                  <w:sz w:val="17"/>
                  <w:szCs w:val="17"/>
                  <w:color w:val="0000EE"/>
                  <w:w w:val="98"/>
                </w:rPr>
                <w:t>OPERATIONS</w:t>
              </w:r>
            </w:hyperlink>
          </w:p>
        </w:tc>
        <w:tc>
          <w:tcPr>
            <w:tcW w:w="7640" w:type="dxa"/>
            <w:vAlign w:val="bottom"/>
            <w:gridSpan w:val="14"/>
            <w:vMerge w:val="restart"/>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0" w:type="dxa"/>
            <w:vAlign w:val="bottom"/>
            <w:gridSpan w:val="3"/>
            <w:vMerge w:val="continue"/>
          </w:tcPr>
          <w:p>
            <w:pPr>
              <w:spacing w:after="0"/>
              <w:rPr>
                <w:sz w:val="6"/>
                <w:szCs w:val="6"/>
                <w:color w:val="auto"/>
              </w:rPr>
            </w:pPr>
          </w:p>
        </w:tc>
        <w:tc>
          <w:tcPr>
            <w:tcW w:w="1120" w:type="dxa"/>
            <w:vAlign w:val="bottom"/>
            <w:tcBorders>
              <w:bottom w:val="single" w:sz="8" w:color="0000EE"/>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5880" w:type="dxa"/>
            <w:vAlign w:val="bottom"/>
            <w:gridSpan w:val="12"/>
          </w:tcPr>
          <w:p>
            <w:pPr>
              <w:spacing w:after="0"/>
              <w:rPr>
                <w:rFonts w:ascii="Arial" w:cs="Arial" w:eastAsia="Arial" w:hAnsi="Arial"/>
                <w:sz w:val="17"/>
                <w:szCs w:val="17"/>
                <w:color w:val="0000EE"/>
                <w:w w:val="99"/>
              </w:rPr>
            </w:pPr>
            <w:hyperlink w:anchor="page62">
              <w:r>
                <w:rPr>
                  <w:rFonts w:ascii="Arial" w:cs="Arial" w:eastAsia="Arial" w:hAnsi="Arial"/>
                  <w:sz w:val="17"/>
                  <w:szCs w:val="17"/>
                  <w:color w:val="0000EE"/>
                  <w:w w:val="99"/>
                </w:rPr>
                <w:t>QUANTITATIVE AND QUALITATIVE DISCLOSURES ABOUT MARKET RISK</w:t>
              </w:r>
            </w:hyperlink>
          </w:p>
        </w:tc>
        <w:tc>
          <w:tcPr>
            <w:tcW w:w="2880" w:type="dxa"/>
            <w:vAlign w:val="bottom"/>
            <w:gridSpan w:val="4"/>
          </w:tcPr>
          <w:p>
            <w:pPr>
              <w:spacing w:after="0"/>
              <w:rPr>
                <w:sz w:val="21"/>
                <w:szCs w:val="21"/>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2">
              <w:r>
                <w:rPr>
                  <w:rFonts w:ascii="Arial" w:cs="Arial" w:eastAsia="Arial" w:hAnsi="Arial"/>
                  <w:sz w:val="17"/>
                  <w:szCs w:val="17"/>
                  <w:color w:val="0000EE"/>
                  <w:w w:val="94"/>
                </w:rPr>
                <w:t>62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4.</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2620" w:type="dxa"/>
            <w:vAlign w:val="bottom"/>
            <w:gridSpan w:val="6"/>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CONTROLS AND PROCEDURES</w:t>
              </w:r>
            </w:hyperlink>
          </w:p>
        </w:tc>
        <w:tc>
          <w:tcPr>
            <w:tcW w:w="3260" w:type="dxa"/>
            <w:vAlign w:val="bottom"/>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2">
              <w:r>
                <w:rPr>
                  <w:rFonts w:ascii="Arial" w:cs="Arial" w:eastAsia="Arial" w:hAnsi="Arial"/>
                  <w:sz w:val="17"/>
                  <w:szCs w:val="17"/>
                  <w:color w:val="0000EE"/>
                  <w:w w:val="94"/>
                </w:rPr>
                <w:t>62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60" w:type="dxa"/>
            <w:vAlign w:val="bottom"/>
            <w:gridSpan w:val="19"/>
          </w:tcPr>
          <w:p>
            <w:pPr>
              <w:spacing w:after="0"/>
              <w:rPr>
                <w:sz w:val="20"/>
                <w:szCs w:val="20"/>
                <w:color w:val="auto"/>
              </w:rPr>
            </w:pPr>
            <w:r>
              <w:rPr>
                <w:rFonts w:ascii="Arial" w:cs="Arial" w:eastAsia="Arial" w:hAnsi="Arial"/>
                <w:sz w:val="17"/>
                <w:szCs w:val="17"/>
                <w:b w:val="1"/>
                <w:bCs w:val="1"/>
                <w:color w:val="auto"/>
              </w:rPr>
              <w:t>PART II. OTHER INFORMATION</w:t>
            </w: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3">
              <w:r>
                <w:rPr>
                  <w:rFonts w:ascii="Arial" w:cs="Arial" w:eastAsia="Arial" w:hAnsi="Arial"/>
                  <w:sz w:val="17"/>
                  <w:szCs w:val="17"/>
                  <w:color w:val="0000EE"/>
                  <w:w w:val="94"/>
                </w:rPr>
                <w:t>63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w:t>
            </w: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LEGAL PROCEEDINGS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63">
              <w:r>
                <w:rPr>
                  <w:rFonts w:ascii="Arial" w:cs="Arial" w:eastAsia="Arial" w:hAnsi="Arial"/>
                  <w:sz w:val="17"/>
                  <w:szCs w:val="17"/>
                  <w:color w:val="0000EE"/>
                  <w:w w:val="94"/>
                </w:rPr>
                <w:t>63</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1A.</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w w:val="98"/>
              </w:rPr>
            </w:pPr>
            <w:hyperlink w:anchor="page63">
              <w:r>
                <w:rPr>
                  <w:rFonts w:ascii="Arial" w:cs="Arial" w:eastAsia="Arial" w:hAnsi="Arial"/>
                  <w:sz w:val="17"/>
                  <w:szCs w:val="17"/>
                  <w:color w:val="0000EE"/>
                  <w:w w:val="98"/>
                </w:rPr>
                <w:t>RISK FACTORS</w:t>
              </w:r>
            </w:hyperlink>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3">
              <w:r>
                <w:rPr>
                  <w:rFonts w:ascii="Arial" w:cs="Arial" w:eastAsia="Arial" w:hAnsi="Arial"/>
                  <w:sz w:val="17"/>
                  <w:szCs w:val="17"/>
                  <w:color w:val="0000EE"/>
                  <w:w w:val="94"/>
                </w:rPr>
                <w:t>63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6.</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EXHIBITS</w:t>
              </w:r>
            </w:hyperlink>
          </w:p>
        </w:tc>
        <w:tc>
          <w:tcPr>
            <w:tcW w:w="7500" w:type="dxa"/>
            <w:vAlign w:val="bottom"/>
            <w:gridSpan w:val="13"/>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3">
              <w:r>
                <w:rPr>
                  <w:rFonts w:ascii="Arial" w:cs="Arial" w:eastAsia="Arial" w:hAnsi="Arial"/>
                  <w:sz w:val="17"/>
                  <w:szCs w:val="17"/>
                  <w:color w:val="0000EE"/>
                  <w:w w:val="94"/>
                </w:rPr>
                <w:t>63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vMerge w:val="restart"/>
          </w:tcPr>
          <w:p>
            <w:pPr>
              <w:spacing w:after="0"/>
              <w:rPr>
                <w:rFonts w:ascii="Arial" w:cs="Arial" w:eastAsia="Arial" w:hAnsi="Arial"/>
                <w:sz w:val="17"/>
                <w:szCs w:val="17"/>
                <w:color w:val="0000EE"/>
                <w:w w:val="95"/>
              </w:rPr>
            </w:pPr>
            <w:hyperlink w:anchor="page64">
              <w:r>
                <w:rPr>
                  <w:rFonts w:ascii="Arial" w:cs="Arial" w:eastAsia="Arial" w:hAnsi="Arial"/>
                  <w:sz w:val="17"/>
                  <w:szCs w:val="17"/>
                  <w:color w:val="0000EE"/>
                  <w:w w:val="95"/>
                </w:rPr>
                <w:t>SIGNATURES</w:t>
              </w:r>
            </w:hyperlink>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1080" w:type="dxa"/>
            <w:vAlign w:val="bottom"/>
            <w:tcBorders>
              <w:bottom w:val="single" w:sz="8" w:color="0000EE"/>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4">
              <w:r>
                <w:rPr>
                  <w:rFonts w:ascii="Arial" w:cs="Arial" w:eastAsia="Arial" w:hAnsi="Arial"/>
                  <w:sz w:val="17"/>
                  <w:szCs w:val="17"/>
                  <w:color w:val="0000EE"/>
                  <w:w w:val="94"/>
                </w:rPr>
                <w:t>64</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9"/>
            <w:vMerge w:val="restart"/>
          </w:tcPr>
          <w:p>
            <w:pPr>
              <w:jc w:val="center"/>
              <w:ind w:left="3055"/>
              <w:spacing w:after="0"/>
              <w:rPr>
                <w:sz w:val="20"/>
                <w:szCs w:val="20"/>
                <w:color w:val="auto"/>
              </w:rPr>
            </w:pPr>
            <w:r>
              <w:rPr>
                <w:rFonts w:ascii="Arial" w:cs="Arial" w:eastAsia="Arial" w:hAnsi="Arial"/>
                <w:sz w:val="16"/>
                <w:szCs w:val="16"/>
                <w:color w:val="auto"/>
              </w:rPr>
              <w:t>2</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40" w:right="840" w:hanging="321"/>
        <w:spacing w:after="0" w:line="26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 that matures in April 2025;</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Forward-looking statements in this Quarterly Report on Form 10-Q are subject to a number of risks and uncertainties, some of which are beyond our control, including, among other things:</w:t>
      </w:r>
    </w:p>
    <w:p>
      <w:pPr>
        <w:spacing w:after="0" w:line="150"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environment in which our businesses operate;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right="2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economic or demographic trends in the United States and other countries in which we have a presence, including changes in interest rates and inflation;</w:t>
      </w:r>
    </w:p>
    <w:p>
      <w:pPr>
        <w:spacing w:after="0" w:line="34"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4"/>
                <w:szCs w:val="14"/>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8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2"/>
                <w:szCs w:val="2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485,864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48,771</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187,321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205,545</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327,657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307,437</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85,280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29,670</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 of discontinued operations</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89,762</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36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1,086,122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681,185</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143,313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146,601</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471,400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471,115</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588,618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615,592</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96,538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 of discontinued operations</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449,464</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2,385,991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2,372,335</w:t>
            </w:r>
          </w:p>
        </w:tc>
        <w:tc>
          <w:tcPr>
            <w:tcW w:w="0" w:type="dxa"/>
            <w:vAlign w:val="bottom"/>
          </w:tcPr>
          <w:p>
            <w:pPr>
              <w:spacing w:after="0"/>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74,833</w:t>
            </w:r>
          </w:p>
        </w:tc>
        <w:tc>
          <w:tcPr>
            <w:tcW w:w="100" w:type="dxa"/>
            <w:vAlign w:val="bottom"/>
          </w:tcPr>
          <w:p>
            <w:pPr>
              <w:spacing w:after="0"/>
              <w:rPr>
                <w:sz w:val="16"/>
                <w:szCs w:val="16"/>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77,169</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104,133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106,612</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Due to related party</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8,045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11,093</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long-term debt</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26,650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6,912</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 of discontinued operations</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52,494</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36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218,661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259,280</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33,813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33,984</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869,918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1,098,871</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86,818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12,615</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Non-current liabilities of discontinued operations</w:t>
            </w:r>
          </w:p>
        </w:tc>
        <w:tc>
          <w:tcPr>
            <w:tcW w:w="24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48,243</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1,209,210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1,452,993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Trust preferred shares, 50,000 authorized; 8,000 shares issued and outstanding at June 30, 2019 and December 31, 2018</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Series A preferred shares, no par value; 4,000 shares issued and outstanding at June 30, 2019 and December 31, 2018</w:t>
            </w:r>
          </w:p>
        </w:tc>
        <w:tc>
          <w:tcPr>
            <w:tcW w:w="2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96,417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96,417</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180"/>
              <w:spacing w:after="0"/>
              <w:rPr>
                <w:sz w:val="20"/>
                <w:szCs w:val="20"/>
                <w:color w:val="auto"/>
              </w:rPr>
            </w:pPr>
            <w:r>
              <w:rPr>
                <w:rFonts w:ascii="Arial" w:cs="Arial" w:eastAsia="Arial" w:hAnsi="Arial"/>
                <w:sz w:val="14"/>
                <w:szCs w:val="14"/>
                <w:color w:val="auto"/>
              </w:rPr>
              <w:t>Series B preferred shares, no par value; 4,000 shares issued and outstanding at June 30, 2019 and December 31, 2018</w:t>
            </w:r>
          </w:p>
        </w:tc>
        <w:tc>
          <w:tcPr>
            <w:tcW w:w="240" w:type="dxa"/>
            <w:vAlign w:val="bottom"/>
          </w:tcPr>
          <w:p>
            <w:pPr>
              <w:spacing w:after="0"/>
              <w:rPr>
                <w:sz w:val="16"/>
                <w:szCs w:val="16"/>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96,504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96,504</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Trust common shares, no par value, 500,000 authorized; 59,900 shares issued and outstanding at June 30, 2019 and December 31,</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924,680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924,680</w:t>
            </w: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6"/>
                <w:szCs w:val="16"/>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(8,776)</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 (accumulated deficit)</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17,715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360" w:type="dxa"/>
            <w:vAlign w:val="bottom"/>
          </w:tcPr>
          <w:p>
            <w:pPr>
              <w:ind w:left="380"/>
              <w:spacing w:after="0"/>
              <w:rPr>
                <w:sz w:val="20"/>
                <w:szCs w:val="20"/>
                <w:color w:val="auto"/>
              </w:rPr>
            </w:pPr>
            <w:r>
              <w:rPr>
                <w:rFonts w:ascii="Arial" w:cs="Arial" w:eastAsia="Arial" w:hAnsi="Arial"/>
                <w:sz w:val="14"/>
                <w:szCs w:val="14"/>
                <w:color w:val="auto"/>
              </w:rPr>
              <w:t>Total stockholders’ equity attributable to Holdings</w:t>
            </w:r>
          </w:p>
        </w:tc>
        <w:tc>
          <w:tcPr>
            <w:tcW w:w="240" w:type="dxa"/>
            <w:vAlign w:val="bottom"/>
          </w:tcPr>
          <w:p>
            <w:pPr>
              <w:spacing w:after="0"/>
              <w:rPr>
                <w:sz w:val="14"/>
                <w:szCs w:val="14"/>
                <w:color w:val="auto"/>
              </w:rPr>
            </w:pPr>
          </w:p>
        </w:tc>
        <w:tc>
          <w:tcPr>
            <w:tcW w:w="1260" w:type="dxa"/>
            <w:vAlign w:val="bottom"/>
            <w:vMerge w:val="restart"/>
          </w:tcPr>
          <w:p>
            <w:pPr>
              <w:jc w:val="right"/>
              <w:ind w:right="52"/>
              <w:spacing w:after="0"/>
              <w:rPr>
                <w:sz w:val="20"/>
                <w:szCs w:val="20"/>
                <w:color w:val="auto"/>
              </w:rPr>
            </w:pPr>
            <w:r>
              <w:rPr>
                <w:rFonts w:ascii="Arial" w:cs="Arial" w:eastAsia="Arial" w:hAnsi="Arial"/>
                <w:sz w:val="14"/>
                <w:szCs w:val="14"/>
                <w:color w:val="auto"/>
              </w:rPr>
              <w:t>1,130,804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859,372</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45,977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39,922</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0"/>
              <w:spacing w:after="0"/>
              <w:rPr>
                <w:sz w:val="20"/>
                <w:szCs w:val="20"/>
                <w:color w:val="auto"/>
              </w:rPr>
            </w:pPr>
            <w:r>
              <w:rPr>
                <w:rFonts w:ascii="Arial" w:cs="Arial" w:eastAsia="Arial" w:hAnsi="Arial"/>
                <w:sz w:val="14"/>
                <w:szCs w:val="14"/>
                <w:color w:val="auto"/>
              </w:rPr>
              <w:t>Noncontrolling interest of discontinued operations</w:t>
            </w:r>
          </w:p>
        </w:tc>
        <w:tc>
          <w:tcPr>
            <w:tcW w:w="24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color w:val="auto"/>
              </w:rPr>
              <w:t>20,048</w:t>
            </w:r>
          </w:p>
        </w:tc>
        <w:tc>
          <w:tcPr>
            <w:tcW w:w="0" w:type="dxa"/>
            <w:vAlign w:val="bottom"/>
          </w:tcPr>
          <w:p>
            <w:pPr>
              <w:spacing w:after="0"/>
              <w:rPr>
                <w:sz w:val="1"/>
                <w:szCs w:val="1"/>
                <w:color w:val="auto"/>
              </w:rPr>
            </w:pPr>
          </w:p>
        </w:tc>
      </w:tr>
      <w:tr>
        <w:trPr>
          <w:trHeight w:val="75"/>
        </w:trPr>
        <w:tc>
          <w:tcPr>
            <w:tcW w:w="8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1,176,781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82"/>
        </w:trPr>
        <w:tc>
          <w:tcPr>
            <w:tcW w:w="836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2,385,991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2,372,335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336,084</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339,989</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674,941</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626,119</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5"/>
                <w:szCs w:val="15"/>
                <w:color w:val="auto"/>
              </w:rPr>
              <w:t>Cost of revenues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213,521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221,510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432,823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403,753</w:t>
            </w:r>
          </w:p>
        </w:tc>
        <w:tc>
          <w:tcPr>
            <w:tcW w:w="0" w:type="dxa"/>
            <w:vAlign w:val="bottom"/>
          </w:tcPr>
          <w:p>
            <w:pPr>
              <w:spacing w:after="0"/>
              <w:rPr>
                <w:sz w:val="1"/>
                <w:szCs w:val="1"/>
                <w:color w:val="auto"/>
              </w:rPr>
            </w:pPr>
          </w:p>
        </w:tc>
      </w:tr>
      <w:tr>
        <w:trPr>
          <w:trHeight w:val="58"/>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122,563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118,479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242,118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222,366</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80,312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81,513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161,709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161,676</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8,521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10,799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19,478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21,436</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13,522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14,465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27,112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22,745</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Operating income</w:t>
            </w:r>
          </w:p>
        </w:tc>
        <w:tc>
          <w:tcPr>
            <w:tcW w:w="280" w:type="dxa"/>
            <w:vAlign w:val="bottom"/>
          </w:tcPr>
          <w:p>
            <w:pPr>
              <w:spacing w:after="0"/>
              <w:rPr>
                <w:sz w:val="16"/>
                <w:szCs w:val="16"/>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20,208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11,702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33,819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16,509</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38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(18,445)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(13,474)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on sale of securities (refer to Note C)</w:t>
            </w:r>
          </w:p>
        </w:tc>
        <w:tc>
          <w:tcPr>
            <w:tcW w:w="28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(1,855)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280" w:type="dxa"/>
            <w:vAlign w:val="bottom"/>
          </w:tcPr>
          <w:p>
            <w:pPr>
              <w:spacing w:after="0"/>
              <w:rPr>
                <w:sz w:val="16"/>
                <w:szCs w:val="16"/>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(4,932)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(10,759)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(8,674)</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 for income taxes</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5,975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2,087</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Loss from continuing operations</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(3,806)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(8,262)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(16,734)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(10,761)</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15,474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16,901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8,508</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Gain on sale of discontinued operations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206,505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328,164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58"/>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218,173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328,331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1,387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1,486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2,755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1,787</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Net income (loss) from discontinued operations attributable to noncontrolling</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Net income (loss) attributable to Holdings</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216,534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325,842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Amounts attributable to Holdings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from continuing operations</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(5,193)</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(9,748)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(19,489)</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(12,548)</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15,222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7,675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17,167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8,134</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Gain on sale of discontinued operations, net of income tax</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206,505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328,164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5"/>
                <w:szCs w:val="15"/>
                <w:color w:val="auto"/>
              </w:rPr>
              <w:t>Net income (loss) attributable to Holdings</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216,534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325,842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Basic income (loss) per common share attributable to Holdings (refer to Note J)</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5.77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0.36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ind w:left="2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25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1340" w:type="dxa"/>
            <w:vAlign w:val="bottom"/>
            <w:gridSpan w:val="3"/>
          </w:tcPr>
          <w:p>
            <w:pPr>
              <w:ind w:left="64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2"/>
        </w:trPr>
        <w:tc>
          <w:tcPr>
            <w:tcW w:w="6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vMerge w:val="restart"/>
            <w:shd w:val="clear" w:color="auto" w:fill="CCEEFF"/>
          </w:tcPr>
          <w:p>
            <w:pPr>
              <w:jc w:val="right"/>
              <w:ind w:right="81"/>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5"/>
                <w:szCs w:val="15"/>
                <w:color w:val="auto"/>
              </w:rPr>
              <w:t>218,173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ind w:left="220"/>
              <w:spacing w:after="0"/>
              <w:rPr>
                <w:sz w:val="20"/>
                <w:szCs w:val="20"/>
                <w:color w:val="auto"/>
              </w:rPr>
            </w:pPr>
            <w:r>
              <w:rPr>
                <w:rFonts w:ascii="Arial" w:cs="Arial" w:eastAsia="Arial" w:hAnsi="Arial"/>
                <w:sz w:val="15"/>
                <w:szCs w:val="15"/>
                <w:color w:val="auto"/>
              </w:rPr>
              <w:t>328,331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Foreign currency translation adjustments</w:t>
      </w:r>
    </w:p>
    <w:p>
      <w:pPr>
        <w:spacing w:after="0" w:line="98" w:lineRule="exact"/>
        <w:rPr>
          <w:sz w:val="20"/>
          <w:szCs w:val="20"/>
          <w:color w:val="auto"/>
        </w:rPr>
      </w:pPr>
    </w:p>
    <w:p>
      <w:pPr>
        <w:ind w:left="380"/>
        <w:spacing w:after="0" w:line="242" w:lineRule="auto"/>
        <w:rPr>
          <w:sz w:val="20"/>
          <w:szCs w:val="20"/>
          <w:color w:val="auto"/>
        </w:rPr>
      </w:pPr>
      <w:r>
        <w:rPr>
          <w:rFonts w:ascii="Arial" w:cs="Arial" w:eastAsia="Arial" w:hAnsi="Arial"/>
          <w:sz w:val="15"/>
          <w:szCs w:val="15"/>
          <w:color w:val="auto"/>
        </w:rPr>
        <w:t>Foreign currency amounts reclassified from accumulated other comprehensive income (loss) that increase (decrease)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Disposition of Manitoba Harvest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Pension benefit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Other comprehensive income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Net income attributable to noncontrolling interests</w:t>
      </w:r>
    </w:p>
    <w:p>
      <w:pPr>
        <w:spacing w:after="0" w:line="125" w:lineRule="exact"/>
        <w:rPr>
          <w:sz w:val="20"/>
          <w:szCs w:val="20"/>
          <w:color w:val="auto"/>
        </w:rPr>
      </w:pPr>
    </w:p>
    <w:p>
      <w:pPr>
        <w:ind w:left="40" w:right="1140"/>
        <w:spacing w:after="0" w:line="430" w:lineRule="auto"/>
        <w:rPr>
          <w:sz w:val="20"/>
          <w:szCs w:val="20"/>
          <w:color w:val="auto"/>
        </w:rPr>
      </w:pPr>
      <w:r>
        <w:rPr>
          <w:rFonts w:ascii="Arial" w:cs="Arial" w:eastAsia="Arial" w:hAnsi="Arial"/>
          <w:sz w:val="15"/>
          <w:szCs w:val="15"/>
          <w:color w:val="auto"/>
        </w:rPr>
        <w:t xml:space="preserve">Less: Other comprehensive income attributable to noncontrolling interests </w:t>
      </w:r>
      <w:r>
        <w:rPr>
          <w:rFonts w:ascii="Arial" w:cs="Arial" w:eastAsia="Arial" w:hAnsi="Arial"/>
          <w:sz w:val="15"/>
          <w:szCs w:val="15"/>
          <w:b w:val="1"/>
          <w:bCs w:val="1"/>
          <w:color w:val="auto"/>
        </w:rPr>
        <w:t>Total comprehensive income (loss) attributable to Holdings,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(4,027)</w:t>
            </w:r>
          </w:p>
        </w:tc>
      </w:tr>
      <w:tr>
        <w:trPr>
          <w:trHeight w:val="648"/>
        </w:trPr>
        <w:tc>
          <w:tcPr>
            <w:tcW w:w="3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4,791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(671)</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609</w:t>
            </w:r>
          </w:p>
        </w:tc>
      </w:tr>
      <w:tr>
        <w:trPr>
          <w:trHeight w:val="250"/>
        </w:trPr>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(995)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4,264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(3,418)</w:t>
            </w:r>
          </w:p>
        </w:tc>
      </w:tr>
      <w:tr>
        <w:trPr>
          <w:trHeight w:val="246"/>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217,178</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(2,303)</w:t>
            </w:r>
          </w:p>
        </w:tc>
        <w:tc>
          <w:tcPr>
            <w:tcW w:w="100" w:type="dxa"/>
            <w:vAlign w:val="bottom"/>
          </w:tcPr>
          <w:p>
            <w:pPr>
              <w:spacing w:after="0"/>
              <w:rPr>
                <w:sz w:val="21"/>
                <w:szCs w:val="21"/>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332,595</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(4,506)</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1,639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1,441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2,161</w:t>
            </w:r>
          </w:p>
        </w:tc>
      </w:tr>
      <w:tr>
        <w:trPr>
          <w:trHeight w:val="274"/>
        </w:trPr>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(727)</w:t>
            </w:r>
          </w:p>
        </w:tc>
      </w:tr>
      <w:tr>
        <w:trPr>
          <w:trHeight w:val="237"/>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215,571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330,136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ectPr>
          <w:pgSz w:w="11900" w:h="16838" w:orient="portrait"/>
          <w:cols w:equalWidth="0" w:num="2">
            <w:col w:w="6240" w:space="280"/>
            <w:col w:w="4900"/>
          </w:cols>
          <w:pgMar w:left="240" w:top="360" w:right="2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Trust Preferred Shares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Accumulated</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20"/>
              <w:spacing w:after="0" w:line="132" w:lineRule="exact"/>
              <w:rPr>
                <w:sz w:val="20"/>
                <w:szCs w:val="20"/>
                <w:color w:val="auto"/>
              </w:rPr>
            </w:pPr>
            <w:r>
              <w:rPr>
                <w:rFonts w:ascii="Arial" w:cs="Arial" w:eastAsia="Arial" w:hAnsi="Arial"/>
                <w:sz w:val="14"/>
                <w:szCs w:val="14"/>
                <w:b w:val="1"/>
                <w:bCs w:val="1"/>
                <w:color w:val="auto"/>
                <w:w w:val="91"/>
              </w:rPr>
              <w:t>Trust</w:t>
            </w:r>
          </w:p>
        </w:tc>
        <w:tc>
          <w:tcPr>
            <w:tcW w:w="140" w:type="dxa"/>
            <w:vAlign w:val="bottom"/>
          </w:tcPr>
          <w:p>
            <w:pPr>
              <w:spacing w:after="0"/>
              <w:rPr>
                <w:sz w:val="4"/>
                <w:szCs w:val="4"/>
                <w:color w:val="auto"/>
              </w:rPr>
            </w:pPr>
          </w:p>
        </w:tc>
        <w:tc>
          <w:tcPr>
            <w:tcW w:w="90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4"/>
                <w:szCs w:val="4"/>
                <w:color w:val="auto"/>
              </w:rPr>
            </w:pPr>
          </w:p>
        </w:tc>
        <w:tc>
          <w:tcPr>
            <w:tcW w:w="1060" w:type="dxa"/>
            <w:vAlign w:val="bottom"/>
            <w:gridSpan w:val="2"/>
            <w:vMerge w:val="restart"/>
          </w:tcPr>
          <w:p>
            <w:pPr>
              <w:jc w:val="center"/>
              <w:ind w:right="220"/>
              <w:spacing w:after="0" w:line="132"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4"/>
                <w:szCs w:val="4"/>
                <w:color w:val="auto"/>
              </w:rPr>
            </w:pPr>
          </w:p>
        </w:tc>
        <w:tc>
          <w:tcPr>
            <w:tcW w:w="86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4"/>
                <w:szCs w:val="4"/>
                <w:color w:val="auto"/>
              </w:rPr>
            </w:pPr>
          </w:p>
        </w:tc>
        <w:tc>
          <w:tcPr>
            <w:tcW w:w="760" w:type="dxa"/>
            <w:vAlign w:val="bottom"/>
            <w:gridSpan w:val="2"/>
            <w:vMerge w:val="restart"/>
          </w:tcPr>
          <w:p>
            <w:pPr>
              <w:ind w:left="100"/>
              <w:spacing w:after="0" w:line="132"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4"/>
                <w:szCs w:val="4"/>
                <w:color w:val="auto"/>
              </w:rPr>
            </w:pPr>
          </w:p>
        </w:tc>
        <w:tc>
          <w:tcPr>
            <w:tcW w:w="84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4"/>
                <w:szCs w:val="4"/>
                <w:color w:val="auto"/>
              </w:rPr>
            </w:pPr>
          </w:p>
        </w:tc>
        <w:tc>
          <w:tcPr>
            <w:tcW w:w="820" w:type="dxa"/>
            <w:vAlign w:val="bottom"/>
            <w:vMerge w:val="restart"/>
          </w:tcPr>
          <w:p>
            <w:pPr>
              <w:jc w:val="center"/>
              <w:ind w:right="130"/>
              <w:spacing w:after="0" w:line="13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Common</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Loss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to Holdings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to Disc. Ops.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2018</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$ 924,680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(145,316)</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873,208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33,709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19,082</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925,999</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 net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Trust preferred shares, net of</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offering costs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96,504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96,504</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5,165</w:t>
            </w: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June 30, 2018</w:t>
            </w:r>
          </w:p>
        </w:tc>
        <w:tc>
          <w:tcPr>
            <w:tcW w:w="7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96,504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$ 924,680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916,292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34,284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970,032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2019</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96,504</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$ 924,680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859,372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39,922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20,048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325,842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325,842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328,331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net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4,264</w:t>
            </w: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Disposition of Manitoba Harvest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Disposition of Clean Earth</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Allocation Interests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20"/>
                <w:szCs w:val="20"/>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$ 924,680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17,715</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1,130,804</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45,977</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1,176,781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36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24130</wp:posOffset>
            </wp:positionV>
            <wp:extent cx="2058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Net income (loss)</w:t>
            </w: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328,331</w:t>
            </w:r>
          </w:p>
        </w:tc>
        <w:tc>
          <w:tcPr>
            <w:tcW w:w="100" w:type="dxa"/>
            <w:vAlign w:val="bottom"/>
          </w:tcPr>
          <w:p>
            <w:pPr>
              <w:spacing w:after="0"/>
              <w:rPr>
                <w:sz w:val="18"/>
                <w:szCs w:val="18"/>
                <w:color w:val="auto"/>
              </w:rPr>
            </w:pP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8,508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328,164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 from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(10,761)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900" w:type="dxa"/>
            <w:vAlign w:val="bottom"/>
          </w:tcPr>
          <w:p>
            <w:pPr>
              <w:ind w:left="16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14,861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27,112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28,026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 and original issue discount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2,324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Unrealized (gain) loss on interest rate swap</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3,350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3,999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16,492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(9,311)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(6,272)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(3,770)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8,124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operating activities - continuing operations</w:t>
            </w:r>
          </w:p>
        </w:tc>
        <w:tc>
          <w:tcPr>
            <w:tcW w:w="360" w:type="dxa"/>
            <w:vAlign w:val="bottom"/>
          </w:tcPr>
          <w:p>
            <w:pPr>
              <w:spacing w:after="0"/>
              <w:rPr>
                <w:sz w:val="16"/>
                <w:szCs w:val="16"/>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18,792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28,735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operating activities - discontinued operations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6,577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tcPr>
          <w:p>
            <w:pPr>
              <w:spacing w:after="0"/>
              <w:rPr>
                <w:sz w:val="21"/>
                <w:szCs w:val="21"/>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8,654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35,312</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(391,243)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(25,177)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Payment of interest rate swap</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(1,086)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sale of businesses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451,654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Other investing activities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1,790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 -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438,781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(417,432)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(used in) investing activities -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279,219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(37,283)</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718,000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(454,715)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56"/>
        </w:trPr>
        <w:tc>
          <w:tcPr>
            <w:tcW w:w="7900" w:type="dxa"/>
            <w:vAlign w:val="bottom"/>
          </w:tcPr>
          <w:p>
            <w:pPr>
              <w:ind w:left="5520"/>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197" w:right="379" w:bottom="1440" w:gutter="0" w:footer="0" w:header="0"/>
        </w:sectPr>
      </w:pPr>
    </w:p>
    <w:bookmarkStart w:id="9" w:name="page10"/>
    <w:bookmarkEnd w:id="9"/>
    <w:p>
      <w:pPr>
        <w:jc w:val="center"/>
        <w:ind w:right="-131"/>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31"/>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72"/>
          </w:cols>
          <w:pgMar w:left="248" w:top="549" w:right="3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72"/>
        <w:spacing w:after="0"/>
        <w:rPr>
          <w:sz w:val="20"/>
          <w:szCs w:val="20"/>
          <w:color w:val="auto"/>
        </w:rPr>
      </w:pPr>
      <w:r>
        <w:rPr>
          <w:rFonts w:ascii="Arial" w:cs="Arial" w:eastAsia="Arial" w:hAnsi="Arial"/>
          <w:sz w:val="14"/>
          <w:szCs w:val="14"/>
          <w:i w:val="1"/>
          <w:iCs w:val="1"/>
          <w:color w:val="auto"/>
        </w:rPr>
        <w:t>(in thousands)</w:t>
      </w:r>
    </w:p>
    <w:p>
      <w:pPr>
        <w:spacing w:after="0" w:line="62" w:lineRule="exact"/>
        <w:rPr>
          <w:sz w:val="20"/>
          <w:szCs w:val="20"/>
          <w:color w:val="auto"/>
        </w:rPr>
      </w:pPr>
    </w:p>
    <w:p>
      <w:pPr>
        <w:ind w:left="172"/>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50165</wp:posOffset>
            </wp:positionV>
            <wp:extent cx="70751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82"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the issuance of Trust preferred shares, net</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Repayments under credit facility</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Issuance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common shares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allocation interests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Net proceeds provided by noncontrolling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Repurchases of subsidiary stock</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Foreign currency impact on cash</w:t>
      </w:r>
    </w:p>
    <w:p>
      <w:pPr>
        <w:spacing w:after="0" w:line="98" w:lineRule="exact"/>
        <w:rPr>
          <w:sz w:val="20"/>
          <w:szCs w:val="20"/>
          <w:color w:val="auto"/>
        </w:rPr>
      </w:pPr>
    </w:p>
    <w:p>
      <w:pPr>
        <w:jc w:val="right"/>
        <w:ind w:right="28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2"/>
          <w:szCs w:val="12"/>
          <w:color w:val="auto"/>
        </w:rPr>
        <w:t>(1)</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2058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2058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96,504</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108,000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1,093,750</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(338,500)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(1,106,223)</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400,000</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(43,128)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(43,128)</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(7,563)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(3,625)</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14</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(6,392)</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(14,860)</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(3,547)</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w:t>
            </w:r>
          </w:p>
        </w:tc>
      </w:tr>
      <w:tr>
        <w:trPr>
          <w:trHeight w:val="250"/>
        </w:trPr>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(292,750)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415,358</w:t>
            </w:r>
          </w:p>
        </w:tc>
      </w:tr>
      <w:tr>
        <w:trPr>
          <w:trHeight w:val="246"/>
        </w:trPr>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1,616</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432,538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(2,429)</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53,326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39,885</w:t>
            </w:r>
          </w:p>
        </w:tc>
      </w:tr>
      <w:tr>
        <w:trPr>
          <w:trHeight w:val="237"/>
        </w:trPr>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485,864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37,456</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12" w:space="720"/>
            <w:col w:w="3240"/>
          </w:cols>
          <w:pgMar w:left="248" w:top="549" w:right="379" w:bottom="1440" w:gutter="0" w:footer="0" w:header="0"/>
          <w:type w:val="continuous"/>
        </w:sectPr>
      </w:pPr>
    </w:p>
    <w:p>
      <w:pPr>
        <w:spacing w:after="0" w:line="201" w:lineRule="exact"/>
        <w:rPr>
          <w:sz w:val="20"/>
          <w:szCs w:val="20"/>
          <w:color w:val="auto"/>
        </w:rPr>
      </w:pPr>
    </w:p>
    <w:p>
      <w:pPr>
        <w:ind w:left="172" w:hanging="172"/>
        <w:spacing w:after="0"/>
        <w:tabs>
          <w:tab w:leader="none" w:pos="172" w:val="left"/>
        </w:tabs>
        <w:numPr>
          <w:ilvl w:val="0"/>
          <w:numId w:val="5"/>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cash from discontinued operations of $4.6 million at January 1, 2019 and $4.2 million at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72"/>
          </w:cols>
          <w:pgMar w:left="248" w:top="549" w:right="3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2"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eight businesses, or reportable operating segments, at June 30, 2019. The segments are as follows: 5.11 Acquisition Corp. ("5.11" or "5.11 Tactical"), Velocity Outdoor, Inc. (formerly Crosman Corp.) ("Velocity Outdoor" or "Velocity"), The Ergo Baby Carrier, Inc. ("Ergobaby"), Liberty Safe and Security Products, Inc. ("Liberty Safe" or "Liberty"), Compass AC Holdings, Inc. ("ACI" or "Advanced Circuits"), AMT Acquisition Corporation ("Arnold"), FFI Compass Inc. ("Foam Fabricators" or "Foam") and The Sterno Group, LLC ("Sterno"). Refer to </w:t>
      </w:r>
      <w:hyperlink w:anchor="page18">
        <w:r>
          <w:rPr>
            <w:rFonts w:ascii="Arial" w:cs="Arial" w:eastAsia="Arial" w:hAnsi="Arial"/>
            <w:sz w:val="18"/>
            <w:szCs w:val="18"/>
            <w:u w:val="single" w:color="auto"/>
            <w:color w:val="0000EE"/>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six month periods ended June 30, 2019 and June 30, 2018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Fresh Hemp Foods Ltd. ("Manitoba Harvest"). Additionally, during the second quarter of 2019, the Company completed the sale of Clean Earth Holdings, Inc. ("Clean Earth"). The results of operations of Manitoba Harvest and Clean Earth are reported as discontinued operations in the condensed consolidated statements of operations for the three and six months ended June 30, 2019. Refer to </w:t>
      </w:r>
      <w:hyperlink w:anchor="page14">
        <w:r>
          <w:rPr>
            <w:rFonts w:ascii="Arial" w:cs="Arial" w:eastAsia="Arial" w:hAnsi="Arial"/>
            <w:sz w:val="18"/>
            <w:szCs w:val="18"/>
            <w:u w:val="single" w:color="auto"/>
            <w:color w:val="0000EE"/>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January 1, 2019, the Company adopted Accounting Standards Update ("ASU") No. 2016-02, Leases ("Topic 842"). The new standard requires an entity to recognize right-of-use assets and lease liabilities on its balance sheet and disclose key information about leasing arrangements. The standard update offers specific accounting guidance for a lessee, a lessor and sale and leaseback transactions. Lessees and lessors are required to disclose qualitative and quantitative information about leasing arrangements to enable a user of financial statements to assess the amount, timing and uncertainty of cash flows arising from leases. In July 2018, the Financial Accounting Standards Board ("FASB") issued two updates to Topic 842 to clarify how to apply certain aspects of the new lease standard, and to give entities another option for transition and to provide lessors with a practical expedient to reduce the cost and complexity of implementing the new standard. The transition option allows entities to not apply the new lease standard in the comparative periods presented in the financial statements in the year of adoption. The Company adopted the new standard using the optional transition method. The reported results for reporting periods after January 1, 2019 are presented under the new lease guidance while prior period amounts were prepared under the previous lease guidance.</w:t>
      </w: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new standard provides a number of optional practical expedients in transition. The Company elected to use the package of practical expedients that allows us to not reassess: (i) whether any expired or existing contracts are or contain leases, (ii) lease classification for any expired or existing leases and (iii) initial direct costs for any expired or existing leases. We additionally elected to use the practical expedient that allows lessees to treat the lease and non-lease components of leases as a single lease component and the practical expedient pertaining to land easements. In addition, the new standard provides for an accounting election that permits a lessee to elect not to apply the recognition requirements of Topic 842 to short-term leases by class of underlying asset. The Company adopted this accounting election for all classes of assets.</w:t>
      </w:r>
    </w:p>
    <w:p>
      <w:pPr>
        <w:spacing w:after="0" w:line="26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The Company has performed an assessment of the impact of the adoption of Topic 842 on the Company's consolidated financial position and results of operations for the Company's leases, which consist of manufacturing facilities, warehouses, office facilities, retail stores, equipment and vehicle leases. The adoption of the new lease standard on January 1, 2019 resulted in the recognition of right-of-use assets of approximately $90.6 million and lease liabilities for operating leases of approximately $97.4 million on our Consolidated Balance Sheets, with no material impact to its Consolidated Statements of Operations or Consolidated Statement of Cash Flows. We implemented processes and a lease accounting system to ensure adequate internal controls were in place to assess our leasing arrangements and enable proper accounting and reporting of financial information upon adoption. No cumulative effect adjustment was recognized as the amount was not material. Refer to "</w:t>
      </w:r>
      <w:hyperlink w:anchor="page32">
        <w:r>
          <w:rPr>
            <w:rFonts w:ascii="Arial" w:cs="Arial" w:eastAsia="Arial" w:hAnsi="Arial"/>
            <w:sz w:val="18"/>
            <w:szCs w:val="18"/>
            <w:u w:val="single" w:color="auto"/>
            <w:color w:val="0000EE"/>
          </w:rPr>
          <w:t>Note O - Commitments and Contingencies</w:t>
        </w:r>
      </w:hyperlink>
      <w:r>
        <w:rPr>
          <w:rFonts w:ascii="Arial" w:cs="Arial" w:eastAsia="Arial" w:hAnsi="Arial"/>
          <w:sz w:val="18"/>
          <w:szCs w:val="18"/>
          <w:color w:val="auto"/>
        </w:rPr>
        <w:t>" for additional information regarding the Company's adoption of Topic 842.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No.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will be effective for fiscal years and interim periods beginning after December 15, 2019 and early adoption is permitted. The adoption of this guidance is not expected to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Foam Fabricators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2018, pursuant to an agreement entered into on January 18, 2018, the Company, through a wholly owned subsidiary, FFI Compass, Inc. (“Buyer”), entered into a Stock Purchase Agreement (the “Purchase Agreement”) with Warren F. Florkiewicz (“Seller”) pursuant to which Buyer acquired all of the issued and outstanding capital stock of Foam Fabricators, Inc., a Delaware corporation (“Foam Fabricators”). Foam Fabricators is a leading designer and manufacturer of custom molded protective foam solutions and original equipment manufacturer ("OEM") components made from expanded polymers such as expanded polystyrene (EPS) and expanded polypropylene (EPP). Founded in 1957 and headquartered in Scottsdale, Arizona, it operates 13 molding and fabricating facilities across North America and provides products to a variety of end-markets, including appliances and electronics, pharmaceuticals, health and wellness, automotive, building and other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26" w:right="2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8"/>
          <w:szCs w:val="18"/>
          <w:color w:val="auto"/>
        </w:rPr>
        <w:t>The Company made loans to, and purchased a 100% controlling interest in Foam Fabricators. The final purchase price, after the working capital settlement and net of transaction costs, was approximately $253.4 million. The Company funded the acquisition through a draw on the 2014 Revolving Credit Facility. The transaction was accounted for as a business combination. CGM acted as an advisor to the Company in the acquisition and provided integration services during the first year of the Company's ownership. CGM received integration service fees of $2.25 million payable over a twelve month period as services were rendered. The Company incurred $1.6 million of transaction costs in conjunction with the Foam Fabricators acquisition, which was included in selling, general and administrative expense in the consolidated results of operations in the quarter ended March 31, 2018. The results of operations of Foam Fabricators have been included in the consolidated results of operations since the date of acquisition. Foam Fabricator's results of operations are reported as a separate operating segment.</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$4.2 million using a relief from royalty methodology, in which an asset is valuable to the extent that the ownership of the asset relieves the company from the obligation of paying royalties for the benefits generated by the asset. The customer relationships intangible asset was valued at $114.1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Rimports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26, 2018, the Company's Sterno subsidiary acquired all of the issued and outstanding capital stock of Rimports, Inc., a Utah corporation (“Rimports”), pursuant to a Stock Purchase Agreement, dated January 23, 2018, by and among Sterno and Jeffery W. Palmer, individually and in his capacity as Seller Representative, the Jeffery Wayne Palmer Dynasty Trust dated December 26, 2011, the Angela Marie Palmer Irrevocable Trust dated December 26, 2011, the Angela Marie Palmer Charitable Lead Trust, the Fidelity Investments Charitable Gift Fund, the TAK Irrevocable Trust dated June 7, 2012, and the SAK Irrevocable Trust dated June 7, 2012. Headquartered in Provo, Utah, Rimports is a manufacturer and distributor of branded and private label scented wickless candle products used for home décor and fragrance. Rimports offers an extensive line of wax warmers, scented wax cubes, essential oils and diffusers, and other home fragrance systems, through the mass retailer channel.</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Sterno purchased a 100% controlling interest in Rimports. The purchase price, after the working capital settlement and net of transaction costs, was approximately $154.4 million. The purchase price of Rimports included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was estimated at $ 4.8 million. Sterno funded the acquisition through their intercompany credit facility with the Company. The transaction was accounted for as a business combination. Sterno incurred $0.6 million of transaction costs in conjunction with the acquisition of Rimports, which was included in selling, general and administrative expense in the consolidated results of operations in the quarter ended March 31, 2018. The results of operations of Rimports have been included in the consolidated results of operations since the date of acquisition. Rimport's results of operations are included in the Sterno operating segment.</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$6.6 million using a relief from royalty methodology, in which an asset is valuable to the extent that the ownership of the asset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90" w:right="2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8"/>
          <w:szCs w:val="18"/>
          <w:color w:val="auto"/>
        </w:rPr>
        <w:t>relieves the company from the obligation of paying royalties for the benefits generated by the asset. The customer relationships intangible asset was valued at $79.1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six months ended June 30, 2018 gives effect to the acquisition of Foam Fabricators and Sterno's acquisition of Rimports, as described above, and the disposition of Manitoba Harvest and Clean Earth, as if these transactions had been completed as of January 1, 2018.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284" w:lineRule="exact"/>
        <w:rPr>
          <w:sz w:val="20"/>
          <w:szCs w:val="20"/>
          <w:color w:val="auto"/>
        </w:rPr>
      </w:pPr>
    </w:p>
    <w:tbl>
      <w:tblPr>
        <w:tblLayout w:type="fixed"/>
        <w:tblInd w:w="218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right"/>
              <w:ind w:right="43"/>
              <w:spacing w:after="0"/>
              <w:rPr>
                <w:sz w:val="20"/>
                <w:szCs w:val="20"/>
                <w:color w:val="auto"/>
              </w:rPr>
            </w:pPr>
            <w:r>
              <w:rPr>
                <w:rFonts w:ascii="Arial" w:cs="Arial" w:eastAsia="Arial" w:hAnsi="Arial"/>
                <w:sz w:val="15"/>
                <w:szCs w:val="15"/>
                <w:b w:val="1"/>
                <w:bCs w:val="1"/>
                <w:color w:val="auto"/>
              </w:rPr>
              <w:t>Six months ended June 30,</w:t>
            </w:r>
          </w:p>
        </w:tc>
      </w:tr>
      <w:tr>
        <w:trPr>
          <w:trHeight w:val="20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2018</w:t>
            </w:r>
          </w:p>
        </w:tc>
      </w:tr>
      <w:tr>
        <w:trPr>
          <w:trHeight w:val="254"/>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665,947</w:t>
            </w:r>
          </w:p>
        </w:tc>
      </w:tr>
      <w:tr>
        <w:trPr>
          <w:trHeight w:val="266"/>
        </w:trPr>
        <w:tc>
          <w:tcPr>
            <w:tcW w:w="48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tcPr>
          <w:p>
            <w:pPr>
              <w:spacing w:after="0"/>
              <w:rPr>
                <w:sz w:val="23"/>
                <w:szCs w:val="23"/>
                <w:color w:val="auto"/>
              </w:rPr>
            </w:pPr>
          </w:p>
        </w:tc>
        <w:tc>
          <w:tcPr>
            <w:tcW w:w="2100" w:type="dxa"/>
            <w:vAlign w:val="bottom"/>
          </w:tcPr>
          <w:p>
            <w:pPr>
              <w:jc w:val="right"/>
              <w:ind w:right="3"/>
              <w:spacing w:after="0"/>
              <w:rPr>
                <w:sz w:val="20"/>
                <w:szCs w:val="20"/>
                <w:color w:val="auto"/>
              </w:rPr>
            </w:pPr>
            <w:r>
              <w:rPr>
                <w:rFonts w:ascii="Arial" w:cs="Arial" w:eastAsia="Arial" w:hAnsi="Arial"/>
                <w:sz w:val="15"/>
                <w:szCs w:val="15"/>
                <w:color w:val="auto"/>
              </w:rPr>
              <w:t>232,784</w:t>
            </w:r>
          </w:p>
        </w:tc>
      </w:tr>
      <w:tr>
        <w:trPr>
          <w:trHeight w:val="274"/>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19,639</w:t>
            </w:r>
          </w:p>
        </w:tc>
      </w:tr>
      <w:tr>
        <w:trPr>
          <w:trHeight w:val="266"/>
        </w:trPr>
        <w:tc>
          <w:tcPr>
            <w:tcW w:w="484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(12,381)</w:t>
            </w:r>
          </w:p>
        </w:tc>
      </w:tr>
      <w:tr>
        <w:trPr>
          <w:trHeight w:val="274"/>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Holdings</w:t>
            </w: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(14,168)</w:t>
            </w:r>
          </w:p>
        </w:tc>
      </w:tr>
      <w:tr>
        <w:trPr>
          <w:trHeight w:val="262"/>
        </w:trPr>
        <w:tc>
          <w:tcPr>
            <w:tcW w:w="4840" w:type="dxa"/>
            <w:vAlign w:val="bottom"/>
          </w:tcPr>
          <w:p>
            <w:pPr>
              <w:ind w:left="20"/>
              <w:spacing w:after="0"/>
              <w:rPr>
                <w:sz w:val="20"/>
                <w:szCs w:val="20"/>
                <w:color w:val="auto"/>
              </w:rPr>
            </w:pPr>
            <w:r>
              <w:rPr>
                <w:rFonts w:ascii="Arial" w:cs="Arial" w:eastAsia="Arial" w:hAnsi="Arial"/>
                <w:sz w:val="15"/>
                <w:szCs w:val="15"/>
                <w:color w:val="auto"/>
              </w:rPr>
              <w:t>Basic and fully diluted net loss per share attributable to Holdings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(0.29)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Velocity Outdoor</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Ravin Crossbows </w:t>
      </w:r>
      <w:r>
        <w:rPr>
          <w:rFonts w:ascii="Arial" w:cs="Arial" w:eastAsia="Arial" w:hAnsi="Arial"/>
          <w:sz w:val="18"/>
          <w:szCs w:val="18"/>
          <w:color w:val="auto"/>
        </w:rPr>
        <w:t>- On September 4, 2018, Velocity Outdoor (formerly Crosman Corp.) acquired all of the outstanding membership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Ravin Crossbows, LLC ("Ravin" or "Ravin Crossbows") for a purchase price of approximately $98.0 million, net of transaction costs, plus a potential earn-out of up to $25.0 million based on gross profit levels for the trailing twelve month period ending December 31, 2018. Velocity funded the acquisition and payment of related transaction costs through the issuance of an additional $38.9 million in intercompany loans and the issuance of additional equity to the Company of $60.6 million. Velocity recorded a purchase price allocation for Ravin comprised of $67.5 million in intangible assets ($14.1 million in finite lived trade name, $42.6 million in technologies valued using an excess earnings methodology, and $10.8 million in customer relationships), $2.5 million in inventory step-up, and $13.3 million in goodwill which is expected to be deductible for income tax purposes. The remainder of the purchase consideration was allocated to net assets acquired. The potential earn-out was valued at $4.7 million as part of the purchase price allocation. Velocity incurred transaction costs of $1.4 million related to the Ravin acquisition, which were recorded as selling, general and administrative costs in the accompanying statement of operations as of December 31, 2018. The purchase price allocation was finalized during the first quarter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CEHI was based on an aggregate total enterprise value of $625 million and is subject to customary working capital adjustments. After the allocation of the sale proceeds to CEHI non-controlling equity holders, the repayment of intercompany loans to the Company (including accrued interest) of $224.6 million, and the payment of transaction expenses of approximately $10.7 million, the Company received approximately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90" w:right="239" w:bottom="1440" w:gutter="0" w:footer="0" w:header="0"/>
        </w:sectPr>
      </w:pPr>
    </w:p>
    <w:bookmarkStart w:id="14" w:name="page15"/>
    <w:bookmarkEnd w:id="14"/>
    <w:p>
      <w:pPr>
        <w:spacing w:after="0" w:line="262" w:lineRule="auto"/>
        <w:rPr>
          <w:sz w:val="20"/>
          <w:szCs w:val="20"/>
          <w:color w:val="auto"/>
        </w:rPr>
      </w:pPr>
      <w:r>
        <w:rPr>
          <w:rFonts w:ascii="Arial" w:cs="Arial" w:eastAsia="Arial" w:hAnsi="Arial"/>
          <w:sz w:val="18"/>
          <w:szCs w:val="18"/>
          <w:color w:val="auto"/>
        </w:rPr>
        <w:t>$327.3 million of total proceeds at closing related to our equity interests in CEHI. The Company recognized a gain on the sale of CEHI of $206.3 million in the second quarter of 2019.</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Summarized results of operations of Clean Earth for the three and six months ended June 30, 2019 and 2018 through the date of disposition are as follows (in thousands):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For the period April</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For the period</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1, 2019 through</w:t>
            </w:r>
          </w:p>
        </w:tc>
        <w:tc>
          <w:tcPr>
            <w:tcW w:w="17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January 1, 2019</w:t>
            </w:r>
          </w:p>
        </w:tc>
        <w:tc>
          <w:tcPr>
            <w:tcW w:w="120" w:type="dxa"/>
            <w:vAlign w:val="bottom"/>
          </w:tcPr>
          <w:p>
            <w:pPr>
              <w:spacing w:after="0"/>
              <w:rPr>
                <w:sz w:val="14"/>
                <w:szCs w:val="14"/>
                <w:color w:val="auto"/>
              </w:rPr>
            </w:pPr>
          </w:p>
        </w:tc>
        <w:tc>
          <w:tcPr>
            <w:tcW w:w="14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Six months ended</w:t>
            </w:r>
          </w:p>
        </w:tc>
      </w:tr>
      <w:tr>
        <w:trPr>
          <w:trHeight w:val="206"/>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disposition</w:t>
            </w: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2018</w:t>
            </w:r>
          </w:p>
        </w:tc>
        <w:tc>
          <w:tcPr>
            <w:tcW w:w="17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through disposition</w:t>
            </w:r>
          </w:p>
        </w:tc>
        <w:tc>
          <w:tcPr>
            <w:tcW w:w="120" w:type="dxa"/>
            <w:vAlign w:val="bottom"/>
          </w:tcPr>
          <w:p>
            <w:pPr>
              <w:spacing w:after="0"/>
              <w:rPr>
                <w:sz w:val="17"/>
                <w:szCs w:val="17"/>
                <w:color w:val="auto"/>
              </w:rPr>
            </w:pPr>
          </w:p>
        </w:tc>
        <w:tc>
          <w:tcPr>
            <w:tcW w:w="1480" w:type="dxa"/>
            <w:vAlign w:val="bottom"/>
          </w:tcPr>
          <w:p>
            <w:pPr>
              <w:jc w:val="right"/>
              <w:ind w:right="223"/>
              <w:spacing w:after="0"/>
              <w:rPr>
                <w:sz w:val="20"/>
                <w:szCs w:val="20"/>
                <w:color w:val="auto"/>
              </w:rPr>
            </w:pPr>
            <w:r>
              <w:rPr>
                <w:rFonts w:ascii="Arial" w:cs="Arial" w:eastAsia="Arial" w:hAnsi="Arial"/>
                <w:sz w:val="15"/>
                <w:szCs w:val="15"/>
                <w:b w:val="1"/>
                <w:bCs w:val="1"/>
                <w:color w:val="auto"/>
              </w:rPr>
              <w:t>June 30, 2018</w:t>
            </w:r>
          </w:p>
        </w:tc>
      </w:tr>
      <w:tr>
        <w:trPr>
          <w:trHeight w:val="250"/>
        </w:trPr>
        <w:tc>
          <w:tcPr>
            <w:tcW w:w="3980" w:type="dxa"/>
            <w:vAlign w:val="bottom"/>
          </w:tcPr>
          <w:p>
            <w:pPr>
              <w:ind w:left="40"/>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69,105</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70,241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132,737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128,462</w:t>
            </w:r>
          </w:p>
        </w:tc>
      </w:tr>
      <w:tr>
        <w:trPr>
          <w:trHeight w:val="274"/>
        </w:trPr>
        <w:tc>
          <w:tcPr>
            <w:tcW w:w="3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23,045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22,701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37,979</w:t>
            </w:r>
          </w:p>
        </w:tc>
      </w:tr>
      <w:tr>
        <w:trPr>
          <w:trHeight w:val="266"/>
        </w:trPr>
        <w:tc>
          <w:tcPr>
            <w:tcW w:w="3980" w:type="dxa"/>
            <w:vAlign w:val="bottom"/>
          </w:tcPr>
          <w:p>
            <w:pPr>
              <w:ind w:left="40"/>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23"/>
                <w:szCs w:val="23"/>
                <w:color w:val="auto"/>
              </w:rPr>
            </w:pP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4,976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7,458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6,232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8,217</w:t>
            </w:r>
          </w:p>
        </w:tc>
      </w:tr>
      <w:tr>
        <w:trPr>
          <w:trHeight w:val="274"/>
        </w:trPr>
        <w:tc>
          <w:tcPr>
            <w:tcW w:w="3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continuing operations before income taxes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8,012</w:t>
            </w:r>
          </w:p>
        </w:tc>
      </w:tr>
      <w:tr>
        <w:trPr>
          <w:trHeight w:val="266"/>
        </w:trPr>
        <w:tc>
          <w:tcPr>
            <w:tcW w:w="3980" w:type="dxa"/>
            <w:vAlign w:val="bottom"/>
          </w:tcPr>
          <w:p>
            <w:pPr>
              <w:ind w:left="40"/>
              <w:spacing w:after="0"/>
              <w:rPr>
                <w:sz w:val="20"/>
                <w:szCs w:val="20"/>
                <w:color w:val="auto"/>
              </w:rPr>
            </w:pPr>
            <w:r>
              <w:rPr>
                <w:rFonts w:ascii="Arial" w:cs="Arial" w:eastAsia="Arial" w:hAnsi="Arial"/>
                <w:sz w:val="15"/>
                <w:szCs w:val="15"/>
                <w:color w:val="auto"/>
              </w:rPr>
              <w:t>Provision (benefit) for income taxes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(10,585)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996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(11,607)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379</w:t>
            </w:r>
          </w:p>
        </w:tc>
      </w:tr>
      <w:tr>
        <w:trPr>
          <w:trHeight w:val="274"/>
        </w:trPr>
        <w:tc>
          <w:tcPr>
            <w:tcW w:w="3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2"/>
                <w:szCs w:val="12"/>
                <w:b w:val="1"/>
                <w:bCs w:val="1"/>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15,474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17,487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7,633</w:t>
            </w:r>
          </w:p>
        </w:tc>
      </w:tr>
    </w:tbl>
    <w:p>
      <w:pPr>
        <w:spacing w:after="0" w:line="177" w:lineRule="exact"/>
        <w:rPr>
          <w:sz w:val="20"/>
          <w:szCs w:val="20"/>
          <w:color w:val="auto"/>
        </w:rPr>
      </w:pPr>
    </w:p>
    <w:p>
      <w:pPr>
        <w:ind w:right="320" w:firstLine="8"/>
        <w:spacing w:after="0" w:line="303" w:lineRule="auto"/>
        <w:tabs>
          <w:tab w:leader="none" w:pos="162" w:val="left"/>
        </w:tabs>
        <w:numPr>
          <w:ilvl w:val="0"/>
          <w:numId w:val="6"/>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results of operations for the periods from April 1, 2019 through disposition, January 1, 2019 through disposition, and the three and six months ended June 30, 2018, each exclude $5.6 million and $10.2 million and $4.1 million and $7.7 million, respectively, of intercompany interest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19, 2019, the Company, as majority shareholder of Manitoba Harvest and as Shareholder Representative, entered into a definitive agreement (the “Arrangement Agreement”) with Tilray, Inc. ("Tilray"), the other shareholders of Manitoba Harvest and a wholly-owned subsidiary of Tilray, 1197879 B.C. Ltd. (“Tilray Subco”), to sell to Tilray, through Tilray Subco, all of the issued and outstanding securities of Manitoba Harvest.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28, 2019, Tilray Subco completed the acquisition of all the issued and outstanding securities of Manitoba Harvest pursuant to the Arrangement Agreement.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C$42.5 million in Tilray Common Stock to the Common Holders on the date that is six months after the closing date of the arrangement (the “Deferred Consideration”). The sale consideration also includes a potential earnout of up to C$ 49 million in Tilray Common Stock to the Common Holders, if Manitoba Harvest achieves certain levels of U.S. branded gross sales of edible or topical products containing broad spectrum hemp extracts or cannabidiols prior to December 31, 2019.</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$124.2 million in cash proceeds and in Tilray Common Stock. We recorded a receivable of $48.0 million as of March 31, 2019 related to the Deferred Consideration portion of the proceeds. The Company recognized a gain on the sale of Manitoba Harvest of $121.7 million in the three months ended March 31, 2019. No amount has been recorded related to the potential earnout as of June 30, 2019 based on an assessment of probability at the end of the quarter.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during March 2019, recognizing a net loss of $5.3 million in Other income/ (expense) during the quarter ended March 31, 2019.</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Summarized results of operations of Manitoba Harvest for the six months ended June 30, 2019 and the three and six months ended June 30, 2018 through the date of disposition are as follows (in thousands):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90" w:right="239" w:bottom="1440" w:gutter="0" w:footer="0" w:header="0"/>
        </w:sectPr>
      </w:pPr>
    </w:p>
    <w:bookmarkStart w:id="15" w:name="page16"/>
    <w:bookmarkEnd w:id="15"/>
    <w:tbl>
      <w:tblPr>
        <w:tblLayout w:type="fixed"/>
        <w:tblInd w:w="116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63"/>
              <w:spacing w:after="0"/>
              <w:rPr>
                <w:sz w:val="20"/>
                <w:szCs w:val="20"/>
                <w:color w:val="auto"/>
              </w:rPr>
            </w:pPr>
            <w:r>
              <w:rPr>
                <w:rFonts w:ascii="Arial" w:cs="Arial" w:eastAsia="Arial" w:hAnsi="Arial"/>
                <w:sz w:val="15"/>
                <w:szCs w:val="15"/>
                <w:b w:val="1"/>
                <w:bCs w:val="1"/>
                <w:color w:val="auto"/>
              </w:rPr>
              <w:t>Three months</w:t>
            </w:r>
          </w:p>
        </w:tc>
        <w:tc>
          <w:tcPr>
            <w:tcW w:w="220" w:type="dxa"/>
            <w:vAlign w:val="bottom"/>
          </w:tcPr>
          <w:p>
            <w:pPr>
              <w:spacing w:after="0"/>
              <w:rPr>
                <w:sz w:val="14"/>
                <w:szCs w:val="14"/>
                <w:color w:val="auto"/>
              </w:rPr>
            </w:pPr>
          </w:p>
        </w:tc>
        <w:tc>
          <w:tcPr>
            <w:tcW w:w="1440" w:type="dxa"/>
            <w:vAlign w:val="bottom"/>
          </w:tcPr>
          <w:p>
            <w:pPr>
              <w:jc w:val="center"/>
              <w:ind w:right="123"/>
              <w:spacing w:after="0"/>
              <w:rPr>
                <w:sz w:val="20"/>
                <w:szCs w:val="20"/>
                <w:color w:val="auto"/>
              </w:rPr>
            </w:pPr>
            <w:r>
              <w:rPr>
                <w:rFonts w:ascii="Arial" w:cs="Arial" w:eastAsia="Arial" w:hAnsi="Arial"/>
                <w:sz w:val="15"/>
                <w:szCs w:val="15"/>
                <w:b w:val="1"/>
                <w:bCs w:val="1"/>
                <w:color w:val="auto"/>
              </w:rPr>
              <w:t>For the period</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203"/>
              <w:spacing w:after="0" w:line="162" w:lineRule="exact"/>
              <w:rPr>
                <w:sz w:val="20"/>
                <w:szCs w:val="20"/>
                <w:color w:val="auto"/>
              </w:rPr>
            </w:pPr>
            <w:r>
              <w:rPr>
                <w:rFonts w:ascii="Arial" w:cs="Arial" w:eastAsia="Arial" w:hAnsi="Arial"/>
                <w:sz w:val="15"/>
                <w:szCs w:val="15"/>
                <w:b w:val="1"/>
                <w:bCs w:val="1"/>
                <w:color w:val="auto"/>
                <w:w w:val="99"/>
              </w:rPr>
              <w:t>ended</w:t>
            </w:r>
          </w:p>
        </w:tc>
        <w:tc>
          <w:tcPr>
            <w:tcW w:w="220" w:type="dxa"/>
            <w:vAlign w:val="bottom"/>
          </w:tcPr>
          <w:p>
            <w:pPr>
              <w:spacing w:after="0"/>
              <w:rPr>
                <w:sz w:val="14"/>
                <w:szCs w:val="14"/>
                <w:color w:val="auto"/>
              </w:rPr>
            </w:pPr>
          </w:p>
        </w:tc>
        <w:tc>
          <w:tcPr>
            <w:tcW w:w="1440" w:type="dxa"/>
            <w:vAlign w:val="bottom"/>
          </w:tcPr>
          <w:p>
            <w:pPr>
              <w:jc w:val="center"/>
              <w:ind w:right="103"/>
              <w:spacing w:after="0" w:line="162" w:lineRule="exact"/>
              <w:rPr>
                <w:sz w:val="20"/>
                <w:szCs w:val="20"/>
                <w:color w:val="auto"/>
              </w:rPr>
            </w:pPr>
            <w:r>
              <w:rPr>
                <w:rFonts w:ascii="Arial" w:cs="Arial" w:eastAsia="Arial" w:hAnsi="Arial"/>
                <w:sz w:val="15"/>
                <w:szCs w:val="15"/>
                <w:b w:val="1"/>
                <w:bCs w:val="1"/>
                <w:color w:val="auto"/>
              </w:rPr>
              <w:t>January 1, 2019</w:t>
            </w:r>
          </w:p>
        </w:tc>
        <w:tc>
          <w:tcPr>
            <w:tcW w:w="1620" w:type="dxa"/>
            <w:vAlign w:val="bottom"/>
            <w:gridSpan w:val="2"/>
          </w:tcPr>
          <w:p>
            <w:pPr>
              <w:jc w:val="right"/>
              <w:ind w:right="63"/>
              <w:spacing w:after="0" w:line="162" w:lineRule="exact"/>
              <w:rPr>
                <w:sz w:val="20"/>
                <w:szCs w:val="20"/>
                <w:color w:val="auto"/>
              </w:rPr>
            </w:pPr>
            <w:r>
              <w:rPr>
                <w:rFonts w:ascii="Arial" w:cs="Arial" w:eastAsia="Arial" w:hAnsi="Arial"/>
                <w:sz w:val="15"/>
                <w:szCs w:val="15"/>
                <w:b w:val="1"/>
                <w:bCs w:val="1"/>
                <w:color w:val="auto"/>
              </w:rPr>
              <w:t>Six Months ended</w:t>
            </w:r>
          </w:p>
        </w:tc>
      </w:tr>
      <w:tr>
        <w:trPr>
          <w:trHeight w:val="206"/>
        </w:trPr>
        <w:tc>
          <w:tcPr>
            <w:tcW w:w="4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June 30, 2018</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through disposition</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June 30, 2018</w:t>
            </w:r>
          </w:p>
        </w:tc>
      </w:tr>
      <w:tr>
        <w:trPr>
          <w:trHeight w:val="268"/>
        </w:trPr>
        <w:tc>
          <w:tcPr>
            <w:tcW w:w="4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19,528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10,024</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35,869</w:t>
            </w:r>
          </w:p>
        </w:tc>
      </w:tr>
      <w:tr>
        <w:trPr>
          <w:trHeight w:val="266"/>
        </w:trPr>
        <w:tc>
          <w:tcPr>
            <w:tcW w:w="4220" w:type="dxa"/>
            <w:vAlign w:val="bottom"/>
          </w:tcPr>
          <w:p>
            <w:pPr>
              <w:ind w:left="40"/>
              <w:spacing w:after="0"/>
              <w:rPr>
                <w:sz w:val="20"/>
                <w:szCs w:val="20"/>
                <w:color w:val="auto"/>
              </w:rPr>
            </w:pPr>
            <w:r>
              <w:rPr>
                <w:rFonts w:ascii="Arial" w:cs="Arial" w:eastAsia="Arial" w:hAnsi="Arial"/>
                <w:sz w:val="15"/>
                <w:szCs w:val="15"/>
                <w:color w:val="auto"/>
              </w:rPr>
              <w:t>Gross profit</w:t>
            </w:r>
          </w:p>
        </w:tc>
        <w:tc>
          <w:tcPr>
            <w:tcW w:w="200" w:type="dxa"/>
            <w:vAlign w:val="bottom"/>
          </w:tcPr>
          <w:p>
            <w:pPr>
              <w:spacing w:after="0"/>
              <w:rPr>
                <w:sz w:val="23"/>
                <w:szCs w:val="23"/>
                <w:color w:val="auto"/>
              </w:rPr>
            </w:pPr>
          </w:p>
        </w:tc>
        <w:tc>
          <w:tcPr>
            <w:tcW w:w="1400" w:type="dxa"/>
            <w:vAlign w:val="bottom"/>
          </w:tcPr>
          <w:p>
            <w:pPr>
              <w:jc w:val="right"/>
              <w:ind w:right="43"/>
              <w:spacing w:after="0"/>
              <w:rPr>
                <w:sz w:val="20"/>
                <w:szCs w:val="20"/>
                <w:color w:val="auto"/>
              </w:rPr>
            </w:pPr>
            <w:r>
              <w:rPr>
                <w:rFonts w:ascii="Arial" w:cs="Arial" w:eastAsia="Arial" w:hAnsi="Arial"/>
                <w:sz w:val="15"/>
                <w:szCs w:val="15"/>
                <w:color w:val="auto"/>
              </w:rPr>
              <w:t>9,503</w:t>
            </w:r>
          </w:p>
        </w:tc>
        <w:tc>
          <w:tcPr>
            <w:tcW w:w="22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4,874</w:t>
            </w:r>
          </w:p>
        </w:tc>
        <w:tc>
          <w:tcPr>
            <w:tcW w:w="280" w:type="dxa"/>
            <w:vAlign w:val="bottom"/>
          </w:tcPr>
          <w:p>
            <w:pPr>
              <w:spacing w:after="0"/>
              <w:rPr>
                <w:sz w:val="23"/>
                <w:szCs w:val="23"/>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16,448</w:t>
            </w:r>
          </w:p>
        </w:tc>
      </w:tr>
      <w:tr>
        <w:trPr>
          <w:trHeight w:val="274"/>
        </w:trPr>
        <w:tc>
          <w:tcPr>
            <w:tcW w:w="4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loss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1,085</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(1,118)</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216</w:t>
            </w:r>
          </w:p>
        </w:tc>
      </w:tr>
      <w:tr>
        <w:trPr>
          <w:trHeight w:val="266"/>
        </w:trPr>
        <w:tc>
          <w:tcPr>
            <w:tcW w:w="4220" w:type="dxa"/>
            <w:vAlign w:val="bottom"/>
          </w:tcPr>
          <w:p>
            <w:pPr>
              <w:ind w:left="40"/>
              <w:spacing w:after="0"/>
              <w:rPr>
                <w:sz w:val="20"/>
                <w:szCs w:val="20"/>
                <w:color w:val="auto"/>
              </w:rPr>
            </w:pPr>
            <w:r>
              <w:rPr>
                <w:rFonts w:ascii="Arial" w:cs="Arial" w:eastAsia="Arial" w:hAnsi="Arial"/>
                <w:sz w:val="15"/>
                <w:szCs w:val="15"/>
                <w:color w:val="auto"/>
              </w:rPr>
              <w:t>Loss before income taxes</w:t>
            </w:r>
          </w:p>
        </w:tc>
        <w:tc>
          <w:tcPr>
            <w:tcW w:w="200" w:type="dxa"/>
            <w:vAlign w:val="bottom"/>
          </w:tcPr>
          <w:p>
            <w:pPr>
              <w:spacing w:after="0"/>
              <w:rPr>
                <w:sz w:val="23"/>
                <w:szCs w:val="23"/>
                <w:color w:val="auto"/>
              </w:rPr>
            </w:pPr>
          </w:p>
        </w:tc>
        <w:tc>
          <w:tcPr>
            <w:tcW w:w="1400" w:type="dxa"/>
            <w:vAlign w:val="bottom"/>
          </w:tcPr>
          <w:p>
            <w:pPr>
              <w:jc w:val="right"/>
              <w:ind w:right="43"/>
              <w:spacing w:after="0"/>
              <w:rPr>
                <w:sz w:val="20"/>
                <w:szCs w:val="20"/>
                <w:color w:val="auto"/>
              </w:rPr>
            </w:pPr>
            <w:r>
              <w:rPr>
                <w:rFonts w:ascii="Arial" w:cs="Arial" w:eastAsia="Arial" w:hAnsi="Arial"/>
                <w:sz w:val="15"/>
                <w:szCs w:val="15"/>
                <w:color w:val="auto"/>
              </w:rPr>
              <w:t>1,082</w:t>
            </w:r>
          </w:p>
        </w:tc>
        <w:tc>
          <w:tcPr>
            <w:tcW w:w="220" w:type="dxa"/>
            <w:vAlign w:val="bottom"/>
          </w:tcPr>
          <w:p>
            <w:pPr>
              <w:spacing w:after="0"/>
              <w:rPr>
                <w:sz w:val="23"/>
                <w:szCs w:val="23"/>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(1,127)</w:t>
            </w:r>
          </w:p>
        </w:tc>
        <w:tc>
          <w:tcPr>
            <w:tcW w:w="280" w:type="dxa"/>
            <w:vAlign w:val="bottom"/>
          </w:tcPr>
          <w:p>
            <w:pPr>
              <w:spacing w:after="0"/>
              <w:rPr>
                <w:sz w:val="23"/>
                <w:szCs w:val="23"/>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202</w:t>
            </w:r>
          </w:p>
        </w:tc>
      </w:tr>
      <w:tr>
        <w:trPr>
          <w:trHeight w:val="274"/>
        </w:trPr>
        <w:tc>
          <w:tcPr>
            <w:tcW w:w="4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for income taxes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w:t>
            </w:r>
          </w:p>
        </w:tc>
      </w:tr>
      <w:tr>
        <w:trPr>
          <w:trHeight w:val="262"/>
        </w:trPr>
        <w:tc>
          <w:tcPr>
            <w:tcW w:w="4220" w:type="dxa"/>
            <w:vAlign w:val="bottom"/>
          </w:tcPr>
          <w:p>
            <w:pPr>
              <w:ind w:left="40"/>
              <w:spacing w:after="0"/>
              <w:rPr>
                <w:sz w:val="20"/>
                <w:szCs w:val="20"/>
                <w:color w:val="auto"/>
              </w:rPr>
            </w:pPr>
            <w:r>
              <w:rPr>
                <w:rFonts w:ascii="Arial" w:cs="Arial" w:eastAsia="Arial" w:hAnsi="Arial"/>
                <w:sz w:val="15"/>
                <w:szCs w:val="15"/>
                <w:color w:val="auto"/>
              </w:rPr>
              <w:t xml:space="preserve">Income (loss) from discontinued operations </w:t>
            </w:r>
            <w:r>
              <w:rPr>
                <w:rFonts w:ascii="Arial" w:cs="Arial" w:eastAsia="Arial" w:hAnsi="Arial"/>
                <w:sz w:val="12"/>
                <w:szCs w:val="12"/>
                <w:b w:val="1"/>
                <w:bCs w:val="1"/>
                <w:color w:val="auto"/>
              </w:rPr>
              <w:t>(1)</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3"/>
              <w:spacing w:after="0"/>
              <w:rPr>
                <w:sz w:val="20"/>
                <w:szCs w:val="20"/>
                <w:color w:val="auto"/>
              </w:rPr>
            </w:pPr>
            <w:r>
              <w:rPr>
                <w:rFonts w:ascii="Arial" w:cs="Arial" w:eastAsia="Arial" w:hAnsi="Arial"/>
                <w:sz w:val="15"/>
                <w:szCs w:val="15"/>
                <w:color w:val="auto"/>
              </w:rPr>
              <w:t>1,269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(586)</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875</w:t>
            </w:r>
          </w:p>
        </w:tc>
      </w:tr>
    </w:tbl>
    <w:p>
      <w:pPr>
        <w:spacing w:after="0" w:line="240" w:lineRule="exact"/>
        <w:rPr>
          <w:sz w:val="20"/>
          <w:szCs w:val="20"/>
          <w:color w:val="auto"/>
        </w:rPr>
      </w:pPr>
    </w:p>
    <w:p>
      <w:pPr>
        <w:ind w:firstLine="8"/>
        <w:spacing w:after="0" w:line="243" w:lineRule="auto"/>
        <w:tabs>
          <w:tab w:leader="none" w:pos="182"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periods from January 1, 2019 through date of disposition and the three and six months ended June 30, 2018 exclude $1.0 million</w:t>
      </w:r>
      <w:r>
        <w:rPr>
          <w:rFonts w:ascii="Arial" w:cs="Arial" w:eastAsia="Arial" w:hAnsi="Arial"/>
          <w:sz w:val="17"/>
          <w:szCs w:val="17"/>
          <w:color w:val="auto"/>
        </w:rPr>
        <w:t>,</w:t>
      </w:r>
      <w:r>
        <w:rPr>
          <w:rFonts w:ascii="Arial" w:cs="Arial" w:eastAsia="Arial" w:hAnsi="Arial"/>
          <w:sz w:val="15"/>
          <w:szCs w:val="15"/>
          <w:color w:val="auto"/>
        </w:rPr>
        <w:t xml:space="preserve"> $1.3 million and $2.5 million, respectively, of intercompany interest expense.</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summary balance sheet information of the Clean Earth and Manitoba Harvest businesses that is presented as discontinued operations as of December 31, 2018 (in thousands):</w:t>
      </w: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 2018</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Manitoba Harvest</w:t>
            </w:r>
          </w:p>
        </w:tc>
        <w:tc>
          <w:tcPr>
            <w:tcW w:w="26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Clean Earth</w:t>
            </w:r>
          </w:p>
        </w:tc>
        <w:tc>
          <w:tcPr>
            <w:tcW w:w="400" w:type="dxa"/>
            <w:vAlign w:val="bottom"/>
          </w:tcPr>
          <w:p>
            <w:pPr>
              <w:spacing w:after="0"/>
              <w:rPr>
                <w:sz w:val="22"/>
                <w:szCs w:val="22"/>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59,689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66,858</w:t>
            </w: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11,436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11,436</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6,140</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6,913</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Current assets of discontinued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21,955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67,807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89,762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62,060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80,217</w:t>
            </w: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37,777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144,778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182,555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129,530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183,063</w:t>
            </w:r>
          </w:p>
        </w:tc>
        <w:tc>
          <w:tcPr>
            <w:tcW w:w="0" w:type="dxa"/>
            <w:vAlign w:val="bottom"/>
          </w:tcPr>
          <w:p>
            <w:pPr>
              <w:spacing w:after="0"/>
              <w:rPr>
                <w:sz w:val="1"/>
                <w:szCs w:val="1"/>
                <w:color w:val="auto"/>
              </w:rPr>
            </w:pPr>
          </w:p>
        </w:tc>
      </w:tr>
      <w:tr>
        <w:trPr>
          <w:trHeight w:val="264"/>
        </w:trPr>
        <w:tc>
          <w:tcPr>
            <w:tcW w:w="476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2"/>
                <w:szCs w:val="22"/>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Non-current assets of discontinued operations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449,464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26,135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30,394</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16,063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20,376</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Due to related party</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Current liabilities of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52,494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40"/>
              <w:spacing w:after="0"/>
              <w:rPr>
                <w:sz w:val="20"/>
                <w:szCs w:val="20"/>
                <w:color w:val="auto"/>
              </w:rPr>
            </w:pPr>
            <w:r>
              <w:rPr>
                <w:rFonts w:ascii="Arial" w:cs="Arial" w:eastAsia="Arial" w:hAnsi="Arial"/>
                <w:sz w:val="15"/>
                <w:szCs w:val="15"/>
                <w:color w:val="auto"/>
              </w:rPr>
              <w:t>Deferred income taxes</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28,300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40,975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5,175</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7,268</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Non-current liabilities of discontinued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14,768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33,475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48,243</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5"/>
                <w:szCs w:val="15"/>
                <w:color w:val="auto"/>
              </w:rPr>
              <w:t>Noncontrolling interest of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January 1, 2018, the Company adopted the provisions of Revenue from Contracts with Customers, or ASC 606. The adoption of the new revenue guidance represents a change in accounting principle that will more closely align revenue recognition with the transfer of control of the Company's goods and services and will provide financial statement readers with enhanced disclosures. In accordance with the new revenue guidance,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75" w:right="239" w:bottom="1440" w:gutter="0" w:footer="0" w:header="0"/>
        </w:sectPr>
      </w:pPr>
    </w:p>
    <w:bookmarkStart w:id="16" w:name="page17"/>
    <w:bookmarkEnd w:id="16"/>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Revenue Streams and Timing of Revenue Recognition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disaggregates revenue by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and by geography for each strategic business 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and six months ended June 30, 2019 and 2018 (in thousands):</w:t>
      </w:r>
    </w:p>
    <w:p>
      <w:pPr>
        <w:spacing w:after="0" w:line="284"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24130</wp:posOffset>
            </wp:positionV>
            <wp:extent cx="5788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Ergo</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76,864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6,898</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20,000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24,953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22,439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17,635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26,538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82,608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277,935</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2,650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827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9,252</w:t>
            </w: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7,544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24,357</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7,530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12,856</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11,684</w:t>
            </w: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92,836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22,971</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20,633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29,611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22,439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29,481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31,648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86,465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336,084</w:t>
            </w: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24130</wp:posOffset>
            </wp:positionV>
            <wp:extent cx="5788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Ergo</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65,845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9,397</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20,107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30,682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22,967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18,933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28,740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84,520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281,191</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815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8,504</w:t>
            </w: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6,675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25,869</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4,184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6,845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13,092</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11,333</w:t>
            </w: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84,723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23,954</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20,416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35,570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22,967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31,196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33,194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87,969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339,989</w:t>
            </w: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24130</wp:posOffset>
            </wp:positionV>
            <wp:extent cx="5788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Ergo</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147,341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14,233</w:t>
            </w: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41,736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51,117</w:t>
            </w:r>
          </w:p>
        </w:tc>
        <w:tc>
          <w:tcPr>
            <w:tcW w:w="1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45,508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35,551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52,675</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167,742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555,903</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4,314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1,646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3,251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18,891</w:t>
            </w: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14,075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50,824</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6,578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14,836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25,355</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23,968</w:t>
            </w:r>
          </w:p>
        </w:tc>
      </w:tr>
      <w:tr>
        <w:trPr>
          <w:trHeight w:val="250"/>
        </w:trPr>
        <w:tc>
          <w:tcPr>
            <w:tcW w:w="23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180,925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45,423</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42,837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60,748</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45,508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59,509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62,330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177,661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674,941</w:t>
            </w: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24130</wp:posOffset>
            </wp:positionV>
            <wp:extent cx="57886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Ergo</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130,297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17,600</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42,863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50,767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45,030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36,215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42,226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144,779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509,777</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4,473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6,816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17,645</w:t>
            </w: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13,833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19,675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54,079</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8,425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12,537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24,429</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2,405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20,189</w:t>
            </w:r>
          </w:p>
        </w:tc>
      </w:tr>
      <w:tr>
        <w:trPr>
          <w:trHeight w:val="237"/>
        </w:trPr>
        <w:tc>
          <w:tcPr>
            <w:tcW w:w="23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168,680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46,116</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43,869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59,977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45,030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60,595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48,651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153,201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626,119</w:t>
            </w: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2019, the Company had eight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0"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5.11 Tactical</w:t>
      </w:r>
      <w:r>
        <w:rPr>
          <w:rFonts w:ascii="Arial" w:cs="Arial" w:eastAsia="Arial" w:hAnsi="Arial"/>
          <w:sz w:val="18"/>
          <w:szCs w:val="18"/>
          <w:color w:val="auto"/>
        </w:rPr>
        <w:t xml:space="preserve"> is a leading provider of purpose-built tactical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w:t>
      </w:r>
    </w:p>
    <w:p>
      <w:pPr>
        <w:spacing w:after="0" w:line="2" w:lineRule="exact"/>
        <w:rPr>
          <w:sz w:val="20"/>
          <w:szCs w:val="20"/>
          <w:color w:val="auto"/>
        </w:rPr>
      </w:pPr>
    </w:p>
    <w:p>
      <w:pPr>
        <w:ind w:left="420" w:right="20"/>
        <w:spacing w:after="0" w:line="262" w:lineRule="auto"/>
        <w:rPr>
          <w:sz w:val="20"/>
          <w:szCs w:val="20"/>
          <w:color w:val="auto"/>
        </w:rPr>
      </w:pPr>
      <w:r>
        <w:rPr>
          <w:rFonts w:ascii="Arial" w:cs="Arial" w:eastAsia="Arial" w:hAnsi="Arial"/>
          <w:sz w:val="18"/>
          <w:szCs w:val="18"/>
          <w:color w:val="auto"/>
        </w:rPr>
        <w:t>and 5.11 products are widely distributed in uniform stores, military exchanges, outdoor retail stores, its own retail stores and on 511tactical.com.</w:t>
      </w:r>
    </w:p>
    <w:p>
      <w:pPr>
        <w:spacing w:after="0" w:line="142" w:lineRule="exact"/>
        <w:rPr>
          <w:sz w:val="20"/>
          <w:szCs w:val="20"/>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50"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50"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motorsport/automotive, oil and gas, medical, general industrial, electric utility, reprographics and advertising specialty markets.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Foam Fabricators is headquartered in Scottsdale, Arizona and operates 13 molding and fabricating facilities across North America.</w:t>
      </w:r>
    </w:p>
    <w:p>
      <w:pPr>
        <w:spacing w:after="0" w:line="150"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 service industry and flameless candles, outdoor lighting products, scented wax cubes and warmer products for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2060" w:type="dxa"/>
            <w:vAlign w:val="bottom"/>
            <w:gridSpan w:val="7"/>
          </w:tcPr>
          <w:p>
            <w:pPr>
              <w:ind w:left="40"/>
              <w:spacing w:after="0"/>
              <w:rPr>
                <w:sz w:val="20"/>
                <w:szCs w:val="20"/>
                <w:color w:val="auto"/>
              </w:rPr>
            </w:pPr>
            <w:r>
              <w:rPr>
                <w:rFonts w:ascii="Arial" w:cs="Arial" w:eastAsia="Arial" w:hAnsi="Arial"/>
                <w:sz w:val="15"/>
                <w:szCs w:val="15"/>
                <w:b w:val="1"/>
                <w:bCs w:val="1"/>
                <w:color w:val="auto"/>
              </w:rPr>
              <w:t>Three months ended June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Net Revenues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19"/>
        </w:trPr>
        <w:tc>
          <w:tcPr>
            <w:tcW w:w="7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92,836</w:t>
            </w:r>
          </w:p>
        </w:tc>
        <w:tc>
          <w:tcPr>
            <w:tcW w:w="3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84,723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180,925</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168,680</w:t>
            </w:r>
          </w:p>
        </w:tc>
        <w:tc>
          <w:tcPr>
            <w:tcW w:w="0" w:type="dxa"/>
            <w:vAlign w:val="bottom"/>
          </w:tcPr>
          <w:p>
            <w:pPr>
              <w:spacing w:after="0"/>
              <w:rPr>
                <w:sz w:val="1"/>
                <w:szCs w:val="1"/>
                <w:color w:val="auto"/>
              </w:rPr>
            </w:pPr>
          </w:p>
        </w:tc>
      </w:tr>
      <w:tr>
        <w:trPr>
          <w:trHeight w:val="62"/>
        </w:trPr>
        <w:tc>
          <w:tcPr>
            <w:tcW w:w="73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5"/>
                <w:szCs w:val="15"/>
                <w:color w:val="auto"/>
              </w:rPr>
              <w:t>Ergobaby</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22,971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5"/>
                <w:szCs w:val="15"/>
                <w:color w:val="auto"/>
              </w:rPr>
              <w:t>23,954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45,423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46,116</w:t>
            </w: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20,416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42,837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43,869</w:t>
            </w:r>
          </w:p>
        </w:tc>
        <w:tc>
          <w:tcPr>
            <w:tcW w:w="0" w:type="dxa"/>
            <w:vAlign w:val="bottom"/>
          </w:tcPr>
          <w:p>
            <w:pPr>
              <w:spacing w:after="0"/>
              <w:rPr>
                <w:sz w:val="1"/>
                <w:szCs w:val="1"/>
                <w:color w:val="auto"/>
              </w:rPr>
            </w:pPr>
          </w:p>
        </w:tc>
      </w:tr>
      <w:tr>
        <w:trPr>
          <w:trHeight w:val="62"/>
        </w:trPr>
        <w:tc>
          <w:tcPr>
            <w:tcW w:w="7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29,611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5"/>
                <w:szCs w:val="15"/>
                <w:color w:val="auto"/>
              </w:rPr>
              <w:t>35,570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60,748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59,977</w:t>
            </w: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22,967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45,508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45,030</w:t>
            </w:r>
          </w:p>
        </w:tc>
        <w:tc>
          <w:tcPr>
            <w:tcW w:w="0" w:type="dxa"/>
            <w:vAlign w:val="bottom"/>
          </w:tcPr>
          <w:p>
            <w:pPr>
              <w:spacing w:after="0"/>
              <w:rPr>
                <w:sz w:val="1"/>
                <w:szCs w:val="1"/>
                <w:color w:val="auto"/>
              </w:rPr>
            </w:pPr>
          </w:p>
        </w:tc>
      </w:tr>
      <w:tr>
        <w:trPr>
          <w:trHeight w:val="62"/>
        </w:trPr>
        <w:tc>
          <w:tcPr>
            <w:tcW w:w="7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5"/>
                <w:szCs w:val="15"/>
                <w:color w:val="auto"/>
              </w:rPr>
              <w:t>Arnold</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29,481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5"/>
                <w:szCs w:val="15"/>
                <w:color w:val="auto"/>
              </w:rPr>
              <w:t>31,196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59,509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60,595</w:t>
            </w: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Foam Fabricators</w:t>
            </w: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62,330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48,651</w:t>
            </w:r>
          </w:p>
        </w:tc>
        <w:tc>
          <w:tcPr>
            <w:tcW w:w="0" w:type="dxa"/>
            <w:vAlign w:val="bottom"/>
          </w:tcPr>
          <w:p>
            <w:pPr>
              <w:spacing w:after="0"/>
              <w:rPr>
                <w:sz w:val="1"/>
                <w:szCs w:val="1"/>
                <w:color w:val="auto"/>
              </w:rPr>
            </w:pPr>
          </w:p>
        </w:tc>
      </w:tr>
      <w:tr>
        <w:trPr>
          <w:trHeight w:val="62"/>
        </w:trPr>
        <w:tc>
          <w:tcPr>
            <w:tcW w:w="7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5"/>
                <w:szCs w:val="15"/>
                <w:color w:val="auto"/>
              </w:rPr>
              <w:t>Sterno</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86,465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5"/>
                <w:szCs w:val="15"/>
                <w:color w:val="auto"/>
              </w:rPr>
              <w:t>87,969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177,661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153,201</w:t>
            </w:r>
          </w:p>
        </w:tc>
        <w:tc>
          <w:tcPr>
            <w:tcW w:w="0" w:type="dxa"/>
            <w:vAlign w:val="bottom"/>
          </w:tcPr>
          <w:p>
            <w:pPr>
              <w:spacing w:after="0"/>
              <w:rPr>
                <w:sz w:val="1"/>
                <w:szCs w:val="1"/>
                <w:color w:val="auto"/>
              </w:rPr>
            </w:pPr>
          </w:p>
        </w:tc>
      </w:tr>
      <w:tr>
        <w:trPr>
          <w:trHeight w:val="58"/>
        </w:trPr>
        <w:tc>
          <w:tcPr>
            <w:tcW w:w="7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segment revenue</w:t>
            </w:r>
          </w:p>
        </w:tc>
        <w:tc>
          <w:tcPr>
            <w:tcW w:w="1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336,084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339,989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674,941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626,119</w:t>
            </w:r>
          </w:p>
        </w:tc>
        <w:tc>
          <w:tcPr>
            <w:tcW w:w="0" w:type="dxa"/>
            <w:vAlign w:val="bottom"/>
          </w:tcPr>
          <w:p>
            <w:pPr>
              <w:spacing w:after="0"/>
              <w:rPr>
                <w:sz w:val="1"/>
                <w:szCs w:val="1"/>
                <w:color w:val="auto"/>
              </w:rPr>
            </w:pPr>
          </w:p>
        </w:tc>
      </w:tr>
      <w:tr>
        <w:trPr>
          <w:trHeight w:val="62"/>
        </w:trPr>
        <w:tc>
          <w:tcPr>
            <w:tcW w:w="7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5"/>
                <w:szCs w:val="15"/>
                <w:color w:val="auto"/>
              </w:rPr>
              <w:t>Corporate and other</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consolidated revenues</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336,084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339,989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674,941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626,119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80" w:type="dxa"/>
            <w:vAlign w:val="bottom"/>
          </w:tcPr>
          <w:p>
            <w:pPr>
              <w:spacing w:after="0"/>
              <w:rPr>
                <w:sz w:val="14"/>
                <w:szCs w:val="14"/>
                <w:color w:val="auto"/>
              </w:rPr>
            </w:pPr>
          </w:p>
        </w:tc>
        <w:tc>
          <w:tcPr>
            <w:tcW w:w="218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rPr>
              <w:t>Three months ended June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19"/>
        </w:trPr>
        <w:tc>
          <w:tcPr>
            <w:tcW w:w="7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5,073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7,411</w:t>
            </w:r>
          </w:p>
        </w:tc>
        <w:tc>
          <w:tcPr>
            <w:tcW w:w="3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1,403</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Ergobaby</w:t>
            </w:r>
          </w:p>
        </w:tc>
        <w:tc>
          <w:tcPr>
            <w:tcW w:w="24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2,795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43"/>
              <w:spacing w:after="0"/>
              <w:rPr>
                <w:sz w:val="20"/>
                <w:szCs w:val="20"/>
                <w:color w:val="auto"/>
              </w:rPr>
            </w:pPr>
            <w:r>
              <w:rPr>
                <w:rFonts w:ascii="Arial" w:cs="Arial" w:eastAsia="Arial" w:hAnsi="Arial"/>
                <w:sz w:val="15"/>
                <w:szCs w:val="15"/>
                <w:color w:val="auto"/>
              </w:rPr>
              <w:t>3,575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63"/>
              <w:spacing w:after="0"/>
              <w:rPr>
                <w:sz w:val="20"/>
                <w:szCs w:val="20"/>
                <w:color w:val="auto"/>
              </w:rPr>
            </w:pPr>
            <w:r>
              <w:rPr>
                <w:rFonts w:ascii="Arial" w:cs="Arial" w:eastAsia="Arial" w:hAnsi="Arial"/>
                <w:sz w:val="15"/>
                <w:szCs w:val="15"/>
                <w:color w:val="auto"/>
              </w:rPr>
              <w:t>5,931</w:t>
            </w:r>
          </w:p>
        </w:tc>
        <w:tc>
          <w:tcPr>
            <w:tcW w:w="30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5,915</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3,086</w:t>
            </w:r>
          </w:p>
        </w:tc>
        <w:tc>
          <w:tcPr>
            <w:tcW w:w="3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4,427</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43"/>
              <w:spacing w:after="0"/>
              <w:rPr>
                <w:sz w:val="20"/>
                <w:szCs w:val="20"/>
                <w:color w:val="auto"/>
              </w:rPr>
            </w:pPr>
            <w:r>
              <w:rPr>
                <w:rFonts w:ascii="Arial" w:cs="Arial" w:eastAsia="Arial" w:hAnsi="Arial"/>
                <w:sz w:val="15"/>
                <w:szCs w:val="15"/>
                <w:color w:val="auto"/>
              </w:rPr>
              <w:t>3,019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63"/>
              <w:spacing w:after="0"/>
              <w:rPr>
                <w:sz w:val="20"/>
                <w:szCs w:val="20"/>
                <w:color w:val="auto"/>
              </w:rPr>
            </w:pPr>
            <w:r>
              <w:rPr>
                <w:rFonts w:ascii="Arial" w:cs="Arial" w:eastAsia="Arial" w:hAnsi="Arial"/>
                <w:sz w:val="15"/>
                <w:szCs w:val="15"/>
                <w:color w:val="auto"/>
              </w:rPr>
              <w:t>267</w:t>
            </w:r>
          </w:p>
        </w:tc>
        <w:tc>
          <w:tcPr>
            <w:tcW w:w="30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3,292</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6,368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12,965</w:t>
            </w:r>
          </w:p>
        </w:tc>
        <w:tc>
          <w:tcPr>
            <w:tcW w:w="3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12,300</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Arnold</w:t>
            </w:r>
          </w:p>
        </w:tc>
        <w:tc>
          <w:tcPr>
            <w:tcW w:w="24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2,227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43"/>
              <w:spacing w:after="0"/>
              <w:rPr>
                <w:sz w:val="20"/>
                <w:szCs w:val="20"/>
                <w:color w:val="auto"/>
              </w:rPr>
            </w:pPr>
            <w:r>
              <w:rPr>
                <w:rFonts w:ascii="Arial" w:cs="Arial" w:eastAsia="Arial" w:hAnsi="Arial"/>
                <w:sz w:val="15"/>
                <w:szCs w:val="15"/>
                <w:color w:val="auto"/>
              </w:rPr>
              <w:t>2,945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63"/>
              <w:spacing w:after="0"/>
              <w:rPr>
                <w:sz w:val="20"/>
                <w:szCs w:val="20"/>
                <w:color w:val="auto"/>
              </w:rPr>
            </w:pPr>
            <w:r>
              <w:rPr>
                <w:rFonts w:ascii="Arial" w:cs="Arial" w:eastAsia="Arial" w:hAnsi="Arial"/>
                <w:sz w:val="15"/>
                <w:szCs w:val="15"/>
                <w:color w:val="auto"/>
              </w:rPr>
              <w:t>3,704</w:t>
            </w:r>
          </w:p>
        </w:tc>
        <w:tc>
          <w:tcPr>
            <w:tcW w:w="30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4,670</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Foam Fabricators</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7,870</w:t>
            </w:r>
          </w:p>
        </w:tc>
        <w:tc>
          <w:tcPr>
            <w:tcW w:w="3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3,756</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Sterno</w:t>
            </w:r>
          </w:p>
        </w:tc>
        <w:tc>
          <w:tcPr>
            <w:tcW w:w="24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8,115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43"/>
              <w:spacing w:after="0"/>
              <w:rPr>
                <w:sz w:val="20"/>
                <w:szCs w:val="20"/>
                <w:color w:val="auto"/>
              </w:rPr>
            </w:pPr>
            <w:r>
              <w:rPr>
                <w:rFonts w:ascii="Arial" w:cs="Arial" w:eastAsia="Arial" w:hAnsi="Arial"/>
                <w:sz w:val="15"/>
                <w:szCs w:val="15"/>
                <w:color w:val="auto"/>
              </w:rPr>
              <w:t>2,728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63"/>
              <w:spacing w:after="0"/>
              <w:rPr>
                <w:sz w:val="20"/>
                <w:szCs w:val="20"/>
                <w:color w:val="auto"/>
              </w:rPr>
            </w:pPr>
            <w:r>
              <w:rPr>
                <w:rFonts w:ascii="Arial" w:cs="Arial" w:eastAsia="Arial" w:hAnsi="Arial"/>
                <w:sz w:val="15"/>
                <w:szCs w:val="15"/>
                <w:color w:val="auto"/>
              </w:rPr>
              <w:t>16,097</w:t>
            </w:r>
          </w:p>
        </w:tc>
        <w:tc>
          <w:tcPr>
            <w:tcW w:w="300" w:type="dxa"/>
            <w:vAlign w:val="bottom"/>
          </w:tcPr>
          <w:p>
            <w:pPr>
              <w:spacing w:after="0"/>
              <w:rPr>
                <w:sz w:val="18"/>
                <w:szCs w:val="18"/>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5"/>
                <w:szCs w:val="15"/>
                <w:color w:val="auto"/>
              </w:rPr>
              <w:t>7,479</w:t>
            </w:r>
          </w:p>
        </w:tc>
        <w:tc>
          <w:tcPr>
            <w:tcW w:w="0" w:type="dxa"/>
            <w:vAlign w:val="bottom"/>
          </w:tcPr>
          <w:p>
            <w:pPr>
              <w:spacing w:after="0"/>
              <w:rPr>
                <w:sz w:val="1"/>
                <w:szCs w:val="1"/>
                <w:color w:val="auto"/>
              </w:rPr>
            </w:pPr>
          </w:p>
        </w:tc>
      </w:tr>
      <w:tr>
        <w:trPr>
          <w:trHeight w:val="58"/>
        </w:trPr>
        <w:tc>
          <w:tcPr>
            <w:tcW w:w="7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30,655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25,298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57,331</w:t>
            </w:r>
          </w:p>
        </w:tc>
        <w:tc>
          <w:tcPr>
            <w:tcW w:w="3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43,242</w:t>
            </w:r>
          </w:p>
        </w:tc>
        <w:tc>
          <w:tcPr>
            <w:tcW w:w="0" w:type="dxa"/>
            <w:vAlign w:val="bottom"/>
          </w:tcPr>
          <w:p>
            <w:pPr>
              <w:spacing w:after="0"/>
              <w:rPr>
                <w:sz w:val="1"/>
                <w:szCs w:val="1"/>
                <w:color w:val="auto"/>
              </w:rPr>
            </w:pPr>
          </w:p>
        </w:tc>
      </w:tr>
      <w:tr>
        <w:trPr>
          <w:trHeight w:val="76"/>
        </w:trPr>
        <w:tc>
          <w:tcPr>
            <w:tcW w:w="70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Reconciliation of segment profit (loss) to consolidated income (loss) before income taxes: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net</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(36,899)</w:t>
            </w:r>
          </w:p>
        </w:tc>
        <w:tc>
          <w:tcPr>
            <w:tcW w:w="3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5"/>
                <w:szCs w:val="15"/>
                <w:color w:val="auto"/>
              </w:rPr>
              <w:t>(524)</w:t>
            </w:r>
          </w:p>
        </w:tc>
        <w:tc>
          <w:tcPr>
            <w:tcW w:w="3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(30,667)</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(28,784)</w:t>
            </w:r>
          </w:p>
        </w:tc>
        <w:tc>
          <w:tcPr>
            <w:tcW w:w="0" w:type="dxa"/>
            <w:vAlign w:val="bottom"/>
          </w:tcPr>
          <w:p>
            <w:pPr>
              <w:spacing w:after="0"/>
              <w:rPr>
                <w:sz w:val="1"/>
                <w:szCs w:val="1"/>
                <w:color w:val="auto"/>
              </w:rPr>
            </w:pPr>
          </w:p>
        </w:tc>
      </w:tr>
      <w:tr>
        <w:trPr>
          <w:trHeight w:val="188"/>
        </w:trPr>
        <w:tc>
          <w:tcPr>
            <w:tcW w:w="7080" w:type="dxa"/>
            <w:vAlign w:val="bottom"/>
          </w:tcPr>
          <w:p>
            <w:pPr>
              <w:ind w:left="380"/>
              <w:spacing w:after="0"/>
              <w:rPr>
                <w:sz w:val="20"/>
                <w:szCs w:val="20"/>
                <w:color w:val="auto"/>
              </w:rPr>
            </w:pPr>
            <w:r>
              <w:rPr>
                <w:rFonts w:ascii="Arial" w:cs="Arial" w:eastAsia="Arial" w:hAnsi="Arial"/>
                <w:sz w:val="15"/>
                <w:szCs w:val="15"/>
                <w:color w:val="auto"/>
              </w:rPr>
              <w:t>Total consolidated income (loss) before income taxes</w:t>
            </w:r>
          </w:p>
        </w:tc>
        <w:tc>
          <w:tcPr>
            <w:tcW w:w="2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(4,932)</w:t>
            </w:r>
          </w:p>
        </w:tc>
        <w:tc>
          <w:tcPr>
            <w:tcW w:w="100" w:type="dxa"/>
            <w:vAlign w:val="bottom"/>
          </w:tcPr>
          <w:p>
            <w:pPr>
              <w:spacing w:after="0"/>
              <w:rPr>
                <w:sz w:val="16"/>
                <w:szCs w:val="16"/>
                <w:color w:val="auto"/>
              </w:rPr>
            </w:pPr>
          </w:p>
        </w:tc>
        <w:tc>
          <w:tcPr>
            <w:tcW w:w="2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(10,759)</w:t>
            </w:r>
          </w:p>
        </w:tc>
        <w:tc>
          <w:tcPr>
            <w:tcW w:w="3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(8,674)</w:t>
            </w:r>
          </w:p>
        </w:tc>
        <w:tc>
          <w:tcPr>
            <w:tcW w:w="0" w:type="dxa"/>
            <w:vAlign w:val="bottom"/>
          </w:tcPr>
          <w:p>
            <w:pPr>
              <w:spacing w:after="0"/>
              <w:rPr>
                <w:sz w:val="1"/>
                <w:szCs w:val="1"/>
                <w:color w:val="auto"/>
              </w:rPr>
            </w:pPr>
          </w:p>
        </w:tc>
      </w:tr>
      <w:tr>
        <w:trPr>
          <w:trHeight w:val="77"/>
        </w:trPr>
        <w:tc>
          <w:tcPr>
            <w:tcW w:w="7080" w:type="dxa"/>
            <w:vAlign w:val="bottom"/>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b w:val="1"/>
          <w:bCs w:val="1"/>
          <w:color w:val="auto"/>
          <w:vertAlign w:val="superscript"/>
        </w:rPr>
      </w:pPr>
      <w:r>
        <w:rPr>
          <w:rFonts w:ascii="Arial" w:cs="Arial" w:eastAsia="Arial" w:hAnsi="Arial"/>
          <w:sz w:val="16"/>
          <w:szCs w:val="16"/>
          <w:color w:val="auto"/>
        </w:rPr>
        <w:t>Segment profit (loss) represents operating income (loss).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0"/>
        </w:numPr>
        <w:rPr>
          <w:rFonts w:ascii="Arial" w:cs="Arial" w:eastAsia="Arial" w:hAnsi="Arial"/>
          <w:sz w:val="22"/>
          <w:szCs w:val="22"/>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76" w:right="239" w:bottom="1440" w:gutter="0" w:footer="0" w:header="0"/>
        </w:sectPr>
      </w:pPr>
    </w:p>
    <w:bookmarkStart w:id="19" w:name="page20"/>
    <w:bookmarkEnd w:id="19"/>
    <w:tbl>
      <w:tblPr>
        <w:tblLayout w:type="fixed"/>
        <w:tblInd w:w="26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2200" w:type="dxa"/>
            <w:vAlign w:val="bottom"/>
            <w:gridSpan w:val="7"/>
          </w:tcPr>
          <w:p>
            <w:pPr>
              <w:ind w:left="120"/>
              <w:spacing w:after="0"/>
              <w:rPr>
                <w:sz w:val="20"/>
                <w:szCs w:val="20"/>
                <w:color w:val="auto"/>
              </w:rPr>
            </w:pPr>
            <w:r>
              <w:rPr>
                <w:rFonts w:ascii="Arial" w:cs="Arial" w:eastAsia="Arial" w:hAnsi="Arial"/>
                <w:sz w:val="15"/>
                <w:szCs w:val="15"/>
                <w:b w:val="1"/>
                <w:bCs w:val="1"/>
                <w:color w:val="auto"/>
              </w:rPr>
              <w:t>Three months ended June</w:t>
            </w:r>
          </w:p>
        </w:tc>
        <w:tc>
          <w:tcPr>
            <w:tcW w:w="220" w:type="dxa"/>
            <w:vAlign w:val="bottom"/>
          </w:tcPr>
          <w:p>
            <w:pPr>
              <w:spacing w:after="0"/>
              <w:rPr>
                <w:sz w:val="14"/>
                <w:szCs w:val="14"/>
                <w:color w:val="auto"/>
              </w:rPr>
            </w:pPr>
          </w:p>
        </w:tc>
        <w:tc>
          <w:tcPr>
            <w:tcW w:w="1860" w:type="dxa"/>
            <w:vAlign w:val="bottom"/>
            <w:gridSpan w:val="4"/>
          </w:tcPr>
          <w:p>
            <w:pPr>
              <w:jc w:val="right"/>
              <w:ind w:right="323"/>
              <w:spacing w:after="0"/>
              <w:rPr>
                <w:sz w:val="20"/>
                <w:szCs w:val="20"/>
                <w:color w:val="auto"/>
              </w:rPr>
            </w:pPr>
            <w:r>
              <w:rPr>
                <w:rFonts w:ascii="Arial" w:cs="Arial" w:eastAsia="Arial" w:hAnsi="Arial"/>
                <w:sz w:val="15"/>
                <w:szCs w:val="15"/>
                <w:b w:val="1"/>
                <w:bCs w:val="1"/>
                <w:color w:val="auto"/>
              </w:rPr>
              <w:t>Six months ended</w:t>
            </w:r>
          </w:p>
        </w:tc>
      </w:tr>
      <w:tr>
        <w:trPr>
          <w:trHeight w:val="206"/>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Depreciation and Amortization Expense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2018</w:t>
            </w:r>
          </w:p>
        </w:tc>
      </w:tr>
      <w:tr>
        <w:trPr>
          <w:trHeight w:val="119"/>
        </w:trPr>
        <w:tc>
          <w:tcPr>
            <w:tcW w:w="6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10,559</w:t>
            </w:r>
          </w:p>
        </w:tc>
      </w:tr>
      <w:tr>
        <w:trPr>
          <w:trHeight w:val="266"/>
        </w:trPr>
        <w:tc>
          <w:tcPr>
            <w:tcW w:w="6680" w:type="dxa"/>
            <w:vAlign w:val="bottom"/>
          </w:tcPr>
          <w:p>
            <w:pPr>
              <w:ind w:left="40"/>
              <w:spacing w:after="0"/>
              <w:rPr>
                <w:sz w:val="20"/>
                <w:szCs w:val="20"/>
                <w:color w:val="auto"/>
              </w:rPr>
            </w:pPr>
            <w:r>
              <w:rPr>
                <w:rFonts w:ascii="Arial" w:cs="Arial" w:eastAsia="Arial" w:hAnsi="Arial"/>
                <w:sz w:val="15"/>
                <w:szCs w:val="15"/>
                <w:color w:val="auto"/>
              </w:rPr>
              <w:t>Ergobaby</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2,113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2,246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4,224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4,288</w:t>
            </w:r>
          </w:p>
        </w:tc>
      </w:tr>
      <w:tr>
        <w:trPr>
          <w:trHeight w:val="274"/>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716</w:t>
            </w:r>
          </w:p>
        </w:tc>
      </w:tr>
      <w:tr>
        <w:trPr>
          <w:trHeight w:val="266"/>
        </w:trPr>
        <w:tc>
          <w:tcPr>
            <w:tcW w:w="668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3,289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2,013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6,540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4,004</w:t>
            </w:r>
          </w:p>
        </w:tc>
      </w:tr>
      <w:tr>
        <w:trPr>
          <w:trHeight w:val="274"/>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1,598</w:t>
            </w:r>
          </w:p>
        </w:tc>
      </w:tr>
      <w:tr>
        <w:trPr>
          <w:trHeight w:val="266"/>
        </w:trPr>
        <w:tc>
          <w:tcPr>
            <w:tcW w:w="6680" w:type="dxa"/>
            <w:vAlign w:val="bottom"/>
          </w:tcPr>
          <w:p>
            <w:pPr>
              <w:ind w:left="40"/>
              <w:spacing w:after="0"/>
              <w:rPr>
                <w:sz w:val="20"/>
                <w:szCs w:val="20"/>
                <w:color w:val="auto"/>
              </w:rPr>
            </w:pPr>
            <w:r>
              <w:rPr>
                <w:rFonts w:ascii="Arial" w:cs="Arial" w:eastAsia="Arial" w:hAnsi="Arial"/>
                <w:sz w:val="15"/>
                <w:szCs w:val="15"/>
                <w:color w:val="auto"/>
              </w:rPr>
              <w:t>Arnold</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1,568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3,202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3,084</w:t>
            </w:r>
          </w:p>
        </w:tc>
      </w:tr>
      <w:tr>
        <w:trPr>
          <w:trHeight w:val="274"/>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Foam Fabricators</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4,767</w:t>
            </w:r>
          </w:p>
        </w:tc>
      </w:tr>
      <w:tr>
        <w:trPr>
          <w:trHeight w:val="266"/>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Sterno</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5,545</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10,972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10,917</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13,871</w:t>
            </w:r>
          </w:p>
        </w:tc>
      </w:tr>
      <w:tr>
        <w:trPr>
          <w:trHeight w:val="268"/>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27,035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43,337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42,887</w:t>
            </w:r>
          </w:p>
        </w:tc>
      </w:tr>
      <w:tr>
        <w:trPr>
          <w:trHeight w:val="266"/>
        </w:trPr>
        <w:tc>
          <w:tcPr>
            <w:tcW w:w="6680" w:type="dxa"/>
            <w:vAlign w:val="bottom"/>
          </w:tcPr>
          <w:p>
            <w:pPr>
              <w:ind w:left="40"/>
              <w:spacing w:after="0"/>
              <w:rPr>
                <w:sz w:val="20"/>
                <w:szCs w:val="20"/>
                <w:color w:val="auto"/>
              </w:rPr>
            </w:pPr>
            <w:r>
              <w:rPr>
                <w:rFonts w:ascii="Arial" w:cs="Arial" w:eastAsia="Arial" w:hAnsi="Arial"/>
                <w:sz w:val="15"/>
                <w:szCs w:val="15"/>
                <w:b w:val="1"/>
                <w:bCs w:val="1"/>
                <w:color w:val="auto"/>
              </w:rPr>
              <w:t>Reconciliation of segment to consolidated total:</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Amortization of debt issuance costs and original issue discount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971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2,159</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2,324</w:t>
            </w:r>
          </w:p>
        </w:tc>
      </w:tr>
      <w:tr>
        <w:trPr>
          <w:trHeight w:val="268"/>
        </w:trPr>
        <w:tc>
          <w:tcPr>
            <w:tcW w:w="6680" w:type="dxa"/>
            <w:vAlign w:val="bottom"/>
          </w:tcPr>
          <w:p>
            <w:pPr>
              <w:ind w:left="280"/>
              <w:spacing w:after="0"/>
              <w:rPr>
                <w:sz w:val="20"/>
                <w:szCs w:val="20"/>
                <w:color w:val="auto"/>
              </w:rPr>
            </w:pPr>
            <w:r>
              <w:rPr>
                <w:rFonts w:ascii="Arial" w:cs="Arial" w:eastAsia="Arial" w:hAnsi="Arial"/>
                <w:sz w:val="15"/>
                <w:szCs w:val="15"/>
                <w:color w:val="auto"/>
              </w:rPr>
              <w:t>Consolidated total</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22,831</w:t>
            </w:r>
          </w:p>
        </w:tc>
        <w:tc>
          <w:tcPr>
            <w:tcW w:w="4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28,006</w:t>
            </w:r>
          </w:p>
        </w:tc>
        <w:tc>
          <w:tcPr>
            <w:tcW w:w="12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45,496</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45,211</w:t>
            </w: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Accounts Receivable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5"/>
                <w:szCs w:val="15"/>
                <w:b w:val="1"/>
                <w:bCs w:val="1"/>
                <w:color w:val="auto"/>
              </w:rPr>
              <w:t>Identifiable Assets</w:t>
            </w:r>
          </w:p>
        </w:tc>
      </w:tr>
      <w:tr>
        <w:trPr>
          <w:trHeight w:val="260"/>
        </w:trPr>
        <w:tc>
          <w:tcPr>
            <w:tcW w:w="5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22"/>
                <w:szCs w:val="22"/>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12"/>
                <w:szCs w:val="12"/>
                <w:b w:val="1"/>
                <w:bCs w:val="1"/>
                <w:color w:val="auto"/>
              </w:rPr>
              <w:t>(1)</w:t>
            </w:r>
          </w:p>
        </w:tc>
      </w:tr>
      <w:tr>
        <w:trPr>
          <w:trHeight w:val="25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51,108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52,069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356,579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319,583</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Ergobaby</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11,278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11,361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97,039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100,679</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40,524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27,881</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18,803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21,881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208,563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209,398</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13,407</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Arnold</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16,938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16,298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74,165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66,744</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Foam Fabricators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27,090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23,848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159,667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155,504</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Sterno</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55,528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72,361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264,611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253,637</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Allowance for doubtful accounts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r>
      <w:tr>
        <w:trPr>
          <w:trHeight w:val="246"/>
        </w:trPr>
        <w:tc>
          <w:tcPr>
            <w:tcW w:w="5080" w:type="dxa"/>
            <w:vAlign w:val="bottom"/>
          </w:tcPr>
          <w:p>
            <w:pPr>
              <w:ind w:left="4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187,321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205,545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1,223,262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1,146,833</w:t>
            </w:r>
          </w:p>
        </w:tc>
      </w:tr>
      <w:tr>
        <w:trPr>
          <w:trHeight w:val="25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Reconciliation of segment to consolidated total:</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Corporate and other identifiable assets</w:t>
            </w: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504,008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8,357</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Assets of discontinued operations</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540,485</w:t>
            </w:r>
          </w:p>
        </w:tc>
      </w:tr>
      <w:tr>
        <w:trPr>
          <w:trHeight w:val="233"/>
        </w:trPr>
        <w:tc>
          <w:tcPr>
            <w:tcW w:w="5080" w:type="dxa"/>
            <w:vAlign w:val="bottom"/>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187,321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205,545</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1,727,270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1,695,675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1">
        <w:r>
          <w:rPr>
            <w:rFonts w:ascii="Arial" w:cs="Arial" w:eastAsia="Arial" w:hAnsi="Arial"/>
            <w:sz w:val="16"/>
            <w:szCs w:val="16"/>
            <w:u w:val="single" w:color="auto"/>
            <w:color w:val="0000EE"/>
          </w:rPr>
          <w:t>Note G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6"/>
          <w:szCs w:val="16"/>
          <w:color w:val="auto"/>
        </w:rPr>
        <w:t>20</w:t>
      </w:r>
    </w:p>
    <w:p>
      <w:pPr>
        <w:sectPr>
          <w:pgSz w:w="11900" w:h="16838" w:orient="portrait"/>
          <w:cols w:equalWidth="0" w:num="1">
            <w:col w:w="11260"/>
          </w:cols>
          <w:pgMar w:left="240" w:top="675"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June 30, 2019 and December 31, 2018 (in thousands):</w:t>
      </w:r>
    </w:p>
    <w:p>
      <w:pPr>
        <w:spacing w:after="0" w:line="36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17"/>
                <w:szCs w:val="17"/>
                <w:color w:val="auto"/>
              </w:rPr>
            </w:pPr>
          </w:p>
        </w:tc>
        <w:tc>
          <w:tcPr>
            <w:tcW w:w="1800" w:type="dxa"/>
            <w:vAlign w:val="bottom"/>
          </w:tcPr>
          <w:p>
            <w:pPr>
              <w:jc w:val="right"/>
              <w:ind w:right="24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Machinery and equipment</w:t>
            </w:r>
          </w:p>
        </w:tc>
        <w:tc>
          <w:tcPr>
            <w:tcW w:w="30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181,358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174,983</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Furniture, fixtures and other</w:t>
            </w:r>
          </w:p>
        </w:tc>
        <w:tc>
          <w:tcPr>
            <w:tcW w:w="30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31,786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29,096</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3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34,609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34,786</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Buildings and land</w:t>
            </w:r>
          </w:p>
        </w:tc>
        <w:tc>
          <w:tcPr>
            <w:tcW w:w="30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11,801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9,818</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Construction in process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9,830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8,869</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269,384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257,552</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3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(110,951)</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900" w:type="dxa"/>
            <w:vAlign w:val="bottom"/>
          </w:tcPr>
          <w:p>
            <w:pPr>
              <w:ind w:left="38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143,313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146,601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Depreciation expense was $ 8.2 million and $16.2 million for the three and six months ended June 30, 2019 and $7.9 million and $14.9 million for the three and six months ended June 30,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June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17"/>
                <w:szCs w:val="17"/>
                <w:color w:val="auto"/>
              </w:rPr>
            </w:pPr>
          </w:p>
        </w:tc>
        <w:tc>
          <w:tcPr>
            <w:tcW w:w="1800" w:type="dxa"/>
            <w:vAlign w:val="bottom"/>
          </w:tcPr>
          <w:p>
            <w:pPr>
              <w:jc w:val="right"/>
              <w:ind w:right="24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Raw materials</w:t>
            </w:r>
          </w:p>
        </w:tc>
        <w:tc>
          <w:tcPr>
            <w:tcW w:w="30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60,243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60,788</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Work-in-process</w:t>
            </w:r>
          </w:p>
        </w:tc>
        <w:tc>
          <w:tcPr>
            <w:tcW w:w="30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13,689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12,915</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Finished goods</w:t>
            </w:r>
          </w:p>
        </w:tc>
        <w:tc>
          <w:tcPr>
            <w:tcW w:w="3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272,238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253,982</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Less: obsolescence reserve</w:t>
            </w:r>
          </w:p>
        </w:tc>
        <w:tc>
          <w:tcPr>
            <w:tcW w:w="30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(18,513)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5"/>
                <w:szCs w:val="15"/>
                <w:color w:val="auto"/>
              </w:rPr>
              <w:t>(20,248)</w:t>
            </w:r>
          </w:p>
        </w:tc>
        <w:tc>
          <w:tcPr>
            <w:tcW w:w="0" w:type="dxa"/>
            <w:vAlign w:val="bottom"/>
          </w:tcPr>
          <w:p>
            <w:pPr>
              <w:spacing w:after="0"/>
              <w:rPr>
                <w:sz w:val="1"/>
                <w:szCs w:val="1"/>
                <w:color w:val="auto"/>
              </w:rPr>
            </w:pPr>
          </w:p>
        </w:tc>
      </w:tr>
      <w:tr>
        <w:trPr>
          <w:trHeight w:val="58"/>
        </w:trPr>
        <w:tc>
          <w:tcPr>
            <w:tcW w:w="4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327,657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307,437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The Arnold business previously comprised three reporting units when it was acquired in March 2012, but as a result of changes implemented by Arnold management during 2016 and 2017, the Company reassessed the reporting units at Arnold as of the annual impairment testing date in 2018. After evaluating changes in the operation of the reporting units that led to increased integration and altered how the financial results of the Arnold operating segment were assessed by Arnold management, the Company determined that the previously identified reporting units no longer operate in the same manner as they did when the Company acquired Arnold. As a result, the separate Arnold reporting units were determined to only comprise one reporting unit at the Arnold operating segment level as of March 31, 2018. As part of the exercise of combining the separate Arnold reporting units into one reporting unit, the Company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which will represent the reporting unit for future impairment tests.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All of the Company's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14" w:right="239" w:bottom="1440" w:gutter="0" w:footer="0" w:header="0"/>
        </w:sectPr>
      </w:pPr>
    </w:p>
    <w:bookmarkStart w:id="21" w:name="page22"/>
    <w:bookmarkEnd w:id="21"/>
    <w:p>
      <w:pPr>
        <w:jc w:val="both"/>
        <w:spacing w:after="0" w:line="252" w:lineRule="auto"/>
        <w:rPr>
          <w:sz w:val="20"/>
          <w:szCs w:val="20"/>
          <w:color w:val="auto"/>
        </w:rPr>
      </w:pPr>
      <w:r>
        <w:rPr>
          <w:rFonts w:ascii="Arial" w:cs="Arial" w:eastAsia="Arial" w:hAnsi="Arial"/>
          <w:sz w:val="18"/>
          <w:szCs w:val="18"/>
          <w:color w:val="auto"/>
        </w:rPr>
        <w:t>reporting units except Liberty were tested qualitatively at March 31, 2019. We determined that the Liberty reporting unit required additional quantitative testing because we could not conclude that the fair value of the reporting unit exceeded its carrying value based on qualitative factors alone. We used an income approach and market approach for the quantitative impairment test that was performed of the Liberty business at March 31, 2019, with equal weighting assigned to each. The discount rate used in the income approach was 14.8%. The results of the quantitative impairment testing indicated that the fair value of the Liberty reporting unit exceeded the carrying value. For the reporting units that were tested qualitatively for the 2019 annual impairment testing, the results of the qualitative analysis indicated that it is more likely than not that the fair value exceeded their carrying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Annual Impairment Testing</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reporting units that were tested qualitatively for the 2018 annual impairment testing, the results of the qualitative analysis indicated that the fair value exceeded their carrying value. At March 31, 2018, we determined that the Flexmag reporting unit of Arnold required additional quantitative testing because we could not conclude that the fair value of the reporting unit exceeded its carrying value based on qualitative factors alone. For the quantitative impairment test of Flexmag, we estimated the fair value of the reporting unit using an income approach,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and reporting unit specific economic conditions. The discount rate used is based on the weighted average cost of capital adjusted for the relevant risk associated with the business and the uncertainty associated with the reporting unit's ability to execute on the projected cash flows. The discount rate used in the income approach for Flexmag was 12.4%.</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reporting unit change at Arnold, a quantitative impairment test was performed of the Arnold business at March 31, 2018 using an income approach. The discount rate used in the income approach was 12.6%. The results of the quantitative impairment testing indicated that the fair value of the Arnold reporting unit exceeded the carrying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June 30, 2019 and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ind w:left="20"/>
              <w:spacing w:after="0"/>
              <w:rPr>
                <w:sz w:val="20"/>
                <w:szCs w:val="20"/>
                <w:color w:val="auto"/>
              </w:rPr>
            </w:pPr>
            <w:r>
              <w:rPr>
                <w:rFonts w:ascii="Arial" w:cs="Arial" w:eastAsia="Arial" w:hAnsi="Arial"/>
                <w:sz w:val="15"/>
                <w:szCs w:val="15"/>
                <w:b w:val="1"/>
                <w:bCs w:val="1"/>
                <w:color w:val="auto"/>
              </w:rPr>
              <w:t>Six months ended June 30,</w:t>
            </w:r>
          </w:p>
        </w:tc>
        <w:tc>
          <w:tcPr>
            <w:tcW w:w="280" w:type="dxa"/>
            <w:vAlign w:val="bottom"/>
          </w:tcPr>
          <w:p>
            <w:pPr>
              <w:spacing w:after="0"/>
              <w:rPr>
                <w:sz w:val="14"/>
                <w:szCs w:val="14"/>
                <w:color w:val="auto"/>
              </w:rPr>
            </w:pPr>
          </w:p>
        </w:tc>
        <w:tc>
          <w:tcPr>
            <w:tcW w:w="1940" w:type="dxa"/>
            <w:vAlign w:val="bottom"/>
          </w:tcPr>
          <w:p>
            <w:pPr>
              <w:jc w:val="right"/>
              <w:ind w:right="643"/>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 - gross carrying amount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502,553</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502,268</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40"/>
              <w:spacing w:after="0"/>
              <w:rPr>
                <w:sz w:val="20"/>
                <w:szCs w:val="20"/>
                <w:color w:val="auto"/>
              </w:rPr>
            </w:pPr>
            <w:r>
              <w:rPr>
                <w:rFonts w:ascii="Arial" w:cs="Arial" w:eastAsia="Arial" w:hAnsi="Arial"/>
                <w:sz w:val="15"/>
                <w:szCs w:val="15"/>
                <w:color w:val="auto"/>
              </w:rPr>
              <w:t>Accumulated impairment losses</w:t>
            </w:r>
          </w:p>
        </w:tc>
        <w:tc>
          <w:tcPr>
            <w:tcW w:w="100" w:type="dxa"/>
            <w:vAlign w:val="bottom"/>
          </w:tcPr>
          <w:p>
            <w:pPr>
              <w:spacing w:after="0"/>
              <w:rPr>
                <w:sz w:val="18"/>
                <w:szCs w:val="18"/>
                <w:color w:val="auto"/>
              </w:rPr>
            </w:pPr>
          </w:p>
        </w:tc>
        <w:tc>
          <w:tcPr>
            <w:tcW w:w="2100" w:type="dxa"/>
            <w:vAlign w:val="bottom"/>
            <w:vMerge w:val="restart"/>
          </w:tcPr>
          <w:p>
            <w:pPr>
              <w:jc w:val="right"/>
              <w:spacing w:after="0"/>
              <w:rPr>
                <w:sz w:val="20"/>
                <w:szCs w:val="20"/>
                <w:color w:val="auto"/>
              </w:rPr>
            </w:pPr>
            <w:r>
              <w:rPr>
                <w:rFonts w:ascii="Arial" w:cs="Arial" w:eastAsia="Arial" w:hAnsi="Arial"/>
                <w:sz w:val="15"/>
                <w:szCs w:val="15"/>
                <w:color w:val="auto"/>
              </w:rPr>
              <w:t>(31,153)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Arial" w:cs="Arial" w:eastAsia="Arial" w:hAnsi="Arial"/>
                <w:sz w:val="15"/>
                <w:szCs w:val="15"/>
                <w:color w:val="auto"/>
              </w:rPr>
              <w:t>(31,153)</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 - net carrying amount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471,400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471,115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six months ended June 30, 2019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0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at January 1,</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Goodwill</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w:t>
            </w:r>
          </w:p>
        </w:tc>
      </w:tr>
      <w:tr>
        <w:trPr>
          <w:trHeight w:val="196"/>
        </w:trPr>
        <w:tc>
          <w:tcPr>
            <w:tcW w:w="2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5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92,966</w:t>
            </w: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Ergobaby</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61,031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61,031</w:t>
            </w: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Liberty</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32,828</w:t>
            </w: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Velocity Outdoor</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62,675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62,960</w:t>
            </w: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ACI</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58,019</w:t>
            </w:r>
          </w:p>
        </w:tc>
      </w:tr>
      <w:tr>
        <w:trPr>
          <w:trHeight w:val="270"/>
        </w:trPr>
        <w:tc>
          <w:tcPr>
            <w:tcW w:w="2640" w:type="dxa"/>
            <w:vAlign w:val="bottom"/>
          </w:tcPr>
          <w:p>
            <w:pPr>
              <w:ind w:left="20"/>
              <w:spacing w:after="0"/>
              <w:rPr>
                <w:sz w:val="20"/>
                <w:szCs w:val="20"/>
                <w:color w:val="auto"/>
              </w:rPr>
            </w:pPr>
            <w:r>
              <w:rPr>
                <w:rFonts w:ascii="Arial" w:cs="Arial" w:eastAsia="Arial" w:hAnsi="Arial"/>
                <w:sz w:val="14"/>
                <w:szCs w:val="14"/>
                <w:color w:val="auto"/>
              </w:rPr>
              <w:t xml:space="preserve">Arnold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26,903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26,903</w:t>
            </w:r>
          </w:p>
        </w:tc>
      </w:tr>
      <w:tr>
        <w:trPr>
          <w:trHeight w:val="27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Foam Fabricators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72,708</w:t>
            </w: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Sterno</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55,336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55,336</w:t>
            </w: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8,649</w:t>
            </w:r>
          </w:p>
        </w:tc>
      </w:tr>
      <w:tr>
        <w:trPr>
          <w:trHeight w:val="264"/>
        </w:trPr>
        <w:tc>
          <w:tcPr>
            <w:tcW w:w="2640" w:type="dxa"/>
            <w:vAlign w:val="bottom"/>
          </w:tcPr>
          <w:p>
            <w:pPr>
              <w:ind w:left="2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471,115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471,400</w:t>
            </w:r>
          </w:p>
        </w:tc>
      </w:tr>
      <w:tr>
        <w:trPr>
          <w:trHeight w:val="20"/>
        </w:trPr>
        <w:tc>
          <w:tcPr>
            <w:tcW w:w="2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5"/>
          <w:szCs w:val="25"/>
          <w:b w:val="1"/>
          <w:bCs w:val="1"/>
          <w:color w:val="auto"/>
          <w:vertAlign w:val="superscript"/>
        </w:rPr>
      </w:pPr>
      <w:r>
        <w:rPr>
          <w:rFonts w:ascii="Arial" w:cs="Arial" w:eastAsia="Arial" w:hAnsi="Arial"/>
          <w:sz w:val="16"/>
          <w:szCs w:val="16"/>
          <w:color w:val="auto"/>
        </w:rPr>
        <w:t>Arnold had three reporting units which were combined into one reporting unit effective March 31, 2018.</w:t>
      </w:r>
    </w:p>
    <w:p>
      <w:pPr>
        <w:spacing w:after="0" w:line="88" w:lineRule="exact"/>
        <w:rPr>
          <w:rFonts w:ascii="Arial" w:cs="Arial" w:eastAsia="Arial" w:hAnsi="Arial"/>
          <w:sz w:val="25"/>
          <w:szCs w:val="25"/>
          <w:b w:val="1"/>
          <w:bCs w:val="1"/>
          <w:color w:val="auto"/>
          <w:vertAlign w:val="superscript"/>
        </w:rPr>
      </w:pPr>
    </w:p>
    <w:p>
      <w:pPr>
        <w:ind w:left="340" w:hanging="332"/>
        <w:spacing w:after="0" w:line="215" w:lineRule="auto"/>
        <w:tabs>
          <w:tab w:leader="none" w:pos="340" w:val="left"/>
        </w:tabs>
        <w:numPr>
          <w:ilvl w:val="0"/>
          <w:numId w:val="12"/>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2019 and 2018. Results of the qualitative analysis indicate that it is more likely than not that the fair value of the reporting units that maintain indefinite lived intangible assets exceeded the carrying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June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300" w:type="dxa"/>
            <w:vAlign w:val="bottom"/>
            <w:gridSpan w:val="2"/>
          </w:tcPr>
          <w:p>
            <w:pPr>
              <w:jc w:val="right"/>
              <w:ind w:right="340"/>
              <w:spacing w:after="0" w:line="15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3"/>
                <w:szCs w:val="13"/>
                <w:color w:val="auto"/>
              </w:rPr>
            </w:pP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462,686</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(138,009)</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324,677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462,686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(120,786)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341,900</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Technology and patents</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79,732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(26,098)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53,634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79,646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56,237</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names,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189,165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(39,506)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149,659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189,056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156,550</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Licensing and non-compete agreements</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7,515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(6,852)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7,515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(6,655)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Distributor relations and other</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739,824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(211,191)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528,633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739,629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(184,082)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555,547</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names, not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59,985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60,045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60,045</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380"/>
              <w:spacing w:after="0"/>
              <w:rPr>
                <w:sz w:val="20"/>
                <w:szCs w:val="20"/>
                <w:color w:val="auto"/>
              </w:rPr>
            </w:pPr>
            <w:r>
              <w:rPr>
                <w:rFonts w:ascii="Arial" w:cs="Arial" w:eastAsia="Arial" w:hAnsi="Arial"/>
                <w:sz w:val="14"/>
                <w:szCs w:val="14"/>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799,809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(211,191)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588,618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799,674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(184,082)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615,592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Amortization expense related to intangible assets was $13.5 million and $14.5 million for the three months ended June 30, 2019 and 2018, respectively, and $27.1 million and $22.7 million for the six months ended June 30, 2019 and 2018, respectively. Estimated charges to amortization expense of intangible assets for the remainder of 2019 and the next four years,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282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122"/>
        </w:trPr>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27,167</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53,639</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51,978</w:t>
            </w:r>
          </w:p>
        </w:tc>
        <w:tc>
          <w:tcPr>
            <w:tcW w:w="120" w:type="dxa"/>
            <w:vAlign w:val="bottom"/>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six months ended June 30, 2019 and the year ended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ind w:left="20"/>
              <w:spacing w:after="0"/>
              <w:rPr>
                <w:sz w:val="20"/>
                <w:szCs w:val="20"/>
                <w:color w:val="auto"/>
              </w:rPr>
            </w:pPr>
            <w:r>
              <w:rPr>
                <w:rFonts w:ascii="Arial" w:cs="Arial" w:eastAsia="Arial" w:hAnsi="Arial"/>
                <w:sz w:val="15"/>
                <w:szCs w:val="15"/>
                <w:b w:val="1"/>
                <w:bCs w:val="1"/>
                <w:color w:val="auto"/>
              </w:rPr>
              <w:t>Six months ended June</w:t>
            </w:r>
          </w:p>
        </w:tc>
        <w:tc>
          <w:tcPr>
            <w:tcW w:w="220" w:type="dxa"/>
            <w:vAlign w:val="bottom"/>
          </w:tcPr>
          <w:p>
            <w:pPr>
              <w:spacing w:after="0"/>
              <w:rPr>
                <w:sz w:val="15"/>
                <w:szCs w:val="15"/>
                <w:color w:val="auto"/>
              </w:rPr>
            </w:pPr>
          </w:p>
        </w:tc>
        <w:tc>
          <w:tcPr>
            <w:tcW w:w="1780" w:type="dxa"/>
            <w:vAlign w:val="bottom"/>
          </w:tcPr>
          <w:p>
            <w:pPr>
              <w:jc w:val="right"/>
              <w:ind w:right="523"/>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6"/>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Warranty liability</w:t>
            </w: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30, 2019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1,624</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2,197</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40"/>
              <w:spacing w:after="0"/>
              <w:rPr>
                <w:sz w:val="20"/>
                <w:szCs w:val="20"/>
                <w:color w:val="auto"/>
              </w:rPr>
            </w:pPr>
            <w:r>
              <w:rPr>
                <w:rFonts w:ascii="Arial" w:cs="Arial" w:eastAsia="Arial" w:hAnsi="Arial"/>
                <w:sz w:val="15"/>
                <w:szCs w:val="15"/>
                <w:color w:val="auto"/>
              </w:rPr>
              <w:t>Provision for warranties issued during the period</w:t>
            </w:r>
          </w:p>
        </w:tc>
        <w:tc>
          <w:tcPr>
            <w:tcW w:w="120" w:type="dxa"/>
            <w:vAlign w:val="bottom"/>
          </w:tcPr>
          <w:p>
            <w:pPr>
              <w:spacing w:after="0"/>
              <w:rPr>
                <w:sz w:val="18"/>
                <w:szCs w:val="18"/>
                <w:color w:val="auto"/>
              </w:rPr>
            </w:pPr>
          </w:p>
        </w:tc>
        <w:tc>
          <w:tcPr>
            <w:tcW w:w="1880" w:type="dxa"/>
            <w:vAlign w:val="bottom"/>
            <w:vMerge w:val="restart"/>
          </w:tcPr>
          <w:p>
            <w:pPr>
              <w:jc w:val="right"/>
              <w:ind w:right="3"/>
              <w:spacing w:after="0"/>
              <w:rPr>
                <w:sz w:val="20"/>
                <w:szCs w:val="20"/>
                <w:color w:val="auto"/>
              </w:rPr>
            </w:pPr>
            <w:r>
              <w:rPr>
                <w:rFonts w:ascii="Arial" w:cs="Arial" w:eastAsia="Arial" w:hAnsi="Arial"/>
                <w:sz w:val="15"/>
                <w:szCs w:val="15"/>
                <w:color w:val="auto"/>
              </w:rPr>
              <w:t>1,540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restart"/>
          </w:tcPr>
          <w:p>
            <w:pPr>
              <w:jc w:val="right"/>
              <w:ind w:right="3"/>
              <w:spacing w:after="0"/>
              <w:rPr>
                <w:sz w:val="20"/>
                <w:szCs w:val="20"/>
                <w:color w:val="auto"/>
              </w:rPr>
            </w:pPr>
            <w:r>
              <w:rPr>
                <w:rFonts w:ascii="Arial" w:cs="Arial" w:eastAsia="Arial" w:hAnsi="Arial"/>
                <w:sz w:val="15"/>
                <w:szCs w:val="15"/>
                <w:color w:val="auto"/>
              </w:rPr>
              <w:t>3,531</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Fulfillment of warranty obligations</w:t>
            </w:r>
          </w:p>
        </w:tc>
        <w:tc>
          <w:tcPr>
            <w:tcW w:w="12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(4,258)</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4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2"/>
                <w:szCs w:val="12"/>
                <w:b w:val="1"/>
                <w:bCs w:val="1"/>
                <w:color w:val="auto"/>
              </w:rPr>
              <w:t>(1)</w:t>
            </w:r>
          </w:p>
        </w:tc>
        <w:tc>
          <w:tcPr>
            <w:tcW w:w="120" w:type="dxa"/>
            <w:vAlign w:val="bottom"/>
          </w:tcPr>
          <w:p>
            <w:pPr>
              <w:spacing w:after="0"/>
              <w:rPr>
                <w:sz w:val="18"/>
                <w:szCs w:val="18"/>
                <w:color w:val="auto"/>
              </w:rPr>
            </w:pPr>
          </w:p>
        </w:tc>
        <w:tc>
          <w:tcPr>
            <w:tcW w:w="1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780" w:type="dxa"/>
            <w:vAlign w:val="bottom"/>
            <w:vMerge w:val="restart"/>
          </w:tcPr>
          <w:p>
            <w:pPr>
              <w:jc w:val="right"/>
              <w:ind w:right="3"/>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b w:val="1"/>
          <w:bCs w:val="1"/>
          <w:color w:val="auto"/>
          <w:vertAlign w:val="superscript"/>
        </w:rPr>
      </w:pPr>
      <w:r>
        <w:rPr>
          <w:rFonts w:ascii="Arial" w:cs="Arial" w:eastAsia="Arial" w:hAnsi="Arial"/>
          <w:sz w:val="15"/>
          <w:szCs w:val="15"/>
          <w:color w:val="auto"/>
        </w:rPr>
        <w:t>Represents the warranty liability recorded in relation to acquisitions. Warranty liabilities of acquisitions are recorded at fair value as of the date of acquisition.</w:t>
      </w:r>
    </w:p>
    <w:p>
      <w:pPr>
        <w:spacing w:after="0" w:line="200" w:lineRule="exact"/>
        <w:rPr>
          <w:rFonts w:ascii="Arial" w:cs="Arial" w:eastAsia="Arial" w:hAnsi="Arial"/>
          <w:sz w:val="23"/>
          <w:szCs w:val="23"/>
          <w:b w:val="1"/>
          <w:bCs w:val="1"/>
          <w:color w:val="auto"/>
          <w:vertAlign w:val="superscript"/>
        </w:rPr>
      </w:pPr>
    </w:p>
    <w:p>
      <w:pPr>
        <w:spacing w:after="0" w:line="253" w:lineRule="exact"/>
        <w:rPr>
          <w:rFonts w:ascii="Arial" w:cs="Arial" w:eastAsia="Arial" w:hAnsi="Arial"/>
          <w:sz w:val="23"/>
          <w:szCs w:val="23"/>
          <w:b w:val="1"/>
          <w:bCs w:val="1"/>
          <w:color w:val="auto"/>
          <w:vertAlign w:val="superscript"/>
        </w:rPr>
      </w:pPr>
    </w:p>
    <w:p>
      <w:pPr>
        <w:ind w:left="5620"/>
        <w:spacing w:after="0"/>
        <w:rPr>
          <w:rFonts w:ascii="Arial" w:cs="Arial" w:eastAsia="Arial" w:hAnsi="Arial"/>
          <w:sz w:val="23"/>
          <w:szCs w:val="23"/>
          <w:b w:val="1"/>
          <w:bCs w:val="1"/>
          <w:color w:val="auto"/>
          <w:vertAlign w:val="superscript"/>
        </w:rPr>
      </w:pPr>
      <w:r>
        <w:rPr>
          <w:rFonts w:ascii="Arial" w:cs="Arial" w:eastAsia="Arial" w:hAnsi="Arial"/>
          <w:sz w:val="16"/>
          <w:szCs w:val="16"/>
          <w:color w:val="auto"/>
        </w:rPr>
        <w:t>23</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I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 The 2018 Credit Facility provides for (i) revolving loans, swing line loans and letters of credit (the “2018 Revolving Credit Facility”) up to a maximum aggregate amount of $600 million (the "2018 Revolving Loan Commitment"), and (ii) a $500 million term loan (the “2018 Term Loan”).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2018 Term Loan was issued at an original issuance discount of 99.75%. The 2018 Term Loan requires quarterly payments of $1.25 million commencing June 30, 2018, with a final payment of all remaining principal and interest due on April 18, 2025, the maturity date of the 2018 Term Loan. All amounts outstanding under the 2018 Revolving Credit Facility will become due on April 18, 2023, which is the maturity date of loans advanced under the 2018 Revolving Credit Facility. The 2018 Credit Facility also permits the Company, prior to the applicable maturity date, to increase the 2018 Revolving Loan Commitment and/or obtain additional term loans in an aggregate amount of up to $250 million (the “Incremental Loans”), subject to certain restrictions and conditions.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borrow, prepay and reborrow principal under the 2018 Revolving Credit Facility from time to time during its term. Advances under the 2018 Revolving Credit Facility can be either Eurodollar rate loans or base rate loans. Eurodollar rate revolving loans bear interest on the outstanding principal amount thereof for each interest period at a rate per annum based on the London Interbank Offered Rate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Facility</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2014 Credit Facility, as amended, provided for (i) a revolving credit facility of $550 million, (ii) a $325 million term loan (the "2014 Term Loan"), and (iii) a $250 million incremental term loan. The 2018 Credit Facility amended and restated the 2014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“Notes” or "Senior Notes") offered pursuant to a private offering to qualified institutional buyers in accordance with Rule 144A under the Securities Act, and to non-U.S. persons under Regulation S under the Securities Act. The Company used the net proceeds from the sale of the Notes to repay debt under its existing credit facilities in connection with a concurrent refinancing transaction described above. The Notes were issued pursuant to an indenture, dated as of April 18, 2018 (the “Indenture”), between the Company and U.S. Bank National Association, as trustee.</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Notes will bear interest at the rate of 8.000% per annum and will mature on May 1, 2026. Interest on the Notes is payable in cash on May 1st and November 1st of each year, beginning on November 1, 2018. The Notes are general senior unsecured obligations of the Company and are not guaranteed by the subsidiaries through which the Company currently conducts substantially all of its operations. 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63" w:right="2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color w:val="auto"/>
        </w:rPr>
        <w:t>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June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206"/>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2019</w:t>
            </w:r>
          </w:p>
        </w:tc>
        <w:tc>
          <w:tcPr>
            <w:tcW w:w="220" w:type="dxa"/>
            <w:vAlign w:val="bottom"/>
          </w:tcPr>
          <w:p>
            <w:pPr>
              <w:spacing w:after="0"/>
              <w:rPr>
                <w:sz w:val="17"/>
                <w:szCs w:val="17"/>
                <w:color w:val="auto"/>
              </w:rPr>
            </w:pPr>
          </w:p>
        </w:tc>
        <w:tc>
          <w:tcPr>
            <w:tcW w:w="1820" w:type="dxa"/>
            <w:vAlign w:val="bottom"/>
          </w:tcPr>
          <w:p>
            <w:pPr>
              <w:jc w:val="right"/>
              <w:ind w:right="26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320" w:type="dxa"/>
            <w:vAlign w:val="bottom"/>
            <w:tcBorders>
              <w:top w:val="single" w:sz="8" w:color="auto"/>
            </w:tcBorders>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400,000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20"/>
              <w:spacing w:after="0"/>
              <w:rPr>
                <w:sz w:val="20"/>
                <w:szCs w:val="20"/>
                <w:color w:val="auto"/>
              </w:rPr>
            </w:pPr>
            <w:r>
              <w:rPr>
                <w:rFonts w:ascii="Arial" w:cs="Arial" w:eastAsia="Arial" w:hAnsi="Arial"/>
                <w:sz w:val="15"/>
                <w:szCs w:val="15"/>
                <w:color w:val="auto"/>
              </w:rPr>
              <w:t>Revolving Credit Facility</w:t>
            </w:r>
          </w:p>
        </w:tc>
        <w:tc>
          <w:tcPr>
            <w:tcW w:w="320" w:type="dxa"/>
            <w:vAlign w:val="bottom"/>
          </w:tcPr>
          <w:p>
            <w:pPr>
              <w:spacing w:after="0"/>
              <w:rPr>
                <w:sz w:val="18"/>
                <w:szCs w:val="18"/>
                <w:color w:val="auto"/>
              </w:rPr>
            </w:pPr>
          </w:p>
        </w:tc>
        <w:tc>
          <w:tcPr>
            <w:tcW w:w="1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820" w:type="dxa"/>
            <w:vAlign w:val="bottom"/>
            <w:vMerge w:val="restart"/>
          </w:tcPr>
          <w:p>
            <w:pPr>
              <w:jc w:val="right"/>
              <w:ind w:right="3"/>
              <w:spacing w:after="0"/>
              <w:rPr>
                <w:sz w:val="20"/>
                <w:szCs w:val="20"/>
                <w:color w:val="auto"/>
              </w:rPr>
            </w:pPr>
            <w:r>
              <w:rPr>
                <w:rFonts w:ascii="Arial" w:cs="Arial" w:eastAsia="Arial" w:hAnsi="Arial"/>
                <w:sz w:val="15"/>
                <w:szCs w:val="15"/>
                <w:color w:val="auto"/>
              </w:rPr>
              <w:t>228,000</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w:t>
            </w:r>
          </w:p>
        </w:tc>
        <w:tc>
          <w:tcPr>
            <w:tcW w:w="32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493,750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496,250</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20"/>
              <w:spacing w:after="0"/>
              <w:rPr>
                <w:sz w:val="20"/>
                <w:szCs w:val="20"/>
                <w:color w:val="auto"/>
              </w:rPr>
            </w:pPr>
            <w:r>
              <w:rPr>
                <w:rFonts w:ascii="Arial" w:cs="Arial" w:eastAsia="Arial" w:hAnsi="Arial"/>
                <w:sz w:val="15"/>
                <w:szCs w:val="15"/>
                <w:color w:val="auto"/>
              </w:rPr>
              <w:t>Less: Unamortized discounts and debt issuance costs</w:t>
            </w:r>
          </w:p>
        </w:tc>
        <w:tc>
          <w:tcPr>
            <w:tcW w:w="320" w:type="dxa"/>
            <w:vAlign w:val="bottom"/>
          </w:tcPr>
          <w:p>
            <w:pPr>
              <w:spacing w:after="0"/>
              <w:rPr>
                <w:sz w:val="18"/>
                <w:szCs w:val="18"/>
                <w:color w:val="auto"/>
              </w:rPr>
            </w:pPr>
          </w:p>
        </w:tc>
        <w:tc>
          <w:tcPr>
            <w:tcW w:w="1780" w:type="dxa"/>
            <w:vAlign w:val="bottom"/>
            <w:vMerge w:val="restart"/>
          </w:tcPr>
          <w:p>
            <w:pPr>
              <w:jc w:val="right"/>
              <w:spacing w:after="0"/>
              <w:rPr>
                <w:sz w:val="20"/>
                <w:szCs w:val="20"/>
                <w:color w:val="auto"/>
              </w:rPr>
            </w:pPr>
            <w:r>
              <w:rPr>
                <w:rFonts w:ascii="Arial" w:cs="Arial" w:eastAsia="Arial" w:hAnsi="Arial"/>
                <w:sz w:val="15"/>
                <w:szCs w:val="15"/>
                <w:color w:val="auto"/>
              </w:rPr>
              <w:t>(18,832)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restart"/>
          </w:tcPr>
          <w:p>
            <w:pPr>
              <w:jc w:val="right"/>
              <w:spacing w:after="0"/>
              <w:rPr>
                <w:sz w:val="20"/>
                <w:szCs w:val="20"/>
                <w:color w:val="auto"/>
              </w:rPr>
            </w:pPr>
            <w:r>
              <w:rPr>
                <w:rFonts w:ascii="Arial" w:cs="Arial" w:eastAsia="Arial" w:hAnsi="Arial"/>
                <w:sz w:val="15"/>
                <w:szCs w:val="15"/>
                <w:color w:val="auto"/>
              </w:rPr>
              <w:t>(20,379)</w:t>
            </w:r>
          </w:p>
        </w:tc>
        <w:tc>
          <w:tcPr>
            <w:tcW w:w="0" w:type="dxa"/>
            <w:vAlign w:val="bottom"/>
          </w:tcPr>
          <w:p>
            <w:pPr>
              <w:spacing w:after="0"/>
              <w:rPr>
                <w:sz w:val="1"/>
                <w:szCs w:val="1"/>
                <w:color w:val="auto"/>
              </w:rPr>
            </w:pPr>
          </w:p>
        </w:tc>
      </w:tr>
      <w:tr>
        <w:trPr>
          <w:trHeight w:val="58"/>
        </w:trPr>
        <w:tc>
          <w:tcPr>
            <w:tcW w:w="48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debt</w:t>
            </w: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874,918</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1,103,871</w:t>
            </w:r>
          </w:p>
        </w:tc>
        <w:tc>
          <w:tcPr>
            <w:tcW w:w="0" w:type="dxa"/>
            <w:vAlign w:val="bottom"/>
          </w:tcPr>
          <w:p>
            <w:pPr>
              <w:spacing w:after="0"/>
              <w:rPr>
                <w:sz w:val="1"/>
                <w:szCs w:val="1"/>
                <w:color w:val="auto"/>
              </w:rPr>
            </w:pPr>
          </w:p>
        </w:tc>
      </w:tr>
      <w:tr>
        <w:trPr>
          <w:trHeight w:val="67"/>
        </w:trPr>
        <w:tc>
          <w:tcPr>
            <w:tcW w:w="488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880" w:type="dxa"/>
            <w:vAlign w:val="bottom"/>
          </w:tcPr>
          <w:p>
            <w:pPr>
              <w:ind w:left="20"/>
              <w:spacing w:after="0"/>
              <w:rPr>
                <w:sz w:val="20"/>
                <w:szCs w:val="20"/>
                <w:color w:val="auto"/>
              </w:rPr>
            </w:pPr>
            <w:r>
              <w:rPr>
                <w:rFonts w:ascii="Arial" w:cs="Arial" w:eastAsia="Arial" w:hAnsi="Arial"/>
                <w:sz w:val="15"/>
                <w:szCs w:val="15"/>
                <w:color w:val="auto"/>
              </w:rPr>
              <w:t>Less: Current portion, term loan facilities</w:t>
            </w:r>
          </w:p>
        </w:tc>
        <w:tc>
          <w:tcPr>
            <w:tcW w:w="32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Arial" w:cs="Arial" w:eastAsia="Arial" w:hAnsi="Arial"/>
                <w:sz w:val="15"/>
                <w:szCs w:val="15"/>
                <w:color w:val="auto"/>
              </w:rPr>
              <w:t>(5,000)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58"/>
        </w:trPr>
        <w:tc>
          <w:tcPr>
            <w:tcW w:w="48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Long term debt</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869,918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1,098,871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availability under the 2018 Revolving Credit Facility was approximately $599.8 million at June 30, 2019. Letters of credit outstanding at June 30, 2019 totaled approximately $0.2 million. At June 30, 2019, the Company was in compliance with all covenants as defined in the 2018 Credit Facility. In July 2019, the Company repaid $193.8 million of the outstanding amount due under the Term Loan, leaving a remaining balance of $300 million as of July 31, 2019.</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2019, the carrying value of the principal under the Company’s outstanding Term Loan, including the current portion, was $493.8 million, which approximates fair value because it has a variable interest rate that reflects market changes in interest rates and changes in the Company's net leverage ratio. The estimated fair value of the outstanding 2018 Term Loan is based on quoted market prices for similar debt issues and is, therefore, classified as Level 2 in the fair value hierarchy. The Company's Senior Notes consisted of the following carrying value and estimated fair value (in thousands):</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20" w:type="dxa"/>
            <w:vAlign w:val="bottom"/>
            <w:gridSpan w:val="3"/>
            <w:vMerge w:val="restart"/>
          </w:tcPr>
          <w:p>
            <w:pPr>
              <w:jc w:val="right"/>
              <w:ind w:right="939"/>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98"/>
        </w:trPr>
        <w:tc>
          <w:tcPr>
            <w:tcW w:w="1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312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May 1, 2026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The Company paid $7.0 million in debt issuance costs related to the Senior Notes issuance, comprised of bank fees, rating agency fees and professional fees. The 2018 Credit Facility was categorized as a debt modification, and the Company incurred $ 8.4 million of debt issuance costs, $7.8 million of which were capitalized and will be amortized over the life of the related debt instrument, and $0.6 million that were expensed as costs incurred. The Company recorded additional debt modification expense of $0.6 million to write off previously capitalized debt issuance costs. Since the Company can borrow, repay and reborrow principal under the 2018 Revolving Credit Facility, the debt issuance costs associated with the 2014 and 2018 Revolving Credit Facility of $4.6 million and $5.3 million at June 30, 2019 and December 31, 2018, respectively, have been classified as other non-current assets in the accompanying consolidated balance sheet. The original issue discount and the debt issuance costs associated with the 2018 Term Loan and Senior Notes are classified as a reduction of long-term debt in the accompanying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2014, the Company purchased an interest rate swap (the "Swap") with a notional amount of $220 million. The Swap is effective April 1, 2016 through June 6, 2021, the original termination date of the 2014 Term Loan. The agreement requires the Company to pay interest on the notional amount at the rate of 2.97% in exchange for the three-month LIBOR rate. At June 30, 2019 and December 31, 2018, the Swap had a fair value loss of $5.1 million and $2.1 million, respectively, principally reflecting the present value of future payments and receipts under the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44" w:right="239" w:bottom="1440" w:gutter="0" w:footer="0" w:header="0"/>
        </w:sectPr>
      </w:pPr>
    </w:p>
    <w:bookmarkStart w:id="25" w:name="page26"/>
    <w:bookmarkEnd w:id="25"/>
    <w:p>
      <w:pPr>
        <w:spacing w:after="0" w:line="262" w:lineRule="auto"/>
        <w:rPr>
          <w:sz w:val="20"/>
          <w:szCs w:val="20"/>
          <w:color w:val="auto"/>
        </w:rPr>
      </w:pPr>
      <w:r>
        <w:rPr>
          <w:rFonts w:ascii="Arial" w:cs="Arial" w:eastAsia="Arial" w:hAnsi="Arial"/>
          <w:sz w:val="18"/>
          <w:szCs w:val="18"/>
          <w:color w:val="auto"/>
        </w:rPr>
        <w:t>The following table reflects the classification of the Company's Swap on the consolidated balance sheets at June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4"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1500" w:type="dxa"/>
            <w:vAlign w:val="bottom"/>
            <w:shd w:val="clear" w:color="auto" w:fill="CCEEFF"/>
          </w:tcPr>
          <w:p>
            <w:pPr>
              <w:jc w:val="right"/>
              <w:ind w:right="132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582</w:t>
            </w:r>
          </w:p>
        </w:tc>
      </w:tr>
      <w:tr>
        <w:trPr>
          <w:trHeight w:val="26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1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2,893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1,490</w:t>
            </w: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fair value</w:t>
            </w:r>
          </w:p>
        </w:tc>
        <w:tc>
          <w:tcPr>
            <w:tcW w:w="1500" w:type="dxa"/>
            <w:vAlign w:val="bottom"/>
            <w:tcBorders>
              <w:bottom w:val="single" w:sz="8" w:color="auto"/>
            </w:tcBorders>
            <w:shd w:val="clear" w:color="auto" w:fill="CCEEFF"/>
          </w:tcPr>
          <w:p>
            <w:pPr>
              <w:jc w:val="right"/>
              <w:ind w:right="132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2,072</w:t>
            </w:r>
          </w:p>
        </w:tc>
      </w:tr>
      <w:tr>
        <w:trPr>
          <w:trHeight w:val="20"/>
        </w:trPr>
        <w:tc>
          <w:tcPr>
            <w:tcW w:w="4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shares and the Company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sale of Manitoba Harvest in February 2019 qualified as a Sale Event under the Company's LLC Agreement. During the second quarter of 2019, the Company declared and paid a distribution to the Allocation Member of $7.7 million </w:t>
      </w:r>
      <w:r>
        <w:rPr>
          <w:rFonts w:ascii="Arial" w:cs="Arial" w:eastAsia="Arial" w:hAnsi="Arial"/>
          <w:sz w:val="17"/>
          <w:szCs w:val="17"/>
          <w:color w:val="auto"/>
        </w:rPr>
        <w:t>related to the sale of Manitoba Harvest.</w:t>
      </w:r>
      <w:r>
        <w:rPr>
          <w:rFonts w:ascii="Arial" w:cs="Arial" w:eastAsia="Arial" w:hAnsi="Arial"/>
          <w:sz w:val="18"/>
          <w:szCs w:val="18"/>
          <w:color w:val="auto"/>
        </w:rPr>
        <w:t xml:space="preserve"> The profit allocation distribution was calculated based on the portion of the gain on sale related to the Closing Date Consideration, less the loss on sale of shares that were received as part of the Closing Consideration. An additional profit allocation distribution related to the Sale Event of Manitoba Harvest will be declared subsequent to receipt of the Deferred Consideration in August 2019. The Company also paid an additional $0.3 million in distributions to the Allocation Member related to working capital settlements from prior Sale Events.</w:t>
      </w:r>
    </w:p>
    <w:p>
      <w:pPr>
        <w:spacing w:after="0" w:line="10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sale of Clean Earth in June 2019 qualified as a Sale Event under the Company's LLC Agreement. During the third quarter of 2019, the Company declared a distribution to the Allocation Member of $43.3 million. This distribution will be paid in the third quarter of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54"/>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Holdings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(12,548)</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Distributions paid - Allocation Interests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100" w:type="dxa"/>
            <w:vAlign w:val="bottom"/>
          </w:tcPr>
          <w:p>
            <w:pPr>
              <w:ind w:left="20"/>
              <w:spacing w:after="0"/>
              <w:rPr>
                <w:sz w:val="20"/>
                <w:szCs w:val="20"/>
                <w:color w:val="auto"/>
              </w:rPr>
            </w:pPr>
            <w:r>
              <w:rPr>
                <w:rFonts w:ascii="Arial" w:cs="Arial" w:eastAsia="Arial" w:hAnsi="Arial"/>
                <w:sz w:val="15"/>
                <w:szCs w:val="15"/>
                <w:color w:val="auto"/>
              </w:rPr>
              <w:t>Less: Distributions paid - Preferred Shares</w:t>
            </w: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3,782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7,563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3,625</w:t>
            </w:r>
          </w:p>
        </w:tc>
        <w:tc>
          <w:tcPr>
            <w:tcW w:w="0" w:type="dxa"/>
            <w:vAlign w:val="bottom"/>
          </w:tcPr>
          <w:p>
            <w:pPr>
              <w:spacing w:after="0"/>
              <w:rPr>
                <w:sz w:val="1"/>
                <w:szCs w:val="1"/>
                <w:color w:val="auto"/>
              </w:rPr>
            </w:pPr>
          </w:p>
        </w:tc>
      </w:tr>
      <w:tr>
        <w:trPr>
          <w:trHeight w:val="274"/>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Accrued distributions - Preferred Shares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2,341</w:t>
            </w:r>
          </w:p>
        </w:tc>
        <w:tc>
          <w:tcPr>
            <w:tcW w:w="0" w:type="dxa"/>
            <w:vAlign w:val="bottom"/>
          </w:tcPr>
          <w:p>
            <w:pPr>
              <w:spacing w:after="0"/>
              <w:rPr>
                <w:sz w:val="1"/>
                <w:szCs w:val="1"/>
                <w:color w:val="auto"/>
              </w:rPr>
            </w:pPr>
          </w:p>
        </w:tc>
      </w:tr>
      <w:tr>
        <w:trPr>
          <w:trHeight w:val="166"/>
        </w:trPr>
        <w:tc>
          <w:tcPr>
            <w:tcW w:w="5100" w:type="dxa"/>
            <w:vAlign w:val="bottom"/>
          </w:tcPr>
          <w:p>
            <w:pPr>
              <w:ind w:left="20"/>
              <w:spacing w:after="0" w:line="166" w:lineRule="exact"/>
              <w:rPr>
                <w:sz w:val="20"/>
                <w:szCs w:val="20"/>
                <w:color w:val="auto"/>
              </w:rPr>
            </w:pPr>
            <w:r>
              <w:rPr>
                <w:rFonts w:ascii="Arial" w:cs="Arial" w:eastAsia="Arial" w:hAnsi="Arial"/>
                <w:sz w:val="15"/>
                <w:szCs w:val="15"/>
                <w:color w:val="auto"/>
              </w:rPr>
              <w:t>Net loss from continuing operations attributable to common shares of</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(18,292)</w:t>
            </w:r>
          </w:p>
        </w:tc>
        <w:tc>
          <w:tcPr>
            <w:tcW w:w="100" w:type="dxa"/>
            <w:vAlign w:val="bottom"/>
          </w:tcPr>
          <w:p>
            <w:pPr>
              <w:spacing w:after="0"/>
              <w:rPr>
                <w:sz w:val="14"/>
                <w:szCs w:val="14"/>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(13,902)</w:t>
            </w:r>
          </w:p>
        </w:tc>
        <w:tc>
          <w:tcPr>
            <w:tcW w:w="100" w:type="dxa"/>
            <w:vAlign w:val="bottom"/>
          </w:tcPr>
          <w:p>
            <w:pPr>
              <w:spacing w:after="0"/>
              <w:rPr>
                <w:sz w:val="14"/>
                <w:szCs w:val="14"/>
                <w:color w:val="auto"/>
              </w:rPr>
            </w:pP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(36,369)</w:t>
            </w:r>
          </w:p>
        </w:tc>
        <w:tc>
          <w:tcPr>
            <w:tcW w:w="120" w:type="dxa"/>
            <w:vAlign w:val="bottom"/>
          </w:tcPr>
          <w:p>
            <w:pPr>
              <w:spacing w:after="0"/>
              <w:rPr>
                <w:sz w:val="14"/>
                <w:szCs w:val="14"/>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(18,514)</w:t>
            </w:r>
          </w:p>
        </w:tc>
        <w:tc>
          <w:tcPr>
            <w:tcW w:w="0" w:type="dxa"/>
            <w:vAlign w:val="bottom"/>
          </w:tcPr>
          <w:p>
            <w:pPr>
              <w:spacing w:after="0"/>
              <w:rPr>
                <w:sz w:val="1"/>
                <w:szCs w:val="1"/>
                <w:color w:val="auto"/>
              </w:rPr>
            </w:pPr>
          </w:p>
        </w:tc>
      </w:tr>
      <w:tr>
        <w:trPr>
          <w:trHeight w:val="184"/>
        </w:trPr>
        <w:tc>
          <w:tcPr>
            <w:tcW w:w="5100" w:type="dxa"/>
            <w:vAlign w:val="bottom"/>
          </w:tcPr>
          <w:p>
            <w:pPr>
              <w:ind w:left="20"/>
              <w:spacing w:after="0"/>
              <w:rPr>
                <w:sz w:val="20"/>
                <w:szCs w:val="20"/>
                <w:color w:val="auto"/>
              </w:rPr>
            </w:pPr>
            <w:r>
              <w:rPr>
                <w:rFonts w:ascii="Arial" w:cs="Arial" w:eastAsia="Arial" w:hAnsi="Arial"/>
                <w:sz w:val="15"/>
                <w:szCs w:val="15"/>
                <w:color w:val="auto"/>
              </w:rPr>
              <w:t>Holdings</w:t>
            </w:r>
          </w:p>
        </w:tc>
        <w:tc>
          <w:tcPr>
            <w:tcW w:w="2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six months ended June 30, 2019 and 2018 reflects the incremental increase during the period in the profit allocation distribution to Holders related to Holding Events.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2019 and 2018 attributable to the common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5"/>
                <w:szCs w:val="15"/>
                <w:color w:val="auto"/>
              </w:rPr>
            </w:pPr>
          </w:p>
        </w:tc>
        <w:tc>
          <w:tcPr>
            <w:tcW w:w="234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(18,292)</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(13,902)</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(36,369)</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(18,514)</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896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1,853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1,708</w:t>
            </w:r>
          </w:p>
        </w:tc>
        <w:tc>
          <w:tcPr>
            <w:tcW w:w="0" w:type="dxa"/>
            <w:vAlign w:val="bottom"/>
          </w:tcPr>
          <w:p>
            <w:pPr>
              <w:spacing w:after="0"/>
              <w:rPr>
                <w:sz w:val="1"/>
                <w:szCs w:val="1"/>
                <w:color w:val="auto"/>
              </w:rPr>
            </w:pPr>
          </w:p>
        </w:tc>
      </w:tr>
      <w:tr>
        <w:trPr>
          <w:trHeight w:val="192"/>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(19,188)</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(14,699)</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(38,222)</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(20,222)</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6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8"/>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Holdings</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221,727</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8,840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345,331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9,299</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80" w:type="dxa"/>
            <w:vAlign w:val="bottom"/>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289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(loss) from discontinued operations attributable to common shares of Holdings</w:t>
            </w:r>
          </w:p>
        </w:tc>
        <w:tc>
          <w:tcPr>
            <w:tcW w:w="340" w:type="dxa"/>
            <w:vAlign w:val="bottom"/>
            <w:tcBorders>
              <w:top w:val="single" w:sz="8" w:color="auto"/>
            </w:tcBorders>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221,727</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8,551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vMerge w:val="restart"/>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345,331</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vMerge w:val="restart"/>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9,299</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and diluted weighted average common shares outstanding</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80" w:type="dxa"/>
            <w:vAlign w:val="bottom"/>
          </w:tcPr>
          <w:p>
            <w:pPr>
              <w:ind w:left="40"/>
              <w:spacing w:after="0"/>
              <w:rPr>
                <w:sz w:val="20"/>
                <w:szCs w:val="20"/>
                <w:color w:val="auto"/>
              </w:rPr>
            </w:pPr>
            <w:r>
              <w:rPr>
                <w:rFonts w:ascii="Arial" w:cs="Arial" w:eastAsia="Arial" w:hAnsi="Arial"/>
                <w:sz w:val="15"/>
                <w:szCs w:val="15"/>
                <w:color w:val="auto"/>
              </w:rPr>
              <w:t>Continuing operations</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(0.32)</w:t>
            </w:r>
          </w:p>
        </w:tc>
        <w:tc>
          <w:tcPr>
            <w:tcW w:w="120" w:type="dxa"/>
            <w:vAlign w:val="bottom"/>
          </w:tcPr>
          <w:p>
            <w:pPr>
              <w:spacing w:after="0"/>
              <w:rPr>
                <w:sz w:val="18"/>
                <w:szCs w:val="18"/>
                <w:color w:val="auto"/>
              </w:rPr>
            </w:pPr>
          </w:p>
        </w:tc>
        <w:tc>
          <w:tcPr>
            <w:tcW w:w="400" w:type="dxa"/>
            <w:vAlign w:val="bottom"/>
            <w:vMerge w:val="restart"/>
          </w:tcPr>
          <w:p>
            <w:pPr>
              <w:jc w:val="right"/>
              <w:ind w:right="223"/>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8"/>
                <w:szCs w:val="18"/>
                <w:color w:val="auto"/>
              </w:rPr>
            </w:pP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(0.64)</w:t>
            </w:r>
          </w:p>
        </w:tc>
        <w:tc>
          <w:tcPr>
            <w:tcW w:w="100" w:type="dxa"/>
            <w:vAlign w:val="bottom"/>
          </w:tcPr>
          <w:p>
            <w:pPr>
              <w:spacing w:after="0"/>
              <w:rPr>
                <w:sz w:val="18"/>
                <w:szCs w:val="18"/>
                <w:color w:val="auto"/>
              </w:rPr>
            </w:pPr>
          </w:p>
        </w:tc>
        <w:tc>
          <w:tcPr>
            <w:tcW w:w="400" w:type="dxa"/>
            <w:vAlign w:val="bottom"/>
            <w:vMerge w:val="restart"/>
          </w:tcPr>
          <w:p>
            <w:pPr>
              <w:jc w:val="right"/>
              <w:ind w:right="203"/>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58"/>
        </w:trPr>
        <w:tc>
          <w:tcPr>
            <w:tcW w:w="60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3.38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420"/>
          </w:cols>
          <w:pgMar w:left="240" w:top="815" w:right="2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Cash Distribution per</w:t>
            </w:r>
          </w:p>
        </w:tc>
        <w:tc>
          <w:tcPr>
            <w:tcW w:w="240" w:type="dxa"/>
            <w:vAlign w:val="bottom"/>
          </w:tcPr>
          <w:p>
            <w:pPr>
              <w:spacing w:after="0"/>
              <w:rPr>
                <w:sz w:val="16"/>
                <w:szCs w:val="16"/>
                <w:color w:val="auto"/>
              </w:rPr>
            </w:pPr>
          </w:p>
        </w:tc>
      </w:tr>
      <w:tr>
        <w:trPr>
          <w:trHeight w:val="213"/>
        </w:trPr>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8"/>
                <w:szCs w:val="18"/>
                <w:color w:val="auto"/>
              </w:rPr>
            </w:pPr>
          </w:p>
        </w:tc>
      </w:tr>
      <w:tr>
        <w:trPr>
          <w:trHeight w:val="478"/>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Trust Common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April 1, 2019 - June 30,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1, 2019 - March 31,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2018 -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1, 2018 - September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1, 2018 - June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1, 2018 - March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2017 - December 31,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A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April 30, 2019 - July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2019 - April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30,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2018 - April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2017 - January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April 30, 2019 - July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2019 - April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March 13,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-2971165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-2593975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-1908175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-1564640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July 3, 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Cash</w:t>
      </w:r>
    </w:p>
    <w:p>
      <w:pPr>
        <w:spacing w:after="0" w:line="12" w:lineRule="exact"/>
        <w:rPr>
          <w:sz w:val="20"/>
          <w:szCs w:val="20"/>
          <w:color w:val="auto"/>
        </w:rPr>
      </w:pPr>
    </w:p>
    <w:p>
      <w:pPr>
        <w:spacing w:after="0"/>
        <w:tabs>
          <w:tab w:leader="none" w:pos="1940" w:val="left"/>
          <w:tab w:leader="none" w:pos="3800" w:val="left"/>
        </w:tabs>
        <w:rPr>
          <w:sz w:val="20"/>
          <w:szCs w:val="20"/>
          <w:color w:val="auto"/>
        </w:rPr>
      </w:pPr>
      <w:r>
        <w:rPr>
          <w:rFonts w:ascii="Arial" w:cs="Arial" w:eastAsia="Arial" w:hAnsi="Arial"/>
          <w:sz w:val="16"/>
          <w:szCs w:val="16"/>
          <w:b w:val="1"/>
          <w:bCs w:val="1"/>
          <w:color w:val="auto"/>
        </w:rPr>
        <w:t>Distributions</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5"/>
          <w:szCs w:val="15"/>
          <w:b w:val="1"/>
          <w:bCs w:val="1"/>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8255</wp:posOffset>
            </wp:positionV>
            <wp:extent cx="3610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18,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25,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18,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25,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17,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24,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18,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25,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25,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2,960</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bl>
    <w:p>
      <w:pPr>
        <w:spacing w:after="0" w:line="636" w:lineRule="exact"/>
        <w:rPr>
          <w:sz w:val="20"/>
          <w:szCs w:val="20"/>
          <w:color w:val="auto"/>
        </w:rPr>
      </w:pPr>
    </w:p>
    <w:p>
      <w:pPr>
        <w:sectPr>
          <w:pgSz w:w="11900" w:h="16838" w:orient="portrait"/>
          <w:cols w:equalWidth="0" w:num="2">
            <w:col w:w="5860" w:space="300"/>
            <w:col w:w="5260"/>
          </w:cols>
          <w:pgMar w:left="240" w:top="815" w:right="2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81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June 30, 2019 and December 31, 2018:</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172"/>
        </w:trPr>
        <w:tc>
          <w:tcPr>
            <w:tcW w:w="4500" w:type="dxa"/>
            <w:vAlign w:val="bottom"/>
          </w:tcPr>
          <w:p>
            <w:pPr>
              <w:spacing w:after="0"/>
              <w:rPr>
                <w:sz w:val="14"/>
                <w:szCs w:val="14"/>
                <w:color w:val="auto"/>
              </w:rPr>
            </w:pPr>
          </w:p>
        </w:tc>
        <w:tc>
          <w:tcPr>
            <w:tcW w:w="2500" w:type="dxa"/>
            <w:vAlign w:val="bottom"/>
            <w:gridSpan w:val="3"/>
          </w:tcPr>
          <w:p>
            <w:pPr>
              <w:jc w:val="center"/>
              <w:ind w:left="32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r>
      <w:tr>
        <w:trPr>
          <w:trHeight w:val="206"/>
        </w:trPr>
        <w:tc>
          <w:tcPr>
            <w:tcW w:w="4500" w:type="dxa"/>
            <w:vAlign w:val="bottom"/>
          </w:tcPr>
          <w:p>
            <w:pPr>
              <w:spacing w:after="0"/>
              <w:rPr>
                <w:sz w:val="17"/>
                <w:szCs w:val="17"/>
                <w:color w:val="auto"/>
              </w:rPr>
            </w:pPr>
          </w:p>
        </w:tc>
        <w:tc>
          <w:tcPr>
            <w:tcW w:w="250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5"/>
                <w:szCs w:val="15"/>
                <w:b w:val="1"/>
                <w:bCs w:val="1"/>
                <w:color w:val="auto"/>
              </w:rPr>
              <w:t>June 30,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2018</w:t>
            </w:r>
          </w:p>
        </w:tc>
      </w:tr>
      <w:tr>
        <w:trPr>
          <w:trHeight w:val="165"/>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323"/>
              <w:spacing w:after="0" w:line="165" w:lineRule="exact"/>
              <w:rPr>
                <w:sz w:val="20"/>
                <w:szCs w:val="20"/>
                <w:color w:val="auto"/>
              </w:rPr>
            </w:pPr>
            <w:r>
              <w:rPr>
                <w:rFonts w:ascii="Arial" w:cs="Arial" w:eastAsia="Arial" w:hAnsi="Arial"/>
                <w:sz w:val="15"/>
                <w:szCs w:val="15"/>
                <w:b w:val="1"/>
                <w:bCs w:val="1"/>
                <w:color w:val="auto"/>
              </w:rPr>
              <w:t>Fully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480"/>
              <w:spacing w:after="0" w:line="165" w:lineRule="exact"/>
              <w:rPr>
                <w:sz w:val="20"/>
                <w:szCs w:val="20"/>
                <w:color w:val="auto"/>
              </w:rPr>
            </w:pPr>
            <w:r>
              <w:rPr>
                <w:rFonts w:ascii="Arial" w:cs="Arial" w:eastAsia="Arial" w:hAnsi="Arial"/>
                <w:sz w:val="15"/>
                <w:szCs w:val="15"/>
                <w:b w:val="1"/>
                <w:bCs w:val="1"/>
                <w:color w:val="auto"/>
              </w:rPr>
              <w:t>Fully</w:t>
            </w:r>
          </w:p>
        </w:tc>
      </w:tr>
      <w:tr>
        <w:trPr>
          <w:trHeight w:val="206"/>
        </w:trPr>
        <w:tc>
          <w:tcPr>
            <w:tcW w:w="4500" w:type="dxa"/>
            <w:vAlign w:val="bottom"/>
          </w:tcPr>
          <w:p>
            <w:pPr>
              <w:spacing w:after="0"/>
              <w:rPr>
                <w:sz w:val="17"/>
                <w:szCs w:val="17"/>
                <w:color w:val="auto"/>
              </w:rPr>
            </w:pPr>
          </w:p>
        </w:tc>
        <w:tc>
          <w:tcPr>
            <w:tcW w:w="146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040" w:type="dxa"/>
            <w:vAlign w:val="bottom"/>
          </w:tcPr>
          <w:p>
            <w:pPr>
              <w:jc w:val="center"/>
              <w:ind w:left="323"/>
              <w:spacing w:after="0"/>
              <w:rPr>
                <w:sz w:val="20"/>
                <w:szCs w:val="20"/>
                <w:color w:val="auto"/>
              </w:rPr>
            </w:pPr>
            <w:r>
              <w:rPr>
                <w:rFonts w:ascii="Arial" w:cs="Arial" w:eastAsia="Arial" w:hAnsi="Arial"/>
                <w:sz w:val="15"/>
                <w:szCs w:val="15"/>
                <w:b w:val="1"/>
                <w:bCs w:val="1"/>
                <w:color w:val="auto"/>
              </w:rPr>
              <w:t>Diluted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46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 Tactical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6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Arnold</w:t>
            </w:r>
          </w:p>
        </w:tc>
        <w:tc>
          <w:tcPr>
            <w:tcW w:w="13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color w:val="auto"/>
              </w:rPr>
              <w:t>Sterno</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88.9</w:t>
            </w:r>
          </w:p>
        </w:tc>
      </w:tr>
    </w:tbl>
    <w:p>
      <w:pPr>
        <w:spacing w:after="0" w:line="121" w:lineRule="exact"/>
        <w:rPr>
          <w:sz w:val="20"/>
          <w:szCs w:val="20"/>
          <w:color w:val="auto"/>
        </w:rPr>
      </w:pPr>
    </w:p>
    <w:p>
      <w:pPr>
        <w:ind w:left="340" w:right="20" w:hanging="332"/>
        <w:spacing w:after="0" w:line="260" w:lineRule="auto"/>
        <w:tabs>
          <w:tab w:leader="none" w:pos="340" w:val="left"/>
        </w:tabs>
        <w:numPr>
          <w:ilvl w:val="0"/>
          <w:numId w:val="14"/>
        </w:numPr>
        <w:rPr>
          <w:rFonts w:ascii="Arial" w:cs="Arial" w:eastAsia="Arial" w:hAnsi="Arial"/>
          <w:sz w:val="14"/>
          <w:szCs w:val="14"/>
          <w:b w:val="1"/>
          <w:bCs w:val="1"/>
          <w:color w:val="auto"/>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91"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5"/>
                <w:szCs w:val="15"/>
                <w:b w:val="1"/>
                <w:bCs w:val="1"/>
                <w:color w:val="auto"/>
              </w:rPr>
              <w:t>Noncontrolling Interest Balances</w:t>
            </w:r>
          </w:p>
        </w:tc>
        <w:tc>
          <w:tcPr>
            <w:tcW w:w="0" w:type="dxa"/>
            <w:vAlign w:val="bottom"/>
          </w:tcPr>
          <w:p>
            <w:pPr>
              <w:spacing w:after="0"/>
              <w:rPr>
                <w:sz w:val="1"/>
                <w:szCs w:val="1"/>
                <w:color w:val="auto"/>
              </w:rPr>
            </w:pPr>
          </w:p>
        </w:tc>
      </w:tr>
      <w:tr>
        <w:trPr>
          <w:trHeight w:val="264"/>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22"/>
                <w:szCs w:val="22"/>
                <w:color w:val="auto"/>
              </w:rPr>
            </w:pPr>
          </w:p>
        </w:tc>
        <w:tc>
          <w:tcPr>
            <w:tcW w:w="1740" w:type="dxa"/>
            <w:vAlign w:val="bottom"/>
          </w:tcPr>
          <w:p>
            <w:pPr>
              <w:jc w:val="right"/>
              <w:ind w:right="20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300" w:type="dxa"/>
            <w:vAlign w:val="bottom"/>
            <w:tcBorders>
              <w:top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6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11,013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9,873</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Ergobaby</w:t>
            </w:r>
          </w:p>
        </w:tc>
        <w:tc>
          <w:tcPr>
            <w:tcW w:w="300" w:type="dxa"/>
            <w:vAlign w:val="bottom"/>
          </w:tcPr>
          <w:p>
            <w:pPr>
              <w:spacing w:after="0"/>
              <w:rPr>
                <w:sz w:val="18"/>
                <w:szCs w:val="18"/>
                <w:color w:val="auto"/>
              </w:rPr>
            </w:pPr>
          </w:p>
        </w:tc>
        <w:tc>
          <w:tcPr>
            <w:tcW w:w="1660" w:type="dxa"/>
            <w:vAlign w:val="bottom"/>
            <w:vMerge w:val="restart"/>
          </w:tcPr>
          <w:p>
            <w:pPr>
              <w:jc w:val="right"/>
              <w:ind w:right="23"/>
              <w:spacing w:after="0"/>
              <w:rPr>
                <w:sz w:val="20"/>
                <w:szCs w:val="20"/>
                <w:color w:val="auto"/>
              </w:rPr>
            </w:pPr>
            <w:r>
              <w:rPr>
                <w:rFonts w:ascii="Arial" w:cs="Arial" w:eastAsia="Arial" w:hAnsi="Arial"/>
                <w:sz w:val="15"/>
                <w:szCs w:val="15"/>
                <w:color w:val="auto"/>
              </w:rPr>
              <w:t>26,235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25,362</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3,342</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300" w:type="dxa"/>
            <w:vAlign w:val="bottom"/>
          </w:tcPr>
          <w:p>
            <w:pPr>
              <w:spacing w:after="0"/>
              <w:rPr>
                <w:sz w:val="18"/>
                <w:szCs w:val="18"/>
                <w:color w:val="auto"/>
              </w:rPr>
            </w:pPr>
          </w:p>
        </w:tc>
        <w:tc>
          <w:tcPr>
            <w:tcW w:w="1660" w:type="dxa"/>
            <w:vAlign w:val="bottom"/>
            <w:vMerge w:val="restart"/>
          </w:tcPr>
          <w:p>
            <w:pPr>
              <w:jc w:val="right"/>
              <w:ind w:right="23"/>
              <w:spacing w:after="0"/>
              <w:rPr>
                <w:sz w:val="20"/>
                <w:szCs w:val="20"/>
                <w:color w:val="auto"/>
              </w:rPr>
            </w:pPr>
            <w:r>
              <w:rPr>
                <w:rFonts w:ascii="Arial" w:cs="Arial" w:eastAsia="Arial" w:hAnsi="Arial"/>
                <w:sz w:val="15"/>
                <w:szCs w:val="15"/>
                <w:color w:val="auto"/>
              </w:rPr>
              <w:t>3,098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2,524</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ACI</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(1,236)</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Arnold</w:t>
            </w:r>
          </w:p>
        </w:tc>
        <w:tc>
          <w:tcPr>
            <w:tcW w:w="300" w:type="dxa"/>
            <w:vAlign w:val="bottom"/>
          </w:tcPr>
          <w:p>
            <w:pPr>
              <w:spacing w:after="0"/>
              <w:rPr>
                <w:sz w:val="18"/>
                <w:szCs w:val="18"/>
                <w:color w:val="auto"/>
              </w:rPr>
            </w:pPr>
          </w:p>
        </w:tc>
        <w:tc>
          <w:tcPr>
            <w:tcW w:w="1660" w:type="dxa"/>
            <w:vAlign w:val="bottom"/>
            <w:vMerge w:val="restart"/>
          </w:tcPr>
          <w:p>
            <w:pPr>
              <w:jc w:val="right"/>
              <w:ind w:right="23"/>
              <w:spacing w:after="0"/>
              <w:rPr>
                <w:sz w:val="20"/>
                <w:szCs w:val="20"/>
                <w:color w:val="auto"/>
              </w:rPr>
            </w:pPr>
            <w:r>
              <w:rPr>
                <w:rFonts w:ascii="Arial" w:cs="Arial" w:eastAsia="Arial" w:hAnsi="Arial"/>
                <w:sz w:val="15"/>
                <w:szCs w:val="15"/>
                <w:color w:val="auto"/>
              </w:rPr>
              <w:t>1,184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1,176</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Sterno</w:t>
            </w:r>
          </w:p>
        </w:tc>
        <w:tc>
          <w:tcPr>
            <w:tcW w:w="30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(1,592)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(2,067)</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Allocation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45,977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39,922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June 30, 2019 and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160655</wp:posOffset>
            </wp:positionV>
            <wp:extent cx="39789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93"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Fair Value Measurements at June 30, 2019</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line="165" w:lineRule="exact"/>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Value</w:t>
            </w: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Arial" w:cs="Arial" w:eastAsia="Arial" w:hAnsi="Arial"/>
                <w:sz w:val="15"/>
                <w:szCs w:val="15"/>
                <w:i w:val="1"/>
                <w:iCs w:val="1"/>
                <w:color w:val="auto"/>
              </w:rPr>
              <w:t>Liabilities: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xml:space="preserve">Put option of noncontrolling shareholders </w:t>
            </w:r>
            <w:r>
              <w:rPr>
                <w:rFonts w:ascii="Arial" w:cs="Arial" w:eastAsia="Arial" w:hAnsi="Arial"/>
                <w:sz w:val="12"/>
                <w:szCs w:val="12"/>
                <w:color w:val="auto"/>
              </w:rPr>
              <w:t>(1)</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 xml:space="preserve">Contingent consideration - acquisition </w:t>
            </w:r>
            <w:r>
              <w:rPr>
                <w:rFonts w:ascii="Arial" w:cs="Arial" w:eastAsia="Arial" w:hAnsi="Arial"/>
                <w:sz w:val="12"/>
                <w:szCs w:val="12"/>
                <w:color w:val="auto"/>
              </w:rPr>
              <w:t>(2)</w:t>
            </w: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(4,374)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58"/>
        </w:trPr>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rate swap</w:t>
            </w: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20"/>
              <w:spacing w:after="0"/>
              <w:rPr>
                <w:sz w:val="20"/>
                <w:szCs w:val="20"/>
                <w:color w:val="auto"/>
              </w:rPr>
            </w:pPr>
            <w:r>
              <w:rPr>
                <w:rFonts w:ascii="Arial" w:cs="Arial" w:eastAsia="Arial" w:hAnsi="Arial"/>
                <w:sz w:val="15"/>
                <w:szCs w:val="15"/>
                <w:color w:val="auto"/>
              </w:rPr>
              <w:t>Total recorded at fair value</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(9,665)</w:t>
            </w:r>
          </w:p>
        </w:tc>
        <w:tc>
          <w:tcPr>
            <w:tcW w:w="120" w:type="dxa"/>
            <w:vAlign w:val="bottom"/>
          </w:tcPr>
          <w:p>
            <w:pPr>
              <w:spacing w:after="0"/>
              <w:rPr>
                <w:sz w:val="16"/>
                <w:szCs w:val="16"/>
                <w:color w:val="auto"/>
              </w:rPr>
            </w:pPr>
          </w:p>
        </w:tc>
        <w:tc>
          <w:tcPr>
            <w:tcW w:w="3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280" w:type="dxa"/>
            <w:vAlign w:val="bottom"/>
            <w:gridSpan w:val="2"/>
            <w:vMerge w:val="restart"/>
          </w:tcPr>
          <w:p>
            <w:pPr>
              <w:ind w:left="94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(5,118)</w:t>
            </w:r>
          </w:p>
        </w:tc>
        <w:tc>
          <w:tcPr>
            <w:tcW w:w="100" w:type="dxa"/>
            <w:vAlign w:val="bottom"/>
          </w:tcPr>
          <w:p>
            <w:pPr>
              <w:spacing w:after="0"/>
              <w:rPr>
                <w:sz w:val="16"/>
                <w:szCs w:val="16"/>
                <w:color w:val="auto"/>
              </w:rPr>
            </w:pP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58"/>
        </w:trPr>
        <w:tc>
          <w:tcPr>
            <w:tcW w:w="43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gridSpan w:val="2"/>
            <w:vMerge w:val="continue"/>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0" w:right="239" w:bottom="1440" w:gutter="0" w:footer="0" w:header="0"/>
        </w:sectPr>
      </w:pPr>
    </w:p>
    <w:bookmarkStart w:id="29" w:name="page30"/>
    <w:bookmarkEnd w:id="29"/>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9"/>
          </w:tcPr>
          <w:p>
            <w:pPr>
              <w:jc w:val="right"/>
              <w:ind w:right="143"/>
              <w:spacing w:after="0"/>
              <w:rPr>
                <w:sz w:val="20"/>
                <w:szCs w:val="20"/>
                <w:color w:val="auto"/>
              </w:rPr>
            </w:pPr>
            <w:r>
              <w:rPr>
                <w:rFonts w:ascii="Arial" w:cs="Arial" w:eastAsia="Arial" w:hAnsi="Arial"/>
                <w:sz w:val="15"/>
                <w:szCs w:val="15"/>
                <w:b w:val="1"/>
                <w:bCs w:val="1"/>
                <w:color w:val="auto"/>
              </w:rPr>
              <w:t>Fair Value Measurements at December 31, 2018</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line="165" w:lineRule="exact"/>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Value</w:t>
            </w: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Arial" w:cs="Arial" w:eastAsia="Arial" w:hAnsi="Arial"/>
                <w:sz w:val="15"/>
                <w:szCs w:val="15"/>
                <w:i w:val="1"/>
                <w:iCs w:val="1"/>
                <w:color w:val="auto"/>
              </w:rPr>
              <w:t>Liabilities: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xml:space="preserve">Put option of noncontrolling shareholders </w:t>
            </w:r>
            <w:r>
              <w:rPr>
                <w:rFonts w:ascii="Arial" w:cs="Arial" w:eastAsia="Arial" w:hAnsi="Arial"/>
                <w:sz w:val="12"/>
                <w:szCs w:val="12"/>
                <w:color w:val="auto"/>
              </w:rPr>
              <w:t>(1)</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 xml:space="preserve">Contingent consideration - acquisition </w:t>
            </w:r>
            <w:r>
              <w:rPr>
                <w:rFonts w:ascii="Arial" w:cs="Arial" w:eastAsia="Arial" w:hAnsi="Arial"/>
                <w:sz w:val="12"/>
                <w:szCs w:val="12"/>
                <w:color w:val="auto"/>
              </w:rPr>
              <w:t>(2)</w:t>
            </w: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(4,374)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58"/>
        </w:trPr>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rate swap</w:t>
            </w: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gridSpan w:val="2"/>
            <w:vMerge w:val="continue"/>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20"/>
              <w:spacing w:after="0"/>
              <w:rPr>
                <w:sz w:val="20"/>
                <w:szCs w:val="20"/>
                <w:color w:val="auto"/>
              </w:rPr>
            </w:pPr>
            <w:r>
              <w:rPr>
                <w:rFonts w:ascii="Arial" w:cs="Arial" w:eastAsia="Arial" w:hAnsi="Arial"/>
                <w:sz w:val="15"/>
                <w:szCs w:val="15"/>
                <w:color w:val="auto"/>
              </w:rPr>
              <w:t>Total recorded at fair value</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(6,619)</w:t>
            </w:r>
          </w:p>
        </w:tc>
        <w:tc>
          <w:tcPr>
            <w:tcW w:w="120" w:type="dxa"/>
            <w:vAlign w:val="bottom"/>
          </w:tcPr>
          <w:p>
            <w:pPr>
              <w:spacing w:after="0"/>
              <w:rPr>
                <w:sz w:val="16"/>
                <w:szCs w:val="16"/>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gridSpan w:val="2"/>
            <w:vMerge w:val="restart"/>
          </w:tcPr>
          <w:p>
            <w:pPr>
              <w:ind w:left="94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(2,072)</w:t>
            </w:r>
          </w:p>
        </w:tc>
        <w:tc>
          <w:tcPr>
            <w:tcW w:w="100" w:type="dxa"/>
            <w:vAlign w:val="bottom"/>
          </w:tcPr>
          <w:p>
            <w:pPr>
              <w:spacing w:after="0"/>
              <w:rPr>
                <w:sz w:val="16"/>
                <w:szCs w:val="16"/>
                <w:color w:val="auto"/>
              </w:rPr>
            </w:pP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72"/>
        </w:trPr>
        <w:tc>
          <w:tcPr>
            <w:tcW w:w="4360" w:type="dxa"/>
            <w:vAlign w:val="bottom"/>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3176270</wp:posOffset>
            </wp:positionH>
            <wp:positionV relativeFrom="page">
              <wp:posOffset>328930</wp:posOffset>
            </wp:positionV>
            <wp:extent cx="397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6"/>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6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2018 through June 30,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Level 3</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2018</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r>
      <w:tr>
        <w:trPr>
          <w:trHeight w:val="212"/>
        </w:trPr>
        <w:tc>
          <w:tcPr>
            <w:tcW w:w="7420" w:type="dxa"/>
            <w:vAlign w:val="bottom"/>
          </w:tcPr>
          <w:p>
            <w:pPr>
              <w:ind w:left="20"/>
              <w:spacing w:after="0"/>
              <w:rPr>
                <w:sz w:val="20"/>
                <w:szCs w:val="20"/>
                <w:color w:val="auto"/>
              </w:rPr>
            </w:pPr>
            <w:r>
              <w:rPr>
                <w:rFonts w:ascii="Arial" w:cs="Arial" w:eastAsia="Arial" w:hAnsi="Arial"/>
                <w:sz w:val="15"/>
                <w:szCs w:val="15"/>
                <w:color w:val="auto"/>
              </w:rPr>
              <w:t xml:space="preserve">Contingent consideration - Rimports </w:t>
            </w:r>
            <w:r>
              <w:rPr>
                <w:rFonts w:ascii="Arial" w:cs="Arial" w:eastAsia="Arial" w:hAnsi="Arial"/>
                <w:sz w:val="12"/>
                <w:szCs w:val="12"/>
                <w:b w:val="1"/>
                <w:bCs w:val="1"/>
                <w:color w:val="auto"/>
              </w:rPr>
              <w:t>(1)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(4,800)</w:t>
            </w: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Contingent consideration - Ravin </w:t>
            </w:r>
            <w:r>
              <w:rPr>
                <w:rFonts w:ascii="Arial" w:cs="Arial" w:eastAsia="Arial" w:hAnsi="Arial"/>
                <w:sz w:val="12"/>
                <w:szCs w:val="12"/>
                <w:b w:val="1"/>
                <w:bCs w:val="1"/>
                <w:color w:val="auto"/>
              </w:rPr>
              <w:t>(2)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(4,734)</w:t>
            </w:r>
          </w:p>
        </w:tc>
      </w:tr>
      <w:tr>
        <w:trPr>
          <w:trHeight w:val="212"/>
        </w:trPr>
        <w:tc>
          <w:tcPr>
            <w:tcW w:w="7420" w:type="dxa"/>
            <w:vAlign w:val="bottom"/>
          </w:tcPr>
          <w:p>
            <w:pPr>
              <w:ind w:left="20"/>
              <w:spacing w:after="0"/>
              <w:rPr>
                <w:sz w:val="20"/>
                <w:szCs w:val="20"/>
                <w:color w:val="auto"/>
              </w:rPr>
            </w:pPr>
            <w:r>
              <w:rPr>
                <w:rFonts w:ascii="Arial" w:cs="Arial" w:eastAsia="Arial" w:hAnsi="Arial"/>
                <w:sz w:val="15"/>
                <w:szCs w:val="15"/>
                <w:color w:val="auto"/>
              </w:rPr>
              <w:t>Decrease in the fair value of put option of noncontrolling shareholder - 5.11</w:t>
            </w:r>
          </w:p>
        </w:tc>
        <w:tc>
          <w:tcPr>
            <w:tcW w:w="3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w:t>
            </w: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to Ravin contingent consideration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360</w:t>
            </w:r>
          </w:p>
        </w:tc>
      </w:tr>
      <w:tr>
        <w:trPr>
          <w:trHeight w:val="212"/>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Reversal of contingent consideration - Rimports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4,800</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2019</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(4,547)</w:t>
            </w:r>
          </w:p>
        </w:tc>
      </w:tr>
      <w:tr>
        <w:trPr>
          <w:trHeight w:val="270"/>
        </w:trPr>
        <w:tc>
          <w:tcPr>
            <w:tcW w:w="74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0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June 30, 2019</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(4,547)</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8"/>
        <w:spacing w:after="0" w:line="243" w:lineRule="auto"/>
        <w:tabs>
          <w:tab w:leader="none" w:pos="189"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8"/>
          <w:szCs w:val="18"/>
          <w:color w:val="auto"/>
        </w:rPr>
        <w:t>The contingent consideration relates to Sterno's acquisition of Rimports in February 2018. The purchase price of Rimports includes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related to the earn-out was estimated at $4.8 million at acquisition date and was calculated as the present value of a probability adjusted earnout payment based on the expected term of the payment and a risk-adjusted discount rate. At December 31, 2018, the Company determined that the probability of achieving the earn-out was zero and therefore reversed the amount that was recorded as part of the purchase consideration.</w:t>
      </w:r>
    </w:p>
    <w:p>
      <w:pPr>
        <w:spacing w:after="0" w:line="161" w:lineRule="exact"/>
        <w:rPr>
          <w:rFonts w:ascii="Arial" w:cs="Arial" w:eastAsia="Arial" w:hAnsi="Arial"/>
          <w:sz w:val="22"/>
          <w:szCs w:val="22"/>
          <w:b w:val="1"/>
          <w:bCs w:val="1"/>
          <w:color w:val="auto"/>
          <w:vertAlign w:val="superscript"/>
        </w:rPr>
      </w:pPr>
    </w:p>
    <w:p>
      <w:pPr>
        <w:jc w:val="both"/>
        <w:ind w:firstLine="8"/>
        <w:spacing w:after="0"/>
        <w:tabs>
          <w:tab w:leader="none" w:pos="192"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8"/>
          <w:szCs w:val="18"/>
          <w:color w:val="auto"/>
        </w:rPr>
        <w:t>The contingent consideration relates to Velocity's acquisition of Ravin in September 2018. The purchase price of Ravin includes a potential earn-out of up to $25.0 million contingent on the achievement certain financial metrics for the trailing twelve month period ending December 31, 2018. The fair value of the contingent consideration was estimated at $4.7 million at acquisition date and was calculated using a risk-adjusted option pricing model. The earnout was adjusted to $4.3 million at December 31, 2018 based on actual results to date. The earnout is currently subject to arbitration and will be paid once the final amount is determined through the arbitration process.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Term Loan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classify our fixed and floating rate debt as Level 2 items based on quoted market prices for similar debt issues. In April 2018, the Company issued $400.0 million aggregate principal amount of its Senior Notes due 2026. The fair value of the Senior Notes was determined based on quoted market prices obtained through an external pricing source which derives its price valuations from daily marketplace transactions, with adjustments to reflect the spreads of benchmark bonds, credit risk and certain other variables. We have determined this to be a Level 2 measurement as all significant inputs into the quote provided by our pricing source are observable in active markets. At June 30, 2019, the carrying value of the principal under the Company’s outstanding 2018 Term Loan, including the current portion, was $493.8 million, which approximates fair value because it has a variable interest rate that reflects market changes in interest rates and changes in the Company's net leverage ratio.</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77" w:right="2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carried at fair value on a non-recurring basis at either June 30, 2019 or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reconciliation between the Federal Statutory Rate and the effective income tax rate for the six months ended June 30, 2019 and 2018 is as follows: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24130</wp:posOffset>
            </wp:positionV>
            <wp:extent cx="2383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United States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-123825</wp:posOffset>
            </wp:positionV>
            <wp:extent cx="653478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State income taxes (net of Federal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Foreign income taxes</w:t>
      </w:r>
    </w:p>
    <w:p>
      <w:pPr>
        <w:spacing w:after="0" w:line="98" w:lineRule="exact"/>
        <w:rPr>
          <w:sz w:val="20"/>
          <w:szCs w:val="20"/>
          <w:color w:val="auto"/>
        </w:rPr>
      </w:pPr>
    </w:p>
    <w:p>
      <w:pPr>
        <w:ind w:left="600" w:right="700"/>
        <w:spacing w:after="0" w:line="242" w:lineRule="auto"/>
        <w:rPr>
          <w:sz w:val="20"/>
          <w:szCs w:val="20"/>
          <w:color w:val="auto"/>
        </w:rPr>
      </w:pPr>
      <w:r>
        <w:rPr>
          <w:rFonts w:ascii="Arial" w:cs="Arial" w:eastAsia="Arial" w:hAnsi="Arial"/>
          <w:sz w:val="15"/>
          <w:szCs w:val="15"/>
          <w:color w:val="auto"/>
        </w:rPr>
        <w:t xml:space="preserve">Expenses of Compass Group Diversified Holdings LLC representing a pass through to shareholders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53478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Impact of subsidiary employee stock options</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Credit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Non-recognition of NOL carryforwards at subsidiaries</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Effect of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Effective income tax rate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w:t>
      </w:r>
    </w:p>
    <w:p>
      <w:pPr>
        <w:spacing w:after="0" w:line="116"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(21.0)%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8.5</w:t>
      </w:r>
    </w:p>
    <w:p>
      <w:pPr>
        <w:spacing w:after="0" w:line="98" w:lineRule="exact"/>
        <w:rPr>
          <w:sz w:val="20"/>
          <w:szCs w:val="20"/>
          <w:color w:val="auto"/>
        </w:rPr>
      </w:pPr>
    </w:p>
    <w:p>
      <w:pPr>
        <w:jc w:val="right"/>
        <w:ind w:right="340"/>
        <w:spacing w:after="0"/>
        <w:rPr>
          <w:sz w:val="20"/>
          <w:szCs w:val="20"/>
          <w:color w:val="auto"/>
        </w:rPr>
      </w:pPr>
      <w:r>
        <w:rPr>
          <w:rFonts w:ascii="Arial" w:cs="Arial" w:eastAsia="Arial" w:hAnsi="Arial"/>
          <w:sz w:val="15"/>
          <w:szCs w:val="15"/>
          <w:color w:val="auto"/>
        </w:rPr>
        <w:t>3.0</w:t>
      </w:r>
    </w:p>
    <w:p>
      <w:pPr>
        <w:spacing w:after="0" w:line="206" w:lineRule="exact"/>
        <w:rPr>
          <w:sz w:val="20"/>
          <w:szCs w:val="20"/>
          <w:color w:val="auto"/>
        </w:rPr>
      </w:pPr>
    </w:p>
    <w:p>
      <w:pPr>
        <w:jc w:val="right"/>
        <w:ind w:right="340"/>
        <w:spacing w:after="0"/>
        <w:rPr>
          <w:sz w:val="20"/>
          <w:szCs w:val="20"/>
          <w:color w:val="auto"/>
        </w:rPr>
      </w:pPr>
      <w:r>
        <w:rPr>
          <w:rFonts w:ascii="Arial" w:cs="Arial" w:eastAsia="Arial" w:hAnsi="Arial"/>
          <w:sz w:val="15"/>
          <w:szCs w:val="15"/>
          <w:color w:val="auto"/>
        </w:rPr>
        <w:t>47.9</w:t>
      </w:r>
    </w:p>
    <w:p>
      <w:pPr>
        <w:spacing w:after="0" w:line="98" w:lineRule="exact"/>
        <w:rPr>
          <w:sz w:val="20"/>
          <w:szCs w:val="20"/>
          <w:color w:val="auto"/>
        </w:rPr>
      </w:pPr>
    </w:p>
    <w:p>
      <w:pPr>
        <w:jc w:val="right"/>
        <w:ind w:right="340"/>
        <w:spacing w:after="0"/>
        <w:rPr>
          <w:sz w:val="20"/>
          <w:szCs w:val="20"/>
          <w:color w:val="auto"/>
        </w:rPr>
      </w:pPr>
      <w:r>
        <w:rPr>
          <w:rFonts w:ascii="Arial" w:cs="Arial" w:eastAsia="Arial" w:hAnsi="Arial"/>
          <w:sz w:val="15"/>
          <w:szCs w:val="15"/>
          <w:color w:val="auto"/>
        </w:rPr>
        <w:t>5.2</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(4.8)</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9.5</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7.0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12700</wp:posOffset>
            </wp:positionV>
            <wp:extent cx="1157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55.5 %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12700</wp:posOffset>
            </wp:positionV>
            <wp:extent cx="11576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29845</wp:posOffset>
            </wp:positionV>
            <wp:extent cx="11576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2018</w:t>
      </w:r>
    </w:p>
    <w:p>
      <w:pPr>
        <w:spacing w:after="0" w:line="116" w:lineRule="exact"/>
        <w:rPr>
          <w:sz w:val="20"/>
          <w:szCs w:val="20"/>
          <w:color w:val="auto"/>
        </w:rPr>
      </w:pPr>
    </w:p>
    <w:p>
      <w:pPr>
        <w:jc w:val="right"/>
        <w:ind w:right="580"/>
        <w:spacing w:after="0"/>
        <w:rPr>
          <w:sz w:val="20"/>
          <w:szCs w:val="20"/>
          <w:color w:val="auto"/>
        </w:rPr>
      </w:pPr>
      <w:r>
        <w:rPr>
          <w:rFonts w:ascii="Arial" w:cs="Arial" w:eastAsia="Arial" w:hAnsi="Arial"/>
          <w:sz w:val="15"/>
          <w:szCs w:val="15"/>
          <w:color w:val="auto"/>
        </w:rPr>
        <w:t>(21.0)%</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(1.5)</w:t>
      </w:r>
    </w:p>
    <w:p>
      <w:pPr>
        <w:spacing w:after="0" w:line="98" w:lineRule="exact"/>
        <w:rPr>
          <w:sz w:val="20"/>
          <w:szCs w:val="20"/>
          <w:color w:val="auto"/>
        </w:rPr>
      </w:pPr>
    </w:p>
    <w:p>
      <w:pPr>
        <w:jc w:val="right"/>
        <w:ind w:right="780"/>
        <w:spacing w:after="0"/>
        <w:rPr>
          <w:sz w:val="20"/>
          <w:szCs w:val="20"/>
          <w:color w:val="auto"/>
        </w:rPr>
      </w:pPr>
      <w:r>
        <w:rPr>
          <w:rFonts w:ascii="Arial" w:cs="Arial" w:eastAsia="Arial" w:hAnsi="Arial"/>
          <w:sz w:val="15"/>
          <w:szCs w:val="15"/>
          <w:color w:val="auto"/>
        </w:rPr>
        <w:t>19.7</w:t>
      </w:r>
    </w:p>
    <w:p>
      <w:pPr>
        <w:spacing w:after="0" w:line="206" w:lineRule="exact"/>
        <w:rPr>
          <w:sz w:val="20"/>
          <w:szCs w:val="20"/>
          <w:color w:val="auto"/>
        </w:rPr>
      </w:pPr>
    </w:p>
    <w:p>
      <w:pPr>
        <w:jc w:val="right"/>
        <w:ind w:right="780"/>
        <w:spacing w:after="0"/>
        <w:rPr>
          <w:sz w:val="20"/>
          <w:szCs w:val="20"/>
          <w:color w:val="auto"/>
        </w:rPr>
      </w:pPr>
      <w:r>
        <w:rPr>
          <w:rFonts w:ascii="Arial" w:cs="Arial" w:eastAsia="Arial" w:hAnsi="Arial"/>
          <w:sz w:val="15"/>
          <w:szCs w:val="15"/>
          <w:color w:val="auto"/>
        </w:rPr>
        <w:t>8.5</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1.6</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(3.6)</w:t>
      </w:r>
    </w:p>
    <w:p>
      <w:pPr>
        <w:spacing w:after="0" w:line="98" w:lineRule="exact"/>
        <w:rPr>
          <w:sz w:val="20"/>
          <w:szCs w:val="20"/>
          <w:color w:val="auto"/>
        </w:rPr>
      </w:pPr>
    </w:p>
    <w:p>
      <w:pPr>
        <w:jc w:val="right"/>
        <w:ind w:right="780"/>
        <w:spacing w:after="0"/>
        <w:rPr>
          <w:sz w:val="20"/>
          <w:szCs w:val="20"/>
          <w:color w:val="auto"/>
        </w:rPr>
      </w:pPr>
      <w:r>
        <w:rPr>
          <w:rFonts w:ascii="Arial" w:cs="Arial" w:eastAsia="Arial" w:hAnsi="Arial"/>
          <w:sz w:val="15"/>
          <w:szCs w:val="15"/>
          <w:color w:val="auto"/>
        </w:rPr>
        <w:t>3.4</w:t>
      </w:r>
    </w:p>
    <w:p>
      <w:pPr>
        <w:spacing w:after="0" w:line="98" w:lineRule="exact"/>
        <w:rPr>
          <w:sz w:val="20"/>
          <w:szCs w:val="20"/>
          <w:color w:val="auto"/>
        </w:rPr>
      </w:pPr>
    </w:p>
    <w:p>
      <w:pPr>
        <w:jc w:val="right"/>
        <w:ind w:right="780"/>
        <w:spacing w:after="0"/>
        <w:rPr>
          <w:sz w:val="20"/>
          <w:szCs w:val="20"/>
          <w:color w:val="auto"/>
        </w:rPr>
      </w:pPr>
      <w:r>
        <w:rPr>
          <w:rFonts w:ascii="Arial" w:cs="Arial" w:eastAsia="Arial" w:hAnsi="Arial"/>
          <w:sz w:val="15"/>
          <w:szCs w:val="15"/>
          <w:color w:val="auto"/>
        </w:rPr>
        <w:t>17.5</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wp:posOffset>
            </wp:positionV>
            <wp:extent cx="11576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24.1 %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wp:posOffset>
            </wp:positionV>
            <wp:extent cx="11576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29845</wp:posOffset>
            </wp:positionV>
            <wp:extent cx="11576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20" w:space="720"/>
            <w:col w:w="1220" w:space="720"/>
            <w:col w:w="1640"/>
          </w:cols>
          <w:pgMar w:left="240" w:top="598" w:right="239" w:bottom="1440" w:gutter="0" w:footer="0" w:header="0"/>
          <w:type w:val="continuous"/>
        </w:sectPr>
      </w:pPr>
    </w:p>
    <w:p>
      <w:pPr>
        <w:spacing w:after="0" w:line="4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effective income tax rate for the six months ended June 30, 2019 and 2018 includes a loss at the Company's parent, which is taxed as a partnership.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unfunded liability of $4.9 million is recognized in the consolidated balance sheet as a component of other non-current liabilities at June 30, 2019. Net periodic benefit cost consists of the following for the three and six months ended June 30,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598" w:right="239" w:bottom="1440" w:gutter="0" w:footer="0" w:header="0"/>
          <w:type w:val="continuous"/>
        </w:sectPr>
      </w:pPr>
    </w:p>
    <w:p>
      <w:pPr>
        <w:spacing w:after="0" w:line="230"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24130</wp:posOffset>
            </wp:positionV>
            <wp:extent cx="18522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1" w:lineRule="exact"/>
        <w:rPr>
          <w:sz w:val="20"/>
          <w:szCs w:val="20"/>
          <w:color w:val="auto"/>
        </w:rPr>
      </w:pPr>
    </w:p>
    <w:p>
      <w:pPr>
        <w:ind w:left="5300"/>
        <w:spacing w:after="0"/>
        <w:tabs>
          <w:tab w:leader="none" w:pos="678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24130</wp:posOffset>
            </wp:positionV>
            <wp:extent cx="18522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1"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30" w:lineRule="exact"/>
        <w:rPr>
          <w:sz w:val="20"/>
          <w:szCs w:val="20"/>
          <w:color w:val="auto"/>
        </w:rPr>
      </w:pPr>
    </w:p>
    <w:p>
      <w:pPr>
        <w:sectPr>
          <w:pgSz w:w="11900" w:h="16838" w:orient="portrait"/>
          <w:cols w:equalWidth="0" w:num="2">
            <w:col w:w="7560" w:space="720"/>
            <w:col w:w="3140"/>
          </w:cols>
          <w:pgMar w:left="240" w:top="598" w:right="239" w:bottom="1440" w:gutter="0" w:footer="0" w:header="0"/>
          <w:type w:val="continuous"/>
        </w:sectPr>
      </w:pPr>
    </w:p>
    <w:tbl>
      <w:tblPr>
        <w:tblLayout w:type="fixed"/>
        <w:tblInd w:w="720" w:type="dxa"/>
        <w:tblCellMar>
          <w:top w:w="0" w:type="dxa"/>
          <w:left w:w="0" w:type="dxa"/>
          <w:bottom w:w="0" w:type="dxa"/>
          <w:right w:w="0" w:type="dxa"/>
        </w:tblCellMar>
      </w:tblPr>
      <w:tr>
        <w:trPr>
          <w:trHeight w:val="204"/>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Service cost</w:t>
            </w:r>
          </w:p>
        </w:tc>
        <w:tc>
          <w:tcPr>
            <w:tcW w:w="580" w:type="dxa"/>
            <w:vAlign w:val="bottom"/>
            <w:tcBorders>
              <w:top w:val="single" w:sz="8" w:color="auto"/>
            </w:tcBorders>
            <w:vMerge w:val="restart"/>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256</w:t>
            </w:r>
          </w:p>
        </w:tc>
        <w:tc>
          <w:tcPr>
            <w:tcW w:w="640" w:type="dxa"/>
            <w:vAlign w:val="bottom"/>
            <w:tcBorders>
              <w:top w:val="single" w:sz="8" w:color="auto"/>
            </w:tcBorders>
            <w:vMerge w:val="restart"/>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67"/>
        </w:trPr>
        <w:tc>
          <w:tcPr>
            <w:tcW w:w="404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40"/>
              <w:spacing w:after="0"/>
              <w:rPr>
                <w:sz w:val="20"/>
                <w:szCs w:val="20"/>
                <w:color w:val="auto"/>
              </w:rPr>
            </w:pPr>
            <w:r>
              <w:rPr>
                <w:rFonts w:ascii="Arial" w:cs="Arial" w:eastAsia="Arial" w:hAnsi="Arial"/>
                <w:sz w:val="15"/>
                <w:szCs w:val="15"/>
                <w:color w:val="auto"/>
              </w:rPr>
              <w:t>Interest cost</w:t>
            </w:r>
          </w:p>
        </w:tc>
        <w:tc>
          <w:tcPr>
            <w:tcW w:w="580" w:type="dxa"/>
            <w:vAlign w:val="bottom"/>
          </w:tcPr>
          <w:p>
            <w:pPr>
              <w:spacing w:after="0"/>
              <w:rPr>
                <w:sz w:val="18"/>
                <w:szCs w:val="18"/>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vMerge w:val="restart"/>
          </w:tcPr>
          <w:p>
            <w:pPr>
              <w:jc w:val="right"/>
              <w:ind w:right="63"/>
              <w:spacing w:after="0"/>
              <w:rPr>
                <w:sz w:val="20"/>
                <w:szCs w:val="20"/>
                <w:color w:val="auto"/>
              </w:rPr>
            </w:pPr>
            <w:r>
              <w:rPr>
                <w:rFonts w:ascii="Arial" w:cs="Arial" w:eastAsia="Arial" w:hAnsi="Arial"/>
                <w:sz w:val="15"/>
                <w:szCs w:val="15"/>
                <w:color w:val="auto"/>
              </w:rPr>
              <w:t>66</w:t>
            </w:r>
          </w:p>
        </w:tc>
        <w:tc>
          <w:tcPr>
            <w:tcW w:w="64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58"/>
        </w:trPr>
        <w:tc>
          <w:tcPr>
            <w:tcW w:w="4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Expected return on plan assets</w:t>
            </w:r>
          </w:p>
        </w:tc>
        <w:tc>
          <w:tcPr>
            <w:tcW w:w="5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6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62"/>
        </w:trPr>
        <w:tc>
          <w:tcPr>
            <w:tcW w:w="40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40"/>
              <w:spacing w:after="0"/>
              <w:rPr>
                <w:sz w:val="20"/>
                <w:szCs w:val="20"/>
                <w:color w:val="auto"/>
              </w:rPr>
            </w:pPr>
            <w:r>
              <w:rPr>
                <w:rFonts w:ascii="Arial" w:cs="Arial" w:eastAsia="Arial" w:hAnsi="Arial"/>
                <w:sz w:val="15"/>
                <w:szCs w:val="15"/>
                <w:color w:val="auto"/>
              </w:rPr>
              <w:t>Amortization of unrecognized loss</w:t>
            </w:r>
          </w:p>
        </w:tc>
        <w:tc>
          <w:tcPr>
            <w:tcW w:w="580" w:type="dxa"/>
            <w:vAlign w:val="bottom"/>
          </w:tcPr>
          <w:p>
            <w:pPr>
              <w:spacing w:after="0"/>
              <w:rPr>
                <w:sz w:val="18"/>
                <w:szCs w:val="18"/>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vMerge w:val="restart"/>
          </w:tcPr>
          <w:p>
            <w:pPr>
              <w:jc w:val="right"/>
              <w:ind w:right="63"/>
              <w:spacing w:after="0"/>
              <w:rPr>
                <w:sz w:val="20"/>
                <w:szCs w:val="20"/>
                <w:color w:val="auto"/>
              </w:rPr>
            </w:pPr>
            <w:r>
              <w:rPr>
                <w:rFonts w:ascii="Arial" w:cs="Arial" w:eastAsia="Arial" w:hAnsi="Arial"/>
                <w:sz w:val="15"/>
                <w:szCs w:val="15"/>
                <w:color w:val="auto"/>
              </w:rPr>
              <w:t>69</w:t>
            </w:r>
          </w:p>
        </w:tc>
        <w:tc>
          <w:tcPr>
            <w:tcW w:w="640" w:type="dxa"/>
            <w:vAlign w:val="bottom"/>
          </w:tcPr>
          <w:p>
            <w:pPr>
              <w:spacing w:after="0"/>
              <w:rPr>
                <w:sz w:val="18"/>
                <w:szCs w:val="18"/>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58"/>
        </w:trPr>
        <w:tc>
          <w:tcPr>
            <w:tcW w:w="40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periodic benefit cost</w:t>
            </w:r>
          </w:p>
        </w:tc>
        <w:tc>
          <w:tcPr>
            <w:tcW w:w="580" w:type="dxa"/>
            <w:vAlign w:val="bottom"/>
            <w:vMerge w:val="restart"/>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403"/>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311</w:t>
            </w:r>
          </w:p>
        </w:tc>
        <w:tc>
          <w:tcPr>
            <w:tcW w:w="640" w:type="dxa"/>
            <w:vAlign w:val="bottom"/>
            <w:vMerge w:val="restart"/>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72"/>
        </w:trPr>
        <w:tc>
          <w:tcPr>
            <w:tcW w:w="404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98" w:right="239" w:bottom="1440" w:gutter="0" w:footer="0" w:header="0"/>
          <w:type w:val="continuous"/>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During the six months ended June 30, 2019, per the terms of the pension agreement, Arnold contributed $0.2 million to the plan. For the remainder of 2019, the expected contribution to the plan will be approximately $0.6 million.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June 30, 2019 were considered Level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June 30, 2019. In the three and six months ended June 30, 2019, the Company recognized $6.3 million and $12.3 million, respectively, in expense related to operating leases in the condensed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June 30,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41" w:lineRule="exact"/>
        <w:rPr>
          <w:sz w:val="20"/>
          <w:szCs w:val="20"/>
          <w:color w:val="auto"/>
        </w:rPr>
      </w:pPr>
    </w:p>
    <w:tbl>
      <w:tblPr>
        <w:tblLayout w:type="fixed"/>
        <w:tblInd w:w="2080" w:type="dxa"/>
        <w:tblCellMar>
          <w:top w:w="0" w:type="dxa"/>
          <w:left w:w="0" w:type="dxa"/>
          <w:bottom w:w="0" w:type="dxa"/>
          <w:right w:w="0" w:type="dxa"/>
        </w:tblCellMar>
      </w:tblP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 (excluding six months ended June 30, 2019)</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11,143</w:t>
            </w:r>
          </w:p>
        </w:tc>
      </w:tr>
      <w:tr>
        <w:trPr>
          <w:trHeight w:val="266"/>
        </w:trPr>
        <w:tc>
          <w:tcPr>
            <w:tcW w:w="5000" w:type="dxa"/>
            <w:vAlign w:val="bottom"/>
          </w:tcPr>
          <w:p>
            <w:pPr>
              <w:ind w:left="20"/>
              <w:spacing w:after="0"/>
              <w:rPr>
                <w:sz w:val="20"/>
                <w:szCs w:val="20"/>
                <w:color w:val="auto"/>
              </w:rPr>
            </w:pPr>
            <w:r>
              <w:rPr>
                <w:rFonts w:ascii="Arial" w:cs="Arial" w:eastAsia="Arial" w:hAnsi="Arial"/>
                <w:sz w:val="15"/>
                <w:szCs w:val="15"/>
                <w:color w:val="auto"/>
              </w:rPr>
              <w:t>2020</w:t>
            </w:r>
          </w:p>
        </w:tc>
        <w:tc>
          <w:tcPr>
            <w:tcW w:w="8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23,688</w:t>
            </w:r>
          </w:p>
        </w:tc>
      </w:tr>
      <w:tr>
        <w:trPr>
          <w:trHeight w:val="27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8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20,694</w:t>
            </w:r>
          </w:p>
        </w:tc>
      </w:tr>
      <w:tr>
        <w:trPr>
          <w:trHeight w:val="266"/>
        </w:trPr>
        <w:tc>
          <w:tcPr>
            <w:tcW w:w="5000" w:type="dxa"/>
            <w:vAlign w:val="bottom"/>
          </w:tcPr>
          <w:p>
            <w:pPr>
              <w:ind w:left="20"/>
              <w:spacing w:after="0"/>
              <w:rPr>
                <w:sz w:val="20"/>
                <w:szCs w:val="20"/>
                <w:color w:val="auto"/>
              </w:rPr>
            </w:pPr>
            <w:r>
              <w:rPr>
                <w:rFonts w:ascii="Arial" w:cs="Arial" w:eastAsia="Arial" w:hAnsi="Arial"/>
                <w:sz w:val="15"/>
                <w:szCs w:val="15"/>
                <w:color w:val="auto"/>
              </w:rPr>
              <w:t>2022</w:t>
            </w:r>
          </w:p>
        </w:tc>
        <w:tc>
          <w:tcPr>
            <w:tcW w:w="8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17,901</w:t>
            </w:r>
          </w:p>
        </w:tc>
      </w:tr>
      <w:tr>
        <w:trPr>
          <w:trHeight w:val="27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8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12,003</w:t>
            </w:r>
          </w:p>
        </w:tc>
      </w:tr>
      <w:tr>
        <w:trPr>
          <w:trHeight w:val="26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8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39,109</w:t>
            </w:r>
          </w:p>
        </w:tc>
      </w:tr>
      <w:tr>
        <w:trPr>
          <w:trHeight w:val="25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undiscounted lease payments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124,538</w:t>
            </w:r>
          </w:p>
        </w:tc>
      </w:tr>
      <w:tr>
        <w:trPr>
          <w:trHeight w:val="26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Interest</w:t>
            </w:r>
          </w:p>
        </w:tc>
        <w:tc>
          <w:tcPr>
            <w:tcW w:w="8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34,552</w:t>
            </w:r>
          </w:p>
        </w:tc>
      </w:tr>
      <w:tr>
        <w:trPr>
          <w:trHeight w:val="24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89,986</w:t>
            </w: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 For operating leases existing prior to January 1, 2019, the rate for the remaining lease term as of January 1, 2019 was used.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June 30, 2019:</w:t>
      </w:r>
    </w:p>
    <w:p>
      <w:pPr>
        <w:spacing w:after="0" w:line="310" w:lineRule="exact"/>
        <w:rPr>
          <w:sz w:val="20"/>
          <w:szCs w:val="20"/>
          <w:color w:val="auto"/>
        </w:rPr>
      </w:pPr>
    </w:p>
    <w:tbl>
      <w:tblPr>
        <w:tblLayout w:type="fixed"/>
        <w:tblInd w:w="2320" w:type="dxa"/>
        <w:tblCellMar>
          <w:top w:w="0" w:type="dxa"/>
          <w:left w:w="0" w:type="dxa"/>
          <w:bottom w:w="0" w:type="dxa"/>
          <w:right w:w="0" w:type="dxa"/>
        </w:tblCellMar>
      </w:tblPr>
      <w:tr>
        <w:trPr>
          <w:trHeight w:val="172"/>
        </w:trPr>
        <w:tc>
          <w:tcPr>
            <w:tcW w:w="4780" w:type="dxa"/>
            <w:vAlign w:val="bottom"/>
            <w:gridSpan w:val="3"/>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20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7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 (years)</w:t>
            </w:r>
          </w:p>
        </w:tc>
        <w:tc>
          <w:tcPr>
            <w:tcW w:w="2020" w:type="dxa"/>
            <w:vAlign w:val="bottom"/>
            <w:shd w:val="clear" w:color="auto" w:fill="CCEEFF"/>
          </w:tcPr>
          <w:p>
            <w:pPr>
              <w:ind w:left="1540"/>
              <w:spacing w:after="0"/>
              <w:rPr>
                <w:sz w:val="20"/>
                <w:szCs w:val="20"/>
                <w:color w:val="auto"/>
              </w:rPr>
            </w:pPr>
            <w:r>
              <w:rPr>
                <w:rFonts w:ascii="Arial" w:cs="Arial" w:eastAsia="Arial" w:hAnsi="Arial"/>
                <w:sz w:val="15"/>
                <w:szCs w:val="15"/>
                <w:color w:val="auto"/>
              </w:rPr>
              <w:t>6.41</w:t>
            </w:r>
          </w:p>
        </w:tc>
      </w:tr>
      <w:tr>
        <w:trPr>
          <w:trHeight w:val="262"/>
        </w:trPr>
        <w:tc>
          <w:tcPr>
            <w:tcW w:w="4780" w:type="dxa"/>
            <w:vAlign w:val="bottom"/>
            <w:gridSpan w:val="3"/>
          </w:tcPr>
          <w:p>
            <w:pPr>
              <w:ind w:left="20"/>
              <w:spacing w:after="0"/>
              <w:rPr>
                <w:sz w:val="20"/>
                <w:szCs w:val="20"/>
                <w:color w:val="auto"/>
              </w:rPr>
            </w:pPr>
            <w:r>
              <w:rPr>
                <w:rFonts w:ascii="Arial" w:cs="Arial" w:eastAsia="Arial" w:hAnsi="Arial"/>
                <w:sz w:val="15"/>
                <w:szCs w:val="15"/>
                <w:color w:val="auto"/>
              </w:rPr>
              <w:t>Weighted-average discount rate</w:t>
            </w:r>
          </w:p>
        </w:tc>
        <w:tc>
          <w:tcPr>
            <w:tcW w:w="2020" w:type="dxa"/>
            <w:vAlign w:val="bottom"/>
          </w:tcPr>
          <w:p>
            <w:pPr>
              <w:ind w:left="1540"/>
              <w:spacing w:after="0"/>
              <w:rPr>
                <w:sz w:val="20"/>
                <w:szCs w:val="20"/>
                <w:color w:val="auto"/>
              </w:rPr>
            </w:pPr>
            <w:r>
              <w:rPr>
                <w:rFonts w:ascii="Arial" w:cs="Arial" w:eastAsia="Arial" w:hAnsi="Arial"/>
                <w:sz w:val="15"/>
                <w:szCs w:val="15"/>
                <w:color w:val="auto"/>
              </w:rPr>
              <w:t>7.83%</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Line Item in the Company’s Consolidated</w:t>
            </w: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6"/>
        </w:trPr>
        <w:tc>
          <w:tcPr>
            <w:tcW w:w="9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Balance Sheet</w:t>
            </w:r>
          </w:p>
        </w:tc>
        <w:tc>
          <w:tcPr>
            <w:tcW w:w="340" w:type="dxa"/>
            <w:vAlign w:val="bottom"/>
          </w:tcPr>
          <w:p>
            <w:pPr>
              <w:spacing w:after="0"/>
              <w:rPr>
                <w:sz w:val="17"/>
                <w:szCs w:val="17"/>
                <w:color w:val="auto"/>
              </w:rPr>
            </w:pPr>
          </w:p>
        </w:tc>
        <w:tc>
          <w:tcPr>
            <w:tcW w:w="1760" w:type="dxa"/>
            <w:vAlign w:val="bottom"/>
          </w:tcPr>
          <w:p>
            <w:pPr>
              <w:jc w:val="right"/>
              <w:ind w:right="463"/>
              <w:spacing w:after="0"/>
              <w:rPr>
                <w:sz w:val="20"/>
                <w:szCs w:val="20"/>
                <w:color w:val="auto"/>
              </w:rPr>
            </w:pPr>
            <w:r>
              <w:rPr>
                <w:rFonts w:ascii="Arial" w:cs="Arial" w:eastAsia="Arial" w:hAnsi="Arial"/>
                <w:sz w:val="15"/>
                <w:szCs w:val="15"/>
                <w:b w:val="1"/>
                <w:bCs w:val="1"/>
                <w:color w:val="auto"/>
              </w:rPr>
              <w:t>June 30, 2019</w:t>
            </w:r>
          </w:p>
        </w:tc>
      </w:tr>
      <w:tr>
        <w:trPr>
          <w:trHeight w:val="160"/>
        </w:trPr>
        <w:tc>
          <w:tcPr>
            <w:tcW w:w="9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r>
      <w:tr>
        <w:trPr>
          <w:trHeight w:val="270"/>
        </w:trPr>
        <w:tc>
          <w:tcPr>
            <w:tcW w:w="980" w:type="dxa"/>
            <w:vAlign w:val="bottom"/>
          </w:tcPr>
          <w:p>
            <w:pPr>
              <w:spacing w:after="0"/>
              <w:rPr>
                <w:sz w:val="23"/>
                <w:szCs w:val="23"/>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88,321</w:t>
            </w:r>
          </w:p>
        </w:tc>
      </w:tr>
      <w:tr>
        <w:trPr>
          <w:trHeight w:val="266"/>
        </w:trPr>
        <w:tc>
          <w:tcPr>
            <w:tcW w:w="98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5"/>
                <w:szCs w:val="15"/>
                <w:color w:val="auto"/>
              </w:rPr>
              <w:t>Current portion, operating lease liabilities</w:t>
            </w:r>
          </w:p>
        </w:tc>
        <w:tc>
          <w:tcPr>
            <w:tcW w:w="3300" w:type="dxa"/>
            <w:vAlign w:val="bottom"/>
            <w:gridSpan w:val="2"/>
          </w:tcPr>
          <w:p>
            <w:pPr>
              <w:ind w:left="20"/>
              <w:spacing w:after="0"/>
              <w:rPr>
                <w:sz w:val="20"/>
                <w:szCs w:val="20"/>
                <w:color w:val="auto"/>
              </w:rPr>
            </w:pPr>
            <w:r>
              <w:rPr>
                <w:rFonts w:ascii="Arial" w:cs="Arial" w:eastAsia="Arial" w:hAnsi="Arial"/>
                <w:sz w:val="15"/>
                <w:szCs w:val="15"/>
                <w:color w:val="auto"/>
              </w:rPr>
              <w:t>Other current liabilities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17,666</w:t>
            </w:r>
          </w:p>
        </w:tc>
      </w:tr>
      <w:tr>
        <w:trPr>
          <w:trHeight w:val="274"/>
        </w:trPr>
        <w:tc>
          <w:tcPr>
            <w:tcW w:w="980" w:type="dxa"/>
            <w:vAlign w:val="bottom"/>
          </w:tcPr>
          <w:p>
            <w:pPr>
              <w:spacing w:after="0"/>
              <w:rPr>
                <w:sz w:val="23"/>
                <w:szCs w:val="23"/>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72,320</w:t>
            </w:r>
          </w:p>
        </w:tc>
      </w:tr>
      <w:tr>
        <w:trPr>
          <w:trHeight w:val="432"/>
        </w:trPr>
        <w:tc>
          <w:tcPr>
            <w:tcW w:w="8340" w:type="dxa"/>
            <w:vAlign w:val="bottom"/>
            <w:gridSpan w:val="4"/>
          </w:tcPr>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38"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right"/>
              <w:ind w:right="43"/>
              <w:spacing w:after="0"/>
              <w:rPr>
                <w:sz w:val="20"/>
                <w:szCs w:val="20"/>
                <w:color w:val="auto"/>
              </w:rPr>
            </w:pPr>
            <w:r>
              <w:rPr>
                <w:rFonts w:ascii="Arial" w:cs="Arial" w:eastAsia="Arial" w:hAnsi="Arial"/>
                <w:sz w:val="15"/>
                <w:szCs w:val="15"/>
                <w:b w:val="1"/>
                <w:bCs w:val="1"/>
                <w:color w:val="auto"/>
              </w:rPr>
              <w:t>Six months ended June 30,</w:t>
            </w:r>
          </w:p>
        </w:tc>
      </w:tr>
      <w:tr>
        <w:trPr>
          <w:trHeight w:val="206"/>
        </w:trPr>
        <w:tc>
          <w:tcPr>
            <w:tcW w:w="65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2019</w:t>
            </w:r>
          </w:p>
        </w:tc>
      </w:tr>
      <w:tr>
        <w:trPr>
          <w:trHeight w:val="268"/>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66"/>
        </w:trPr>
        <w:tc>
          <w:tcPr>
            <w:tcW w:w="6560" w:type="dxa"/>
            <w:vAlign w:val="bottom"/>
          </w:tcPr>
          <w:p>
            <w:pPr>
              <w:ind w:left="140"/>
              <w:spacing w:after="0"/>
              <w:rPr>
                <w:sz w:val="20"/>
                <w:szCs w:val="20"/>
                <w:color w:val="auto"/>
              </w:rPr>
            </w:pPr>
            <w:r>
              <w:rPr>
                <w:rFonts w:ascii="Arial" w:cs="Arial" w:eastAsia="Arial" w:hAnsi="Arial"/>
                <w:sz w:val="15"/>
                <w:szCs w:val="15"/>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ind w:right="3"/>
              <w:spacing w:after="0"/>
              <w:rPr>
                <w:sz w:val="20"/>
                <w:szCs w:val="20"/>
                <w:color w:val="auto"/>
              </w:rPr>
            </w:pPr>
            <w:r>
              <w:rPr>
                <w:rFonts w:ascii="Arial" w:cs="Arial" w:eastAsia="Arial" w:hAnsi="Arial"/>
                <w:sz w:val="15"/>
                <w:szCs w:val="15"/>
                <w:color w:val="auto"/>
              </w:rPr>
              <w:t>12,294</w:t>
            </w:r>
          </w:p>
        </w:tc>
      </w:tr>
      <w:tr>
        <w:trPr>
          <w:trHeight w:val="274"/>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obtained in exchange for lease obligations:</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62"/>
        </w:trPr>
        <w:tc>
          <w:tcPr>
            <w:tcW w:w="6560" w:type="dxa"/>
            <w:vAlign w:val="bottom"/>
          </w:tcPr>
          <w:p>
            <w:pPr>
              <w:ind w:left="140"/>
              <w:spacing w:after="0"/>
              <w:rPr>
                <w:sz w:val="20"/>
                <w:szCs w:val="20"/>
                <w:color w:val="auto"/>
              </w:rPr>
            </w:pPr>
            <w:r>
              <w:rPr>
                <w:rFonts w:ascii="Arial" w:cs="Arial" w:eastAsia="Arial" w:hAnsi="Arial"/>
                <w:sz w:val="15"/>
                <w:szCs w:val="15"/>
                <w:color w:val="auto"/>
              </w:rPr>
              <w:t>Operating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ind w:right="3"/>
              <w:spacing w:after="0"/>
              <w:rPr>
                <w:sz w:val="20"/>
                <w:szCs w:val="20"/>
                <w:color w:val="auto"/>
              </w:rPr>
            </w:pPr>
            <w:r>
              <w:rPr>
                <w:rFonts w:ascii="Arial" w:cs="Arial" w:eastAsia="Arial" w:hAnsi="Arial"/>
                <w:sz w:val="15"/>
                <w:szCs w:val="15"/>
                <w:color w:val="auto"/>
              </w:rPr>
              <w:t>3,981</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 entered into a Management Services Agreement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4">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borrows under the 2018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Foam Fabricators, which was acquired in 2018, and Velocity Outdoor, which was acquired in 2017, each entered into an Integration Services Agreements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Each ISA is for the twelve month period subsequent to the acquisition. Velocity Outdoor paid CGM a total of $1.5 million in integration services fees, with $0.75 million paid in 2018. Foam Fabricators paid CGM $ 2.3 million over the term of the ISA, $2.0 million in 2018 and $0.3 million in 2019. Integration services fees are included in selling, general and administrative expense on the subsidiaries' statement of operations in the period in which they are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Sterno Recapitalization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the Company completed a recapitalization at Sterno whereby the Company entered into an amendment to the intercompany loan agreement with Sterno (the "Sterno Loan Agreement"). The Sterno Loan Agreement was amended to (i) provide for term loan borrowings of $56.8 million to fund a distribution to the Company, which owned 100% of the outstanding equity of Sterno at the time of the recapitalization, and (ii) extend the maturity dates of the term loans. In connection with the recapitalization, Sterno's management team exercised all of their vested stock options, which represented 58,000 shares of Sterno. The Company then used a portion of the distribution to repurchase the 58,000 shares from management for a total purchase price of $6.0 million. In addition, Sterno issued new stock options to replace the exercised options, thus maintaining the same percentage of fully diluted non-controlling interest that existed prior to the recapitalization.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During the three and six months ended June 30, 2019, 5.11 purchased approximately $0.8 million and $2.1 million, respectively, in inventory from the vendor.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2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10 -Q as well as those risk factors discussed in the section entitled "Risk Factors" in our Annual Report on Form 10-K for the year ended December 31, 2018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eight businesses, or operating segments, at June 30, 2019. The segments are as follows: 5.11 Acquisition Corp. ("5.11" or "5.11 Tactical"), The Ergo Baby Carrier, Inc. ("Ergobaby"), Liberty Safe and Security Products, Inc. ("Liberty Safe" or "Liberty"), Velocity Outdoor, Inc. (formerly "Crosman Corp.) ("Velocity Outdoor" or "Velocity"), Compass AC Holdings, Inc. ("ACI" or "Advanced Circuits"), AMT Acquisition Corporation ("Arnold"), FFI Compass, Inc. ("Foam Fabricators" or "Foam") and The Sterno Group, LLC ("Sterno").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at June 30, 2019 as follows:</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b w:val="1"/>
                <w:bCs w:val="1"/>
                <w:color w:val="auto"/>
              </w:rPr>
              <w:t>Ownership Interest - June 30, 2019</w:t>
            </w:r>
          </w:p>
        </w:tc>
      </w:tr>
      <w:tr>
        <w:trPr>
          <w:trHeight w:val="264"/>
        </w:trPr>
        <w:tc>
          <w:tcPr>
            <w:tcW w:w="222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Business</w:t>
            </w:r>
          </w:p>
        </w:tc>
        <w:tc>
          <w:tcPr>
            <w:tcW w:w="1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Acquisition Date</w:t>
            </w:r>
          </w:p>
        </w:tc>
        <w:tc>
          <w:tcPr>
            <w:tcW w:w="12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5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May 16, 2006</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65.8%</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March 31, 2010</w:t>
            </w:r>
          </w:p>
        </w:tc>
        <w:tc>
          <w:tcPr>
            <w:tcW w:w="1900" w:type="dxa"/>
            <w:vAlign w:val="bottom"/>
          </w:tcPr>
          <w:p>
            <w:pPr>
              <w:jc w:val="center"/>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85.2%</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September 16, 2010</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75.8%</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March 5, 2012</w:t>
            </w:r>
          </w:p>
        </w:tc>
        <w:tc>
          <w:tcPr>
            <w:tcW w:w="1900" w:type="dxa"/>
            <w:vAlign w:val="bottom"/>
          </w:tcPr>
          <w:p>
            <w:pPr>
              <w:jc w:val="center"/>
              <w:spacing w:after="0"/>
              <w:rPr>
                <w:sz w:val="20"/>
                <w:szCs w:val="20"/>
                <w:color w:val="auto"/>
              </w:rPr>
            </w:pPr>
            <w:r>
              <w:rPr>
                <w:rFonts w:ascii="Arial" w:cs="Arial" w:eastAsia="Arial" w:hAnsi="Arial"/>
                <w:sz w:val="15"/>
                <w:szCs w:val="15"/>
                <w:color w:val="auto"/>
              </w:rPr>
              <w:t>96.7%</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80.2%</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October 10, 2014</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88.5%</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5.11 Tactical</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August 31, 2016</w:t>
            </w:r>
          </w:p>
        </w:tc>
        <w:tc>
          <w:tcPr>
            <w:tcW w:w="1900" w:type="dxa"/>
            <w:vAlign w:val="bottom"/>
          </w:tcPr>
          <w:p>
            <w:pPr>
              <w:jc w:val="center"/>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88.4%</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Velocity Outdoor</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June 2, 2017</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99.2%</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91.1%</w:t>
            </w:r>
          </w:p>
        </w:tc>
      </w:tr>
      <w:tr>
        <w:trPr>
          <w:trHeight w:val="262"/>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Foam Fabricators</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February 15, 2018</w:t>
            </w:r>
          </w:p>
        </w:tc>
        <w:tc>
          <w:tcPr>
            <w:tcW w:w="1900" w:type="dxa"/>
            <w:vAlign w:val="bottom"/>
          </w:tcPr>
          <w:p>
            <w:pPr>
              <w:jc w:val="center"/>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99.1%</w:t>
            </w:r>
          </w:p>
        </w:tc>
      </w:tr>
    </w:tbl>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Tactical </w:t>
      </w:r>
      <w:r>
        <w:rPr>
          <w:rFonts w:ascii="Arial" w:cs="Arial" w:eastAsia="Arial" w:hAnsi="Arial"/>
          <w:sz w:val="18"/>
          <w:szCs w:val="18"/>
          <w:color w:val="auto"/>
        </w:rPr>
        <w:t>- 5.11 is a leading provider of purpose-built tactical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12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car seats, swaddlers, nursing pillows, and related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60" w:right="239" w:bottom="1440" w:gutter="0" w:footer="0" w:header="0"/>
        </w:sectPr>
      </w:pPr>
    </w:p>
    <w:bookmarkStart w:id="35" w:name="page36"/>
    <w:bookmarkEnd w:id="35"/>
    <w:p>
      <w:pPr>
        <w:jc w:val="both"/>
        <w:ind w:right="20"/>
        <w:spacing w:after="0" w:line="262" w:lineRule="auto"/>
        <w:rPr>
          <w:sz w:val="20"/>
          <w:szCs w:val="20"/>
          <w:color w:val="auto"/>
        </w:rPr>
      </w:pPr>
      <w:r>
        <w:rPr>
          <w:rFonts w:ascii="Arial" w:cs="Arial" w:eastAsia="Arial" w:hAnsi="Arial"/>
          <w:sz w:val="18"/>
          <w:szCs w:val="18"/>
          <w:color w:val="auto"/>
        </w:rPr>
        <w:t>that fit into families’ daily lives seamlessly, comfortably and safely. Historically, Ergobaby derives more than 50% of its sales from outside of the United States.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 accessories,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motorsport/ automotive, oil and gas, medical, general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reprographics and advertising specialties. Over the course of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Foam Fabricators operates 13 molding and fabricating facilities across North America and provides products to a variety of end-markets, including appliances and electronics, pharmaceuticals, health and wellness, automotive, building products and others.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Products, LLC ("Sterno Products"), Sterno Home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("Sterno Home"), and Rimports, LLC ("Rimports"). Sterno is a leading manufacturer and marketer of portable food warming fuels for the hospitality and consumer markets, flameless candles and house and garden lighting for the home decor market, and wickless candle products used for home decor and fragrance systems. We made loans to, and purchased all of the equity interests in, Sterno on October 10, 2014 for approximately $160.0 million. Sterno offers a broad range of wick and gel chafing fuels, butane stoves and accessories, liquid and traditional wax candles, catering equipment and lamps through their Sterno Products division. In January 2016, Sterno acquired Northern International, Inc. ("Sterno Home"), which sells flameless candles and outdoor lighting products through the retail segment, and in February 2018, Sterno acquired Rimports, which is a manufacturer and distributor of branded and private label scented wax cubes and warmer products used for home decor and fragrance systems.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4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63" w:lineRule="exact"/>
        <w:rPr>
          <w:sz w:val="20"/>
          <w:szCs w:val="20"/>
          <w:color w:val="auto"/>
        </w:rPr>
      </w:pPr>
    </w:p>
    <w:p>
      <w:pPr>
        <w:ind w:left="620" w:hanging="315"/>
        <w:spacing w:after="0" w:line="250"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20" w:hanging="315"/>
        <w:spacing w:after="0" w:line="250"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20" w:hanging="31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20" w:hanging="315"/>
        <w:spacing w:after="0" w:line="26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 The middle market continues to be an active segment for deal flow, with further acceleration of deal flow expected in 2019. High valuation levels continue to be driven by the availability of debt capital with favorable terms and financial and strategic buyers seeking to deploy available equity capital. We believe that companies will focus on expanding their customer bases by diversifying their products and services in existing geographic areas during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CEHI was based on an aggregate total enterprise value of $625 million and is subject to customary working capital adjustments. After the allocation of the sale proceeds to CEHI non-controlling equity holders and the payment of transaction expenses of approximately $10.7 million, we received approximately $552 million of total proceeds at closing related to our debt and equity interests in CEHI. We recognized a gain on the sale of CEHI of $206.3 million in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we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 $50 million in cash and C$42.5 million in Tilray Common Stock to the Common Holders on the date that is six months after the closing date of the arrangement (the “Deferred Consideration”). The sale consideration also includes a potential earnout of up to C$49 million in Tilray Common Stock to the Common Holders, if Manitoba Harvest achieves certain levels of U.S. branded gross sales of edible or topical products containing broad spectrum hemp extracts or cannabidiols prior to December 31, 2019.</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98" w:right="2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($53.7 million) and transaction expenses of approximately C$5.0 million. We recognized a gain on the sale of Manitoba Harvest of $121.7 million in the first quarter of 2019. Refer to "Liquidity and Capital Resources, Profit Allocation Payments" for a discussion of the profit allocation associated with the sale of Manitoba Harvest. Our share of the net proceeds after accounting for the redemption of the noncontrolling shareholders and the payment of net indebtedness of Manitoba Harvest and transaction expenses was approximately $ 124.2 million in cash proceeds and in Tilray Common Stock. We recorded a receivable of $48.0 million at June 30, 2019 related to the Deferred Consideration portion of the proceeds. No amount has been recorded related to the potential earnout as of June 30, 2019 based on an assessment of probability at the end of the quarter.</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We sold the Tilray Common Stock during March 2019, recognizing a net loss of $5.3 million in Other income (expense) during the quarter ended March 31,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six months ended June 30, 2019 and June 30, 2018, and components of the results of operations as well as those components presented as a percent of net revenues, for each of our businesses on a stand-alone basis. For the 2018 acquisitions of Foam Fabricators and Rimports, the pro forma results of operations have been prepared as if we purchased these businesses on January 1, 2018. The historical operating results of Rimports prior to acquisition by Sterno on February 26, 2018 have been added to the results of operations of Sterno for the six months ended June 30, 2018 for comparability purposes. Where appropriate, relevant pro forma adjustments are reflected as part of the historical operating results. We believe this is the most meaningful comparison of the operating results for each of our business segments. The following results of operations at each of our businesses are not necessarily indicative of the results to be expected for a full year.</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and six months ended June 30, 2019 and 2018:</w:t>
      </w: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2018</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22"/>
                <w:szCs w:val="22"/>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b w:val="1"/>
                <w:bCs w:val="1"/>
                <w:color w:val="auto"/>
              </w:rPr>
              <w:t>June 30, 2018</w:t>
            </w:r>
          </w:p>
        </w:tc>
        <w:tc>
          <w:tcPr>
            <w:tcW w:w="0" w:type="dxa"/>
            <w:vAlign w:val="bottom"/>
          </w:tcPr>
          <w:p>
            <w:pPr>
              <w:spacing w:after="0"/>
              <w:rPr>
                <w:sz w:val="1"/>
                <w:szCs w:val="1"/>
                <w:color w:val="auto"/>
              </w:rPr>
            </w:pPr>
          </w:p>
        </w:tc>
      </w:tr>
      <w:tr>
        <w:trPr>
          <w:trHeight w:val="192"/>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336,084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339,989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674,941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626,119</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213,521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221,510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432,823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403,753</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122,563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118,479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242,118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222,366</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80,312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81,513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161,709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161,676</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1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19,478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21,436</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Amortization of intangibles</w:t>
            </w: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13,522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14,465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27,112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22,745</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Operating income</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20,208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11,702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33,819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16,509</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(13,474)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(36,899)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1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(5,824)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280" w:type="dxa"/>
            <w:vAlign w:val="bottom"/>
            <w:shd w:val="clear" w:color="auto" w:fill="CCEEFF"/>
          </w:tcPr>
          <w:p>
            <w:pPr>
              <w:ind w:left="260"/>
              <w:spacing w:after="0" w:line="170" w:lineRule="exact"/>
              <w:rPr>
                <w:sz w:val="20"/>
                <w:szCs w:val="20"/>
                <w:color w:val="auto"/>
              </w:rPr>
            </w:pPr>
            <w:r>
              <w:rPr>
                <w:rFonts w:ascii="Arial" w:cs="Arial" w:eastAsia="Arial" w:hAnsi="Arial"/>
                <w:sz w:val="15"/>
                <w:szCs w:val="15"/>
                <w:color w:val="auto"/>
              </w:rPr>
              <w:t>Income (loss) from continuing operations before income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taxes</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(8,674)</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80" w:type="dxa"/>
            <w:vAlign w:val="bottom"/>
          </w:tcPr>
          <w:p>
            <w:pPr>
              <w:spacing w:after="0"/>
              <w:rPr>
                <w:sz w:val="16"/>
                <w:szCs w:val="16"/>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4,551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3,330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5,975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23"/>
              <w:spacing w:after="0"/>
              <w:rPr>
                <w:sz w:val="20"/>
                <w:szCs w:val="20"/>
                <w:color w:val="auto"/>
              </w:rPr>
            </w:pPr>
            <w:r>
              <w:rPr>
                <w:rFonts w:ascii="Arial" w:cs="Arial" w:eastAsia="Arial" w:hAnsi="Arial"/>
                <w:sz w:val="15"/>
                <w:szCs w:val="15"/>
                <w:color w:val="auto"/>
              </w:rPr>
              <w:t>2,087</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Loss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net revenues for the three months ended June 30, 2019 decreased by approximately $3.9 million, or 1.1%, compared to the corresponding period in 2018. During the three months ended June 30, 2019 compared to 2018, we saw a notable increase in net sales at 5.11 ($8.1 million increase), offset by decreases in net sales at Velocity Outdoor ($6.0 million decrease), Arnold ($ 1.7 million decrease), Foam Fabricators ($1.5 million decrease) and Sterno ($1.5 million decrease). Refer to "Results of Operations - Business Segments" for a more detailed analysis of net revenues by business segment.</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cost of revenues decreased approximately $8.0 million during the three months ended June 30, 2019 compared to the corresponding period in 2018. The decrease in cost of revenues reflects notable decreases at Sterno ($5.7 million decrease) and Velocity ($3.3 million decrease). Gross profit as a percentage of net revenues was approximately 36.5% in the three months ended June 30, 2019 compared to 34.8% in the three months ended June 30, 2018. Refer to "Results of Operations - Business Segments" for a more detailed analysis of gross profit by business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decreased approximately $1.2 million during the three months ended June 30, 2019, compared to the corresponding period in 2018. Refer to "Results of Operations - Business Segments" for a more detailed analysis of selling, general and administrative expense by business segment. At the corporate level, general and administrative expense was $3.1 million in the second quarter of 2019 and $4.0 million in the second quarter of 2018. The decrease in selling, general and administrative expense at Corporate was primarily due to $0.6 million of professional fees in the prior year associated with the refinancing of our credit facility in the second quarter of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2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June 30, 2019, we incurred approximately $8.5 million in management fees as compared to $10.8 million in fees in the three months ended June 30, 2018. The decrease was attributable to the sale of Manitoba Harvest in the first quarter of 2019 and Clean Earth in the second quarter of 2019. Concurrent with the June 2019 sale of Clean Earth, CGM agreed to waive the management fee on cash balances held at the Company, commencing with the quarter ended June 30, 2019 and continuing until the quarter during which the Company next borrows under the 2018 Revolving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June 30, 2019 decreased $0.9 million as compared to the three months ended June 30, 2018 primarily as a result of finalization of the purchase price allocations related to the acquisition of Foam Fabricators and Rimports in February 2018, offset by the amortization of intangible assets at Velocity related to the Ravin acquisition in August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$18.4 million for the three months ended June 30, 2019 compared to $13.5 million for the comparable period in 2018, an increase of $5.0 million. The increase in interest expense for the quarter reflects the interest associated with the issuance of our Senior Notes in April 2018, as well as an increase of the average amount outstanding under our revolving credit facility in the second quarter of 2019 as compared to the second quarter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quarter ended June 30, 2019, we recorded $ 0.1 million in other expense as compared to $2.2 million in other expense in the quarter ended June 30, 2018, an increase in expense of $2.1 million. Other expense in the second quarter of 2018 included a currency translation loss on the intercompany debt issued to our Manitoba Harvest subsidiary, which was sold in February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an income tax provision of $4.6 million from continuing operations during the three months ended June 30, 2019 compared to an income tax provision of $3.3 million from continuing operations during the same period in 2018. While our loss from continuing operations before taxes for the quarter ended June 30, 2019 decreased by approximately $5.7 million as compared to the prior year quarter ended June 30, 2018, the effect of foreign taxes at our subsidiaries increased our current tax expense provision during the quarter.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net revenues for the six months ended June 30, 2019 increased by approximately $48.8 million, or 7.8%, compared to the corresponding period in 2018. Our acquisitions of Foam Fabricators and Rimports in February 2018 contributed $13.7 million and $35.8 million, respectively, to the increase in net revenues. During the six months ended June 30, 2019 compared to 2018, we also saw a notable increase in net sales at 5.11 ($12.2 million increase), partially offset by a decrease in sales at our legacy Sterno business. Refer to "Results of Operations - Business Segments" for a more detailed analysis of net revenues by business segment.</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 consolidated basis, cost of revenues increased approximately $29.1 million during the six months ended June 30, 2019 compared to the corresponding period in 2018. Our acquisitions of Foam Fabricators and Rimports in February 2018 contributed $8.4 million and $28.8 million, respectively, to the increase. Gross profit as a percentage of net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72" w:right="2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8"/>
          <w:szCs w:val="18"/>
          <w:color w:val="auto"/>
        </w:rPr>
        <w:t>revenues was approximately 35.9% in the six months ended June 30, 2019 compared to 35.5% in the six months ended June 30, 2018. Refer to "Results of Operations - Business Segments" for a more detailed analysis of gross profit by business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selling, general and administrative expense was approximately $161.7 million during both the six months ended June 30, 2019 and 2018. Refer to "Results of Operations - Business Segments" for a more detailed analysis of selling, general and administrative expense by business segment. At the corporate level, general and administrative expense was $6.4 million in the first six months of 2019 and $7.6 million in the first six months of 2018. The six months ended June 30, 2018 included additional professional fees at corporate associated with the implementation of new accounting standards and the refinancing of our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MSA, we pay CGM a quarterly management fee equal to 0.5% (2.0% annually) of our consolidated adjusted net assets. We accrue for the management fee on a quarterly basis. For the six months ended June 30, 2019, we incurred approximately $19.5 million in management fees as compared to $21.4 million in fees in the six months ended June 30, 2018. The decrease was attributable to the sale of Manitoba Harvest in the first quarter of 2019 and Clean Earth in the second quarter of 2019. Concurrent with the June 2019 sale of Clean Earth, CGM agreed to waive the management fee on cash balances held at the Company, commencing with the quarter ended June 30, 2019 and continuing until the quarter during which the Company next borrows under the 2018 Revolving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six months ended June 30, 2019 increased $4.4 million as compared to the six months ended June 30, 2018 primarily as a result of the acquisition of Foam Fabricators and Rimports in February 2018, and the add-on acquisition of Ravin by Velocity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$36.9 million for the six months ended June 30, 2019 compared to $19.6 million for the comparable period in 2018, an increase of $17.3 million. The increase in interest expense for the six months ended June 30, 2019 reflects the interest associated with the issuance of our Senior Notes in April 2018, as well as an increase of the average amount outstanding under our revolving credit facility in the first half of 2019 as compared to the first half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2019, we recorded $5.8 million in other expense as compared to $3.5 million in other expense in the six months ended June 30, 2018, an increase in expense of $2.3 million. In the current year, we incurred $5.3 million in loss on the sale of the Tilray Common Stock we received related to the sale of Manitoba Harvest, and a loss of $0.4 million related to foreign exchange losses on the repayment of the intercompany loans of Manitoba Harvest.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$ 6.0 million with an effective income tax rate of 55.5% from continuing operations during the six months ended June 30, 2019 compared to an income tax provision of $2.1 million with an effective income tax rate of 24.1% from continuing operations during the six months ended June 30, 2018. While our earnings before taxes for the six months ended June 30, 2019 increased by approximately $3.9 million as compared to the prior six months ended June 30, 2018, which is primarily due to the effect of the loss at the corporate level, which is taxed as a partnership.</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9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Tactical</w:t>
      </w:r>
    </w:p>
    <w:p>
      <w:pPr>
        <w:spacing w:after="0" w:line="200" w:lineRule="exact"/>
        <w:rPr>
          <w:sz w:val="20"/>
          <w:szCs w:val="20"/>
          <w:color w:val="auto"/>
        </w:rPr>
      </w:pPr>
    </w:p>
    <w:p>
      <w:pPr>
        <w:spacing w:after="0" w:line="219" w:lineRule="exact"/>
        <w:rPr>
          <w:sz w:val="20"/>
          <w:szCs w:val="20"/>
          <w:color w:val="auto"/>
        </w:rPr>
      </w:pPr>
    </w:p>
    <w:tbl>
      <w:tblPr>
        <w:tblLayout w:type="fixed"/>
        <w:tblInd w:w="122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auto"/>
            </w:tcBorders>
          </w:tcPr>
          <w:p>
            <w:pPr>
              <w:spacing w:after="0"/>
              <w:rPr>
                <w:sz w:val="19"/>
                <w:szCs w:val="19"/>
                <w:color w:val="auto"/>
              </w:rPr>
            </w:pPr>
          </w:p>
        </w:tc>
      </w:tr>
      <w:tr>
        <w:trPr>
          <w:trHeight w:val="264"/>
        </w:trPr>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2"/>
                <w:szCs w:val="22"/>
                <w:color w:val="auto"/>
              </w:rPr>
            </w:pPr>
          </w:p>
        </w:tc>
        <w:tc>
          <w:tcPr>
            <w:tcW w:w="162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22"/>
                <w:szCs w:val="22"/>
                <w:color w:val="auto"/>
              </w:rPr>
            </w:pPr>
          </w:p>
        </w:tc>
        <w:tc>
          <w:tcPr>
            <w:tcW w:w="15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92,836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84,723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180,925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168,680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45,475</w:t>
            </w:r>
          </w:p>
        </w:tc>
        <w:tc>
          <w:tcPr>
            <w:tcW w:w="80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40,674</w:t>
            </w:r>
          </w:p>
        </w:tc>
        <w:tc>
          <w:tcPr>
            <w:tcW w:w="72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88,420</w:t>
            </w:r>
          </w:p>
        </w:tc>
        <w:tc>
          <w:tcPr>
            <w:tcW w:w="720" w:type="dxa"/>
            <w:vAlign w:val="bottom"/>
          </w:tcPr>
          <w:p>
            <w:pPr>
              <w:jc w:val="right"/>
              <w:spacing w:after="0"/>
              <w:rPr>
                <w:sz w:val="20"/>
                <w:szCs w:val="20"/>
                <w:color w:val="auto"/>
              </w:rPr>
            </w:pPr>
            <w:r>
              <w:rPr>
                <w:rFonts w:ascii="Arial" w:cs="Arial" w:eastAsia="Arial" w:hAnsi="Arial"/>
                <w:sz w:val="16"/>
                <w:szCs w:val="16"/>
                <w:color w:val="auto"/>
              </w:rPr>
              <w:t>48.9%</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79,225</w:t>
            </w:r>
          </w:p>
        </w:tc>
        <w:tc>
          <w:tcPr>
            <w:tcW w:w="72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80"/>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76,136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72,950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51"/>
        </w:trPr>
        <w:tc>
          <w:tcPr>
            <w:tcW w:w="19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5,073</w:t>
            </w: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7,411</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1,403</w:t>
            </w: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three months ended June 30, 2019 were $92.8 million as compared to net sales of $84.7 million for the three months ended June 30, 2018, an increase of $8.1 million, or 9.6%. This increase is due primarily to retail and e-commerce sales growth of $9.1 million or 41.9%, driven by growing demand in direct to consumer channels. Retail sales grew largely due to twelve new retail store openings since June 2018 (bringing the total store count to forty-eight as of June 30, 2019). Net sales were further increased through strong sales growth at Beyond, of $3.6 million or 116.8%, driven by increased contract business. Through the Beyond product category, 5.11 offers technical survival outerwear systems engineered for missions in extreme temperatures. The increase in net sales for the three months ended June 30, 2019 as compared to the corresponding period in the prior year was offset by a $4.8 million decline in professional sales. During the quarters ended March 31, 2018 and June 30, 2018, 5.11 shipped a larger than usual amount of professional orders as they entered 2018 with a large backlog resulting from the implementation of a new enterprise resource planning (ERP) system in 2017 which affects the quarter over quarter comparison of professional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49.0% in the three months ended June 30, 2019 as compared to 48.0% for the three months ended June 30, 2018. The prior period cost of sales included a higher level of chargebacks and discretionary discounts granted to customers as 5.11 worked through the backlog associated with challenges experienced while implementing the new ERP system. In addition, fewer promotional discounts were granted to wholesale customers in the current quarter as compared to the three months ended June 30,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June 30, 2019 was $38.0 million, or 40.9% of net sales compared to $36.2 million, or 42.7% of net sales for the comparable period in 2018. The comparable quarter in the prior year included a higher level of expense for with temporary labor costs associated with the new ERP system and costs to move into 5.11's new Manteca warehouse facility.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three months ended June 30, 2019 was $5.1 million, an increase of $3.1 million when compared to income from operations of $2.0 million for the same period in 2018, based on the factors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2019 were $180.9 million as compared to net sales of $168.7 million for the six months ended June 30, 2018, an increase of $12.2 million, or 7.3%. This increase is due primarily to retail and e-commerce sales growth of $14.9 million or 35.9%, driven by growing demand in direct to consumer channels. Retail sales grew largely due to twelve new retail store openings since June 2018 (bringing the total store count to forty-eight as of June 30, 2019). Net sales were further increased through strong sales growth at Beyond of $4.8 million or 79.2%, driven by increased contract business. The increase in net sales for the six months ended June 30, 2019 as compared to the corresponding period in the prior year was offset by a $8.7 million decline in professional sales.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48.9% in the six months ended June 30, 2019 as compared to 47.0% for the six months ended June 30, 2018. The prior period cost of sales included a higher level of chargebacks and discretionary discounts granted to customers as 5.11 worked through the backlog associated with challenges experienced while implementing the new ERP system.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2019 was $76.1 million, or 42.1% of net sales compared to $73.0 million, or 43.2% of net sales for the comparable period in 2018. The increase in selling, general and administrative expense was largely due to the twelve new retail store openings since June 2018. The comparable period ended June 30, 2018 included a higher level of expense associated with the move into 5.11’s new Manteca warehouse facility which did not reoccur in the six months ended June 30, 2019.</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six months ended June 30, 2019 was $7.4 million, an increase of $6.0 million when compared to income from operations of $1.4 million for the same period in 2018, based on the factors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pacing w:after="0" w:line="200" w:lineRule="exact"/>
        <w:rPr>
          <w:sz w:val="20"/>
          <w:szCs w:val="20"/>
          <w:color w:val="auto"/>
        </w:rPr>
      </w:pP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22"/>
                <w:szCs w:val="22"/>
                <w:color w:val="auto"/>
              </w:rPr>
            </w:pPr>
          </w:p>
        </w:tc>
        <w:tc>
          <w:tcPr>
            <w:tcW w:w="15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2"/>
                <w:szCs w:val="22"/>
                <w:color w:val="auto"/>
              </w:rPr>
            </w:pPr>
          </w:p>
        </w:tc>
        <w:tc>
          <w:tcPr>
            <w:tcW w:w="14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23,954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45,423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46,116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14,573</w:t>
            </w:r>
          </w:p>
        </w:tc>
        <w:tc>
          <w:tcPr>
            <w:tcW w:w="800" w:type="dxa"/>
            <w:vAlign w:val="bottom"/>
          </w:tcPr>
          <w:p>
            <w:pPr>
              <w:jc w:val="right"/>
              <w:spacing w:after="0"/>
              <w:rPr>
                <w:sz w:val="20"/>
                <w:szCs w:val="20"/>
                <w:color w:val="auto"/>
              </w:rPr>
            </w:pPr>
            <w:r>
              <w:rPr>
                <w:rFonts w:ascii="Arial" w:cs="Arial" w:eastAsia="Arial" w:hAnsi="Arial"/>
                <w:sz w:val="16"/>
                <w:szCs w:val="16"/>
                <w:color w:val="auto"/>
              </w:rPr>
              <w:t>63.4%</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15,784</w:t>
            </w:r>
          </w:p>
        </w:tc>
        <w:tc>
          <w:tcPr>
            <w:tcW w:w="72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28,791</w:t>
            </w:r>
          </w:p>
        </w:tc>
        <w:tc>
          <w:tcPr>
            <w:tcW w:w="800" w:type="dxa"/>
            <w:vAlign w:val="bottom"/>
          </w:tcPr>
          <w:p>
            <w:pPr>
              <w:jc w:val="right"/>
              <w:spacing w:after="0"/>
              <w:rPr>
                <w:sz w:val="20"/>
                <w:szCs w:val="20"/>
                <w:color w:val="auto"/>
              </w:rPr>
            </w:pPr>
            <w:r>
              <w:rPr>
                <w:rFonts w:ascii="Arial" w:cs="Arial" w:eastAsia="Arial" w:hAnsi="Arial"/>
                <w:sz w:val="16"/>
                <w:szCs w:val="16"/>
                <w:color w:val="auto"/>
              </w:rPr>
              <w:t>63.4%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30,723</w:t>
            </w:r>
          </w:p>
        </w:tc>
        <w:tc>
          <w:tcPr>
            <w:tcW w:w="74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8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10,083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18,959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20,754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51"/>
        </w:trPr>
        <w:tc>
          <w:tcPr>
            <w:tcW w:w="19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2,795</w:t>
            </w: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3,575</w:t>
            </w:r>
          </w:p>
        </w:tc>
        <w:tc>
          <w:tcPr>
            <w:tcW w:w="72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5,931</w:t>
            </w:r>
          </w:p>
        </w:tc>
        <w:tc>
          <w:tcPr>
            <w:tcW w:w="800" w:type="dxa"/>
            <w:vAlign w:val="bottom"/>
          </w:tcPr>
          <w:p>
            <w:pPr>
              <w:jc w:val="right"/>
              <w:spacing w:after="0"/>
              <w:rPr>
                <w:sz w:val="20"/>
                <w:szCs w:val="20"/>
                <w:color w:val="auto"/>
              </w:rPr>
            </w:pPr>
            <w:r>
              <w:rPr>
                <w:rFonts w:ascii="Arial" w:cs="Arial" w:eastAsia="Arial" w:hAnsi="Arial"/>
                <w:sz w:val="16"/>
                <w:szCs w:val="16"/>
                <w:color w:val="auto"/>
              </w:rPr>
              <w:t>13.1%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5,915</w:t>
            </w: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June 30, 2019 were $23.0 million, a decrease of $1.0 million, or 4.1%, compared to the same period in 2018. During the three months ended June 30, 2019, international sales were approximately $ 16.1 million, representing an increase of $1.5 million over the corresponding period in 2018, primarily as a result of increased sales volume at Ergobaby's Asia-Pacific distributors. Domestic sales were $6.9 million in the second quarter of 2019, reflecting a decrease of $2.5 million compared to the corresponding period in 2018. The decrease in domestic sales was driven primarily by the Tula brand within the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63.4% for the quarter ended June 30, 2019, as compared to 65.9% for the three months ended June 30, 2018. The decrease in gross profit was due to a shift in the sales mix from higher margin channels to lower margin channels quarter over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decreased quarter over quarter, with expense of $9.8 million, or 42.8% of net sales for the three months ended June 30, 2019 as compared to $10.1 million or 42.1% of net sales for the same period of 2018. The decrease in selling, general and administrative expense as a percentage of net sales in the three months ended June 30, 2019 as compared to the comparable period in the prior year is due to lower variable expenses related to sales and less fluctuation of exchange rates during the current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June 30, 2019 decreased $0.8 million, compared to the same period of 2018, based on the factors noted above.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2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2019 were $45.4 million, a decrease of $0.7 million, or 1.5%, compared to the same period in 2018. During the six months ended June 30, 2019, international sales were approximately $31.2 million, representing an increase of $2.7 million over the corresponding period in 2018, primarily as a result of increased sales volume at Ergobaby's Asia-Pacific distributors. Domestic sales were $14.2 million in the first half of 2019, reflecting a decrease of $3.4 million compared to the corresponding period in 2018. The decrease in domestic sales was primarily the result of a decline in the Tula domestic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Gross profit as a percentage of net sales was 63.4% for the six months ended June 30, 2019, as compared to 66.6% for the six months ended June 30, 2018. The decrease in gross profit was due to a shift in the sales mix from higher margin channels to lower margin channels.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decreased $1.8 million for the six months ended June 30, 2019 as compared to the corresponding period in the prior year, with expense of $19.0 million, or 41.7% of net sales for the six months ended June 30, 2019 as compared to $20.8 million or 45.0% of net sales for the corresponding period in 2018. The decrease in selling, general and administrative expense as a percentage of net sales in the six months ended June 30, 2019 as compared to the comparable period in the prior year is due to expenses related to the bankruptcy of a large U.S. retail customer that were incurred in the first quarter of 2018, reduction in marketing spend, lower variable expenses related to sales, and a decrease in payroll expense during the current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for both the six months ended June 30, 2019 and 2018 was $5.9 million, based on the factors noted above.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200" w:lineRule="exact"/>
        <w:rPr>
          <w:sz w:val="20"/>
          <w:szCs w:val="20"/>
          <w:color w:val="auto"/>
        </w:rPr>
      </w:pPr>
    </w:p>
    <w:p>
      <w:pPr>
        <w:spacing w:after="0" w:line="219" w:lineRule="exact"/>
        <w:rPr>
          <w:sz w:val="20"/>
          <w:szCs w:val="20"/>
          <w:color w:val="auto"/>
        </w:rPr>
      </w:pPr>
    </w:p>
    <w:tbl>
      <w:tblPr>
        <w:tblLayout w:type="fixed"/>
        <w:tblInd w:w="122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20,416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42,837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43,869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4,649</w:t>
            </w: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5,019</w:t>
            </w: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9,070</w:t>
            </w:r>
          </w:p>
        </w:tc>
        <w:tc>
          <w:tcPr>
            <w:tcW w:w="760" w:type="dxa"/>
            <w:vAlign w:val="bottom"/>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11,268</w:t>
            </w:r>
          </w:p>
        </w:tc>
        <w:tc>
          <w:tcPr>
            <w:tcW w:w="74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6,556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1,671</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1,612</w:t>
            </w:r>
          </w:p>
        </w:tc>
        <w:tc>
          <w:tcPr>
            <w:tcW w:w="7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3,086</w:t>
            </w: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4,427</w:t>
            </w: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quarter ended June 30, 2019 increased approximately $0.2 million, or 1.1%, to $20.6 million, compared to the corresponding quarter ended June 30, 2018. Non-Dealer sales were comparable quarter over quarter at approximately $8.2 million in both the three months ended June 30, 2019 and June 30, 2018. Dealer sales totaled approximately $12.5 million in the three months ended June 30, 2019 compared to $12.2 million in the same period in 2018, representing an increase of $0.3 million or 2.5%.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totaled approximately 22.5% and 24.6% for the quarters ended June 30, 2019 and June 30, 2018, respectively. The decrease in gross profit as a percentage of net sales during the three months ended June 30, 2019 compared to the same period in 2018 is primarily attributable to capitalized inventory variances and lower profit on dealer sales in the current quarter.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$2.8 million for the three months ended June 30, 2019 compared to $3.3 million for the three months ended June 30, 2018. The decrease in selling, general and administrative expense during the current quarter is primarily related to planned expense reductions and the timing of annual advertising spend. Selling, general and administrative expense represented 13.8% of net sales in the three months ended June 30, 2019 and 16.0% of net sales for the same period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increased during the three months ended June 30, 2019 to $1.7 million, as compared to $1.6 million in the corresponding period in 2018. This increase was primarily a result of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2019 decreased approximately $1.0 million, or 2.4%, to $42.8 million, compared to the corresponding six months ended June 30, 2018. Non-Dealer sales were approximately $15.8 million in the six months ended June 30, 2019 compared to $17.2 million for the six months ended June 30, 2018, representing a decrease of $1.4 million, or 8.1%. The decrease is Non-Dealer sales was primarily due to softer demand in the sporting goods channel. Dealer sales totaled approximately $27.0 million in the six months ended June 30, 2019 compared to $26.6 million in the same period in 2018, representing an increase of $0.4 million or 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totaled approximately 21.2% and 25.7% for the six months ended June 30, 2019 and June 30, 2018, respectively. The decrease in gross profit as a percentage of net sales during the six months ended June 30, 2019 compared to the same period in 2018 is primarily attributable to increases in raw material and capitalized manufacturing variances. Liberty saw a rise in raw material costs, particularly the cost of steel, during 2018 as the tariffs on imported steel led to higher domestic steel prices. We anticipate steel prices will begin to decline in the back half of 2019. On average, materials account for approximately 60% of the total costs of a safe, with steel accounting for 40% of material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$5.7 million for the six months ended June 30, 2019 compared to $6.6 million for the six months ended June 30, 2018. The decrease in selling, general and administrative expense during the first six months of 2019 is primarily related to planned expense reductions and the timing of annual adverting spend. Selling, general and administrative expense represented 13.3% of net sales in the six months ended June 30 31, 2019 and 14.9% of net sales for the same period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Income from operations decreased $1.3 million during the six months ended June 30, 2019 to $ 3.1 million, compared to the corresponding period in 2018. This decrease was primarily a result of the decrease in gross profit in the first six months of the current year, for the reasons noted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257"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78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35,570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60,748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59,977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7,531</w:t>
            </w:r>
          </w:p>
        </w:tc>
        <w:tc>
          <w:tcPr>
            <w:tcW w:w="820" w:type="dxa"/>
            <w:vAlign w:val="bottom"/>
          </w:tcPr>
          <w:p>
            <w:pPr>
              <w:jc w:val="right"/>
              <w:spacing w:after="0"/>
              <w:rPr>
                <w:sz w:val="20"/>
                <w:szCs w:val="20"/>
                <w:color w:val="auto"/>
              </w:rPr>
            </w:pPr>
            <w:r>
              <w:rPr>
                <w:rFonts w:ascii="Arial" w:cs="Arial" w:eastAsia="Arial" w:hAnsi="Arial"/>
                <w:sz w:val="16"/>
                <w:szCs w:val="16"/>
                <w:color w:val="auto"/>
              </w:rPr>
              <w:t>25.4 %</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10,224</w:t>
            </w:r>
          </w:p>
        </w:tc>
        <w:tc>
          <w:tcPr>
            <w:tcW w:w="7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16,818</w:t>
            </w:r>
          </w:p>
        </w:tc>
        <w:tc>
          <w:tcPr>
            <w:tcW w:w="740" w:type="dxa"/>
            <w:vAlign w:val="bottom"/>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17,303</w:t>
            </w:r>
          </w:p>
        </w:tc>
        <w:tc>
          <w:tcPr>
            <w:tcW w:w="74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8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5,871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11,744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11,342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51"/>
        </w:trPr>
        <w:tc>
          <w:tcPr>
            <w:tcW w:w="19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3,019</w:t>
            </w:r>
          </w:p>
        </w:tc>
        <w:tc>
          <w:tcPr>
            <w:tcW w:w="7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3,292</w:t>
            </w: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9"/>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June 30, 2019 were $29.6 million, a decrease of $6.0 million or 16.8%, compared to the same period in 2018. The decrease in net sales for the three months ended June 30, 2019 is primarily due to the Junior Reserve Officer Training Corps (JROTC) contract shipments in the second quarter of 2018, which did not recur in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June 30, 2019 decreased $2.7 million as compared to the quarter ended June 30, 2018. Gross profit as a percentage of net sales was 25.4% for the three months ended June 30, 2019 as compared to 28.7% in the three months ended June 30, 2018. The decrease in gross profit as a percentage of net sales was primarily attributable to margins associated with 2018 JROTC sales as well as with product mix.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2019 was $ 5.2 million, or 17.6% of net sales compared to $5.9 million, or 16.5% of net sales for the three months ended June 30, 2018. The decrease in selling, general and administrative expense for the three months ended June 30, 2019 is primarily related to lower sales related expenses and the integration fees paid to CGM in the prior year, partially offset by the expenses associated with the Ravin Crossbows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 from operations for the three months ended June 30, 2019 was $0.1 million, a decrease of $3.1 million when compared to income from operations of $3.0 million for the same period in 2018, based on the factors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2019 were $60.7 million, an increase of $ 0.8 million or 1.3%, compared to the same period in 2018. The increase in net sales for the six months ended June 30, 2019 is primarily due to the add-on acquisition of Ravin Crossbows, which had net sales of $15.5 million in the six months ended June 30, 2019, partially offset by sales associated with the Junior Reserve Officer Training Corps (JROTC) contract that shipped in the first half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27.7% for the six months ended June 30, 2019 as compared to 28.8% in the six months ended June 30, 2018. The decrease in gross profit of $0.5 million was driven primarily by the impact of the 2018 JROTC contract partially offset by the acquisition of Ravin Crossbows.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2019 was $11.7 million, or 19.3% of net sales compared to $11.3 million, or 18.9% of net sales for the six months ended June 30, 2018. The increase in selling, general and administrative expense for the six months ended June 30, 2019 is primarily related to the acquisition of Ravin partially offset by sales related expenses along with the nonrecurrence of integration fees paid to CGM.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six months ended June 30, 2019 was $0.3 million, a decrease of $3.0 million when compared to income from operations of $3.3 million for the same period in 2018, based on the factors described above.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311" w:lineRule="exact"/>
        <w:rPr>
          <w:sz w:val="20"/>
          <w:szCs w:val="20"/>
          <w:color w:val="auto"/>
        </w:rPr>
      </w:pPr>
    </w:p>
    <w:tbl>
      <w:tblPr>
        <w:tblLayout w:type="fixed"/>
        <w:tblInd w:w="130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auto"/>
            </w:tcBorders>
          </w:tcPr>
          <w:p>
            <w:pPr>
              <w:spacing w:after="0"/>
              <w:rPr>
                <w:sz w:val="19"/>
                <w:szCs w:val="19"/>
                <w:color w:val="auto"/>
              </w:rPr>
            </w:pPr>
          </w:p>
        </w:tc>
      </w:tr>
      <w:tr>
        <w:trPr>
          <w:trHeight w:val="264"/>
        </w:trPr>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June 30, 2019</w:t>
            </w:r>
          </w:p>
        </w:tc>
        <w:tc>
          <w:tcPr>
            <w:tcW w:w="16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22,967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45,508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45,030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10,461</w:t>
            </w:r>
          </w:p>
        </w:tc>
        <w:tc>
          <w:tcPr>
            <w:tcW w:w="780" w:type="dxa"/>
            <w:vAlign w:val="bottom"/>
          </w:tcPr>
          <w:p>
            <w:pPr>
              <w:jc w:val="right"/>
              <w:spacing w:after="0"/>
              <w:rPr>
                <w:sz w:val="20"/>
                <w:szCs w:val="20"/>
                <w:color w:val="auto"/>
              </w:rPr>
            </w:pPr>
            <w:r>
              <w:rPr>
                <w:rFonts w:ascii="Arial" w:cs="Arial" w:eastAsia="Arial" w:hAnsi="Arial"/>
                <w:sz w:val="16"/>
                <w:szCs w:val="16"/>
                <w:color w:val="auto"/>
              </w:rPr>
              <w:t>46.6%</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10,489</w:t>
            </w:r>
          </w:p>
        </w:tc>
        <w:tc>
          <w:tcPr>
            <w:tcW w:w="70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21,065</w:t>
            </w:r>
          </w:p>
        </w:tc>
        <w:tc>
          <w:tcPr>
            <w:tcW w:w="720" w:type="dxa"/>
            <w:vAlign w:val="bottom"/>
          </w:tcPr>
          <w:p>
            <w:pPr>
              <w:jc w:val="right"/>
              <w:spacing w:after="0"/>
              <w:rPr>
                <w:sz w:val="20"/>
                <w:szCs w:val="20"/>
                <w:color w:val="auto"/>
              </w:rPr>
            </w:pPr>
            <w:r>
              <w:rPr>
                <w:rFonts w:ascii="Arial" w:cs="Arial" w:eastAsia="Arial" w:hAnsi="Arial"/>
                <w:sz w:val="16"/>
                <w:szCs w:val="16"/>
                <w:color w:val="auto"/>
              </w:rPr>
              <w:t>46.3%</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20,515</w:t>
            </w:r>
          </w:p>
        </w:tc>
        <w:tc>
          <w:tcPr>
            <w:tcW w:w="72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8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3,688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7,528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7,346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51"/>
        </w:trPr>
        <w:tc>
          <w:tcPr>
            <w:tcW w:w="19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6,484</w:t>
            </w:r>
          </w:p>
        </w:tc>
        <w:tc>
          <w:tcPr>
            <w:tcW w:w="780" w:type="dxa"/>
            <w:vAlign w:val="bottom"/>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6,368</w:t>
            </w:r>
          </w:p>
        </w:tc>
        <w:tc>
          <w:tcPr>
            <w:tcW w:w="70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12,965</w:t>
            </w:r>
          </w:p>
        </w:tc>
        <w:tc>
          <w:tcPr>
            <w:tcW w:w="72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12,300</w:t>
            </w:r>
          </w:p>
        </w:tc>
        <w:tc>
          <w:tcPr>
            <w:tcW w:w="720" w:type="dxa"/>
            <w:vAlign w:val="bottom"/>
          </w:tcPr>
          <w:p>
            <w:pPr>
              <w:jc w:val="right"/>
              <w:spacing w:after="0"/>
              <w:rPr>
                <w:sz w:val="20"/>
                <w:szCs w:val="20"/>
                <w:color w:val="auto"/>
              </w:rPr>
            </w:pPr>
            <w:r>
              <w:rPr>
                <w:rFonts w:ascii="Arial" w:cs="Arial" w:eastAsia="Arial" w:hAnsi="Arial"/>
                <w:sz w:val="16"/>
                <w:szCs w:val="16"/>
                <w:color w:val="auto"/>
              </w:rPr>
              <w:t>27.3%</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2019 were $22.4 million, a decrease of approximately $0.5 million or 2.3% compared to the three months ended June 30, 2018. The decrease in net sales was due to decreased sales in Quick-Turn Small-Run PCBs, Quick-Turn Production PCBs and subcontract, partially offset by increased sales in Long-Lead Time PCBs and a decrease in promotions. Quick-Turn Small-Run PCBs comprised approximately 19.3% of gross sales and Quick-Turn Production PCBs represented approximately 31.6% of gross sales for the second quarter of 2019. Quick-Turn Small-Run PCBs comprised approximately 19.1% of gross sales and Quick-Turn Production PCBs represented approximately 32.9% of gross sales for the second quarter of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increased 90 basis points during the three months ended June 30, 2019 compared to the corresponding period in 2018 (46.6% at June 30, 2019 compared to 45.7% at June 30, 2018) primarily as a result of sales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$3.8 million in the three months ended June 30, 2019 compared to $3.7 million in the three months ended June 30, 2018. Selling, general and administrative expense represented 16.8% of net sales for the three months ended June 30, 2019 compared to 16.1% of net sales in the corresponding period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June 30, 2019 was approximately $6.5 million compared to $6.4 million in the same period in 2018, an increase of approximately $0.1 million, principally as a result of the factors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2019 were $45.5 million, an increase of approximately $ 0.5 million or 1.1% compared to the six months ended June 30, 2018. The increase in net sales was due to increased sales in Long-Lead Time PCBs, Subcontract PCBs, and a decrease in promotions, partially offset by decreased sales in Quick-Turn Production PCBs. Quick-Turn Small-Run PCBs comprised approximately 19.3% of gross sales and Quick-Turn Production PCBs represented approximately 31.7% of gross sales for the six months ended June 30, 2019. Quick-Turn Small-Run PCBs comprised approximately 19.2% of gross sales and Quick-Turn Production PCBs represented approximately 33.6% of gross sales for the six months ended June 30,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increased 70 basis points during the six months ended June 30, 2019 compared to the corresponding period in 2018 (46.3% at June 30, 2019 compared to 45.6% at June 30, 2018) primarily as a result of sales mix.</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$7.5 million in the six months ended June 30, 2019 compared to $7.3 million in the six months ended June 30, 2018. Selling, general and administrative expense represented 16.5% of net sales for the six months ended June 30, 2019 compared to 16.3% of net sales in the corresponding period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six months ended June 30, 2019 was approximately $13.0 million compared to $12.3 million in the same period in 2018, an increase of approximately $0.7 million, principally as a result of the factors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365" w:lineRule="exact"/>
        <w:rPr>
          <w:sz w:val="20"/>
          <w:szCs w:val="20"/>
          <w:color w:val="auto"/>
        </w:rPr>
      </w:pPr>
    </w:p>
    <w:tbl>
      <w:tblPr>
        <w:tblLayout w:type="fixed"/>
        <w:tblInd w:w="122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31,196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59,509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60,595</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7,852</w:t>
            </w:r>
          </w:p>
        </w:tc>
        <w:tc>
          <w:tcPr>
            <w:tcW w:w="780" w:type="dxa"/>
            <w:vAlign w:val="bottom"/>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8,785</w:t>
            </w:r>
          </w:p>
        </w:tc>
        <w:tc>
          <w:tcPr>
            <w:tcW w:w="72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15,091</w:t>
            </w: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16,495</w:t>
            </w: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4,857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9,856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2,227</w:t>
            </w: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2,945</w:t>
            </w:r>
          </w:p>
        </w:tc>
        <w:tc>
          <w:tcPr>
            <w:tcW w:w="7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3,704</w:t>
            </w: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4,670</w:t>
            </w: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June 30, 2019 were approximately $29.5 million, a decrease of $1.7 million compared to the same period in 2018. The decrease in net sales is primarily a result of lower demand across various markets. International sales were $11.8 million in the three months ended June 30, 2019 and $12.3 million in the three months ended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June 30, 2019 was approximately $7.9 million compared to approximately $8.8 million in the same period of 2018. Gross profit as a percentage of net sales decreased from 28.2% for the quarter ended June 30, 2018 to 26.6% in the quarter ended June 30, 2019 principally due to sales mix in the current quarter versus the comparable quarter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Selling, general and administrative expense in the three month period ended June 30, 2019 was $4.7 million, which compared favorably to approximately $4.9 million for the three months ended June 30, 2018. Selling, general and administrative expense was 15.9% of net sales in the three months ended June 30, 2019 and 15.6% in the three months ended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June 30, 2019 was approximately $2.2 million, a decrease of $0.7 million when compared to the same period in 2018, as a result of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2019 were approximately $59.5 million, a decrease of $1.1 million compared to the corresponding period in 2018. The decrease in net sales is primarily a result of reduced demand in various markets. International sales were $24.0 million in the six months ended June 30, 2019 and $24.4 million in the six months ended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six months ended June 30, 2019 was approximately $15.1 million compared to approximately $16.5 million in the same period of 2018. Gross profit as a percentage of net sales decreased from 27.2% for the six months ended June 30, 2018 to 25.4% in the six months ended June 30, 2019 principally due to unfavorable sales mix.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2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2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Selling, general and administrative expense in the six month period ended June 30, 2019 was $9.5 million, which compared favorably to approximately $9.9 million for the six months ended June 30, 2018. Selling, general and administrative expense was 15.9% of net sales in the six months ended June 30, 2019 and 16.3% in the six months ended June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six months ended June 30, 2019 was approximately $3.7 million, a decrease of $1.0 million when compared to the same period in 2018, as a result of the factors noted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Foam Fabricators</w:t>
      </w:r>
    </w:p>
    <w:p>
      <w:pPr>
        <w:spacing w:after="0" w:line="257"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2"/>
                <w:szCs w:val="22"/>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2"/>
                <w:szCs w:val="22"/>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2"/>
                <w:szCs w:val="22"/>
                <w:color w:val="auto"/>
              </w:rPr>
            </w:pPr>
          </w:p>
        </w:tc>
        <w:tc>
          <w:tcPr>
            <w:tcW w:w="15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June 30, 2018</w:t>
            </w:r>
          </w:p>
        </w:tc>
      </w:tr>
      <w:tr>
        <w:trPr>
          <w:trHeight w:val="264"/>
        </w:trPr>
        <w:tc>
          <w:tcPr>
            <w:tcW w:w="19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660" w:type="dxa"/>
            <w:vAlign w:val="bottom"/>
            <w:tcBorders>
              <w:top w:val="single" w:sz="8" w:color="auto"/>
              <w:bottom w:val="single" w:sz="8" w:color="CCEEFF"/>
            </w:tcBorders>
          </w:tcPr>
          <w:p>
            <w:pPr>
              <w:spacing w:after="0"/>
              <w:rPr>
                <w:sz w:val="22"/>
                <w:szCs w:val="22"/>
                <w:color w:val="auto"/>
              </w:rPr>
            </w:pPr>
          </w:p>
        </w:tc>
        <w:tc>
          <w:tcPr>
            <w:tcW w:w="76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7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70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Pro forma</w:t>
            </w:r>
          </w:p>
        </w:tc>
        <w:tc>
          <w:tcPr>
            <w:tcW w:w="780" w:type="dxa"/>
            <w:vAlign w:val="bottom"/>
            <w:tcBorders>
              <w:top w:val="single" w:sz="8" w:color="auto"/>
              <w:bottom w:val="single" w:sz="8" w:color="CCEEFF"/>
            </w:tcBorders>
          </w:tcPr>
          <w:p>
            <w:pPr>
              <w:spacing w:after="0"/>
              <w:rPr>
                <w:sz w:val="22"/>
                <w:szCs w:val="22"/>
                <w:color w:val="auto"/>
              </w:rPr>
            </w:pPr>
          </w:p>
        </w:tc>
      </w:tr>
      <w:tr>
        <w:trPr>
          <w:trHeight w:val="257"/>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33,194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62,330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9,356</w:t>
            </w:r>
          </w:p>
        </w:tc>
        <w:tc>
          <w:tcPr>
            <w:tcW w:w="760" w:type="dxa"/>
            <w:vAlign w:val="bottom"/>
          </w:tcPr>
          <w:p>
            <w:pPr>
              <w:jc w:val="right"/>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9,017</w:t>
            </w:r>
          </w:p>
        </w:tc>
        <w:tc>
          <w:tcPr>
            <w:tcW w:w="72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17,844</w:t>
            </w:r>
          </w:p>
        </w:tc>
        <w:tc>
          <w:tcPr>
            <w:tcW w:w="700" w:type="dxa"/>
            <w:vAlign w:val="bottom"/>
          </w:tcPr>
          <w:p>
            <w:pPr>
              <w:jc w:val="right"/>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16,538</w:t>
            </w: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8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5,482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51"/>
        </w:trPr>
        <w:tc>
          <w:tcPr>
            <w:tcW w:w="19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4,364</w:t>
            </w: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3,031</w:t>
            </w: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7,870</w:t>
            </w: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5,017</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r>
    </w:tbl>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Pro forma financial information for Foam Fabricators for the six months ended June 30, 2018 includes pre-acquisition results of operations for the period from January 1, 2018 through February 15, 2018, the date of acquisition of Foam, for comparative purposes. The historical results of Foam Fabricators have been adjusted to reflect the purchase accounting adjustments recorded in connection with the acquisition: $0.2 million in stock compensation expense and $ 1.0 million in amortization expense, as well as $0.1 million in management fees that would have been incurred by Foam Fabricators if we owned the company during this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quarter ended June 30, 2019 were $ 31.6 million, a decrease of $1.5 million, or 4.7%, compared to the quarter ended June 30, 2018. The decrease in net sales was primarily due to a nonrecurring customer from the prior year as well as a decrease in sales in the automotive and protective packaging categories in the current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29.6% and 27.2% for the three months ended June 30, 2019 and 2018, respectively. The increase in gross profit as a percentage of net sales in the quarter ended June 30, 2019 was primarily due to the decreasing price of expanded polystyrene ("EPS") resin. A majority of Foam Fabricator's products are made with EPS resin, an oil and natural gas derived polymer with an added expansion agent, therefore raw material costs will increase with increases in the price of oil and natural gas.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2019 was $2.7 million as compared to $3.1 million for the three months ended June 30, 2018, a decrease of $ 0.3 million. Selling, general and administrative expense for the three months ended June 30, 2018 included $0.3 million in integration service fees paid to CGM. Excluding the effect of the integration service fee, selling general and administrative expense was comparable quarter over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from operations was $4.4 million for the three months ended June 30, 2019 as compared to $3.0 million for the three months ended June 30, 2018, an increase of $1.3 million, primarily as a result of the factors noted above as well as lower amortization expense of intangible assets in the current quarter as compared to the estimate of amortization expense based on the initial draft of the purchase price allocation included in the quarter ended June 30,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2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pro forma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2019 were $62.3 million, a decrease of $1.4 million, or 2.1%, compared to the six months ended June 30, 2018. The decrease in net sales was primarily due to a nonrecurring customer from the prior year as well as well as a decrease in sales in the automotive and protective packaging categories in the current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28.6% and 26.0% for the six months ended June 30, 2019 and 2018, respectively. Cost of sales for the six months ended June 30, 2018 included $0.7 million of expense related to the amortization of inventory step-up resulting from the purchase price allocation of Foam Fabricators. Excluding the effect of the inventory step-up, prior year gross profit as a percentage of net sales was 27.0%. The increase in gross profit as a percentage of net sales in the six months ended June 30, 2019 was due to decreasing EPS prices in the current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six months ended June 30, 2019 was $5.5 million as compared to $7.4 million for the six months ended June 30, 2018, a decrease of $1.9 million. Selling, general and administrative expense for the six months ended June 30, 2018 included $1.5 million in transaction expenses related to the acquisition and $ 0.3 million in incremental integration service fees paid to CGM. Excluding the acquisition expenses and incremental integration service fees, selling, general and administrative expense for the six months ended June 30, 2018 was $5.6 million, which is consistent with the expenses incurred in the current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was $7.9 million for the six months ended June 30, 2019 as compared to $5.0 million for the six months ended June 30, 2018, an increase of $2.9 million, primarily as a result of the factors noted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311"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9"/>
                <w:szCs w:val="19"/>
                <w:color w:val="auto"/>
              </w:rPr>
            </w:pPr>
          </w:p>
        </w:tc>
      </w:tr>
      <w:tr>
        <w:trPr>
          <w:trHeight w:val="264"/>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2"/>
                <w:szCs w:val="22"/>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22"/>
                <w:szCs w:val="22"/>
                <w:color w:val="auto"/>
              </w:rPr>
            </w:pPr>
          </w:p>
        </w:tc>
        <w:tc>
          <w:tcPr>
            <w:tcW w:w="15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June 30, 2018</w:t>
            </w:r>
          </w:p>
        </w:tc>
      </w:tr>
      <w:tr>
        <w:trPr>
          <w:trHeight w:val="264"/>
        </w:trPr>
        <w:tc>
          <w:tcPr>
            <w:tcW w:w="1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68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CCEEFF"/>
            </w:tcBorders>
          </w:tcPr>
          <w:p>
            <w:pPr>
              <w:spacing w:after="0"/>
              <w:rPr>
                <w:sz w:val="22"/>
                <w:szCs w:val="22"/>
                <w:color w:val="auto"/>
              </w:rPr>
            </w:pPr>
          </w:p>
        </w:tc>
        <w:tc>
          <w:tcPr>
            <w:tcW w:w="72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820" w:type="dxa"/>
            <w:vAlign w:val="bottom"/>
            <w:tcBorders>
              <w:top w:val="single" w:sz="8" w:color="auto"/>
              <w:bottom w:val="single" w:sz="8" w:color="CCEEFF"/>
            </w:tcBorders>
          </w:tcPr>
          <w:p>
            <w:pPr>
              <w:spacing w:after="0"/>
              <w:rPr>
                <w:sz w:val="22"/>
                <w:szCs w:val="22"/>
                <w:color w:val="auto"/>
              </w:rPr>
            </w:pPr>
          </w:p>
        </w:tc>
      </w:tr>
      <w:tr>
        <w:trPr>
          <w:trHeight w:val="257"/>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86,465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87,969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177,661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177,996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22,665</w:t>
            </w:r>
          </w:p>
        </w:tc>
        <w:tc>
          <w:tcPr>
            <w:tcW w:w="780" w:type="dxa"/>
            <w:vAlign w:val="bottom"/>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18,486</w:t>
            </w:r>
          </w:p>
        </w:tc>
        <w:tc>
          <w:tcPr>
            <w:tcW w:w="7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45,020</w:t>
            </w:r>
          </w:p>
        </w:tc>
        <w:tc>
          <w:tcPr>
            <w:tcW w:w="720" w:type="dxa"/>
            <w:vAlign w:val="bottom"/>
          </w:tcPr>
          <w:p>
            <w:pPr>
              <w:jc w:val="right"/>
              <w:spacing w:after="0"/>
              <w:rPr>
                <w:sz w:val="20"/>
                <w:szCs w:val="20"/>
                <w:color w:val="auto"/>
              </w:rPr>
            </w:pPr>
            <w:r>
              <w:rPr>
                <w:rFonts w:ascii="Arial" w:cs="Arial" w:eastAsia="Arial" w:hAnsi="Arial"/>
                <w:sz w:val="16"/>
                <w:szCs w:val="16"/>
                <w:color w:val="auto"/>
              </w:rPr>
              <w:t>25.3%</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40,717</w:t>
            </w: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8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10,493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20,254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51"/>
        </w:trPr>
        <w:tc>
          <w:tcPr>
            <w:tcW w:w="19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8,113</w:t>
            </w: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2,728</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16,097</w:t>
            </w: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11,225</w:t>
            </w: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i w:val="1"/>
          <w:iCs w:val="1"/>
          <w:color w:val="auto"/>
        </w:rPr>
        <w:t>Pro forma financial information for Sterno for the six months ended June 30, 2018 includes pre-acquisition results of operations for Rimports, which was acquired by Sterno on February 26, 2018, for the period from January 1, 2018 through the date of acquisition for comparative purposes. The historical results of Rimports have been adjusted to reflect an additional $1.6 million in amortization expense recorded in connection with the purchase accounting adjustments related to the acquisition.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June 30, 2019 were approximately $86.5 million, a decrease of $1.5 million, or 1.7%, compared to the same period in 2018. The net sales variance reflects a decrease in sales of outdoor lighting products primarily as a result of a shorter spring period in the domestic market due to weather and higher levels of chargebacks and rebates compared to the second quarter of 2018, offset by an increase in sales volume at Rimports.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increased from 21.0% for the three months ended June 30, 2018 to 26.2% for the same period ended June 30, 2019. In the second quarter of 2018, Sterno recognized $ 4.6 million in costs of goods sold related to the amortization of inventory step-up resulting from the purchase price allocation of the Rimports acquisition. After eliminating the effect of the purchase price allocation in the prior year, gross profit as a percentage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76" w:right="239" w:bottom="1440" w:gutter="0" w:footer="0" w:header="0"/>
        </w:sectPr>
      </w:pPr>
    </w:p>
    <w:bookmarkStart w:id="50" w:name="page51"/>
    <w:bookmarkEnd w:id="50"/>
    <w:p>
      <w:pPr>
        <w:ind w:right="1580"/>
        <w:spacing w:after="0" w:line="438" w:lineRule="auto"/>
        <w:rPr>
          <w:sz w:val="20"/>
          <w:szCs w:val="20"/>
          <w:color w:val="auto"/>
        </w:rPr>
      </w:pPr>
      <w:r>
        <w:rPr>
          <w:rFonts w:ascii="Arial" w:cs="Arial" w:eastAsia="Arial" w:hAnsi="Arial"/>
          <w:sz w:val="18"/>
          <w:szCs w:val="18"/>
          <w:color w:val="auto"/>
        </w:rPr>
        <w:t xml:space="preserve">of sales was 26.3% in the second quarter of 2018, which is comparable to the gross profit percentage in the current quarter. </w:t>
      </w:r>
      <w:r>
        <w:rPr>
          <w:rFonts w:ascii="Arial" w:cs="Arial" w:eastAsia="Arial" w:hAnsi="Arial"/>
          <w:sz w:val="18"/>
          <w:szCs w:val="18"/>
          <w:i w:val="1"/>
          <w:iCs w:val="1"/>
          <w:u w:val="single" w:color="auto"/>
          <w:color w:val="auto"/>
        </w:rPr>
        <w:t>Selling, general and administrative expense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June 30, 2019 and 2018 was consistent quarter over quarter, at approximately $10.2 million and $10.5 million, respectively. Selling, general and administrative expense represented 11.8% of net sales for the three months ended June 30, 2019 and 11.9% for the three months ended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June 30, 2019 was approximately $8.1 million, an increase of $5.4 million compared to the three months ended June 30, 2018 based on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2019 compared to pro forma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2019 were approximately $177.7 million, a decrease of $0.3 million, or 0.2%, compared to the corresponding period in 2018. The net sales variance reflects a decrease in sales of outdoor lighting products primarily as a result of a shorter spring period in the domestic market due to weather and higher levels of chargebacks and rebates compared to the prior year, offset by an increase in sales volume at Rimports.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increased from 22.9% for the six months ended June 30, 2018 to 25.3% for the same period ended June 30, 2019. In the six months ended June 30, 2018, Sterno recognized $4.6 million in costs of goods sold related to the amortization of inventory step-up resulting from the purchase price allocation of the Rimports acquisition. After eliminating the effect of the purchase price allocation in the prior year, gross profit as a percentage of sales for the six months ended June 30, 2018 was 25.5%, which is comparable to the gross profit percentage in the six months ended June 30,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six months ended June 30, 2019 and 2018 was $20.3 million and $20.6 million, respectively, a decrease of $0.3 million. The expense from the prior year reflects $0.6 million in acquisition expenses related to the acquisition of Rimports. Excluding the acquisition expenses, selling, general and administrative expense decreased $0.9 million, reflecting lower marketing costs, commission, legal fees and various cost savings initiatives. Selling, general and administrative expense represented 11.4% of net sales for the six months ended June 30, 2019 and 11.6% for the six months ended June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six months ended June 30, 2019 was approximately $16.1 million, an increase of $4.9 million compared to the six months ended June 30, 2018 based on the factors noted above.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2019, we had approximately $485.9 million of cash and cash equivalents on hand, an increase of $437.1 million as compared to the year ended December 31, 2018 primarily as a result of the proceeds received from our sale of Manitoba Harvest in February 2019 and Clean Earth in June 2019.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9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4200" w:type="dxa"/>
            <w:vAlign w:val="bottom"/>
            <w:tcBorders>
              <w:bottom w:val="single" w:sz="8" w:color="auto"/>
            </w:tcBorders>
            <w:gridSpan w:val="5"/>
          </w:tcPr>
          <w:p>
            <w:pPr>
              <w:jc w:val="right"/>
              <w:ind w:right="136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June 30, 2018</w:t>
            </w:r>
          </w:p>
        </w:tc>
      </w:tr>
      <w:tr>
        <w:trPr>
          <w:trHeight w:val="254"/>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1540" w:type="dxa"/>
            <w:vAlign w:val="bottom"/>
            <w:shd w:val="clear" w:color="auto" w:fill="CCEEFF"/>
          </w:tcPr>
          <w:p>
            <w:pPr>
              <w:jc w:val="right"/>
              <w:ind w:right="136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35,312</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six months ended June 30, 2019, cash flows provided by operating activities totaled approximately $8.7 million, which represents a $26.7 million decrease compared to cash provided by operating activities of $35.3 million during the six-month period ended June 30, 2018. Cash used in operating activities for working capital for the six months ended June 30, 2019 was $ 17.5 million, as compared to cash used in operating activities for working capital of $4.7 million for the six months ended June 30, 2018. The increase in cash used for working capital purposes in the current year primarily reflects the effect of our acquisitions that occurred in February 2018 which resulted in a significant increase in cash needed to fund working capital, particularly at Rimports, our Sterno add-on acquisition. The decrease in cash flows provided by operating activities in the current year was also attributable to the change in the mark-to-market on our interest rate swap, with the six months ended June 30, 2018 having an unrealized gain of $3.9 million, and the six months ending June 30, 2019 having an unrealized loss of $3.4 million, for a net change of $7.3 million due to the change in the present value of future payments and receipts under the interest rate swap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31"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4"/>
          </w:tcPr>
          <w:p>
            <w:pPr>
              <w:jc w:val="right"/>
              <w:ind w:right="136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86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2019</w:t>
            </w:r>
          </w:p>
        </w:tc>
        <w:tc>
          <w:tcPr>
            <w:tcW w:w="300" w:type="dxa"/>
            <w:vAlign w:val="bottom"/>
          </w:tcPr>
          <w:p>
            <w:pPr>
              <w:spacing w:after="0"/>
              <w:rPr>
                <w:sz w:val="22"/>
                <w:szCs w:val="22"/>
                <w:color w:val="auto"/>
              </w:rPr>
            </w:pPr>
          </w:p>
        </w:tc>
        <w:tc>
          <w:tcPr>
            <w:tcW w:w="1740" w:type="dxa"/>
            <w:vAlign w:val="bottom"/>
          </w:tcPr>
          <w:p>
            <w:pPr>
              <w:jc w:val="right"/>
              <w:ind w:right="443"/>
              <w:spacing w:after="0"/>
              <w:rPr>
                <w:sz w:val="20"/>
                <w:szCs w:val="20"/>
                <w:color w:val="auto"/>
              </w:rPr>
            </w:pPr>
            <w:r>
              <w:rPr>
                <w:rFonts w:ascii="Arial" w:cs="Arial" w:eastAsia="Arial" w:hAnsi="Arial"/>
                <w:sz w:val="15"/>
                <w:szCs w:val="15"/>
                <w:b w:val="1"/>
                <w:bCs w:val="1"/>
                <w:color w:val="auto"/>
              </w:rPr>
              <w:t>June 30,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investing activities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718,000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(454,715)</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investing activities for the six months ended June 30, 2019 totaled $718.0 million, compared to cash used in investing activities of $454.7 million in the same period of 2018. Cash flows from Manitoba Harvest and Clean Earth, which are reflected as discontinued operations, totaled $279.2 million in the current period and reflects the effect of the sale transactions. Cash provided by investing activities from continuing operations in the current year primarily relates to the proceeds received from the sale of Clean Earth and Manitoba Harvest. In the prior year, we had a platform acquisition in the first quarter, Foam Fabricators, and several add-on acquisitions at our subsidiaries, including the Sterno acquisition of Rimports in February 2018. The total amount spent on acquisitions in the six months ended June 30, 2018 was approximately $391.2 million. Capital expenditures in the six months ended June 30, 2019 decreased approximately $10.8 million compared to the same period in the prior year, due primarily to higher than typical expenditures at our 5.11 and Arnold businesses in the prior year. We expect capital expenditures for the full year of 2019 to be approximately $35 million to $45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85"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4"/>
          </w:tcPr>
          <w:p>
            <w:pPr>
              <w:jc w:val="right"/>
              <w:ind w:right="136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86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2019</w:t>
            </w:r>
          </w:p>
        </w:tc>
        <w:tc>
          <w:tcPr>
            <w:tcW w:w="300" w:type="dxa"/>
            <w:vAlign w:val="bottom"/>
          </w:tcPr>
          <w:p>
            <w:pPr>
              <w:spacing w:after="0"/>
              <w:rPr>
                <w:sz w:val="22"/>
                <w:szCs w:val="22"/>
                <w:color w:val="auto"/>
              </w:rPr>
            </w:pPr>
          </w:p>
        </w:tc>
        <w:tc>
          <w:tcPr>
            <w:tcW w:w="1740" w:type="dxa"/>
            <w:vAlign w:val="bottom"/>
          </w:tcPr>
          <w:p>
            <w:pPr>
              <w:jc w:val="right"/>
              <w:ind w:right="443"/>
              <w:spacing w:after="0"/>
              <w:rPr>
                <w:sz w:val="20"/>
                <w:szCs w:val="20"/>
                <w:color w:val="auto"/>
              </w:rPr>
            </w:pPr>
            <w:r>
              <w:rPr>
                <w:rFonts w:ascii="Arial" w:cs="Arial" w:eastAsia="Arial" w:hAnsi="Arial"/>
                <w:sz w:val="15"/>
                <w:szCs w:val="15"/>
                <w:b w:val="1"/>
                <w:bCs w:val="1"/>
                <w:color w:val="auto"/>
              </w:rPr>
              <w:t>June 30,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financing activities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(292,750)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415,358</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used in financing activities totaled approximately $ 292.8 million during the six months ended June 30, 2019 compared to cash flows provided by financing activities of $415.4 million during the six months ended June 30, 2018. The 2018 activity primarily related to the financing of our acquisitions of Foam Fabricators and Rimports in February 2018, which were financed through draws on our 2014 Revolving Credit Facility, partially offset by net proceeds of $96.5 million from the Series B Preferred Shares offering in March 2018 which was used to repay a portion of the outstanding amount on the 2014 Revolving Credit Facility. In April 2018, we issued $400.0 million in Senior Notes and amended our credit facility. The proceeds from the issuance of the Senior Notes were used to pay down outstanding amounts under our credit facility. In the current year, we used proceeds from the sale of Manitoba Harvest and Clean Earth to repay the outstanding amount on the 2018 Revolving Credit Facility, and paid our distributions on our common and preferred shares, as well as a distribution to the Allocation Member of $8.0 million related primarily to the sale of Manitoba Harvest.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In January 2018, the Company completed a recapitalization at Sterno whereby the Company entered into an amendment to the intercompany loan agreement with Sterno (the "Sterno Loan Agreement"). The Sterno Loan Agreement was amended to (i) provide for term loan borrowings of $57.7 million to fund a distribution to the Company, which owned 100% of the outstanding equity of Sterno at the time of the recapitalization, and (ii) extend the maturity dates of the term loans.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significant capital expenditures related to the implementation of a new ERP system, warehouse expansion and retail roll out, we granted 5.11 waivers under their intercompany debt agreement effective as of the quarter ended September 30, 2017 through December 31, 2018. The waivers permitted 5.11 to increase its allowable capital expenditure limits and excluded certain capital expenditures associated with the ERP system and warehouse expansion from the calculation of the fixed charge coverage ratio. We further amended the 5.11 intercompany debt agreement during 2018 to allow for an additional $5.0 million outstanding debt to be permitted under 5.11's Term B loan. In the first quarter of 2019, we further amended the 5.11 intercompany debt agreement to update the definition of capital expenditures to exclude capital expenditures made with respect to 5.11's retail stores from the calculation of the fixed charge coverage ratio. 5.11 was in compliance with the covenants under their intercompany debt agreement at June 30, 2019. Subsequent to the third quarter of 2018, we amended the Sterno Loan Agreement to increase the amount available to Sterno under their intercompany revolving credit facility. Liberty was not in compliance with the financial covenants under their intercompany loan agreement at December 31, 2018, and we amended the Liberty intercompany debt agreement to grant a waiver to them through the quarter ended December 31, 2019. Except as previously noted, all of our subsidiaries were in compliance with the financial covenants included within their intercompany credit arrangements at June 30,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had the following outstanding loans due from each of our businesses:</w:t>
      </w:r>
    </w:p>
    <w:p>
      <w:pPr>
        <w:spacing w:after="0" w:line="235" w:lineRule="exact"/>
        <w:rPr>
          <w:sz w:val="20"/>
          <w:szCs w:val="20"/>
          <w:color w:val="auto"/>
        </w:rPr>
      </w:pPr>
    </w:p>
    <w:p>
      <w:pPr>
        <w:ind w:left="3340"/>
        <w:spacing w:after="0"/>
        <w:rPr>
          <w:sz w:val="20"/>
          <w:szCs w:val="20"/>
          <w:color w:val="auto"/>
        </w:rPr>
      </w:pPr>
      <w:r>
        <w:rPr>
          <w:rFonts w:ascii="Arial" w:cs="Arial" w:eastAsia="Arial" w:hAnsi="Arial"/>
          <w:sz w:val="13"/>
          <w:szCs w:val="13"/>
          <w:i w:val="1"/>
          <w:iCs w:val="1"/>
          <w:color w:val="auto"/>
        </w:rPr>
        <w:t>(in thousands)</w:t>
      </w:r>
    </w:p>
    <w:p>
      <w:pPr>
        <w:spacing w:after="0" w:line="15" w:lineRule="exact"/>
        <w:rPr>
          <w:sz w:val="20"/>
          <w:szCs w:val="20"/>
          <w:color w:val="auto"/>
        </w:rPr>
      </w:pPr>
    </w:p>
    <w:tbl>
      <w:tblPr>
        <w:tblLayout w:type="fixed"/>
        <w:tblInd w:w="3320" w:type="dxa"/>
        <w:tblCellMar>
          <w:top w:w="0" w:type="dxa"/>
          <w:left w:w="0" w:type="dxa"/>
          <w:bottom w:w="0" w:type="dxa"/>
          <w:right w:w="0" w:type="dxa"/>
        </w:tblCellMar>
      </w:tblPr>
      <w:tr>
        <w:trPr>
          <w:trHeight w:val="280"/>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152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198,577</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Ergobaby</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45,382</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47,239</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124,463</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Advanced Circuits</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69,245</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Arnold</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74,430</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98,375</w:t>
            </w:r>
          </w:p>
        </w:tc>
      </w:tr>
      <w:tr>
        <w:trPr>
          <w:trHeight w:val="262"/>
        </w:trPr>
        <w:tc>
          <w:tcPr>
            <w:tcW w:w="2280" w:type="dxa"/>
            <w:vAlign w:val="bottom"/>
          </w:tcPr>
          <w:p>
            <w:pPr>
              <w:ind w:left="20"/>
              <w:spacing w:after="0"/>
              <w:rPr>
                <w:sz w:val="20"/>
                <w:szCs w:val="20"/>
                <w:color w:val="auto"/>
              </w:rPr>
            </w:pPr>
            <w:r>
              <w:rPr>
                <w:rFonts w:ascii="Arial" w:cs="Arial" w:eastAsia="Arial" w:hAnsi="Arial"/>
                <w:sz w:val="15"/>
                <w:szCs w:val="15"/>
                <w:color w:val="auto"/>
              </w:rPr>
              <w:t>Sterno</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250,383</w:t>
            </w:r>
          </w:p>
        </w:tc>
      </w:tr>
    </w:tbl>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believe that we currently have sufficient liquidity and capital resources to meet our existing obligations, including quarterly distributions to our shareholders, as approved by our board of directors, over the next twelve months.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2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(the “2018 Revolving Loan Commitment”), and (ii) a $500 million term loan (the “2018 Term Loan”).</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$599.8 million in net availability under the 2018 Revolving Credit Facility at June 30, 2019. The outstanding borrowings under the 2018 Revolving Credit Facility include $0.2 million of outstanding letters of credit at June 30, 2019. At June 30, 2019, we had $493.8 million outstanding on the 2018 Term Loan. In July 2019, we repaid $193.8 million of the outstanding amount due under the 2018 Term Loan, leaving a remaining balance of $300 million as of July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will bear interest at the rate of 8.000% per annum and will mature on May 1, 2026. Interest on the Notes is payable in cash on May 1st and November 1st of each year. The Notes are general senior unsecured obligations of the Company and are not guaranteed by our subsidiaries.</w:t>
      </w: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reflects required and actual financial ratios as of June 30, 2019 included as part of the affirmative covenants in our 2018 Credit Facility.</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46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80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60" w:type="dxa"/>
            <w:vAlign w:val="bottom"/>
          </w:tcPr>
          <w:p>
            <w:pPr>
              <w:jc w:val="right"/>
              <w:ind w:right="163"/>
              <w:spacing w:after="0"/>
              <w:rPr>
                <w:sz w:val="20"/>
                <w:szCs w:val="20"/>
                <w:color w:val="auto"/>
              </w:rPr>
            </w:pPr>
            <w:r>
              <w:rPr>
                <w:rFonts w:ascii="Arial" w:cs="Arial" w:eastAsia="Arial" w:hAnsi="Arial"/>
                <w:sz w:val="15"/>
                <w:szCs w:val="15"/>
                <w:b w:val="1"/>
                <w:bCs w:val="1"/>
                <w:color w:val="auto"/>
              </w:rPr>
              <w:t>Actual Ratio</w:t>
            </w:r>
          </w:p>
        </w:tc>
      </w:tr>
      <w:tr>
        <w:trPr>
          <w:trHeight w:val="173"/>
        </w:trPr>
        <w:tc>
          <w:tcPr>
            <w:tcW w:w="390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Fixed Charge Coverage Ratio</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1:67:1.0</w:t>
            </w:r>
          </w:p>
        </w:tc>
      </w:tr>
      <w:tr>
        <w:trPr>
          <w:trHeight w:val="266"/>
        </w:trPr>
        <w:tc>
          <w:tcPr>
            <w:tcW w:w="4600" w:type="dxa"/>
            <w:vAlign w:val="bottom"/>
            <w:gridSpan w:val="2"/>
          </w:tcPr>
          <w:p>
            <w:pPr>
              <w:ind w:left="20"/>
              <w:spacing w:after="0"/>
              <w:rPr>
                <w:sz w:val="20"/>
                <w:szCs w:val="20"/>
                <w:color w:val="auto"/>
              </w:rPr>
            </w:pPr>
            <w:r>
              <w:rPr>
                <w:rFonts w:ascii="Arial" w:cs="Arial" w:eastAsia="Arial" w:hAnsi="Arial"/>
                <w:sz w:val="15"/>
                <w:szCs w:val="15"/>
                <w:color w:val="auto"/>
              </w:rPr>
              <w:t>Total Secured Debt to EBITDA Ratio</w:t>
            </w:r>
          </w:p>
        </w:tc>
        <w:tc>
          <w:tcPr>
            <w:tcW w:w="380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60" w:type="dxa"/>
            <w:vAlign w:val="bottom"/>
          </w:tcPr>
          <w:p>
            <w:pPr>
              <w:jc w:val="right"/>
              <w:spacing w:after="0"/>
              <w:rPr>
                <w:sz w:val="20"/>
                <w:szCs w:val="20"/>
                <w:color w:val="auto"/>
              </w:rPr>
            </w:pPr>
            <w:r>
              <w:rPr>
                <w:rFonts w:ascii="Arial" w:cs="Arial" w:eastAsia="Arial" w:hAnsi="Arial"/>
                <w:sz w:val="15"/>
                <w:szCs w:val="15"/>
                <w:color w:val="auto"/>
              </w:rPr>
              <w:t>0.09:1.0</w:t>
            </w:r>
          </w:p>
        </w:tc>
      </w:tr>
      <w:tr>
        <w:trPr>
          <w:trHeight w:val="27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EBITDA Ratio</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42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16,322</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15,581</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16,000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6,488</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882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855</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Amortization of original issue discount</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Unrealized (gain) loss on interest rate derivative </w:t>
            </w:r>
            <w:r>
              <w:rPr>
                <w:rFonts w:ascii="Arial" w:cs="Arial" w:eastAsia="Arial" w:hAnsi="Arial"/>
                <w:sz w:val="12"/>
                <w:szCs w:val="12"/>
                <w:color w:val="auto"/>
              </w:rPr>
              <w:t>(1)</w:t>
            </w: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3,350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Other interest expense</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 expense</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36,899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322"/>
        </w:trPr>
        <w:tc>
          <w:tcPr>
            <w:tcW w:w="65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5"/>
                <w:szCs w:val="15"/>
                <w:color w:val="auto"/>
              </w:rPr>
              <w:t>Average daily balance outstanding - credit facilities</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40" w:type="dxa"/>
            <w:vAlign w:val="bottom"/>
            <w:tcBorders>
              <w:bottom w:val="single" w:sz="8" w:color="CCEEFF"/>
            </w:tcBorders>
            <w:vMerge w:val="continue"/>
          </w:tcPr>
          <w:p>
            <w:pPr>
              <w:spacing w:after="0"/>
              <w:rPr>
                <w:sz w:val="21"/>
                <w:szCs w:val="21"/>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656,997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736,557</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Effective interest rate - credit facilities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7" w:lineRule="auto"/>
        <w:tabs>
          <w:tab w:leader="none" w:pos="175" w:val="left"/>
        </w:tabs>
        <w:numPr>
          <w:ilvl w:val="0"/>
          <w:numId w:val="20"/>
        </w:numPr>
        <w:rPr>
          <w:rFonts w:ascii="Arial" w:cs="Arial" w:eastAsia="Arial" w:hAnsi="Arial"/>
          <w:sz w:val="19"/>
          <w:szCs w:val="19"/>
          <w:b w:val="1"/>
          <w:bCs w:val="1"/>
          <w:color w:val="auto"/>
          <w:vertAlign w:val="superscript"/>
        </w:rPr>
      </w:pPr>
      <w:r>
        <w:rPr>
          <w:rFonts w:ascii="Arial" w:cs="Arial" w:eastAsia="Arial" w:hAnsi="Arial"/>
          <w:sz w:val="16"/>
          <w:szCs w:val="16"/>
          <w:color w:val="auto"/>
        </w:rPr>
        <w:t>On September 16, 2014, we purchased an interest rate swap (the "Swap") with a notional amount of $220 million effective April 1, 2016 through June 6, 2021. The agreement requires us to pay interest on the notional amount at the rate of 2.97% in exchange for the three-month LIBOR rate. At June 30, 2019, the current portion of the Swap was in a liability position and had a fair value of $2.2 million, and the non-current portion of the Swap was in a liability position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26" w:right="239" w:bottom="1440" w:gutter="0" w:footer="0" w:header="0"/>
        </w:sectPr>
      </w:pPr>
    </w:p>
    <w:bookmarkStart w:id="54" w:name="page55"/>
    <w:bookmarkEnd w:id="54"/>
    <w:p>
      <w:pPr>
        <w:jc w:val="both"/>
        <w:ind w:right="20"/>
        <w:spacing w:after="0" w:line="262" w:lineRule="auto"/>
        <w:rPr>
          <w:sz w:val="20"/>
          <w:szCs w:val="20"/>
          <w:color w:val="auto"/>
        </w:rPr>
      </w:pPr>
      <w:r>
        <w:rPr>
          <w:rFonts w:ascii="Arial" w:cs="Arial" w:eastAsia="Arial" w:hAnsi="Arial"/>
          <w:sz w:val="18"/>
          <w:szCs w:val="18"/>
          <w:color w:val="auto"/>
        </w:rPr>
        <w:t>with a fair value of $2.9 million. The fair value of the Swap reflects the present value of future payments and receipts under the agreement and is reflected as a component of interest expense and non-current assets and current liabilities at June 30, 2019.</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above table, we provide the effective interest rate on our credit facilities, including the effect of the Swap, and excluding the interest on our Senior Notes, which is at a fixed 8.000%.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 by:</w:t>
      </w:r>
    </w:p>
    <w:p>
      <w:pPr>
        <w:spacing w:after="0" w:line="31" w:lineRule="exact"/>
        <w:rPr>
          <w:sz w:val="20"/>
          <w:szCs w:val="20"/>
          <w:color w:val="auto"/>
        </w:rPr>
      </w:pPr>
    </w:p>
    <w:p>
      <w:pPr>
        <w:jc w:val="both"/>
        <w:ind w:firstLine="8"/>
        <w:spacing w:after="0" w:line="252" w:lineRule="auto"/>
        <w:tabs>
          <w:tab w:leader="none" w:pos="2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(vi) foreign currency transaction gains or losses incurred in connection with the conversion of intercompany debt from a foreign functional currency to U.S. dollar.</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income (loss) from continuing operations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8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327660</wp:posOffset>
            </wp:positionV>
            <wp:extent cx="5702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Ergobaby</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Liberty</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Outdoor</w:t>
            </w:r>
          </w:p>
        </w:tc>
        <w:tc>
          <w:tcPr>
            <w:tcW w:w="1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Arnold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6"/>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income (loss) </w:t>
            </w:r>
            <w:r>
              <w:rPr>
                <w:rFonts w:ascii="Arial" w:cs="Arial" w:eastAsia="Arial" w:hAnsi="Arial"/>
                <w:sz w:val="17"/>
                <w:szCs w:val="17"/>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303,610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311,430</w:t>
            </w:r>
          </w:p>
        </w:tc>
        <w:tc>
          <w:tcPr>
            <w:tcW w:w="0" w:type="dxa"/>
            <w:vAlign w:val="bottom"/>
          </w:tcPr>
          <w:p>
            <w:pPr>
              <w:spacing w:after="0"/>
              <w:rPr>
                <w:sz w:val="1"/>
                <w:szCs w:val="1"/>
                <w:color w:val="auto"/>
              </w:rPr>
            </w:pPr>
          </w:p>
        </w:tc>
      </w:tr>
      <w:tr>
        <w:trPr>
          <w:trHeight w:val="204"/>
        </w:trPr>
        <w:tc>
          <w:tcPr>
            <w:tcW w:w="210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Provision (benefit) for</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5,975</w:t>
            </w:r>
          </w:p>
        </w:tc>
        <w:tc>
          <w:tcPr>
            <w:tcW w:w="0" w:type="dxa"/>
            <w:vAlign w:val="bottom"/>
          </w:tcPr>
          <w:p>
            <w:pPr>
              <w:spacing w:after="0"/>
              <w:rPr>
                <w:sz w:val="1"/>
                <w:szCs w:val="1"/>
                <w:color w:val="auto"/>
              </w:rPr>
            </w:pPr>
          </w:p>
        </w:tc>
      </w:tr>
      <w:tr>
        <w:trPr>
          <w:trHeight w:val="264"/>
        </w:trPr>
        <w:tc>
          <w:tcPr>
            <w:tcW w:w="210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36,786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36,899</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00" w:type="dxa"/>
            <w:vAlign w:val="bottom"/>
          </w:tcPr>
          <w:p>
            <w:pPr>
              <w:ind w:left="260"/>
              <w:spacing w:after="0"/>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6,661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45,192</w:t>
            </w:r>
          </w:p>
        </w:tc>
        <w:tc>
          <w:tcPr>
            <w:tcW w:w="0" w:type="dxa"/>
            <w:vAlign w:val="bottom"/>
          </w:tcPr>
          <w:p>
            <w:pPr>
              <w:spacing w:after="0"/>
              <w:rPr>
                <w:sz w:val="1"/>
                <w:szCs w:val="1"/>
                <w:color w:val="auto"/>
              </w:rPr>
            </w:pPr>
          </w:p>
        </w:tc>
      </w:tr>
      <w:tr>
        <w:trPr>
          <w:trHeight w:val="190"/>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299,935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399,496</w:t>
            </w:r>
          </w:p>
        </w:tc>
        <w:tc>
          <w:tcPr>
            <w:tcW w:w="0" w:type="dxa"/>
            <w:vAlign w:val="bottom"/>
          </w:tcPr>
          <w:p>
            <w:pPr>
              <w:spacing w:after="0"/>
              <w:rPr>
                <w:sz w:val="1"/>
                <w:szCs w:val="1"/>
                <w:color w:val="auto"/>
              </w:rPr>
            </w:pPr>
          </w:p>
        </w:tc>
      </w:tr>
      <w:tr>
        <w:trPr>
          <w:trHeight w:val="66"/>
        </w:trPr>
        <w:tc>
          <w:tcPr>
            <w:tcW w:w="2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260"/>
              <w:spacing w:after="0"/>
              <w:rPr>
                <w:sz w:val="20"/>
                <w:szCs w:val="20"/>
                <w:color w:val="auto"/>
              </w:rPr>
            </w:pPr>
            <w:r>
              <w:rPr>
                <w:rFonts w:ascii="Arial" w:cs="Arial" w:eastAsia="Arial" w:hAnsi="Arial"/>
                <w:sz w:val="14"/>
                <w:szCs w:val="14"/>
                <w:color w:val="auto"/>
              </w:rPr>
              <w:t>Gain on sale of business</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(328,164)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(328,164)</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94"/>
        </w:trPr>
        <w:tc>
          <w:tcPr>
            <w:tcW w:w="2100" w:type="dxa"/>
            <w:vAlign w:val="bottom"/>
          </w:tcPr>
          <w:p>
            <w:pPr>
              <w:ind w:left="260"/>
              <w:spacing w:after="0"/>
              <w:rPr>
                <w:sz w:val="20"/>
                <w:szCs w:val="20"/>
                <w:color w:val="auto"/>
              </w:rPr>
            </w:pPr>
            <w:r>
              <w:rPr>
                <w:rFonts w:ascii="Arial" w:cs="Arial" w:eastAsia="Arial" w:hAnsi="Arial"/>
                <w:sz w:val="14"/>
                <w:szCs w:val="14"/>
                <w:color w:val="auto"/>
              </w:rPr>
              <w:t>Noncontrolling shareholder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on sale of investment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264"/>
        </w:trPr>
        <w:tc>
          <w:tcPr>
            <w:tcW w:w="2100" w:type="dxa"/>
            <w:vAlign w:val="bottom"/>
          </w:tcPr>
          <w:p>
            <w:pPr>
              <w:ind w:left="260"/>
              <w:spacing w:after="0"/>
              <w:rPr>
                <w:sz w:val="20"/>
                <w:szCs w:val="20"/>
                <w:color w:val="auto"/>
              </w:rPr>
            </w:pPr>
            <w:r>
              <w:rPr>
                <w:rFonts w:ascii="Arial" w:cs="Arial" w:eastAsia="Arial" w:hAnsi="Arial"/>
                <w:sz w:val="14"/>
                <w:szCs w:val="14"/>
                <w:color w:val="auto"/>
              </w:rPr>
              <w:t>Integration services fee</w:t>
            </w: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Management fees</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17,103</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100,568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right="3140" w:hanging="5612"/>
        <w:spacing w:after="0"/>
        <w:tabs>
          <w:tab w:leader="none" w:pos="166" w:val="left"/>
        </w:tabs>
        <w:numPr>
          <w:ilvl w:val="0"/>
          <w:numId w:val="22"/>
        </w:numPr>
        <w:rPr>
          <w:rFonts w:ascii="Arial" w:cs="Arial" w:eastAsia="Arial" w:hAnsi="Arial"/>
          <w:sz w:val="19"/>
          <w:szCs w:val="19"/>
          <w:b w:val="1"/>
          <w:bCs w:val="1"/>
          <w:color w:val="auto"/>
          <w:vertAlign w:val="superscript"/>
        </w:rPr>
      </w:pPr>
      <w:r>
        <w:rPr>
          <w:rFonts w:ascii="Arial" w:cs="Arial" w:eastAsia="Arial" w:hAnsi="Arial"/>
          <w:sz w:val="15"/>
          <w:szCs w:val="15"/>
          <w:color w:val="auto"/>
        </w:rPr>
        <w:t>Net income (loss) does not include income from discontinued operations for the six months ended June 30, 2019. 56</w:t>
      </w:r>
    </w:p>
    <w:p>
      <w:pPr>
        <w:sectPr>
          <w:pgSz w:w="11900" w:h="16838" w:orient="portrait"/>
          <w:cols w:equalWidth="0" w:num="1">
            <w:col w:w="11420"/>
          </w:cols>
          <w:pgMar w:left="240" w:top="58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327660</wp:posOffset>
            </wp:positionV>
            <wp:extent cx="5702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Ergobaby</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Liberty</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Outdoor</w:t>
            </w:r>
          </w:p>
        </w:tc>
        <w:tc>
          <w:tcPr>
            <w:tcW w:w="1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Arnold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income (loss) </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(5,873)</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0" w:type="dxa"/>
            <w:vAlign w:val="bottom"/>
          </w:tcPr>
          <w:p>
            <w:pPr>
              <w:spacing w:after="0"/>
              <w:rPr>
                <w:sz w:val="1"/>
                <w:szCs w:val="1"/>
                <w:color w:val="auto"/>
              </w:rPr>
            </w:pPr>
          </w:p>
        </w:tc>
      </w:tr>
      <w:tr>
        <w:trPr>
          <w:trHeight w:val="204"/>
        </w:trPr>
        <w:tc>
          <w:tcPr>
            <w:tcW w:w="210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(benefit) for</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21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19,439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19,592</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interest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10,774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14,067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45,213</w:t>
            </w:r>
          </w:p>
        </w:tc>
        <w:tc>
          <w:tcPr>
            <w:tcW w:w="0" w:type="dxa"/>
            <w:vAlign w:val="bottom"/>
          </w:tcPr>
          <w:p>
            <w:pPr>
              <w:spacing w:after="0"/>
              <w:rPr>
                <w:sz w:val="1"/>
                <w:szCs w:val="1"/>
                <w:color w:val="auto"/>
              </w:rPr>
            </w:pPr>
          </w:p>
        </w:tc>
      </w:tr>
      <w:tr>
        <w:trPr>
          <w:trHeight w:val="190"/>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(28,246)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57,296</w:t>
            </w:r>
          </w:p>
        </w:tc>
        <w:tc>
          <w:tcPr>
            <w:tcW w:w="0" w:type="dxa"/>
            <w:vAlign w:val="bottom"/>
          </w:tcPr>
          <w:p>
            <w:pPr>
              <w:spacing w:after="0"/>
              <w:rPr>
                <w:sz w:val="1"/>
                <w:szCs w:val="1"/>
                <w:color w:val="auto"/>
              </w:rPr>
            </w:pPr>
          </w:p>
        </w:tc>
      </w:tr>
      <w:tr>
        <w:trPr>
          <w:trHeight w:val="66"/>
        </w:trPr>
        <w:tc>
          <w:tcPr>
            <w:tcW w:w="2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Gain on sale of</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businesses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sale of fixed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shareholder compensation</w:t>
            </w:r>
          </w:p>
        </w:tc>
        <w:tc>
          <w:tcPr>
            <w:tcW w:w="1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related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264"/>
        </w:trPr>
        <w:tc>
          <w:tcPr>
            <w:tcW w:w="2100" w:type="dxa"/>
            <w:vAlign w:val="bottom"/>
          </w:tcPr>
          <w:p>
            <w:pPr>
              <w:ind w:left="380"/>
              <w:spacing w:after="0"/>
              <w:rPr>
                <w:sz w:val="20"/>
                <w:szCs w:val="20"/>
                <w:color w:val="auto"/>
              </w:rPr>
            </w:pPr>
            <w:r>
              <w:rPr>
                <w:rFonts w:ascii="Arial" w:cs="Arial" w:eastAsia="Arial" w:hAnsi="Arial"/>
                <w:sz w:val="14"/>
                <w:szCs w:val="14"/>
                <w:color w:val="auto"/>
              </w:rPr>
              <w:t>Integration services fee</w:t>
            </w:r>
          </w:p>
        </w:tc>
        <w:tc>
          <w:tcPr>
            <w:tcW w:w="1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foreign currency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Management fees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19,155</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21,436</w:t>
            </w:r>
          </w:p>
        </w:tc>
        <w:tc>
          <w:tcPr>
            <w:tcW w:w="0" w:type="dxa"/>
            <w:vAlign w:val="bottom"/>
          </w:tcPr>
          <w:p>
            <w:pPr>
              <w:spacing w:after="0"/>
              <w:rPr>
                <w:sz w:val="1"/>
                <w:szCs w:val="1"/>
                <w:color w:val="auto"/>
              </w:rPr>
            </w:pPr>
          </w:p>
        </w:tc>
      </w:tr>
      <w:tr>
        <w:trPr>
          <w:trHeight w:val="27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Adjusted EBITDA </w:t>
            </w:r>
            <w:r>
              <w:rPr>
                <w:rFonts w:ascii="Arial" w:cs="Arial" w:eastAsia="Arial" w:hAnsi="Arial"/>
                <w:sz w:val="17"/>
                <w:szCs w:val="17"/>
                <w:b w:val="1"/>
                <w:bCs w:val="1"/>
                <w:i w:val="1"/>
                <w:iCs w:val="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8,080</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87,709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six months ended June 30, 2018.</w:t>
      </w:r>
    </w:p>
    <w:p>
      <w:pPr>
        <w:spacing w:after="0" w:line="237" w:lineRule="exact"/>
        <w:rPr>
          <w:rFonts w:ascii="Arial" w:cs="Arial" w:eastAsia="Arial" w:hAnsi="Arial"/>
          <w:sz w:val="21"/>
          <w:szCs w:val="21"/>
          <w:b w:val="1"/>
          <w:bCs w:val="1"/>
          <w:color w:val="auto"/>
          <w:vertAlign w:val="superscript"/>
        </w:rPr>
      </w:pPr>
    </w:p>
    <w:p>
      <w:pPr>
        <w:ind w:firstLine="8"/>
        <w:spacing w:after="0" w:line="238" w:lineRule="auto"/>
        <w:tabs>
          <w:tab w:leader="none" w:pos="182"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5"/>
          <w:szCs w:val="15"/>
          <w:color w:val="auto"/>
        </w:rPr>
        <w:t>As a result of the sale of Manitoba Harvest in February 2019 and Clean Earth in June 2019, Adjusted EBITDA for the six months ended June 30, 2019 does not include Adjusted EBITDA from Manitoba Harvest of $4.0 million and Clean Earth of $20.5 million.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8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Cash Flow Available for Distribution and Reinvestment</w:t>
      </w:r>
    </w:p>
    <w:p>
      <w:pPr>
        <w:spacing w:after="0" w:line="8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4"/>
          </w:tcPr>
          <w:p>
            <w:pPr>
              <w:jc w:val="right"/>
              <w:ind w:right="130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2019</w:t>
            </w:r>
          </w:p>
        </w:tc>
        <w:tc>
          <w:tcPr>
            <w:tcW w:w="300" w:type="dxa"/>
            <w:vAlign w:val="bottom"/>
          </w:tcPr>
          <w:p>
            <w:pPr>
              <w:spacing w:after="0"/>
              <w:rPr>
                <w:sz w:val="22"/>
                <w:szCs w:val="22"/>
                <w:color w:val="auto"/>
              </w:rPr>
            </w:pPr>
          </w:p>
        </w:tc>
        <w:tc>
          <w:tcPr>
            <w:tcW w:w="1680" w:type="dxa"/>
            <w:vAlign w:val="bottom"/>
          </w:tcPr>
          <w:p>
            <w:pPr>
              <w:jc w:val="right"/>
              <w:ind w:right="423"/>
              <w:spacing w:after="0"/>
              <w:rPr>
                <w:sz w:val="20"/>
                <w:szCs w:val="20"/>
                <w:color w:val="auto"/>
              </w:rPr>
            </w:pPr>
            <w:r>
              <w:rPr>
                <w:rFonts w:ascii="Arial" w:cs="Arial" w:eastAsia="Arial" w:hAnsi="Arial"/>
                <w:sz w:val="15"/>
                <w:szCs w:val="15"/>
                <w:b w:val="1"/>
                <w:bCs w:val="1"/>
                <w:color w:val="auto"/>
              </w:rPr>
              <w:t>June 30, 2018</w:t>
            </w:r>
          </w:p>
        </w:tc>
        <w:tc>
          <w:tcPr>
            <w:tcW w:w="0" w:type="dxa"/>
            <w:vAlign w:val="bottom"/>
          </w:tcPr>
          <w:p>
            <w:pPr>
              <w:spacing w:after="0"/>
              <w:rPr>
                <w:sz w:val="1"/>
                <w:szCs w:val="1"/>
                <w:color w:val="auto"/>
              </w:rPr>
            </w:pPr>
          </w:p>
        </w:tc>
      </w:tr>
      <w:tr>
        <w:trPr>
          <w:trHeight w:val="192"/>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Borders>
              <w:top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328,331</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Adjustment to reconcile net income (loss) to cash provided by operating activities:</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56,491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57,131</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Gain on sale of businesses</w:t>
            </w: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(328,164)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Amortization of debt issuance costs and original issue discount</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2,324</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Unrealized (gain) loss on interest rate hedge</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3,350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Noncontrolling shareholder charges</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5,268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5,165</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Provision for loss on receivables</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Deferred taxes</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(3,242)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496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(47,656)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(20,146)</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92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Pr>
          <w:p>
            <w:pPr>
              <w:spacing w:after="0"/>
              <w:rPr>
                <w:sz w:val="16"/>
                <w:szCs w:val="16"/>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8,654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35,312</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Unused fee on revolving credit facility</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882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855</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2"/>
                <w:szCs w:val="12"/>
                <w:color w:val="auto"/>
              </w:rPr>
              <w:t>(1)</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1,594</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Successful acquisition costs</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2,347</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2"/>
                <w:szCs w:val="12"/>
                <w:color w:val="auto"/>
              </w:rPr>
              <w:t>(2)</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2,247</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Loss on sale of Tilray Common Stock</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5,300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47,656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20,146</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Payment of interest rate swap</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1,086</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2"/>
                <w:szCs w:val="12"/>
                <w:color w:val="auto"/>
              </w:rPr>
              <w:t>(3)</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Compass Group Diversified Holdings LLC</w:t>
            </w:r>
          </w:p>
        </w:tc>
        <w:tc>
          <w:tcPr>
            <w:tcW w:w="30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5.11 Tactical</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2,429</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Advanced Circuits</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1,126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Arnold</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2,123</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Clean Earth</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3,495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Ergobaby</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Foam Fabricators</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936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Liberty</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935</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Manitoba Harvest</w:t>
            </w:r>
          </w:p>
        </w:tc>
        <w:tc>
          <w:tcPr>
            <w:tcW w:w="30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Sterno</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1,042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Velocity Outdoor</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1,040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Preferred share distribution</w:t>
            </w:r>
          </w:p>
        </w:tc>
        <w:tc>
          <w:tcPr>
            <w:tcW w:w="30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7,563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ind w:right="43"/>
              <w:spacing w:after="0"/>
              <w:rPr>
                <w:sz w:val="20"/>
                <w:szCs w:val="20"/>
                <w:color w:val="auto"/>
              </w:rPr>
            </w:pPr>
            <w:r>
              <w:rPr>
                <w:rFonts w:ascii="Arial" w:cs="Arial" w:eastAsia="Arial" w:hAnsi="Arial"/>
                <w:sz w:val="15"/>
                <w:szCs w:val="15"/>
                <w:color w:val="auto"/>
              </w:rPr>
              <w:t>3,625</w:t>
            </w:r>
          </w:p>
        </w:tc>
        <w:tc>
          <w:tcPr>
            <w:tcW w:w="0" w:type="dxa"/>
            <w:vAlign w:val="bottom"/>
          </w:tcPr>
          <w:p>
            <w:pPr>
              <w:spacing w:after="0"/>
              <w:rPr>
                <w:sz w:val="1"/>
                <w:szCs w:val="1"/>
                <w:color w:val="auto"/>
              </w:rPr>
            </w:pPr>
          </w:p>
        </w:tc>
      </w:tr>
      <w:tr>
        <w:trPr>
          <w:trHeight w:val="58"/>
        </w:trPr>
        <w:tc>
          <w:tcPr>
            <w:tcW w:w="69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43,827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44,313</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April 2019/2018</w:t>
            </w: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5"/>
                <w:szCs w:val="15"/>
                <w:color w:val="auto"/>
              </w:rPr>
              <w:t>Distribution paid in July 2019/2018</w:t>
            </w: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58"/>
        </w:trPr>
        <w:tc>
          <w:tcPr>
            <w:tcW w:w="69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(43,128)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8"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18" w:right="239" w:bottom="1440" w:gutter="0" w:footer="0" w:header="0"/>
          <w:type w:val="continuous"/>
        </w:sectPr>
      </w:pPr>
    </w:p>
    <w:bookmarkStart w:id="58" w:name="page59"/>
    <w:bookmarkEnd w:id="58"/>
    <w:p>
      <w:pPr>
        <w:ind w:left="340" w:hanging="170"/>
        <w:spacing w:after="0"/>
        <w:tabs>
          <w:tab w:leader="none" w:pos="340" w:val="left"/>
        </w:tabs>
        <w:numPr>
          <w:ilvl w:val="0"/>
          <w:numId w:val="24"/>
        </w:numPr>
        <w:rPr>
          <w:rFonts w:ascii="Arial" w:cs="Arial" w:eastAsia="Arial" w:hAnsi="Arial"/>
          <w:sz w:val="19"/>
          <w:szCs w:val="19"/>
          <w:b w:val="1"/>
          <w:bCs w:val="1"/>
          <w:color w:val="auto"/>
          <w:vertAlign w:val="superscript"/>
        </w:rPr>
      </w:pPr>
      <w:r>
        <w:rPr>
          <w:rFonts w:ascii="Arial" w:cs="Arial" w:eastAsia="Arial" w:hAnsi="Arial"/>
          <w:sz w:val="15"/>
          <w:szCs w:val="15"/>
          <w:color w:val="auto"/>
        </w:rPr>
        <w:t>Represents fees paid by newly acquired companies to the Manager for integration services performed during the first year of ownership, payable quarterly.</w:t>
      </w:r>
    </w:p>
    <w:p>
      <w:pPr>
        <w:spacing w:after="0" w:line="92" w:lineRule="exact"/>
        <w:rPr>
          <w:rFonts w:ascii="Arial" w:cs="Arial" w:eastAsia="Arial" w:hAnsi="Arial"/>
          <w:sz w:val="19"/>
          <w:szCs w:val="19"/>
          <w:b w:val="1"/>
          <w:bCs w:val="1"/>
          <w:color w:val="auto"/>
          <w:vertAlign w:val="superscript"/>
        </w:rPr>
      </w:pPr>
    </w:p>
    <w:p>
      <w:pPr>
        <w:ind w:left="340" w:hanging="170"/>
        <w:spacing w:after="0"/>
        <w:tabs>
          <w:tab w:leader="none" w:pos="340" w:val="left"/>
        </w:tabs>
        <w:numPr>
          <w:ilvl w:val="0"/>
          <w:numId w:val="24"/>
        </w:numPr>
        <w:rPr>
          <w:rFonts w:ascii="Arial" w:cs="Arial" w:eastAsia="Arial" w:hAnsi="Arial"/>
          <w:sz w:val="19"/>
          <w:szCs w:val="19"/>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210" w:lineRule="exact"/>
        <w:rPr>
          <w:rFonts w:ascii="Arial" w:cs="Arial" w:eastAsia="Arial" w:hAnsi="Arial"/>
          <w:sz w:val="19"/>
          <w:szCs w:val="19"/>
          <w:b w:val="1"/>
          <w:bCs w:val="1"/>
          <w:color w:val="auto"/>
          <w:vertAlign w:val="superscript"/>
        </w:rPr>
      </w:pPr>
    </w:p>
    <w:p>
      <w:pPr>
        <w:jc w:val="both"/>
        <w:ind w:left="420" w:hanging="250"/>
        <w:spacing w:after="0" w:line="221" w:lineRule="auto"/>
        <w:tabs>
          <w:tab w:leader="none" w:pos="420" w:val="left"/>
        </w:tabs>
        <w:numPr>
          <w:ilvl w:val="0"/>
          <w:numId w:val="24"/>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$8.5 million for the six months ended June 30, 2019 and $14.5 million for the six months ended June 30,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entered into a Management Services Agreement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4">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borrows under the 2018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Foam Fabricators, which was acquired in 2018, entered into Integration Services Agreements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and align the acquired entity's policies and procedures with our other subsidiaries. Each ISA is for the twelve-month period subsequent to the acquisition. </w:t>
      </w:r>
      <w:r>
        <w:rPr>
          <w:rFonts w:ascii="Arial" w:cs="Arial" w:eastAsia="Arial" w:hAnsi="Arial"/>
          <w:sz w:val="17"/>
          <w:szCs w:val="17"/>
          <w:color w:val="auto"/>
        </w:rPr>
        <w:t>Foam Fabricators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paid CGM $2.3 million over the term of the ISA, $2.0 million in 2018 and $0.3 million in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5.11 purchases inventory from a vendor who is a related party to 5.11 through one of the executive officers of 5.11 via the executive's 40% ownership interest in the vendor. </w:t>
      </w:r>
      <w:r>
        <w:rPr>
          <w:rFonts w:ascii="Arial" w:cs="Arial" w:eastAsia="Arial" w:hAnsi="Arial"/>
          <w:sz w:val="17"/>
          <w:szCs w:val="17"/>
          <w:color w:val="auto"/>
        </w:rPr>
        <w:t>During the six months ended June 30, 2019, 5.11 purchased approximately $2.1 million in inventory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vendor.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 of Manitoba Harvest in February 2019 and Clean Earth in June 2019 each qualified as a Sale Event under the Company's LLC Agreement. During the second quarter of 2019, the Company declared a distribution to the Allocation Member in connection with the Sale Event of Manitoba Harvest of $7.7 million which was paid in the second quarter of 2019. The profit allocation distribution was calculated based on the portion of the gain on sale related to the Closing Date Consideration, less the loss on sale of shares that were received as part of the Closing Consideration. An additional profit allocation distribution related to the Sale Event of Manitoba Harvest will be declared subsequent to receipt of the Deferred Consideration in August 2019. During the third quarter of 2019, the Company declared a distribution to the Allocation Member in connection with the Sale Event of Clean Earth of $43.3 million which will be paid in the third quarter of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6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table below summarizes the payment schedule of our contractual obligations at June 30, 2019:</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Long-term debt obligations </w:t>
      </w:r>
      <w:r>
        <w:rPr>
          <w:rFonts w:ascii="Arial" w:cs="Arial" w:eastAsia="Arial" w:hAnsi="Arial"/>
          <w:sz w:val="12"/>
          <w:szCs w:val="12"/>
          <w:color w:val="auto"/>
        </w:rPr>
        <w:t>(1)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12"/>
          <w:szCs w:val="12"/>
          <w:color w:val="auto"/>
        </w:rPr>
        <w:t>(2)</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Purchase obligations </w:t>
      </w:r>
      <w:r>
        <w:rPr>
          <w:rFonts w:ascii="Arial" w:cs="Arial" w:eastAsia="Arial" w:hAnsi="Arial"/>
          <w:sz w:val="12"/>
          <w:szCs w:val="12"/>
          <w:color w:val="auto"/>
        </w:rPr>
        <w:t>(3)</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Total </w:t>
      </w: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Less than 1</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63"/>
              <w:spacing w:after="0"/>
              <w:rPr>
                <w:sz w:val="20"/>
                <w:szCs w:val="20"/>
                <w:color w:val="auto"/>
              </w:rPr>
            </w:pPr>
            <w:r>
              <w:rPr>
                <w:rFonts w:ascii="Arial" w:cs="Arial" w:eastAsia="Arial" w:hAnsi="Arial"/>
                <w:sz w:val="15"/>
                <w:szCs w:val="15"/>
                <w:color w:val="auto"/>
              </w:rPr>
              <w:t>More than</w:t>
            </w:r>
          </w:p>
        </w:tc>
      </w:tr>
      <w:tr>
        <w:trPr>
          <w:trHeight w:val="188"/>
        </w:trPr>
        <w:tc>
          <w:tcPr>
            <w:tcW w:w="3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Year</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1-3 Years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20" w:type="dxa"/>
            <w:vAlign w:val="bottom"/>
          </w:tcPr>
          <w:p>
            <w:pPr>
              <w:spacing w:after="0"/>
              <w:rPr>
                <w:sz w:val="16"/>
                <w:szCs w:val="16"/>
                <w:color w:val="auto"/>
              </w:rPr>
            </w:pPr>
          </w:p>
        </w:tc>
        <w:tc>
          <w:tcPr>
            <w:tcW w:w="1140" w:type="dxa"/>
            <w:vAlign w:val="bottom"/>
          </w:tcPr>
          <w:p>
            <w:pPr>
              <w:jc w:val="right"/>
              <w:ind w:right="343"/>
              <w:spacing w:after="0"/>
              <w:rPr>
                <w:sz w:val="20"/>
                <w:szCs w:val="20"/>
                <w:color w:val="auto"/>
              </w:rPr>
            </w:pPr>
            <w:r>
              <w:rPr>
                <w:rFonts w:ascii="Arial" w:cs="Arial" w:eastAsia="Arial" w:hAnsi="Arial"/>
                <w:sz w:val="15"/>
                <w:szCs w:val="15"/>
                <w:color w:val="auto"/>
              </w:rPr>
              <w:t>5 Years</w:t>
            </w:r>
          </w:p>
        </w:tc>
      </w:tr>
      <w:tr>
        <w:trPr>
          <w:trHeight w:val="246"/>
        </w:trPr>
        <w:tc>
          <w:tcPr>
            <w:tcW w:w="34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1,194,814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333,115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104,647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103,837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653,215</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124,538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11,144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44,382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29,903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39,109</w:t>
            </w:r>
          </w:p>
        </w:tc>
      </w:tr>
      <w:tr>
        <w:trPr>
          <w:trHeight w:val="274"/>
        </w:trPr>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400,721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177,010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106,660</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81,609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35,442</w:t>
            </w:r>
          </w:p>
        </w:tc>
      </w:tr>
      <w:tr>
        <w:trPr>
          <w:trHeight w:val="237"/>
        </w:trPr>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1,720,073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521,269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255,689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215,349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727,766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-359410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544" w:right="239" w:bottom="1440" w:gutter="0" w:footer="0" w:header="0"/>
          <w:type w:val="continuous"/>
        </w:sectPr>
      </w:pPr>
    </w:p>
    <w:p>
      <w:pPr>
        <w:spacing w:after="0" w:line="5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25"/>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9" w:lineRule="exact"/>
        <w:rPr>
          <w:rFonts w:ascii="Arial" w:cs="Arial" w:eastAsia="Arial" w:hAnsi="Arial"/>
          <w:sz w:val="22"/>
          <w:szCs w:val="22"/>
          <w:b w:val="1"/>
          <w:bCs w:val="1"/>
          <w:color w:val="auto"/>
          <w:vertAlign w:val="superscript"/>
        </w:rPr>
      </w:pPr>
    </w:p>
    <w:p>
      <w:pPr>
        <w:jc w:val="both"/>
        <w:ind w:left="340" w:hanging="332"/>
        <w:spacing w:after="0" w:line="227" w:lineRule="auto"/>
        <w:tabs>
          <w:tab w:leader="none" w:pos="340" w:val="left"/>
        </w:tabs>
        <w:numPr>
          <w:ilvl w:val="0"/>
          <w:numId w:val="25"/>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non-cancelable commitments as of June 30, 2019, including: (i) shareholder distributions of $141.0 million; (ii) estimated management fees of $30.4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8" w:lineRule="exact"/>
        <w:rPr>
          <w:rFonts w:ascii="Arial" w:cs="Arial" w:eastAsia="Arial" w:hAnsi="Arial"/>
          <w:sz w:val="22"/>
          <w:szCs w:val="22"/>
          <w:b w:val="1"/>
          <w:bCs w:val="1"/>
          <w:color w:val="auto"/>
          <w:vertAlign w:val="superscript"/>
        </w:rPr>
      </w:pPr>
    </w:p>
    <w:p>
      <w:pPr>
        <w:ind w:left="340" w:right="20" w:hanging="332"/>
        <w:spacing w:after="0" w:line="210" w:lineRule="auto"/>
        <w:tabs>
          <w:tab w:leader="none" w:pos="340" w:val="left"/>
        </w:tabs>
        <w:numPr>
          <w:ilvl w:val="0"/>
          <w:numId w:val="25"/>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June 30, 2019 as the timing of the recognition of this liability is not certain. The amount of the liability is not expected to significantly change in the next twelve months.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estimates are reviewed periodically by our independent auditors and the audit committee of our board of directors.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2018, as filed with the Securities and Exchange Commission ("SEC") on February 27,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1"/>
          <w:szCs w:val="21"/>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 than-not that the fair value of a reporting unit is less than its carrying amount as a basis for determining whether it is necessary to perform the two-step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44" w:right="239" w:bottom="1440" w:gutter="0" w:footer="0" w:header="0"/>
          <w:type w:val="continuous"/>
        </w:sectPr>
      </w:pPr>
    </w:p>
    <w:bookmarkStart w:id="60" w:name="page61"/>
    <w:bookmarkEnd w:id="60"/>
    <w:p>
      <w:pPr>
        <w:jc w:val="both"/>
        <w:spacing w:after="0" w:line="262" w:lineRule="auto"/>
        <w:rPr>
          <w:sz w:val="20"/>
          <w:szCs w:val="20"/>
          <w:color w:val="auto"/>
        </w:rPr>
      </w:pPr>
      <w:r>
        <w:rPr>
          <w:rFonts w:ascii="Arial" w:cs="Arial" w:eastAsia="Arial" w:hAnsi="Arial"/>
          <w:sz w:val="18"/>
          <w:szCs w:val="18"/>
          <w:color w:val="auto"/>
        </w:rPr>
        <w:t>similar to the reporting unit. When market comparables are not meaningful or available, we estimate the fair value of the reporting unit using only the income approach.</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concluded the goodwill impairment testing during the quarter ended June 30, 2019. The results of the quantitative impairment testing of the Liberty reporting unit indicated that the fair value of the Liberty reporting unit exceeded the carrying value by 135%. All of our other reporting units were tested qualitatively as of March 31, 2019, and the results of the qualitative analysis indicated that the fair value exceeded their carrying value.</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reporting units that were tested qualitatively for the 2019 annual impairment testing, the results of the qualitative analysis indicated that it is more likely than not that the fair value exceeded their carrying value.</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2018 Annual Impairment Testing </w:t>
      </w:r>
      <w:r>
        <w:rPr>
          <w:rFonts w:ascii="Arial" w:cs="Arial" w:eastAsia="Arial" w:hAnsi="Arial"/>
          <w:sz w:val="18"/>
          <w:szCs w:val="18"/>
          <w:color w:val="auto"/>
        </w:rPr>
        <w:t>- Our Arnold operating segment previously had three separate reporting units. As a result of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by Arnold management during 2016 and 2017, we reassessed the reporting units at Arnold as of the annual impairment testing date in 2018. The separate Arnold reporting units were determined to only comprise one reporting unit at the Arnold operating segment level as of March 31, 2018. As part of the exercise of combining the separate Arnold reporting units into one reporting unit, we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Two of the Arnold reporting units, PMAG and PTM, were tested qualitatively as part of the "before" test, while a quantitative impairment test was performed on the Flexmag reporting unit because we could not determine that it was more-likely than-not that the fair value of a reporting unit exceeded its carrying value. We then performed a quantitative impairment test of the Arnold operating segment, which combined the three reporting units. The results of the quantitative impairment testing of the Arnold reporting unit indicated that the fair value of the Arnold reporting unit exceeded the carrying value by 254%. All of our other reporting units were tested qualitatively as of March 31, 2018, and the results of the qualitative analysis indicated that the fair value exceeded their carrying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$60.0 million. The results of the qualitative analysis of our reporting unit's indefinite-lived intangible assets, which we completed as of March 31, 2019, indicated that the fair value of the indefinite lived intangible assets exceeded their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2014, the Financial Accounting Standards Board ("FASB") issued a comprehensive new revenue recognition standard. The new standard outlines a single comprehensive model for entities to use in accounting for revenue arising from contracts with customers and supersedes most current revenue recognition guidance, including industry-specific guidance. In addition, the standard requires disclosure of the amount, timing and uncertainty of cash flows arising from contracts with customers. The new standard, and all related amendments, was effective for us beginning January 1, 2018 and was adopted using the modified retrospective method for all contracts not completed as of the date of adoption.</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adoption of the new revenue guidance represented a change in accounting principle that will more closely align revenue recognition with the transfer of control of our goods and services and will provide financial statement readers with enhanced disclosures. In accordance with the new revenue guidance, 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44" w:right="2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Upon adoption of the new revenue guidance, the Company’s policy around estimating variable consideration related to sales incentives (early pay discounts, rights of return, rebates, chargebacks, and other discounts) included in certain customer contracts remained consistent with previous guidance. These incentives are recorded as a reduction in the transaction price. Under the new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 that it is probable that a significant reversal in the amount of cumulative revenue recognized will not occur when the uncertainty associated with the variable consideration is subsequently resolved.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portfolio companies. The impact could result in either higher or lower amortization and/or depreciation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1">
        <w:r>
          <w:rPr>
            <w:rFonts w:ascii="Arial" w:cs="Arial" w:eastAsia="Arial" w:hAnsi="Arial"/>
            <w:sz w:val="18"/>
            <w:szCs w:val="18"/>
            <w:u w:val="single" w:color="auto"/>
            <w:color w:val="0000EE"/>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2018. For a further discussion of our exposure to market risk, refer to the section entitled "Quantitative and Qualitative Disclosures about Market Risk" that was disclosed in Part II, Item 7A of our Annual Report on Form 10-K for the year ended December 31, 2018, as filed with the SEC on February 27,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June 30, 2019. Based on that evaluation, the Holdings’ Regular Trustees and the Chief Executive Officer and Chief Financial Officer of the Company concluded that Holdings’ and the Company’s disclosure controls and procedures were effective as of June 30, 2019.</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9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2018, as filed with the SEC on February 27,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those risk factors and other uncertainties associated with the Company and Holdings discussed in the section entitled "Risk Factors" that was disclosed in Part I, Item 1A of our Annual Report on Form 10-K for the year ended December 31, 2018, as filed with the SEC on February 27, 2019.</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16"/>
                <w:szCs w:val="16"/>
                <w:color w:val="auto"/>
              </w:rPr>
            </w:pPr>
          </w:p>
        </w:tc>
        <w:tc>
          <w:tcPr>
            <w:tcW w:w="8620" w:type="dxa"/>
            <w:vAlign w:val="bottom"/>
            <w:gridSpan w:val="10"/>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2.1</w:t>
            </w:r>
          </w:p>
        </w:tc>
        <w:tc>
          <w:tcPr>
            <w:tcW w:w="126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rFonts w:ascii="Arial" w:cs="Arial" w:eastAsia="Arial" w:hAnsi="Arial"/>
                <w:sz w:val="16"/>
                <w:szCs w:val="16"/>
                <w:color w:val="0000FF"/>
              </w:rPr>
            </w:pPr>
            <w:hyperlink r:id="rId67">
              <w:r>
                <w:rPr>
                  <w:rFonts w:ascii="Arial" w:cs="Arial" w:eastAsia="Arial" w:hAnsi="Arial"/>
                  <w:sz w:val="16"/>
                  <w:szCs w:val="16"/>
                  <w:color w:val="0000FF"/>
                </w:rPr>
                <w:t>Stock Purchase Agreement, dated May 8, 2019, by and among (i) Calrissian Holdings, LLC; (ii) CEHI Acquisition</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10"/>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Corporation; (iii) Compass Group Diversified Holdings LLC; (iv) each Stockholder and Optionholder of the Company;</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10"/>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and (v) solely for the purposes of Section 9(r) thereof, Harsco Corporation (incorporated by reference to Exhibit 2.1 of</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the Form 8-K filed on May 9, 2019 (File No. 001-34927)).</w:t>
              </w:r>
            </w:hyperlink>
          </w:p>
        </w:tc>
        <w:tc>
          <w:tcPr>
            <w:tcW w:w="4300" w:type="dxa"/>
            <w:vAlign w:val="bottom"/>
            <w:tcBorders>
              <w:top w:val="single" w:sz="8" w:color="0000FF"/>
            </w:tcBorders>
            <w:gridSpan w:val="5"/>
          </w:tcPr>
          <w:p>
            <w:pPr>
              <w:spacing w:after="0"/>
              <w:rPr>
                <w:sz w:val="14"/>
                <w:szCs w:val="14"/>
                <w:color w:val="auto"/>
              </w:rPr>
            </w:pP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60" w:type="dxa"/>
            <w:vAlign w:val="bottom"/>
            <w:tcBorders>
              <w:bottom w:val="single" w:sz="8" w:color="0000FF"/>
            </w:tcBorders>
            <w:gridSpan w:val="5"/>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Rule 13a-14(a)/15d-14(a) Certification of Chief Executive Officer of Registrant</w:t>
              </w:r>
            </w:hyperlink>
          </w:p>
        </w:tc>
        <w:tc>
          <w:tcPr>
            <w:tcW w:w="3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8620" w:type="dxa"/>
            <w:vAlign w:val="bottom"/>
            <w:gridSpan w:val="10"/>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620" w:type="dxa"/>
            <w:vAlign w:val="bottom"/>
            <w:tcBorders>
              <w:bottom w:val="single" w:sz="8" w:color="0000FF"/>
            </w:tcBorders>
            <w:gridSpan w:val="10"/>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Chief Executive Officer of Registrant pursuant to 18 U.S.C. Section 1350, as adopted pursuant to Section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10"/>
          </w:tcPr>
          <w:p>
            <w:pPr>
              <w:spacing w:after="0" w:line="169" w:lineRule="exact"/>
              <w:rPr>
                <w:rFonts w:ascii="Arial" w:cs="Arial" w:eastAsia="Arial" w:hAnsi="Arial"/>
                <w:sz w:val="16"/>
                <w:szCs w:val="16"/>
                <w:color w:val="0000FF"/>
              </w:rPr>
            </w:pPr>
            <w:hyperlink w:anchor="page68">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560" w:type="dxa"/>
            <w:vAlign w:val="bottom"/>
            <w:tcBorders>
              <w:bottom w:val="single" w:sz="8" w:color="0000FF"/>
            </w:tcBorders>
            <w:gridSpan w:val="9"/>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Certification of Chief Financial Officer of Registrant pursuant to 18 U.S.C. Section 1350, as adopted pursuant to Section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10"/>
          </w:tcPr>
          <w:p>
            <w:pPr>
              <w:spacing w:after="0" w:line="169" w:lineRule="exact"/>
              <w:rPr>
                <w:rFonts w:ascii="Arial" w:cs="Arial" w:eastAsia="Arial" w:hAnsi="Arial"/>
                <w:sz w:val="16"/>
                <w:szCs w:val="16"/>
                <w:color w:val="0000FF"/>
              </w:rPr>
            </w:pPr>
            <w:hyperlink w:anchor="page69">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gridSpan w:val="10"/>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2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20" w:hanging="1385"/>
        <w:spacing w:after="0"/>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1" w:lineRule="exact"/>
        <w:rPr>
          <w:sz w:val="20"/>
          <w:szCs w:val="20"/>
          <w:color w:val="auto"/>
        </w:rPr>
      </w:pPr>
    </w:p>
    <w:p>
      <w:pPr>
        <w:jc w:val="both"/>
        <w:ind w:left="1420" w:right="20" w:hanging="1385"/>
        <w:spacing w:after="0" w:line="253"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6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DIVERSIFIED HOLDINGS</w:t>
      </w:r>
    </w:p>
    <w:p>
      <w:pPr>
        <w:spacing w:after="0" w:line="200" w:lineRule="exact"/>
        <w:rPr>
          <w:sz w:val="20"/>
          <w:szCs w:val="20"/>
          <w:color w:val="auto"/>
        </w:rPr>
      </w:pPr>
    </w:p>
    <w:p>
      <w:pPr>
        <w:spacing w:after="0" w:line="210"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Ryan J. Faulkingham</w:t>
            </w:r>
          </w:p>
        </w:tc>
      </w:tr>
      <w:tr>
        <w:trPr>
          <w:trHeight w:val="47"/>
        </w:trPr>
        <w:tc>
          <w:tcPr>
            <w:tcW w:w="100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1"/>
        </w:trPr>
        <w:tc>
          <w:tcPr>
            <w:tcW w:w="1000" w:type="dxa"/>
            <w:vAlign w:val="bottom"/>
          </w:tcPr>
          <w:p>
            <w:pPr>
              <w:spacing w:after="0"/>
              <w:rPr>
                <w:sz w:val="20"/>
                <w:szCs w:val="20"/>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Ryan J. Faulkingham</w:t>
            </w:r>
          </w:p>
        </w:tc>
      </w:tr>
      <w:tr>
        <w:trPr>
          <w:trHeight w:val="270"/>
        </w:trPr>
        <w:tc>
          <w:tcPr>
            <w:tcW w:w="100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Regular Trustee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GROUP DIVERSIFIED HOLDINGS LLC</w:t>
      </w:r>
    </w:p>
    <w:p>
      <w:pPr>
        <w:spacing w:after="0" w:line="200" w:lineRule="exact"/>
        <w:rPr>
          <w:sz w:val="20"/>
          <w:szCs w:val="20"/>
          <w:color w:val="auto"/>
        </w:rPr>
      </w:pPr>
    </w:p>
    <w:p>
      <w:pPr>
        <w:spacing w:after="0" w:line="210" w:lineRule="exact"/>
        <w:rPr>
          <w:sz w:val="20"/>
          <w:szCs w:val="20"/>
          <w:color w:val="auto"/>
        </w:rPr>
      </w:pPr>
    </w:p>
    <w:p>
      <w:pPr>
        <w:ind w:left="620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36195</wp:posOffset>
            </wp:positionV>
            <wp:extent cx="2675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9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Ryan J. Faulkingham</w:t>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60" w:right="239" w:bottom="1440" w:gutter="0" w:footer="0" w:header="0"/>
        </w:sectPr>
      </w:pPr>
    </w:p>
    <w:bookmarkStart w:id="64" w:name="page65"/>
    <w:bookmarkEnd w:id="64"/>
    <w:tbl>
      <w:tblPr>
        <w:tblLayout w:type="fixed"/>
        <w:tblInd w:w="5"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760" w:type="dxa"/>
            <w:vAlign w:val="bottom"/>
            <w:gridSpan w:val="9"/>
          </w:tcPr>
          <w:p>
            <w:pPr>
              <w:ind w:left="1700"/>
              <w:spacing w:after="0"/>
              <w:rPr>
                <w:sz w:val="20"/>
                <w:szCs w:val="20"/>
                <w:color w:val="auto"/>
              </w:rPr>
            </w:pPr>
            <w:r>
              <w:rPr>
                <w:rFonts w:ascii="Arial" w:cs="Arial" w:eastAsia="Arial" w:hAnsi="Arial"/>
                <w:sz w:val="17"/>
                <w:szCs w:val="17"/>
                <w:b w:val="1"/>
                <w:bCs w:val="1"/>
                <w:color w:val="auto"/>
              </w:rPr>
              <w:t>EXHIBIT INDEX</w:t>
            </w:r>
          </w:p>
        </w:tc>
      </w:tr>
      <w:tr>
        <w:trPr>
          <w:trHeight w:val="355"/>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Description</w:t>
            </w:r>
          </w:p>
        </w:tc>
        <w:tc>
          <w:tcPr>
            <w:tcW w:w="7760" w:type="dxa"/>
            <w:vAlign w:val="bottom"/>
            <w:gridSpan w:val="9"/>
          </w:tcPr>
          <w:p>
            <w:pPr>
              <w:spacing w:after="0"/>
              <w:rPr>
                <w:sz w:val="24"/>
                <w:szCs w:val="24"/>
                <w:color w:val="auto"/>
              </w:rPr>
            </w:pPr>
          </w:p>
        </w:tc>
      </w:tr>
      <w:tr>
        <w:trPr>
          <w:trHeight w:val="399"/>
        </w:trPr>
        <w:tc>
          <w:tcPr>
            <w:tcW w:w="1200" w:type="dxa"/>
            <w:vAlign w:val="bottom"/>
          </w:tcPr>
          <w:p>
            <w:pPr>
              <w:ind w:left="140"/>
              <w:spacing w:after="0"/>
              <w:rPr>
                <w:sz w:val="20"/>
                <w:szCs w:val="20"/>
                <w:color w:val="auto"/>
              </w:rPr>
            </w:pPr>
            <w:r>
              <w:rPr>
                <w:rFonts w:ascii="Arial" w:cs="Arial" w:eastAsia="Arial" w:hAnsi="Arial"/>
                <w:sz w:val="16"/>
                <w:szCs w:val="16"/>
                <w:color w:val="auto"/>
              </w:rPr>
              <w:t>2.1</w:t>
            </w:r>
          </w:p>
        </w:tc>
        <w:tc>
          <w:tcPr>
            <w:tcW w:w="1260" w:type="dxa"/>
            <w:vAlign w:val="bottom"/>
          </w:tcPr>
          <w:p>
            <w:pPr>
              <w:spacing w:after="0"/>
              <w:rPr>
                <w:sz w:val="24"/>
                <w:szCs w:val="24"/>
                <w:color w:val="auto"/>
              </w:rPr>
            </w:pPr>
          </w:p>
        </w:tc>
        <w:tc>
          <w:tcPr>
            <w:tcW w:w="8660" w:type="dxa"/>
            <w:vAlign w:val="bottom"/>
            <w:gridSpan w:val="11"/>
          </w:tcPr>
          <w:p>
            <w:pPr>
              <w:spacing w:after="0"/>
              <w:rPr>
                <w:rFonts w:ascii="Arial" w:cs="Arial" w:eastAsia="Arial" w:hAnsi="Arial"/>
                <w:sz w:val="16"/>
                <w:szCs w:val="16"/>
                <w:color w:val="auto"/>
              </w:rPr>
            </w:pPr>
            <w:hyperlink r:id="rId67">
              <w:r>
                <w:rPr>
                  <w:rFonts w:ascii="Arial" w:cs="Arial" w:eastAsia="Arial" w:hAnsi="Arial"/>
                  <w:sz w:val="16"/>
                  <w:szCs w:val="16"/>
                  <w:color w:val="auto"/>
                </w:rPr>
                <w:t>S</w:t>
              </w:r>
              <w:r>
                <w:rPr>
                  <w:rFonts w:ascii="Arial" w:cs="Arial" w:eastAsia="Arial" w:hAnsi="Arial"/>
                  <w:sz w:val="16"/>
                  <w:szCs w:val="16"/>
                  <w:color w:val="0000FF"/>
                </w:rPr>
                <w:t>tock Purchase Agreement, dated May 8, 2019, by and among (i) Calrissian Holdings, LLC; (ii) CEHI Acquisition</w:t>
              </w:r>
            </w:hyperlink>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6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Corporation; (iii) Compass Group Diversified Holdings LLC; (iv) each Stockholder and Optionholder of the Company; and</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3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(v) solely for the purposes of Section 9(r) thereof, Harsco Corporation (incorporated by reference to Exhibit 2.1 of the</w:t>
              </w:r>
            </w:hyperlink>
          </w:p>
        </w:tc>
        <w:tc>
          <w:tcPr>
            <w:tcW w:w="300" w:type="dxa"/>
            <w:vAlign w:val="bottom"/>
            <w:gridSpan w:val="3"/>
          </w:tcPr>
          <w:p>
            <w:pPr>
              <w:spacing w:after="0"/>
              <w:rPr>
                <w:sz w:val="14"/>
                <w:szCs w:val="14"/>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Form 8-K filed on May 9, 2019 (File No. 001-34927)).</w:t>
              </w:r>
            </w:hyperlink>
          </w:p>
        </w:tc>
        <w:tc>
          <w:tcPr>
            <w:tcW w:w="4840" w:type="dxa"/>
            <w:vAlign w:val="bottom"/>
            <w:gridSpan w:val="7"/>
          </w:tcPr>
          <w:p>
            <w:pPr>
              <w:spacing w:after="0"/>
              <w:rPr>
                <w:sz w:val="14"/>
                <w:szCs w:val="14"/>
                <w:color w:val="auto"/>
              </w:rPr>
            </w:pPr>
          </w:p>
        </w:tc>
      </w:tr>
      <w:tr>
        <w:trPr>
          <w:trHeight w:val="399"/>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80" w:type="dxa"/>
            <w:vAlign w:val="bottom"/>
            <w:tcBorders>
              <w:bottom w:val="single" w:sz="8" w:color="0000FF"/>
            </w:tcBorders>
            <w:gridSpan w:val="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Rule 13a-14(a)/15d-14(a) Certification of Chief Executive Officer of Registrant</w:t>
              </w:r>
            </w:hyperlink>
          </w:p>
        </w:tc>
        <w:tc>
          <w:tcPr>
            <w:tcW w:w="3080" w:type="dxa"/>
            <w:vAlign w:val="bottom"/>
            <w:gridSpan w:val="5"/>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5520" w:type="dxa"/>
            <w:vAlign w:val="bottom"/>
            <w:tcBorders>
              <w:bottom w:val="single" w:sz="8" w:color="0000FF"/>
            </w:tcBorders>
            <w:gridSpan w:val="5"/>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Rule 13a-14(a)/15d-14(a) Certification of Chief Financial Officer of Registrant</w:t>
              </w:r>
            </w:hyperlink>
          </w:p>
        </w:tc>
        <w:tc>
          <w:tcPr>
            <w:tcW w:w="3140" w:type="dxa"/>
            <w:vAlign w:val="bottom"/>
            <w:gridSpan w:val="6"/>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660" w:type="dxa"/>
            <w:vAlign w:val="bottom"/>
            <w:gridSpan w:val="11"/>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Chief Executive Officer of Registrant pursuant to 18 U.S.C. Section 1350, as adopted pursuant to Section</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w:anchor="page68">
              <w:r>
                <w:rPr>
                  <w:rFonts w:ascii="Arial" w:cs="Arial" w:eastAsia="Arial" w:hAnsi="Arial"/>
                  <w:sz w:val="16"/>
                  <w:szCs w:val="16"/>
                  <w:color w:val="0000FF"/>
                </w:rPr>
                <w:t>906 of the Sarbanes-Oxley Act of 2002</w:t>
              </w:r>
            </w:hyperlink>
          </w:p>
        </w:tc>
        <w:tc>
          <w:tcPr>
            <w:tcW w:w="58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580" w:type="dxa"/>
            <w:vAlign w:val="bottom"/>
            <w:tcBorders>
              <w:bottom w:val="single" w:sz="8" w:color="0000FF"/>
            </w:tcBorders>
            <w:gridSpan w:val="9"/>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Certification of Chief Financial Officer of Registrant pursuant to 18 U.S.C. Section 1350, as adopted pursuant to Section</w:t>
              </w:r>
            </w:hyperlink>
          </w:p>
        </w:tc>
        <w:tc>
          <w:tcPr>
            <w:tcW w:w="80" w:type="dxa"/>
            <w:vAlign w:val="bottom"/>
            <w:gridSpan w:val="2"/>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w:anchor="page69">
              <w:r>
                <w:rPr>
                  <w:rFonts w:ascii="Arial" w:cs="Arial" w:eastAsia="Arial" w:hAnsi="Arial"/>
                  <w:sz w:val="16"/>
                  <w:szCs w:val="16"/>
                  <w:color w:val="0000FF"/>
                </w:rPr>
                <w:t>906 of the Sarbanes-Oxley Act of 2002</w:t>
              </w:r>
            </w:hyperlink>
          </w:p>
        </w:tc>
        <w:tc>
          <w:tcPr>
            <w:tcW w:w="5860" w:type="dxa"/>
            <w:vAlign w:val="bottom"/>
            <w:gridSpan w:val="8"/>
          </w:tcPr>
          <w:p>
            <w:pPr>
              <w:spacing w:after="0"/>
              <w:rPr>
                <w:sz w:val="14"/>
                <w:szCs w:val="14"/>
                <w:color w:val="auto"/>
              </w:rPr>
            </w:pPr>
          </w:p>
        </w:tc>
      </w:tr>
      <w:tr>
        <w:trPr>
          <w:trHeight w:val="576"/>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w:t>
            </w:r>
          </w:p>
        </w:tc>
      </w:tr>
      <w:tr>
        <w:trPr>
          <w:trHeight w:val="195"/>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gridSpan w:val="11"/>
          </w:tcPr>
          <w:p>
            <w:pPr>
              <w:spacing w:after="0"/>
              <w:rPr>
                <w:sz w:val="20"/>
                <w:szCs w:val="20"/>
                <w:color w:val="auto"/>
              </w:rPr>
            </w:pPr>
            <w:r>
              <w:rPr>
                <w:rFonts w:ascii="Arial" w:cs="Arial" w:eastAsia="Arial" w:hAnsi="Arial"/>
                <w:sz w:val="16"/>
                <w:szCs w:val="16"/>
                <w:color w:val="auto"/>
              </w:rPr>
              <w:t>are embedded within the Inline XBRL document.</w:t>
            </w: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6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0" w:lineRule="exact"/>
        <w:rPr>
          <w:sz w:val="20"/>
          <w:szCs w:val="20"/>
          <w:color w:val="auto"/>
        </w:rPr>
      </w:pPr>
    </w:p>
    <w:p>
      <w:pPr>
        <w:spacing w:after="0" w:line="210" w:lineRule="exact"/>
        <w:rPr>
          <w:sz w:val="20"/>
          <w:szCs w:val="20"/>
          <w:color w:val="auto"/>
        </w:rPr>
      </w:pPr>
    </w:p>
    <w:p>
      <w:pPr>
        <w:ind w:left="1385" w:hanging="1385"/>
        <w:spacing w:after="0"/>
        <w:tabs>
          <w:tab w:leader="none" w:pos="1385" w:val="left"/>
        </w:tabs>
        <w:numPr>
          <w:ilvl w:val="0"/>
          <w:numId w:val="28"/>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180" w:lineRule="exact"/>
        <w:rPr>
          <w:sz w:val="20"/>
          <w:szCs w:val="20"/>
          <w:color w:val="auto"/>
        </w:rPr>
      </w:pPr>
    </w:p>
    <w:p>
      <w:pPr>
        <w:ind w:left="1385" w:right="60" w:hanging="1385"/>
        <w:spacing w:after="0" w:line="225" w:lineRule="auto"/>
        <w:tabs>
          <w:tab w:leader="none" w:pos="1385" w:val="left"/>
        </w:tabs>
        <w:numPr>
          <w:ilvl w:val="0"/>
          <w:numId w:val="29"/>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71" w:lineRule="exact"/>
        <w:rPr>
          <w:sz w:val="20"/>
          <w:szCs w:val="20"/>
          <w:color w:val="auto"/>
        </w:rPr>
      </w:pPr>
    </w:p>
    <w:p>
      <w:pPr>
        <w:jc w:val="center"/>
        <w:ind w:right="-224"/>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5"/>
          </w:cols>
          <w:pgMar w:left="275" w:top="356" w:right="49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160" w:hanging="324"/>
        <w:spacing w:after="0" w:line="253"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0" w:hanging="324"/>
        <w:spacing w:after="0" w:line="253"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660" w:hanging="324"/>
        <w:spacing w:after="0" w:line="260"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100" w:hanging="324"/>
        <w:spacing w:after="0" w:line="253"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320" w:hanging="324"/>
        <w:spacing w:after="0" w:line="260"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260" w:hanging="324"/>
        <w:spacing w:after="0" w:line="260"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162"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46990</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1"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Elias J. Sabo</w:t>
      </w:r>
    </w:p>
    <w:p>
      <w:pPr>
        <w:spacing w:after="0" w:line="68" w:lineRule="exact"/>
        <w:rPr>
          <w:sz w:val="20"/>
          <w:szCs w:val="20"/>
          <w:color w:val="auto"/>
        </w:rPr>
      </w:pPr>
    </w:p>
    <w:p>
      <w:pPr>
        <w:ind w:left="7460"/>
        <w:spacing w:after="0"/>
        <w:rPr>
          <w:sz w:val="20"/>
          <w:szCs w:val="20"/>
          <w:color w:val="auto"/>
        </w:rPr>
      </w:pPr>
      <w:r>
        <w:rPr>
          <w:rFonts w:ascii="Arial" w:cs="Arial" w:eastAsia="Arial" w:hAnsi="Arial"/>
          <w:sz w:val="15"/>
          <w:szCs w:val="15"/>
          <w:i w:val="1"/>
          <w:iCs w:val="1"/>
          <w:color w:val="auto"/>
        </w:rPr>
        <w:t>Chief Executive Officer of</w:t>
      </w:r>
    </w:p>
    <w:p>
      <w:pPr>
        <w:ind w:left="7460"/>
        <w:spacing w:after="0" w:line="233" w:lineRule="auto"/>
        <w:rPr>
          <w:sz w:val="20"/>
          <w:szCs w:val="20"/>
          <w:color w:val="auto"/>
        </w:rPr>
      </w:pPr>
      <w:r>
        <w:rPr>
          <w:rFonts w:ascii="Arial" w:cs="Arial" w:eastAsia="Arial" w:hAnsi="Arial"/>
          <w:sz w:val="15"/>
          <w:szCs w:val="15"/>
          <w:i w:val="1"/>
          <w:iCs w:val="1"/>
          <w:color w:val="auto"/>
        </w:rPr>
        <w:t>Compass Group Diversified Holdings LLC</w:t>
      </w:r>
    </w:p>
    <w:p>
      <w:pPr>
        <w:ind w:left="746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20"/>
          </w:cols>
          <w:pgMar w:left="240" w:top="573"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240" w:hanging="328"/>
        <w:spacing w:after="0" w:line="26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7"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660" w:right="40" w:hanging="328"/>
        <w:spacing w:after="0" w:line="24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23" w:lineRule="exact"/>
        <w:rPr>
          <w:rFonts w:ascii="Arial" w:cs="Arial" w:eastAsia="Arial" w:hAnsi="Arial"/>
          <w:sz w:val="17"/>
          <w:szCs w:val="17"/>
          <w:color w:val="auto"/>
        </w:rPr>
      </w:pPr>
    </w:p>
    <w:p>
      <w:pPr>
        <w:ind w:left="1300" w:right="120" w:hanging="320"/>
        <w:spacing w:after="0" w:line="254"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1300" w:right="220" w:hanging="320"/>
        <w:spacing w:after="0" w:line="254"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7"/>
          <w:szCs w:val="17"/>
          <w:color w:val="auto"/>
        </w:rPr>
      </w:pPr>
    </w:p>
    <w:p>
      <w:pPr>
        <w:ind w:left="1300" w:right="160" w:hanging="320"/>
        <w:spacing w:after="0" w:line="254"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7"/>
          <w:szCs w:val="17"/>
          <w:color w:val="auto"/>
        </w:rPr>
      </w:pPr>
    </w:p>
    <w:p>
      <w:pPr>
        <w:jc w:val="both"/>
        <w:ind w:left="1300" w:right="40" w:hanging="320"/>
        <w:spacing w:after="0" w:line="254"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7"/>
          <w:szCs w:val="17"/>
          <w:color w:val="auto"/>
        </w:rPr>
      </w:pPr>
    </w:p>
    <w:p>
      <w:pPr>
        <w:ind w:left="660" w:right="80" w:hanging="328"/>
        <w:spacing w:after="0" w:line="26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300" w:right="320" w:hanging="320"/>
        <w:spacing w:after="0" w:line="260"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300" w:right="560" w:hanging="320"/>
        <w:spacing w:after="0" w:line="260"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July 31, 2019</w:t>
      </w:r>
    </w:p>
    <w:p>
      <w:pPr>
        <w:spacing w:after="0" w:line="16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Ryan J. Faulkingham</w:t>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Financial Officer of</w:t>
      </w:r>
    </w:p>
    <w:p>
      <w:pPr>
        <w:ind w:left="6660"/>
        <w:spacing w:after="0" w:line="232"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420"/>
          </w:cols>
          <w:pgMar w:left="240" w:top="573"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20" w:firstLine="432"/>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June 30, 2019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July 31, 2019</w:t>
      </w:r>
      <w:r>
        <w:rPr>
          <w:sz w:val="20"/>
          <w:szCs w:val="20"/>
          <w:color w:val="auto"/>
        </w:rPr>
        <w:tab/>
      </w: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Elias J. Sabo</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Executive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22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June 30, 2019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420"/>
          </w:cols>
          <w:pgMar w:left="240" w:top="573"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320" w:firstLine="432"/>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June 30, 2019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July 31, 2019</w:t>
      </w:r>
      <w:r>
        <w:rPr>
          <w:sz w:val="20"/>
          <w:szCs w:val="20"/>
          <w:color w:val="auto"/>
        </w:rPr>
        <w:tab/>
      </w: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Ryan J. Faulkingham</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Regular Trustee, Compass Diversified Holdings and</w:t>
      </w:r>
    </w:p>
    <w:p>
      <w:pPr>
        <w:ind w:left="7080"/>
        <w:spacing w:after="0" w:line="232" w:lineRule="auto"/>
        <w:rPr>
          <w:sz w:val="20"/>
          <w:szCs w:val="20"/>
          <w:color w:val="auto"/>
        </w:rPr>
      </w:pPr>
      <w:r>
        <w:rPr>
          <w:rFonts w:ascii="Arial" w:cs="Arial" w:eastAsia="Arial" w:hAnsi="Arial"/>
          <w:sz w:val="17"/>
          <w:szCs w:val="17"/>
          <w:color w:val="auto"/>
        </w:rPr>
        <w:t>Chief Financial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June 30, 2019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420"/>
      </w:cols>
      <w:pgMar w:left="240" w:top="5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7" Type="http://schemas.openxmlformats.org/officeDocument/2006/relationships/hyperlink" Target="http://www.sec.gov/Archives/edgar/data/1345122/000134512619000023/cleanearths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2019-12-28T09:33:10Z</dcterms:created>
  <dcterms:modified xsi:type="dcterms:W3CDTF">2019-12-28T09:33:10Z</dcterms:modified>
</cp:coreProperties>
</file>