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80645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89535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5"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55"/>
        </w:trPr>
        <w:tc>
          <w:tcPr>
            <w:tcW w:w="2380" w:type="dxa"/>
            <w:vAlign w:val="bottom"/>
          </w:tcPr>
          <w:p>
            <w:pPr>
              <w:jc w:val="center"/>
              <w:ind w:right="26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110"/>
        </w:trPr>
        <w:tc>
          <w:tcPr>
            <w:tcW w:w="238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r>
    </w:tbl>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9"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51"/>
        </w:trPr>
        <w:tc>
          <w:tcPr>
            <w:tcW w:w="286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6"/>
          <w:szCs w:val="16"/>
          <w:b w:val="1"/>
          <w:bCs w:val="1"/>
          <w:color w:val="auto"/>
        </w:rPr>
        <w:t>203</w:t>
      </w:r>
      <w:r>
        <w:rPr>
          <w:rFonts w:ascii="Times New Roman" w:cs="Times New Roman" w:eastAsia="Times New Roman" w:hAnsi="Times New Roman"/>
          <w:sz w:val="18"/>
          <w:szCs w:val="18"/>
          <w:color w:val="auto"/>
        </w:rPr>
        <w:t xml:space="preserve">) </w:t>
      </w:r>
      <w:r>
        <w:rPr>
          <w:rFonts w:ascii="Arial" w:cs="Arial" w:eastAsia="Arial" w:hAnsi="Arial"/>
          <w:sz w:val="16"/>
          <w:szCs w:val="16"/>
          <w:b w:val="1"/>
          <w:bCs w:val="1"/>
          <w:color w:val="auto"/>
        </w:rPr>
        <w:t>221-1703</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83820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70" w:type="dxa"/>
        <w:tblCellMar>
          <w:top w:w="0" w:type="dxa"/>
          <w:left w:w="0" w:type="dxa"/>
          <w:bottom w:w="0" w:type="dxa"/>
          <w:right w:w="0" w:type="dxa"/>
        </w:tblCellMar>
      </w:tblPr>
      <w:tr>
        <w:trPr>
          <w:trHeight w:val="166"/>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5720" w:type="dxa"/>
            <w:vAlign w:val="bottom"/>
            <w:tcBorders>
              <w:left w:val="single" w:sz="8" w:color="auto"/>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50"/>
        </w:trPr>
        <w:tc>
          <w:tcPr>
            <w:tcW w:w="5720" w:type="dxa"/>
            <w:vAlign w:val="bottom"/>
            <w:tcBorders>
              <w:left w:val="single" w:sz="8" w:color="auto"/>
            </w:tcBorders>
          </w:tcPr>
          <w:p>
            <w:pPr>
              <w:ind w:left="40"/>
              <w:spacing w:after="0" w:line="151"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09"/>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09"/>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09"/>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jc w:val="center"/>
        <w:ind w:left="360" w:right="12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jc w:val="center"/>
        <w:ind w:right="-39"/>
        <w:spacing w:after="0" w:line="196" w:lineRule="exact"/>
        <w:tabs>
          <w:tab w:leader="none" w:pos="120" w:val="left"/>
          <w:tab w:leader="none" w:pos="1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Wingdings" w:cs="Wingdings" w:eastAsia="Wingdings" w:hAnsi="Wingdings"/>
          <w:sz w:val="17"/>
          <w:szCs w:val="17"/>
          <w:b w:val="1"/>
          <w:bCs w:val="1"/>
          <w:color w:val="auto"/>
        </w:rPr>
        <w:t>x</w:t>
      </w:r>
    </w:p>
    <w:p>
      <w:pPr>
        <w:spacing w:after="0" w:line="124" w:lineRule="exact"/>
        <w:rPr>
          <w:sz w:val="24"/>
          <w:szCs w:val="24"/>
          <w:color w:val="auto"/>
        </w:rPr>
      </w:pPr>
    </w:p>
    <w:p>
      <w:pPr>
        <w:ind w:right="6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Wingdings" w:cs="Wingdings" w:eastAsia="Wingdings" w:hAnsi="Wingdings"/>
          <w:sz w:val="17"/>
          <w:szCs w:val="17"/>
          <w:b w:val="1"/>
          <w:bCs w:val="1"/>
          <w:color w:val="auto"/>
        </w:rPr>
        <w:t>x</w:t>
      </w:r>
    </w:p>
    <w:p>
      <w:pPr>
        <w:spacing w:after="0" w:line="72"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245" w:right="379" w:bottom="1440" w:gutter="0" w:footer="0" w:header="0"/>
        </w:sectPr>
      </w:pPr>
    </w:p>
    <w:p>
      <w:pPr>
        <w:spacing w:after="0" w:line="1" w:lineRule="exact"/>
        <w:rPr>
          <w:sz w:val="24"/>
          <w:szCs w:val="24"/>
          <w:color w:val="auto"/>
        </w:rPr>
      </w:pPr>
    </w:p>
    <w:p>
      <w:pPr>
        <w:ind w:left="1300"/>
        <w:spacing w:after="0" w:line="161" w:lineRule="exact"/>
        <w:tabs>
          <w:tab w:leader="none" w:pos="3780" w:val="left"/>
          <w:tab w:leader="none" w:pos="4280" w:val="left"/>
          <w:tab w:leader="none" w:pos="6760" w:val="left"/>
          <w:tab w:leader="none" w:pos="7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75" w:lineRule="exact"/>
        <w:rPr>
          <w:sz w:val="24"/>
          <w:szCs w:val="24"/>
          <w:color w:val="auto"/>
        </w:rPr>
      </w:pPr>
    </w:p>
    <w:p>
      <w:pPr>
        <w:ind w:left="1300"/>
        <w:spacing w:after="0" w:line="181" w:lineRule="exact"/>
        <w:tabs>
          <w:tab w:leader="none" w:pos="3780" w:val="left"/>
          <w:tab w:leader="none" w:pos="4280" w:val="left"/>
          <w:tab w:leader="none" w:pos="676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419" w:lineRule="exact"/>
        <w:rPr>
          <w:sz w:val="24"/>
          <w:szCs w:val="24"/>
          <w:color w:val="auto"/>
        </w:rPr>
      </w:pPr>
    </w:p>
    <w:p>
      <w:pPr>
        <w:sectPr>
          <w:pgSz w:w="11900" w:h="16838" w:orient="portrait"/>
          <w:cols w:equalWidth="0" w:num="2">
            <w:col w:w="8680" w:space="720"/>
            <w:col w:w="1800"/>
          </w:cols>
          <w:pgMar w:left="320" w:top="1245" w:right="379" w:bottom="1440" w:gutter="0" w:footer="0" w:header="0"/>
          <w:type w:val="continuous"/>
        </w:sectPr>
      </w:pPr>
    </w:p>
    <w:p>
      <w:pPr>
        <w:ind w:right="2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Wingdings" w:cs="Wingdings" w:eastAsia="Wingdings" w:hAnsi="Wingdings"/>
          <w:sz w:val="17"/>
          <w:szCs w:val="17"/>
          <w:b w:val="1"/>
          <w:bCs w:val="1"/>
          <w:color w:val="auto"/>
        </w:rPr>
        <w:t>x</w:t>
      </w:r>
    </w:p>
    <w:p>
      <w:pPr>
        <w:spacing w:after="0" w:line="137" w:lineRule="exact"/>
        <w:rPr>
          <w:sz w:val="24"/>
          <w:szCs w:val="24"/>
          <w:color w:val="auto"/>
        </w:rPr>
      </w:pPr>
    </w:p>
    <w:p>
      <w:pPr>
        <w:ind w:left="1860"/>
        <w:spacing w:after="0"/>
        <w:rPr>
          <w:sz w:val="20"/>
          <w:szCs w:val="20"/>
          <w:color w:val="auto"/>
        </w:rPr>
      </w:pPr>
      <w:r>
        <w:rPr>
          <w:rFonts w:ascii="Arial" w:cs="Arial" w:eastAsia="Arial" w:hAnsi="Arial"/>
          <w:sz w:val="15"/>
          <w:szCs w:val="15"/>
          <w:color w:val="auto"/>
        </w:rPr>
        <w:t>As of December 15, 2025, there were 75,235,966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132715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245"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0" w:type="dxa"/>
            <w:vAlign w:val="bottom"/>
            <w:gridSpan w:val="11"/>
          </w:tcPr>
          <w:p>
            <w:pPr>
              <w:jc w:val="center"/>
              <w:ind w:right="2460"/>
              <w:spacing w:after="0"/>
              <w:rPr>
                <w:sz w:val="20"/>
                <w:szCs w:val="20"/>
                <w:color w:val="auto"/>
              </w:rPr>
            </w:pPr>
            <w:r>
              <w:rPr>
                <w:rFonts w:ascii="Arial" w:cs="Arial" w:eastAsia="Arial" w:hAnsi="Arial"/>
                <w:sz w:val="22"/>
                <w:szCs w:val="22"/>
                <w:b w:val="1"/>
                <w:bCs w:val="1"/>
                <w:color w:val="auto"/>
                <w:w w:val="97"/>
              </w:rPr>
              <w:t>COMPASS DIVERSIFIED HOLDINGS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0" w:type="dxa"/>
            <w:vAlign w:val="bottom"/>
            <w:gridSpan w:val="11"/>
          </w:tcPr>
          <w:p>
            <w:pPr>
              <w:jc w:val="center"/>
              <w:ind w:right="2460"/>
              <w:spacing w:after="0"/>
              <w:rPr>
                <w:sz w:val="20"/>
                <w:szCs w:val="20"/>
                <w:color w:val="auto"/>
              </w:rPr>
            </w:pPr>
            <w:r>
              <w:rPr>
                <w:rFonts w:ascii="Arial" w:cs="Arial" w:eastAsia="Arial" w:hAnsi="Arial"/>
                <w:sz w:val="20"/>
                <w:szCs w:val="20"/>
                <w:b w:val="1"/>
                <w:bCs w:val="1"/>
                <w:color w:val="auto"/>
                <w:w w:val="98"/>
              </w:rPr>
              <w:t>QUARTERLY REPORT ON FORM 10-Q</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9"/>
              </w:rPr>
              <w:t>For the period ended March 31, 2025</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4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25"/>
        </w:trPr>
        <w:tc>
          <w:tcPr>
            <w:tcW w:w="10240" w:type="dxa"/>
            <w:vAlign w:val="bottom"/>
            <w:gridSpan w:val="18"/>
            <w:vMerge w:val="restart"/>
          </w:tcPr>
          <w:p>
            <w:pPr>
              <w:spacing w:after="0"/>
              <w:rPr>
                <w:sz w:val="20"/>
                <w:szCs w:val="20"/>
                <w:color w:val="auto"/>
              </w:rPr>
            </w:pPr>
            <w:r>
              <w:rPr>
                <w:rFonts w:ascii="Arial" w:cs="Arial" w:eastAsia="Arial" w:hAnsi="Arial"/>
                <w:sz w:val="17"/>
                <w:szCs w:val="17"/>
                <w:color w:val="0000FF"/>
              </w:rPr>
              <w:t>FORWARD-LOOKING STATEMENTS</w:t>
            </w: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Number</w:t>
            </w:r>
          </w:p>
        </w:tc>
        <w:tc>
          <w:tcPr>
            <w:tcW w:w="0" w:type="dxa"/>
            <w:vAlign w:val="bottom"/>
          </w:tcPr>
          <w:p>
            <w:pPr>
              <w:spacing w:after="0"/>
              <w:rPr>
                <w:sz w:val="1"/>
                <w:szCs w:val="1"/>
                <w:color w:val="auto"/>
              </w:rPr>
            </w:pPr>
          </w:p>
        </w:tc>
      </w:tr>
      <w:tr>
        <w:trPr>
          <w:trHeight w:val="175"/>
        </w:trPr>
        <w:tc>
          <w:tcPr>
            <w:tcW w:w="10240" w:type="dxa"/>
            <w:vAlign w:val="bottom"/>
            <w:gridSpan w:val="18"/>
            <w:vMerge w:val="continue"/>
          </w:tcPr>
          <w:p>
            <w:pPr>
              <w:spacing w:after="0"/>
              <w:rPr>
                <w:sz w:val="15"/>
                <w:szCs w:val="15"/>
                <w:color w:val="auto"/>
              </w:rPr>
            </w:pPr>
          </w:p>
        </w:tc>
        <w:tc>
          <w:tcPr>
            <w:tcW w:w="540" w:type="dxa"/>
            <w:vAlign w:val="bottom"/>
            <w:gridSpan w:val="2"/>
          </w:tcPr>
          <w:p>
            <w:pPr>
              <w:jc w:val="center"/>
              <w:ind w:left="355"/>
              <w:spacing w:after="0" w:line="142" w:lineRule="exact"/>
              <w:rPr>
                <w:sz w:val="20"/>
                <w:szCs w:val="20"/>
                <w:color w:val="auto"/>
              </w:rPr>
            </w:pPr>
            <w:r>
              <w:rPr>
                <w:rFonts w:ascii="Arial" w:cs="Arial" w:eastAsia="Arial" w:hAnsi="Arial"/>
                <w:sz w:val="16"/>
                <w:szCs w:val="16"/>
                <w:color w:val="0000FF"/>
              </w:rPr>
              <w:t>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880" w:type="dxa"/>
            <w:vAlign w:val="bottom"/>
            <w:tcBorders>
              <w:top w:val="single" w:sz="8" w:color="0000FF"/>
            </w:tcBorders>
            <w:gridSpan w:val="6"/>
          </w:tcPr>
          <w:p>
            <w:pPr>
              <w:spacing w:after="0"/>
              <w:rPr>
                <w:sz w:val="20"/>
                <w:szCs w:val="20"/>
                <w:color w:val="auto"/>
              </w:rPr>
            </w:pPr>
            <w:r>
              <w:rPr>
                <w:rFonts w:ascii="Arial" w:cs="Arial" w:eastAsia="Arial" w:hAnsi="Arial"/>
                <w:sz w:val="17"/>
                <w:szCs w:val="17"/>
                <w:b w:val="1"/>
                <w:bCs w:val="1"/>
                <w:color w:val="auto"/>
              </w:rPr>
              <w:t>PART I. FINANCIAL INFORMATION</w:t>
            </w:r>
          </w:p>
        </w:tc>
        <w:tc>
          <w:tcPr>
            <w:tcW w:w="736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80" w:type="dxa"/>
            <w:vAlign w:val="bottom"/>
            <w:gridSpan w:val="2"/>
          </w:tcPr>
          <w:p>
            <w:pPr>
              <w:spacing w:after="0" w:line="185" w:lineRule="exact"/>
              <w:rPr>
                <w:sz w:val="20"/>
                <w:szCs w:val="20"/>
                <w:color w:val="auto"/>
              </w:rPr>
            </w:pPr>
            <w:r>
              <w:rPr>
                <w:rFonts w:ascii="Arial" w:cs="Arial" w:eastAsia="Arial" w:hAnsi="Arial"/>
                <w:sz w:val="17"/>
                <w:szCs w:val="17"/>
                <w:color w:val="auto"/>
              </w:rPr>
              <w:t>ITEM 1.</w:t>
            </w:r>
          </w:p>
        </w:tc>
        <w:tc>
          <w:tcPr>
            <w:tcW w:w="8660" w:type="dxa"/>
            <w:vAlign w:val="bottom"/>
            <w:gridSpan w:val="16"/>
          </w:tcPr>
          <w:p>
            <w:pPr>
              <w:spacing w:after="0" w:line="185" w:lineRule="exact"/>
              <w:rPr>
                <w:sz w:val="20"/>
                <w:szCs w:val="20"/>
                <w:color w:val="auto"/>
              </w:rPr>
            </w:pPr>
            <w:r>
              <w:rPr>
                <w:rFonts w:ascii="Arial" w:cs="Arial" w:eastAsia="Arial" w:hAnsi="Arial"/>
                <w:sz w:val="17"/>
                <w:szCs w:val="17"/>
                <w:color w:val="0000FF"/>
              </w:rPr>
              <w:t>FINANCIAL STATEMENTS (UNAUDITED)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7"/>
                <w:szCs w:val="17"/>
                <w:color w:val="0000FF"/>
                <w:w w:val="99"/>
              </w:rPr>
              <w:t>CONDENSED CONSOLIDATED BALANCE SHEETS</w:t>
            </w:r>
          </w:p>
        </w:tc>
        <w:tc>
          <w:tcPr>
            <w:tcW w:w="4600" w:type="dxa"/>
            <w:vAlign w:val="bottom"/>
            <w:gridSpan w:val="8"/>
          </w:tcPr>
          <w:p>
            <w:pPr>
              <w:spacing w:after="0"/>
              <w:rPr>
                <w:sz w:val="18"/>
                <w:szCs w:val="18"/>
                <w:color w:val="auto"/>
              </w:rPr>
            </w:pPr>
          </w:p>
        </w:tc>
        <w:tc>
          <w:tcPr>
            <w:tcW w:w="540" w:type="dxa"/>
            <w:vAlign w:val="bottom"/>
            <w:gridSpan w:val="2"/>
          </w:tcPr>
          <w:p>
            <w:pPr>
              <w:jc w:val="center"/>
              <w:ind w:left="355"/>
              <w:spacing w:after="0"/>
              <w:rPr>
                <w:sz w:val="20"/>
                <w:szCs w:val="20"/>
                <w:color w:val="auto"/>
              </w:rPr>
            </w:pPr>
            <w:r>
              <w:rPr>
                <w:rFonts w:ascii="Arial" w:cs="Arial" w:eastAsia="Arial" w:hAnsi="Arial"/>
                <w:sz w:val="17"/>
                <w:szCs w:val="17"/>
                <w:color w:val="0000FF"/>
              </w:rPr>
              <w:t>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00" w:type="dxa"/>
            <w:vAlign w:val="bottom"/>
            <w:gridSpan w:val="9"/>
          </w:tcPr>
          <w:p>
            <w:pPr>
              <w:spacing w:after="0"/>
              <w:rPr>
                <w:sz w:val="20"/>
                <w:szCs w:val="20"/>
                <w:color w:val="auto"/>
              </w:rPr>
            </w:pPr>
            <w:r>
              <w:rPr>
                <w:rFonts w:ascii="Arial" w:cs="Arial" w:eastAsia="Arial" w:hAnsi="Arial"/>
                <w:sz w:val="17"/>
                <w:szCs w:val="17"/>
                <w:color w:val="0000FF"/>
                <w:w w:val="99"/>
              </w:rPr>
              <w:t>CONDENSED CONSOLIDATED STATEMENTS OF OPERATIONS</w:t>
            </w:r>
          </w:p>
        </w:tc>
        <w:tc>
          <w:tcPr>
            <w:tcW w:w="3560" w:type="dxa"/>
            <w:vAlign w:val="bottom"/>
            <w:gridSpan w:val="7"/>
          </w:tcPr>
          <w:p>
            <w:pPr>
              <w:spacing w:after="0"/>
              <w:rPr>
                <w:sz w:val="18"/>
                <w:szCs w:val="18"/>
                <w:color w:val="auto"/>
              </w:rPr>
            </w:pPr>
          </w:p>
        </w:tc>
        <w:tc>
          <w:tcPr>
            <w:tcW w:w="540" w:type="dxa"/>
            <w:vAlign w:val="bottom"/>
            <w:gridSpan w:val="2"/>
          </w:tcPr>
          <w:p>
            <w:pPr>
              <w:jc w:val="center"/>
              <w:ind w:left="355"/>
              <w:spacing w:after="0"/>
              <w:rPr>
                <w:sz w:val="20"/>
                <w:szCs w:val="20"/>
                <w:color w:val="auto"/>
              </w:rPr>
            </w:pPr>
            <w:r>
              <w:rPr>
                <w:rFonts w:ascii="Arial" w:cs="Arial" w:eastAsia="Arial" w:hAnsi="Arial"/>
                <w:sz w:val="17"/>
                <w:szCs w:val="17"/>
                <w:color w:val="0000FF"/>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gridSpan w:val="14"/>
          </w:tcPr>
          <w:p>
            <w:pPr>
              <w:spacing w:after="0"/>
              <w:rPr>
                <w:sz w:val="20"/>
                <w:szCs w:val="20"/>
                <w:color w:val="auto"/>
              </w:rPr>
            </w:pPr>
            <w:r>
              <w:rPr>
                <w:rFonts w:ascii="Arial" w:cs="Arial" w:eastAsia="Arial" w:hAnsi="Arial"/>
                <w:sz w:val="17"/>
                <w:szCs w:val="17"/>
                <w:color w:val="0000FF"/>
                <w:w w:val="99"/>
              </w:rPr>
              <w:t>CONDENSED CONSOLIDATED STATEMENTS OF COMPREHENSIVE INCOME (LOSS)</w:t>
            </w:r>
          </w:p>
        </w:tc>
        <w:tc>
          <w:tcPr>
            <w:tcW w:w="1820" w:type="dxa"/>
            <w:vAlign w:val="bottom"/>
            <w:gridSpan w:val="2"/>
          </w:tcPr>
          <w:p>
            <w:pPr>
              <w:spacing w:after="0"/>
              <w:rPr>
                <w:sz w:val="18"/>
                <w:szCs w:val="18"/>
                <w:color w:val="auto"/>
              </w:rPr>
            </w:pPr>
          </w:p>
        </w:tc>
        <w:tc>
          <w:tcPr>
            <w:tcW w:w="540" w:type="dxa"/>
            <w:vAlign w:val="bottom"/>
            <w:gridSpan w:val="2"/>
          </w:tcPr>
          <w:p>
            <w:pPr>
              <w:jc w:val="center"/>
              <w:ind w:left="355"/>
              <w:spacing w:after="0"/>
              <w:rPr>
                <w:sz w:val="20"/>
                <w:szCs w:val="20"/>
                <w:color w:val="auto"/>
              </w:rPr>
            </w:pPr>
            <w:r>
              <w:rPr>
                <w:rFonts w:ascii="Arial" w:cs="Arial" w:eastAsia="Arial" w:hAnsi="Arial"/>
                <w:sz w:val="17"/>
                <w:szCs w:val="17"/>
                <w:color w:val="0000FF"/>
              </w:rPr>
              <w:t>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20" w:type="dxa"/>
            <w:vAlign w:val="bottom"/>
            <w:gridSpan w:val="13"/>
          </w:tcPr>
          <w:p>
            <w:pPr>
              <w:spacing w:after="0"/>
              <w:rPr>
                <w:sz w:val="20"/>
                <w:szCs w:val="20"/>
                <w:color w:val="auto"/>
              </w:rPr>
            </w:pPr>
            <w:r>
              <w:rPr>
                <w:rFonts w:ascii="Arial" w:cs="Arial" w:eastAsia="Arial" w:hAnsi="Arial"/>
                <w:sz w:val="17"/>
                <w:szCs w:val="17"/>
                <w:color w:val="0000FF"/>
                <w:w w:val="99"/>
              </w:rPr>
              <w:t>CONDENSED CONSOLIDATED STATEMENTS OF STOCKHOLDERS' EQUITY</w:t>
            </w:r>
          </w:p>
        </w:tc>
        <w:tc>
          <w:tcPr>
            <w:tcW w:w="72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20" w:type="dxa"/>
            <w:vAlign w:val="bottom"/>
            <w:gridSpan w:val="10"/>
          </w:tcPr>
          <w:p>
            <w:pPr>
              <w:spacing w:after="0"/>
              <w:rPr>
                <w:sz w:val="20"/>
                <w:szCs w:val="20"/>
                <w:color w:val="auto"/>
              </w:rPr>
            </w:pPr>
            <w:r>
              <w:rPr>
                <w:rFonts w:ascii="Arial" w:cs="Arial" w:eastAsia="Arial" w:hAnsi="Arial"/>
                <w:sz w:val="17"/>
                <w:szCs w:val="17"/>
                <w:color w:val="0000FF"/>
                <w:w w:val="99"/>
              </w:rPr>
              <w:t>CONDENSED CONSOLIDATED STATEMENTS OF CASH FLOWS</w:t>
            </w:r>
          </w:p>
        </w:tc>
        <w:tc>
          <w:tcPr>
            <w:tcW w:w="1000" w:type="dxa"/>
            <w:vAlign w:val="bottom"/>
            <w:gridSpan w:val="3"/>
          </w:tcPr>
          <w:p>
            <w:pPr>
              <w:spacing w:after="0"/>
              <w:rPr>
                <w:sz w:val="18"/>
                <w:szCs w:val="18"/>
                <w:color w:val="auto"/>
              </w:rPr>
            </w:pPr>
          </w:p>
        </w:tc>
        <w:tc>
          <w:tcPr>
            <w:tcW w:w="2540" w:type="dxa"/>
            <w:vAlign w:val="bottom"/>
            <w:gridSpan w:val="3"/>
          </w:tcPr>
          <w:p>
            <w:pPr>
              <w:spacing w:after="0"/>
              <w:rPr>
                <w:sz w:val="18"/>
                <w:szCs w:val="18"/>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MANAGEMENT'S DISCUSSION AND ANALYSIS OF FINANCIAL CONDITION AND RESULTS OF</w:t>
            </w:r>
          </w:p>
        </w:tc>
        <w:tc>
          <w:tcPr>
            <w:tcW w:w="1140" w:type="dxa"/>
            <w:vAlign w:val="bottom"/>
          </w:tcPr>
          <w:p>
            <w:pPr>
              <w:spacing w:after="0"/>
              <w:rPr>
                <w:sz w:val="24"/>
                <w:szCs w:val="24"/>
                <w:color w:val="auto"/>
              </w:rPr>
            </w:pPr>
          </w:p>
        </w:tc>
        <w:tc>
          <w:tcPr>
            <w:tcW w:w="540" w:type="dxa"/>
            <w:vAlign w:val="bottom"/>
            <w:gridSpan w:val="2"/>
            <w:vMerge w:val="restart"/>
          </w:tcPr>
          <w:p>
            <w:pPr>
              <w:jc w:val="center"/>
              <w:ind w:left="275"/>
              <w:spacing w:after="0"/>
              <w:rPr>
                <w:sz w:val="20"/>
                <w:szCs w:val="20"/>
                <w:color w:val="auto"/>
              </w:rPr>
            </w:pPr>
            <w:r>
              <w:rPr>
                <w:rFonts w:ascii="Arial" w:cs="Arial" w:eastAsia="Arial" w:hAnsi="Arial"/>
                <w:sz w:val="17"/>
                <w:szCs w:val="17"/>
                <w:color w:val="0000FF"/>
                <w:w w:val="94"/>
              </w:rPr>
              <w:t>54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gridSpan w:val="2"/>
            <w:vMerge w:val="restart"/>
          </w:tcPr>
          <w:p>
            <w:pPr>
              <w:spacing w:after="0" w:line="155" w:lineRule="exact"/>
              <w:rPr>
                <w:sz w:val="20"/>
                <w:szCs w:val="20"/>
                <w:color w:val="auto"/>
              </w:rPr>
            </w:pPr>
            <w:r>
              <w:rPr>
                <w:rFonts w:ascii="Arial" w:cs="Arial" w:eastAsia="Arial" w:hAnsi="Arial"/>
                <w:sz w:val="17"/>
                <w:szCs w:val="17"/>
                <w:color w:val="0000FF"/>
                <w:w w:val="98"/>
              </w:rPr>
              <w:t>OPERATIONS</w:t>
            </w:r>
          </w:p>
        </w:tc>
        <w:tc>
          <w:tcPr>
            <w:tcW w:w="7540" w:type="dxa"/>
            <w:vAlign w:val="bottom"/>
            <w:gridSpan w:val="14"/>
            <w:vMerge w:val="restart"/>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Borders>
              <w:bottom w:val="single" w:sz="8" w:color="0000FF"/>
            </w:tcBorders>
            <w:gridSpan w:val="2"/>
            <w:vMerge w:val="continue"/>
          </w:tcPr>
          <w:p>
            <w:pPr>
              <w:spacing w:after="0"/>
              <w:rPr>
                <w:sz w:val="6"/>
                <w:szCs w:val="6"/>
                <w:color w:val="auto"/>
              </w:rPr>
            </w:pPr>
          </w:p>
        </w:tc>
        <w:tc>
          <w:tcPr>
            <w:tcW w:w="7540" w:type="dxa"/>
            <w:vAlign w:val="bottom"/>
            <w:gridSpan w:val="14"/>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gridSpan w:val="12"/>
          </w:tcPr>
          <w:p>
            <w:pPr>
              <w:spacing w:after="0"/>
              <w:rPr>
                <w:sz w:val="20"/>
                <w:szCs w:val="20"/>
                <w:color w:val="auto"/>
              </w:rPr>
            </w:pPr>
            <w:r>
              <w:rPr>
                <w:rFonts w:ascii="Arial" w:cs="Arial" w:eastAsia="Arial" w:hAnsi="Arial"/>
                <w:sz w:val="17"/>
                <w:szCs w:val="17"/>
                <w:color w:val="0000FF"/>
                <w:w w:val="99"/>
              </w:rPr>
              <w:t>QUANTITATIVE AND QUALITATIVE DISCLOSURES ABOUT MARKET RISK</w:t>
            </w:r>
          </w:p>
        </w:tc>
        <w:tc>
          <w:tcPr>
            <w:tcW w:w="2780" w:type="dxa"/>
            <w:vAlign w:val="bottom"/>
            <w:gridSpan w:val="4"/>
          </w:tcPr>
          <w:p>
            <w:pPr>
              <w:spacing w:after="0"/>
              <w:rPr>
                <w:sz w:val="17"/>
                <w:szCs w:val="17"/>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gridSpan w:val="6"/>
          </w:tcPr>
          <w:p>
            <w:pPr>
              <w:spacing w:after="0"/>
              <w:rPr>
                <w:sz w:val="20"/>
                <w:szCs w:val="20"/>
                <w:color w:val="auto"/>
              </w:rPr>
            </w:pPr>
            <w:r>
              <w:rPr>
                <w:rFonts w:ascii="Arial" w:cs="Arial" w:eastAsia="Arial" w:hAnsi="Arial"/>
                <w:sz w:val="17"/>
                <w:szCs w:val="17"/>
                <w:color w:val="0000FF"/>
              </w:rPr>
              <w:t>CONTROLS AND PROCEDURES</w:t>
            </w:r>
          </w:p>
        </w:tc>
        <w:tc>
          <w:tcPr>
            <w:tcW w:w="3260" w:type="dxa"/>
            <w:vAlign w:val="bottom"/>
            <w:gridSpan w:val="6"/>
          </w:tcPr>
          <w:p>
            <w:pPr>
              <w:spacing w:after="0"/>
              <w:rPr>
                <w:sz w:val="22"/>
                <w:szCs w:val="22"/>
                <w:color w:val="auto"/>
              </w:rPr>
            </w:pPr>
          </w:p>
        </w:tc>
        <w:tc>
          <w:tcPr>
            <w:tcW w:w="2780" w:type="dxa"/>
            <w:vAlign w:val="bottom"/>
            <w:gridSpan w:val="4"/>
          </w:tcPr>
          <w:p>
            <w:pPr>
              <w:spacing w:after="0"/>
              <w:rPr>
                <w:sz w:val="22"/>
                <w:szCs w:val="22"/>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24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660" w:type="dxa"/>
            <w:vAlign w:val="bottom"/>
            <w:gridSpan w:val="16"/>
          </w:tcPr>
          <w:p>
            <w:pPr>
              <w:spacing w:after="0"/>
              <w:rPr>
                <w:sz w:val="20"/>
                <w:szCs w:val="20"/>
                <w:color w:val="auto"/>
              </w:rPr>
            </w:pPr>
            <w:r>
              <w:rPr>
                <w:rFonts w:ascii="Arial" w:cs="Arial" w:eastAsia="Arial" w:hAnsi="Arial"/>
                <w:sz w:val="17"/>
                <w:szCs w:val="17"/>
                <w:color w:val="0000FF"/>
              </w:rPr>
              <w:t>LEGAL PROCEEDINGS</w:t>
            </w: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gridSpan w:val="3"/>
          </w:tcPr>
          <w:p>
            <w:pPr>
              <w:spacing w:after="0"/>
              <w:rPr>
                <w:sz w:val="20"/>
                <w:szCs w:val="20"/>
                <w:color w:val="auto"/>
              </w:rPr>
            </w:pPr>
            <w:r>
              <w:rPr>
                <w:rFonts w:ascii="Arial" w:cs="Arial" w:eastAsia="Arial" w:hAnsi="Arial"/>
                <w:sz w:val="17"/>
                <w:szCs w:val="17"/>
                <w:color w:val="0000FF"/>
                <w:w w:val="98"/>
              </w:rPr>
              <w:t>RISK FACTORS</w:t>
            </w:r>
          </w:p>
        </w:tc>
        <w:tc>
          <w:tcPr>
            <w:tcW w:w="600" w:type="dxa"/>
            <w:vAlign w:val="bottom"/>
            <w:gridSpan w:val="2"/>
          </w:tcPr>
          <w:p>
            <w:pPr>
              <w:spacing w:after="0"/>
              <w:rPr>
                <w:sz w:val="22"/>
                <w:szCs w:val="22"/>
                <w:color w:val="auto"/>
              </w:rPr>
            </w:pPr>
          </w:p>
        </w:tc>
        <w:tc>
          <w:tcPr>
            <w:tcW w:w="6800" w:type="dxa"/>
            <w:vAlign w:val="bottom"/>
            <w:gridSpan w:val="11"/>
          </w:tcPr>
          <w:p>
            <w:pPr>
              <w:spacing w:after="0"/>
              <w:rPr>
                <w:sz w:val="22"/>
                <w:szCs w:val="22"/>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0" w:type="dxa"/>
            <w:vAlign w:val="bottom"/>
            <w:gridSpan w:val="13"/>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7400" w:type="dxa"/>
            <w:vAlign w:val="bottom"/>
            <w:gridSpan w:val="13"/>
          </w:tcPr>
          <w:p>
            <w:pPr>
              <w:spacing w:after="0"/>
              <w:rPr>
                <w:sz w:val="22"/>
                <w:szCs w:val="22"/>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83</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8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gridSpan w:val="2"/>
          </w:tcPr>
          <w:p>
            <w:pPr>
              <w:jc w:val="center"/>
              <w:ind w:left="275"/>
              <w:spacing w:after="0"/>
              <w:rPr>
                <w:sz w:val="20"/>
                <w:szCs w:val="20"/>
                <w:color w:val="auto"/>
              </w:rPr>
            </w:pPr>
            <w:r>
              <w:rPr>
                <w:rFonts w:ascii="Arial" w:cs="Arial" w:eastAsia="Arial" w:hAnsi="Arial"/>
                <w:sz w:val="17"/>
                <w:szCs w:val="17"/>
                <w:color w:val="0000FF"/>
                <w:w w:val="94"/>
              </w:rPr>
              <w:t>86</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TO READER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refers to Compass Group Diversified Holdings LLC;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Compass Diversified Holdings and Compass Group Diversified Holdings LLC, collectively;</w:t>
      </w:r>
    </w:p>
    <w:p>
      <w:pPr>
        <w:spacing w:after="0" w:line="76"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refers to Compass Group Management LLC (“CGM”);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refers to the Third Amended and Restated Trust Agreement of the Trust dated as of August 3, 2021, as further amended;</w:t>
      </w:r>
    </w:p>
    <w:p>
      <w:pPr>
        <w:spacing w:after="0" w:line="4"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spacing w:after="0" w:line="35"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Revolving Credit Facility" refers to the $600 million in revolving loans, swing line loans and letters of credit provided by the 2022 Credit Facility that matures in 2027;</w:t>
      </w:r>
    </w:p>
    <w:p>
      <w:pPr>
        <w:spacing w:after="0" w:line="44" w:lineRule="exact"/>
        <w:rPr>
          <w:rFonts w:ascii="Arial" w:cs="Arial" w:eastAsia="Arial" w:hAnsi="Arial"/>
          <w:sz w:val="18"/>
          <w:szCs w:val="18"/>
          <w:color w:val="auto"/>
        </w:rPr>
      </w:pPr>
    </w:p>
    <w:p>
      <w:pPr>
        <w:ind w:left="660" w:right="80" w:hanging="328"/>
        <w:spacing w:after="0" w:line="24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"2022 Term Loan" refers to the $400 million term loan provided by the 2022 Credit Facility, plus the additional $200 million term loan provided pursuant to a First Incremental Facility Amendment dated as of January 9, 2025 (“First Amendment”), plus up to $100 million delay draw term loan that could be drawn and provided pursuant to the First Amendment</w:t>
      </w:r>
      <w:r>
        <w:rPr>
          <w:rFonts w:ascii="Arial" w:cs="Arial" w:eastAsia="Arial" w:hAnsi="Arial"/>
          <w:sz w:val="21"/>
          <w:szCs w:val="21"/>
          <w:color w:val="auto"/>
        </w:rPr>
        <w:t>;</w:t>
      </w:r>
    </w:p>
    <w:p>
      <w:pPr>
        <w:spacing w:after="0" w:line="41" w:lineRule="exact"/>
        <w:rPr>
          <w:rFonts w:ascii="Arial" w:cs="Arial" w:eastAsia="Arial" w:hAnsi="Arial"/>
          <w:sz w:val="22"/>
          <w:szCs w:val="22"/>
          <w:color w:val="auto"/>
        </w:rPr>
      </w:pPr>
    </w:p>
    <w:p>
      <w:pPr>
        <w:ind w:left="660" w:right="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refers to the Sixth Amended and Restated Operating Agreement of the Company dated as of August 3, 2021, as further amended;</w:t>
      </w:r>
    </w:p>
    <w:p>
      <w:pPr>
        <w:spacing w:after="0" w:line="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“Management Services Agreement” or “MSA” refer to the Management Services Agreement with CGM effective May 16, 2006, as amended; and</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 net income, Adjusted EBITDA, and Adjusted Earnings and ability to make quarterly distributions, (ii) our plans, strategies and objectives for future operations, including our business outlook and planned capital expenditures and (iii) our plans to regain covenant compliance under our 2022 credit facility.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Amendment No. 1 to the Annual Report on Form 10-K/A for the year ended December 31, 2024 filed with the United States Securities and Exchange Commission (“SEC”) on December 8, 2025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21" w:lineRule="exact"/>
        <w:rPr>
          <w:sz w:val="20"/>
          <w:szCs w:val="20"/>
          <w:color w:val="auto"/>
        </w:rPr>
      </w:pPr>
    </w:p>
    <w:p>
      <w:pPr>
        <w:jc w:val="both"/>
        <w:ind w:left="50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spacing w:after="0" w:line="18" w:lineRule="exact"/>
        <w:rPr>
          <w:rFonts w:ascii="Arial" w:cs="Arial" w:eastAsia="Arial" w:hAnsi="Arial"/>
          <w:sz w:val="18"/>
          <w:szCs w:val="18"/>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likelihood that the control deficiencies identified or that may be identified in the future will result in additional material weaknesses in our internal control over financial reporting;</w:t>
      </w:r>
    </w:p>
    <w:p>
      <w:pPr>
        <w:spacing w:after="0" w:line="4" w:lineRule="exact"/>
        <w:rPr>
          <w:rFonts w:ascii="Times New Roman" w:cs="Times New Roman" w:eastAsia="Times New Roman" w:hAnsi="Times New Roman"/>
          <w:sz w:val="22"/>
          <w:szCs w:val="22"/>
          <w:color w:val="auto"/>
        </w:rPr>
      </w:pPr>
    </w:p>
    <w:p>
      <w:pPr>
        <w:ind w:left="500" w:right="360" w:hanging="330"/>
        <w:spacing w:after="0" w:line="263"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lenders’ ability to accelerate our outstanding indebtedness and the uncertainty of our ability to secure amendments, waivers, or forbearance, which could jeopardize our ability to continue as a going concern;</w:t>
      </w:r>
    </w:p>
    <w:p>
      <w:pPr>
        <w:spacing w:after="0" w:line="1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intercompany loan to Lugano (as defined herein) may be subject to loss;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and our Manager’s ability to retain or replace qualified employees of our subsidiaries and Manager;</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difficulties and delays in identifying, integrating, and managing acquisitions or an inability to fully realize cost savings and other benefits related thereto;</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finance future acquisitions on acceptable terms;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Board’s ability to cause, in its sole discretion, the Trust to be converted into a corporation;</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Board’s ability to reduce or eliminate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receipts from our subsidiaries to make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Board’s ability to change the terms of the Company’s shares in its sole discretion;</w:t>
      </w:r>
    </w:p>
    <w:p>
      <w:pPr>
        <w:spacing w:after="0" w:line="18"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provisions in our governing documents and the governing documents of the Trust which may limit a third party’s ability to acquire control of the Company and Trust;</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to arise between the Company and the boards of directors of its respective businesses;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service our debt obligations;</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indebtedness may limit our ability to obtain financing in the future, increase the cost of future borrowings, limit our ability to use operating cash, and increase our vulnerability to adverse economic conditions;</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interest rate fluctuations;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in acquisition opportunities;</w:t>
      </w:r>
    </w:p>
    <w:p>
      <w:pPr>
        <w:spacing w:after="0" w:line="18"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we may be deemed to be an investment company under the Investment Company Act of 1940, as amended, if we cease to control and operate our businesses in the future;</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dependence of some of our businesses on a limited number of customers for a significant percentage of revenue;</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lack of long-term customer contracts;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changes to tariffs and import/export regulations;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the Trust’s tax reclassification;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future changes to tax laws and the potential for the Trust to be taxed at rates higher than expected or for the Trust to fail to realize the anticipated benefits of its tax election;</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discretionary and non-cumulative nature of distributions on Series A Preferred Shares;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subordination of our Series A, Series B, and Series C Preferred Shares to our existing and future indebtedness;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members of management to allocate their time to the operations of other businesses;</w:t>
      </w:r>
    </w:p>
    <w:p>
      <w:pPr>
        <w:spacing w:after="0" w:line="31"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our Manager, its affiliates, and members of the Company’s management team to engage in activities that compete with us or our businesses;</w:t>
      </w:r>
    </w:p>
    <w:p>
      <w:pPr>
        <w:spacing w:after="0" w:line="45"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wide latitude that the Manager possesses in determining whether an acquisition or disposition opportunity does or does not meet the Company’s criteria;</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in removing our Manager for poor performance;</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ability of our Manager to resign on 180 days’ notice and the possibility that we may be unable to find a suitable replacement in a timely fashion;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requirement to pay our Manager the base management fee regardless of our performance;</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the management fee that will be paid over time;</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profit allocation that will be paid over time;</w:t>
      </w:r>
    </w:p>
    <w:p>
      <w:pPr>
        <w:spacing w:after="0" w:line="44"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payment of the management fee, fees under offsetting management services agreements, and profit allocation may significantly reduce the amount of earnings and cash available for shareholder distributions;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Manager’s influence and ability to increase its fees;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management fees or profit allocation may induce our Manager to make suboptimal operations decisions;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obligation to pay management fees and profit allocation may cause the Company to liquidate assets or incur debt;</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potential material environmental liabilities arising from a subsidiary’s operations and the prior operations of predecessor companies;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products liability and products safety claims against some of our businesses;</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cybersecurity-related risks, including system failures, data breaches, and the unauthorized access to and use of our and our customers’ confidential information;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goodwill impairment;</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disruptions to our business, operations, and supply chains, including as a result of natural disasters, inclement weather, accidents, transportation delays, and other events;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fluctuations in the cost and availability, and the possibility of shortages, of raw materials, components, or whole goods;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protect and enforce our intellectual property rights;</w:t>
      </w:r>
    </w:p>
    <w:p>
      <w:pPr>
        <w:spacing w:after="0" w:line="31"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legal and regulatory environment in which we and our subsidiaries operate, particularly with respect to environmental regulations, products safety regulations, and products liability;</w:t>
      </w:r>
    </w:p>
    <w:p>
      <w:pPr>
        <w:spacing w:after="0" w:line="31"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inherent in operating a global business, including political and economic volatility, differing or conflicting cross-jurisdictional requirements, and import/export restrictions; and</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importance of maintaining the value and reputation of our branded consumer businesses.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 description of the risks that could cause our actual results to differ appears under the sections entitled “Risk Factors” and “Management’s Discussion and Analysis of Financial Condition and Results of Operations” in both this Form 10-Q and our 2024 Form 10-K/A.</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reported, we were unable to timely file our Quarterly Report on Form 10-Q for the three months ended March 31, 2025 as a result of an investigation commenced in April 2025 by the Audit Committee of the Company’s Board of Directors (the “Audit Committee”) into the financial, accounting, and inventory practices of our Lugano Holding Inc. ("Lugano") subsidiary (the investigation, the “Lugano Investigation”), as described in the Explanatory Note in Amendment No. 1 to our Annual Report on Form 10-K/A for the fiscal year ended December 31, 2024 filed with the SEC on December 8, 2025 (the “2024 Form 10-K/A”). The Company delayed the filing of this Quarterly Report on Form 10-Q for the quarter ended March 31, 2025 (this “Form 10-Q”) until the completion of the Lugano Investigation and the restatement of the Company’s prior financial information as set forth in the 2024 Form 10-K/A.</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refer to the 2024 Form 10-K/A and subsequent filings with the SEC for more information concerning the Lugano Investigation and its findings (see the “Explanatory Note” in the 2024 Form 10-K/A), certain events subsequent to the period ended March 31, 2025 relating to or resulting from the Lugano Investigation, our restatement of financial information as of December 31, 2024, 2023 and 2022 and for the fiscal years ended December 31, 2024, 2023, and 2022 as well as the interim periods in the fiscal years ended December 31, 2024, 2023, and 2022 (see Notes C and S to the consolidated financial statements of the Company included in Part II, Item 8. of the 2024 Form 10-K/A), and remediation actions taken and contemplated following the Lugano Investigation (see Part II, Item 9A of the 2024 Form 10-K/A).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80" w:type="dxa"/>
            <w:vAlign w:val="bottom"/>
          </w:tcPr>
          <w:p>
            <w:pPr>
              <w:jc w:val="center"/>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jc w:val="center"/>
              <w:ind w:right="168"/>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196,422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207,172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598,847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571,248</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126,692</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964,771</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245,612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244,746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895,916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960,760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983,396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208,593</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3,366,948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326,322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318,476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related parties (refer to Note O)</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portion, long-term debt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1,860,064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1,774,290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Subsidiary financing arrangements (refer to Note H)</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49,617</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2,537,384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2,433,423</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101,521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108,091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(refer to Note H)</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225,334</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2,853,303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2,766,848</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(refer to Note N)</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preferred shares, 50,000 authorized; 20,069 shares issued and outstanding at March 31, 2025 and 17,497</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shares issued and outstanding at December 31, 2024</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A preferred shares, no par value; 4,673 shares issued and outstanding at March 31, 2025 and 4,551 shares</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109,159</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at December 31, 2024</w:t>
            </w: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Arial" w:cs="Arial" w:eastAsia="Arial" w:hAnsi="Arial"/>
                <w:sz w:val="14"/>
                <w:szCs w:val="14"/>
                <w:color w:val="auto"/>
              </w:rPr>
              <w:t>Series B preferred shares, no par value; 7,494 shares issued and outstanding at March 31, 2025 and and 6,192</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177,112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147,906</w:t>
            </w:r>
          </w:p>
        </w:tc>
        <w:tc>
          <w:tcPr>
            <w:tcW w:w="0" w:type="dxa"/>
            <w:vAlign w:val="bottom"/>
          </w:tcPr>
          <w:p>
            <w:pPr>
              <w:spacing w:after="0"/>
              <w:rPr>
                <w:sz w:val="1"/>
                <w:szCs w:val="1"/>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4"/>
                <w:szCs w:val="14"/>
                <w:color w:val="auto"/>
              </w:rPr>
              <w:t>shares issued and outstanding at December 31, 2024</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C preferred shares, no par value; 7,902 shares issued and outstanding at March 31, 2025 and 6,754 shares</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187,950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161,767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at December 31, 2024</w:t>
            </w: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common shares, no par value, 500,000 authorized; 76,135 shares issued and 75,236 shares outstanding at</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1,288,975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1,289,010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March 31, 2025 and 76,135 issued and 75,236 outstanding at December 31, 2024</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at cost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(1,062,211)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0" w:type="dxa"/>
            <w:vAlign w:val="bottom"/>
          </w:tcPr>
          <w:p>
            <w:pPr>
              <w:spacing w:after="0"/>
              <w:rPr>
                <w:sz w:val="1"/>
                <w:szCs w:val="1"/>
                <w:color w:val="auto"/>
              </w:rPr>
            </w:pPr>
          </w:p>
        </w:tc>
      </w:tr>
      <w:tr>
        <w:trPr>
          <w:trHeight w:val="192"/>
        </w:trPr>
        <w:tc>
          <w:tcPr>
            <w:tcW w:w="7720" w:type="dxa"/>
            <w:vAlign w:val="bottom"/>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680,736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678,620</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(167,091)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513,645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3,366,948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1" w:lineRule="exact"/>
        <w:rPr>
          <w:sz w:val="20"/>
          <w:szCs w:val="20"/>
          <w:color w:val="auto"/>
        </w:rPr>
      </w:pPr>
    </w:p>
    <w:p>
      <w:pPr>
        <w:ind w:left="812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206"/>
        </w:trPr>
        <w:tc>
          <w:tcPr>
            <w:tcW w:w="7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200"/>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Pr>
          <w:p>
            <w:pPr>
              <w:spacing w:after="0"/>
              <w:rPr>
                <w:sz w:val="17"/>
                <w:szCs w:val="17"/>
                <w:color w:val="auto"/>
              </w:rPr>
            </w:pPr>
          </w:p>
        </w:tc>
        <w:tc>
          <w:tcPr>
            <w:tcW w:w="1060" w:type="dxa"/>
            <w:vAlign w:val="bottom"/>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64"/>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7"/>
        </w:trPr>
        <w:tc>
          <w:tcPr>
            <w:tcW w:w="7480" w:type="dxa"/>
            <w:vAlign w:val="bottom"/>
            <w:vMerge w:val="restart"/>
          </w:tcPr>
          <w:p>
            <w:pPr>
              <w:ind w:left="20"/>
              <w:spacing w:after="0"/>
              <w:rPr>
                <w:sz w:val="20"/>
                <w:szCs w:val="20"/>
                <w:color w:val="auto"/>
              </w:rPr>
            </w:pPr>
            <w:r>
              <w:rPr>
                <w:rFonts w:ascii="Arial" w:cs="Arial" w:eastAsia="Arial" w:hAnsi="Arial"/>
                <w:sz w:val="15"/>
                <w:szCs w:val="15"/>
                <w:color w:val="auto"/>
              </w:rPr>
              <w:t>Net revenues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453,775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410,826</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257,743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235,874</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Gross profit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196,032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174,952</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150,377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137,724</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Management fees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17,942</w:t>
            </w: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Amortization expense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23,351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23,211</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Impairment expense</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3,441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(12,107)</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(35,851)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0" w:type="dxa"/>
            <w:vAlign w:val="bottom"/>
          </w:tcPr>
          <w:p>
            <w:pPr>
              <w:spacing w:after="0"/>
              <w:rPr>
                <w:sz w:val="1"/>
                <w:szCs w:val="1"/>
                <w:color w:val="auto"/>
              </w:rPr>
            </w:pPr>
          </w:p>
        </w:tc>
      </w:tr>
      <w:tr>
        <w:trPr>
          <w:trHeight w:val="201"/>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income (expense),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(47,442)</w:t>
            </w: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from continuing operations before income taxes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(85,821)</w:t>
            </w:r>
          </w:p>
        </w:tc>
        <w:tc>
          <w:tcPr>
            <w:tcW w:w="0" w:type="dxa"/>
            <w:vAlign w:val="bottom"/>
          </w:tcPr>
          <w:p>
            <w:pPr>
              <w:spacing w:after="0"/>
              <w:rPr>
                <w:sz w:val="1"/>
                <w:szCs w:val="1"/>
                <w:color w:val="auto"/>
              </w:rPr>
            </w:pPr>
          </w:p>
        </w:tc>
      </w:tr>
      <w:tr>
        <w:trPr>
          <w:trHeight w:val="201"/>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3,110</w:t>
            </w: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from continuing operations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(88,931)</w:t>
            </w: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Income from discontinued operations, net of income taxes</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 net of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Net loss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(49,710)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(85,269)</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Net loss from continuing operations attributable to noncontrolling interest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(28,756)</w:t>
            </w: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Less: Net loss from discontinued operations attributable to noncontrolling interest</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22"/>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loss attributable to Holdings</w:t>
            </w: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(56,177)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tcPr>
          <w:p>
            <w:pPr>
              <w:ind w:left="340"/>
              <w:spacing w:after="0"/>
              <w:rPr>
                <w:sz w:val="20"/>
                <w:szCs w:val="20"/>
                <w:color w:val="auto"/>
              </w:rPr>
            </w:pPr>
            <w:r>
              <w:rPr>
                <w:rFonts w:ascii="Arial" w:cs="Arial" w:eastAsia="Arial" w:hAnsi="Arial"/>
                <w:sz w:val="15"/>
                <w:szCs w:val="15"/>
                <w:color w:val="auto"/>
              </w:rPr>
              <w:t>Loss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(30,037)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(60,175)</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01"/>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Net loss attributable to Holdings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(29,993)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(56,177)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I)</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1"/>
        </w:trPr>
        <w:tc>
          <w:tcPr>
            <w:tcW w:w="748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22"/>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I)</w:t>
            </w: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75,274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111125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895" w:right="77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p>
      <w:pPr>
        <w:ind w:left="730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March 31,</w:t>
            </w:r>
          </w:p>
        </w:tc>
      </w:tr>
      <w:tr>
        <w:trPr>
          <w:trHeight w:val="190"/>
        </w:trPr>
        <w:tc>
          <w:tcPr>
            <w:tcW w:w="6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6"/>
                <w:szCs w:val="16"/>
                <w:color w:val="auto"/>
              </w:rPr>
            </w:pPr>
          </w:p>
        </w:tc>
        <w:tc>
          <w:tcPr>
            <w:tcW w:w="980" w:type="dxa"/>
            <w:vAlign w:val="bottom"/>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208"/>
        </w:trPr>
        <w:tc>
          <w:tcPr>
            <w:tcW w:w="6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(As restated)</w:t>
            </w:r>
          </w:p>
        </w:tc>
      </w:tr>
      <w:tr>
        <w:trPr>
          <w:trHeight w:val="196"/>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(85,269)</w:t>
            </w:r>
          </w:p>
        </w:tc>
      </w:tr>
      <w:tr>
        <w:trPr>
          <w:trHeight w:val="181"/>
        </w:trPr>
        <w:tc>
          <w:tcPr>
            <w:tcW w:w="670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67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w:t>
            </w:r>
          </w:p>
        </w:tc>
      </w:tr>
      <w:tr>
        <w:trPr>
          <w:trHeight w:val="201"/>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w:t>
            </w:r>
          </w:p>
        </w:tc>
      </w:tr>
      <w:tr>
        <w:trPr>
          <w:trHeight w:val="197"/>
        </w:trPr>
        <w:tc>
          <w:tcPr>
            <w:tcW w:w="67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(2,006)</w:t>
            </w:r>
          </w:p>
        </w:tc>
      </w:tr>
      <w:tr>
        <w:trPr>
          <w:trHeight w:val="195"/>
        </w:trPr>
        <w:tc>
          <w:tcPr>
            <w:tcW w:w="6700" w:type="dxa"/>
            <w:vAlign w:val="bottom"/>
          </w:tcPr>
          <w:p>
            <w:pPr>
              <w:ind w:left="20"/>
              <w:spacing w:after="0"/>
              <w:rPr>
                <w:sz w:val="20"/>
                <w:szCs w:val="20"/>
                <w:color w:val="auto"/>
              </w:rPr>
            </w:pPr>
            <w:r>
              <w:rPr>
                <w:rFonts w:ascii="Arial" w:cs="Arial" w:eastAsia="Arial" w:hAnsi="Arial"/>
                <w:sz w:val="15"/>
                <w:szCs w:val="15"/>
                <w:color w:val="auto"/>
              </w:rPr>
              <w:t>Total comprehensive loss, net of tax</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(48,460)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(87,275)</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loss attributable to noncontrolling interests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(29,092)</w:t>
            </w:r>
          </w:p>
        </w:tc>
      </w:tr>
      <w:tr>
        <w:trPr>
          <w:trHeight w:val="201"/>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loss attributable to noncontrolling 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22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loss attributable to Holdings, net of tax</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(58,153)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440"/>
          </w:cols>
          <w:pgMar w:left="1220" w:top="89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125730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220" w:top="895" w:right="1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1"/>
                <w:szCs w:val="11"/>
                <w:color w:val="auto"/>
              </w:rPr>
            </w:pPr>
          </w:p>
        </w:tc>
        <w:tc>
          <w:tcPr>
            <w:tcW w:w="2120" w:type="dxa"/>
            <w:vAlign w:val="bottom"/>
            <w:gridSpan w:val="6"/>
            <w:vMerge w:val="restart"/>
          </w:tcPr>
          <w:p>
            <w:pPr>
              <w:jc w:val="center"/>
              <w:ind w:right="29"/>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8"/>
              </w:rPr>
              <w:t>Trust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80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760" w:type="dxa"/>
            <w:vAlign w:val="bottom"/>
          </w:tcPr>
          <w:p>
            <w:pPr>
              <w:jc w:val="right"/>
              <w:ind w:right="23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9"/>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rPr>
              <w:t>Common</w:t>
            </w:r>
          </w:p>
        </w:tc>
        <w:tc>
          <w:tcPr>
            <w:tcW w:w="8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96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94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January 1, 2024,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96,417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$1,281,303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(646,225)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929,660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(89,991)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856,425</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(56,177)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(56,177)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(28,756)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(85,269)</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1,218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4,330</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Purchase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320" w:type="dxa"/>
            <w:vAlign w:val="bottom"/>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4"/>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THP</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41,674</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Allocation Interests</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(48,941)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(48,941)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(48,941)</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(refer to Note I)</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(18,818)</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 March</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31, 2024, as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96,600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96,593</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$ 111,552</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$1,282,521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(776,206)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799,718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(76,126)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740,271</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restated</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January 1, 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109,159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147,906</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$ 161,767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$1,289,010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678,620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(49,710)</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29,206</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58,137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58,137</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4,012</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March</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111,907</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177,112</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$ 187,950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$1,288,975</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(1,062,211)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(4,087)</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680,736</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(167,091)</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513,645</w:t>
            </w:r>
          </w:p>
        </w:tc>
        <w:tc>
          <w:tcPr>
            <w:tcW w:w="0" w:type="dxa"/>
            <w:vAlign w:val="bottom"/>
          </w:tcPr>
          <w:p>
            <w:pPr>
              <w:spacing w:after="0"/>
              <w:rPr>
                <w:sz w:val="1"/>
                <w:szCs w:val="1"/>
                <w:color w:val="auto"/>
              </w:rPr>
            </w:pPr>
          </w:p>
        </w:tc>
      </w:tr>
      <w:tr>
        <w:trPr>
          <w:trHeight w:val="158"/>
        </w:trPr>
        <w:tc>
          <w:tcPr>
            <w:tcW w:w="13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31, 2025</w:t>
            </w:r>
          </w:p>
        </w:tc>
        <w:tc>
          <w:tcPr>
            <w:tcW w:w="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160"/>
          </w:cols>
          <w:pgMar w:left="360" w:top="773" w:right="379" w:bottom="1440" w:gutter="0" w:footer="0" w:header="0"/>
        </w:sect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111125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773" w:right="379" w:bottom="1440" w:gutter="0" w:footer="0" w:header="0"/>
          <w:type w:val="continuous"/>
        </w:sectPr>
      </w:pPr>
    </w:p>
    <w:bookmarkStart w:id="10" w:name="page11"/>
    <w:bookmarkEnd w:id="10"/>
    <w:p>
      <w:pPr>
        <w:jc w:val="center"/>
        <w:ind w:right="19"/>
        <w:spacing w:after="0" w:line="399" w:lineRule="auto"/>
        <w:rPr>
          <w:sz w:val="20"/>
          <w:szCs w:val="20"/>
          <w:color w:val="auto"/>
        </w:rPr>
      </w:pPr>
      <w:r>
        <w:rPr>
          <w:rFonts w:ascii="Arial" w:cs="Arial" w:eastAsia="Arial" w:hAnsi="Arial"/>
          <w:sz w:val="16"/>
          <w:szCs w:val="16"/>
          <w:b w:val="1"/>
          <w:bCs w:val="1"/>
          <w:color w:val="auto"/>
        </w:rPr>
        <w:t>COMPASS DIVERSIFIED HOLDINGS CONDENSED CONSOLIDATED STATEMENTS OF CASH FLOWS (Unaudited)</w:t>
      </w:r>
    </w:p>
    <w:p>
      <w:pPr>
        <w:spacing w:after="0" w:line="200" w:lineRule="exact"/>
        <w:rPr>
          <w:sz w:val="20"/>
          <w:szCs w:val="20"/>
          <w:color w:val="auto"/>
        </w:rPr>
      </w:pPr>
    </w:p>
    <w:p>
      <w:pPr>
        <w:spacing w:after="0" w:line="222"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200"/>
        </w:trPr>
        <w:tc>
          <w:tcPr>
            <w:tcW w:w="6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(As Restated)</w:t>
            </w:r>
          </w:p>
        </w:tc>
      </w:tr>
      <w:tr>
        <w:trPr>
          <w:trHeight w:val="213"/>
        </w:trPr>
        <w:tc>
          <w:tcPr>
            <w:tcW w:w="608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(85,269)</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Income from discontinued operations</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317</w:t>
            </w:r>
          </w:p>
        </w:tc>
      </w:tr>
      <w:tr>
        <w:trPr>
          <w:trHeight w:val="270"/>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r>
      <w:tr>
        <w:trPr>
          <w:trHeight w:val="250"/>
        </w:trPr>
        <w:tc>
          <w:tcPr>
            <w:tcW w:w="6080" w:type="dxa"/>
            <w:vAlign w:val="bottom"/>
          </w:tcPr>
          <w:p>
            <w:pPr>
              <w:ind w:left="140"/>
              <w:spacing w:after="0"/>
              <w:rPr>
                <w:sz w:val="20"/>
                <w:szCs w:val="20"/>
                <w:color w:val="auto"/>
              </w:rPr>
            </w:pPr>
            <w:r>
              <w:rPr>
                <w:rFonts w:ascii="Arial" w:cs="Arial" w:eastAsia="Arial" w:hAnsi="Arial"/>
                <w:sz w:val="15"/>
                <w:szCs w:val="15"/>
                <w:color w:val="auto"/>
              </w:rPr>
              <w:t>Loss from continuing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(88,931)</w:t>
            </w: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Depreciation expense</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12,301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10,731</w:t>
            </w:r>
          </w:p>
        </w:tc>
      </w:tr>
      <w:tr>
        <w:trPr>
          <w:trHeight w:val="273"/>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expense - intangibles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23,211</w:t>
            </w: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Amortization expense - inventory step-up</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2,668</w:t>
            </w:r>
          </w:p>
        </w:tc>
      </w:tr>
      <w:tr>
        <w:trPr>
          <w:trHeight w:val="273"/>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1,005</w:t>
            </w: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Impairment expense</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8,182</w:t>
            </w:r>
          </w:p>
        </w:tc>
      </w:tr>
      <w:tr>
        <w:trPr>
          <w:trHeight w:val="273"/>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4,071</w:t>
            </w: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Provision for receivable and inventory reserves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(779)</w:t>
            </w:r>
          </w:p>
        </w:tc>
      </w:tr>
      <w:tr>
        <w:trPr>
          <w:trHeight w:val="273"/>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income taxes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(5,571)</w:t>
            </w: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476</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7,940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9,020</w:t>
            </w:r>
          </w:p>
        </w:tc>
      </w:tr>
      <w:tr>
        <w:trPr>
          <w:trHeight w:val="273"/>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6,093</w:t>
            </w:r>
          </w:p>
        </w:tc>
      </w:tr>
      <w:tr>
        <w:trPr>
          <w:trHeight w:val="267"/>
        </w:trPr>
        <w:tc>
          <w:tcPr>
            <w:tcW w:w="608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5,768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2,547</w:t>
            </w:r>
          </w:p>
        </w:tc>
      </w:tr>
      <w:tr>
        <w:trPr>
          <w:trHeight w:val="270"/>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w:t>
            </w:r>
          </w:p>
        </w:tc>
      </w:tr>
      <w:tr>
        <w:trPr>
          <w:trHeight w:val="250"/>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operating activities - continuing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(27,730)</w:t>
            </w:r>
          </w:p>
        </w:tc>
      </w:tr>
      <w:tr>
        <w:trPr>
          <w:trHeight w:val="270"/>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provided by operating activities - discontinued operations</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2,362</w:t>
            </w:r>
          </w:p>
        </w:tc>
      </w:tr>
      <w:tr>
        <w:trPr>
          <w:trHeight w:val="250"/>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operating activities</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(29,348)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(25,368)</w:t>
            </w:r>
          </w:p>
        </w:tc>
      </w:tr>
      <w:tr>
        <w:trPr>
          <w:trHeight w:val="234"/>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39"/>
        </w:trPr>
        <w:tc>
          <w:tcPr>
            <w:tcW w:w="60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9019"/>
          </w:cols>
          <w:pgMar w:left="1440" w:top="1070" w:right="1440" w:bottom="1440" w:gutter="0" w:footer="0" w:header="0"/>
        </w:sectPr>
      </w:pPr>
    </w:p>
    <w:p>
      <w:pPr>
        <w:ind w:left="140"/>
        <w:spacing w:after="0"/>
        <w:rPr>
          <w:sz w:val="20"/>
          <w:szCs w:val="20"/>
          <w:color w:val="auto"/>
        </w:rPr>
      </w:pPr>
      <w:r>
        <w:rPr>
          <w:rFonts w:ascii="Arial" w:cs="Arial" w:eastAsia="Arial" w:hAnsi="Arial"/>
          <w:sz w:val="15"/>
          <w:szCs w:val="15"/>
          <w:color w:val="auto"/>
        </w:rPr>
        <w:t>Acquisitions, net of cash acquired</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09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171450"/>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 of businesses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09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171450"/>
                    </a:xfrm>
                    <a:prstGeom prst="rect">
                      <a:avLst/>
                    </a:prstGeom>
                    <a:noFill/>
                  </pic:spPr>
                </pic:pic>
              </a:graphicData>
            </a:graphic>
          </wp:anchor>
        </w:drawing>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09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171450"/>
                    </a:xfrm>
                    <a:prstGeom prst="rect">
                      <a:avLst/>
                    </a:prstGeom>
                    <a:noFill/>
                  </pic:spPr>
                </pic:pic>
              </a:graphicData>
            </a:graphic>
          </wp:anchor>
        </w:drawing>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 - discontinued operations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Cash used in investing activities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00" w:type="dxa"/>
            <w:vAlign w:val="bottom"/>
          </w:tcPr>
          <w:p>
            <w:pPr>
              <w:jc w:val="right"/>
              <w:ind w:right="384"/>
              <w:spacing w:after="0"/>
              <w:rPr>
                <w:sz w:val="20"/>
                <w:szCs w:val="20"/>
                <w:color w:val="auto"/>
              </w:rPr>
            </w:pPr>
            <w:r>
              <w:rPr>
                <w:rFonts w:ascii="Arial" w:cs="Arial" w:eastAsia="Arial" w:hAnsi="Arial"/>
                <w:sz w:val="15"/>
                <w:szCs w:val="15"/>
                <w:color w:val="auto"/>
              </w:rPr>
              <w:t>495</w:t>
            </w:r>
          </w:p>
        </w:tc>
        <w:tc>
          <w:tcPr>
            <w:tcW w:w="1100" w:type="dxa"/>
            <w:vAlign w:val="bottom"/>
          </w:tcPr>
          <w:p>
            <w:pPr>
              <w:jc w:val="right"/>
              <w:spacing w:after="0"/>
              <w:rPr>
                <w:sz w:val="20"/>
                <w:szCs w:val="20"/>
                <w:color w:val="auto"/>
              </w:rPr>
            </w:pPr>
            <w:r>
              <w:rPr>
                <w:rFonts w:ascii="Arial" w:cs="Arial" w:eastAsia="Arial" w:hAnsi="Arial"/>
                <w:sz w:val="15"/>
                <w:szCs w:val="15"/>
                <w:color w:val="auto"/>
              </w:rPr>
              <w:t>(379,524)</w:t>
            </w:r>
          </w:p>
        </w:tc>
      </w:tr>
      <w:tr>
        <w:trPr>
          <w:trHeight w:val="270"/>
        </w:trPr>
        <w:tc>
          <w:tcPr>
            <w:tcW w:w="1000" w:type="dxa"/>
            <w:vAlign w:val="bottom"/>
          </w:tcPr>
          <w:p>
            <w:pPr>
              <w:jc w:val="right"/>
              <w:ind w:right="344"/>
              <w:spacing w:after="0"/>
              <w:rPr>
                <w:sz w:val="20"/>
                <w:szCs w:val="20"/>
                <w:color w:val="auto"/>
              </w:rPr>
            </w:pPr>
            <w:r>
              <w:rPr>
                <w:rFonts w:ascii="Arial" w:cs="Arial" w:eastAsia="Arial" w:hAnsi="Arial"/>
                <w:sz w:val="15"/>
                <w:szCs w:val="15"/>
                <w:color w:val="auto"/>
              </w:rPr>
              <w:t>(13,100)</w:t>
            </w:r>
          </w:p>
        </w:tc>
        <w:tc>
          <w:tcPr>
            <w:tcW w:w="1100" w:type="dxa"/>
            <w:vAlign w:val="bottom"/>
          </w:tcPr>
          <w:p>
            <w:pPr>
              <w:jc w:val="right"/>
              <w:spacing w:after="0"/>
              <w:rPr>
                <w:sz w:val="20"/>
                <w:szCs w:val="20"/>
                <w:color w:val="auto"/>
              </w:rPr>
            </w:pPr>
            <w:r>
              <w:rPr>
                <w:rFonts w:ascii="Arial" w:cs="Arial" w:eastAsia="Arial" w:hAnsi="Arial"/>
                <w:sz w:val="15"/>
                <w:szCs w:val="15"/>
                <w:color w:val="auto"/>
              </w:rPr>
              <w:t>(7,725)</w:t>
            </w:r>
          </w:p>
        </w:tc>
      </w:tr>
      <w:tr>
        <w:trPr>
          <w:trHeight w:val="270"/>
        </w:trPr>
        <w:tc>
          <w:tcPr>
            <w:tcW w:w="1000" w:type="dxa"/>
            <w:vAlign w:val="bottom"/>
          </w:tcPr>
          <w:p>
            <w:pPr>
              <w:jc w:val="right"/>
              <w:ind w:right="384"/>
              <w:spacing w:after="0"/>
              <w:rPr>
                <w:sz w:val="20"/>
                <w:szCs w:val="20"/>
                <w:color w:val="auto"/>
              </w:rPr>
            </w:pPr>
            <w:r>
              <w:rPr>
                <w:rFonts w:ascii="Arial" w:cs="Arial" w:eastAsia="Arial" w:hAnsi="Arial"/>
                <w:sz w:val="15"/>
                <w:szCs w:val="15"/>
                <w:color w:val="auto"/>
              </w:rPr>
              <w:t>44</w:t>
            </w:r>
          </w:p>
        </w:tc>
        <w:tc>
          <w:tcPr>
            <w:tcW w:w="1100" w:type="dxa"/>
            <w:vAlign w:val="bottom"/>
          </w:tcPr>
          <w:p>
            <w:pPr>
              <w:jc w:val="right"/>
              <w:spacing w:after="0"/>
              <w:rPr>
                <w:sz w:val="20"/>
                <w:szCs w:val="20"/>
                <w:color w:val="auto"/>
              </w:rPr>
            </w:pPr>
            <w:r>
              <w:rPr>
                <w:rFonts w:ascii="Arial" w:cs="Arial" w:eastAsia="Arial" w:hAnsi="Arial"/>
                <w:sz w:val="15"/>
                <w:szCs w:val="15"/>
                <w:color w:val="auto"/>
              </w:rPr>
              <w:t>3,345</w:t>
            </w:r>
          </w:p>
        </w:tc>
      </w:tr>
    </w:tbl>
    <w:p>
      <w:pPr>
        <w:spacing w:after="0" w:line="70" w:lineRule="exact"/>
        <w:rPr>
          <w:sz w:val="20"/>
          <w:szCs w:val="20"/>
          <w:color w:val="auto"/>
        </w:rPr>
      </w:pPr>
    </w:p>
    <w:p>
      <w:pPr>
        <w:ind w:left="1680" w:hanging="1463"/>
        <w:spacing w:after="0"/>
        <w:tabs>
          <w:tab w:leader="none" w:pos="1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1,505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21590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8"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(12,922)</w:t>
      </w:r>
      <w:r>
        <w:rPr>
          <w:sz w:val="20"/>
          <w:szCs w:val="20"/>
          <w:color w:val="auto"/>
        </w:rPr>
        <w:tab/>
      </w:r>
      <w:r>
        <w:rPr>
          <w:rFonts w:ascii="Arial" w:cs="Arial" w:eastAsia="Arial" w:hAnsi="Arial"/>
          <w:sz w:val="15"/>
          <w:szCs w:val="15"/>
          <w:color w:val="auto"/>
        </w:rPr>
        <w:t>(382,399)</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—(79)</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(12,922)(382,478)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21590</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-149225</wp:posOffset>
            </wp:positionV>
            <wp:extent cx="1851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2159"/>
          </w:cols>
          <w:pgMar w:left="1440" w:top="1070"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116840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type w:val="continuous"/>
        </w:sectPr>
      </w:pPr>
    </w:p>
    <w:bookmarkStart w:id="11" w:name="page12"/>
    <w:bookmarkEnd w:id="11"/>
    <w:p>
      <w:pPr>
        <w:jc w:val="center"/>
        <w:ind w:right="-1100"/>
        <w:spacing w:after="0"/>
        <w:rPr>
          <w:sz w:val="20"/>
          <w:szCs w:val="20"/>
          <w:color w:val="auto"/>
        </w:rPr>
      </w:pPr>
      <w:r>
        <w:rPr>
          <w:rFonts w:ascii="Arial" w:cs="Arial" w:eastAsia="Arial" w:hAnsi="Arial"/>
          <w:sz w:val="16"/>
          <w:szCs w:val="16"/>
          <w:b w:val="1"/>
          <w:bCs w:val="1"/>
          <w:color w:val="auto"/>
        </w:rPr>
        <w:t>COMPASS DIVERSIFIED HOLDINGS</w:t>
      </w:r>
    </w:p>
    <w:p>
      <w:pPr>
        <w:spacing w:after="0" w:line="7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(Unaudited)</w:t>
      </w:r>
    </w:p>
    <w:p>
      <w:pPr>
        <w:spacing w:after="0" w:line="337" w:lineRule="exact"/>
        <w:rPr>
          <w:sz w:val="20"/>
          <w:szCs w:val="20"/>
          <w:color w:val="auto"/>
        </w:rPr>
      </w:pPr>
    </w:p>
    <w:p>
      <w:pPr>
        <w:ind w:left="754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201"/>
        </w:trPr>
        <w:tc>
          <w:tcPr>
            <w:tcW w:w="6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(As Restated)</w:t>
            </w:r>
          </w:p>
        </w:tc>
      </w:tr>
      <w:tr>
        <w:trPr>
          <w:trHeight w:val="23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Proceeds and expenses from issuance of Trust common shares,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1,218</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and expenses from issuance of Trust preferred shares, net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827</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Borrowings - revolving credit facility</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50,000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100,000</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Repayments - revolving credit facility</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(54,000)</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Borrowings - term loan</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200,000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Principal payments - term loan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Subsidiary financing arrangements - borrowings</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24,007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4"/>
                <w:szCs w:val="14"/>
                <w:color w:val="auto"/>
              </w:rPr>
              <w:t>40,519</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Subsidiary financing arrangements - repayments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(28,352)</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 common shares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(18,809)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(18,818)</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preferred shares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(6,045)</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(48,941)</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 - acquisitions</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41,674</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noncontrolling interest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(2,510)</w:t>
            </w:r>
          </w:p>
        </w:tc>
      </w:tr>
      <w:tr>
        <w:trPr>
          <w:trHeight w:val="267"/>
        </w:trPr>
        <w:tc>
          <w:tcPr>
            <w:tcW w:w="6080" w:type="dxa"/>
            <w:vAlign w:val="bottom"/>
          </w:tcPr>
          <w:p>
            <w:pPr>
              <w:ind w:left="140"/>
              <w:spacing w:after="0"/>
              <w:rPr>
                <w:sz w:val="20"/>
                <w:szCs w:val="20"/>
                <w:color w:val="auto"/>
              </w:rPr>
            </w:pPr>
            <w:r>
              <w:rPr>
                <w:rFonts w:ascii="Arial" w:cs="Arial" w:eastAsia="Arial" w:hAnsi="Arial"/>
                <w:sz w:val="15"/>
                <w:szCs w:val="15"/>
                <w:color w:val="auto"/>
              </w:rPr>
              <w:t>Debt issuance costs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0"/>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50"/>
        </w:trPr>
        <w:tc>
          <w:tcPr>
            <w:tcW w:w="60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128,240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23,072</w:t>
            </w:r>
          </w:p>
        </w:tc>
      </w:tr>
      <w:tr>
        <w:trPr>
          <w:trHeight w:val="25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impact on cash</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w:t>
            </w:r>
          </w:p>
        </w:tc>
      </w:tr>
      <w:tr>
        <w:trPr>
          <w:trHeight w:val="267"/>
        </w:trPr>
        <w:tc>
          <w:tcPr>
            <w:tcW w:w="6080" w:type="dxa"/>
            <w:vAlign w:val="bottom"/>
          </w:tcPr>
          <w:p>
            <w:pPr>
              <w:ind w:left="680"/>
              <w:spacing w:after="0"/>
              <w:rPr>
                <w:sz w:val="20"/>
                <w:szCs w:val="20"/>
                <w:color w:val="auto"/>
              </w:rPr>
            </w:pPr>
            <w:r>
              <w:rPr>
                <w:rFonts w:ascii="Arial" w:cs="Arial" w:eastAsia="Arial" w:hAnsi="Arial"/>
                <w:sz w:val="15"/>
                <w:szCs w:val="15"/>
                <w:color w:val="auto"/>
              </w:rPr>
              <w:t>Net (decrease) increase in cash and cash equivalents</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86,576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(385,763)</w:t>
            </w:r>
          </w:p>
        </w:tc>
      </w:tr>
      <w:tr>
        <w:trPr>
          <w:trHeight w:val="273"/>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23"/>
                <w:szCs w:val="23"/>
                <w:b w:val="1"/>
                <w:bCs w:val="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59,659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450,409</w:t>
            </w:r>
          </w:p>
        </w:tc>
      </w:tr>
      <w:tr>
        <w:trPr>
          <w:trHeight w:val="223"/>
        </w:trPr>
        <w:tc>
          <w:tcPr>
            <w:tcW w:w="6080" w:type="dxa"/>
            <w:vAlign w:val="bottom"/>
          </w:tcPr>
          <w:p>
            <w:pPr>
              <w:ind w:left="140"/>
              <w:spacing w:after="0" w:line="223" w:lineRule="exact"/>
              <w:rPr>
                <w:sz w:val="20"/>
                <w:szCs w:val="20"/>
                <w:color w:val="auto"/>
              </w:rPr>
            </w:pPr>
            <w:r>
              <w:rPr>
                <w:rFonts w:ascii="Arial" w:cs="Arial" w:eastAsia="Arial" w:hAnsi="Arial"/>
                <w:sz w:val="15"/>
                <w:szCs w:val="15"/>
                <w:color w:val="auto"/>
              </w:rPr>
              <w:t xml:space="preserve">Cash and cash equivalents — end of period </w:t>
            </w:r>
            <w:r>
              <w:rPr>
                <w:rFonts w:ascii="Arial" w:cs="Arial" w:eastAsia="Arial" w:hAnsi="Arial"/>
                <w:sz w:val="23"/>
                <w:szCs w:val="23"/>
                <w:b w:val="1"/>
                <w:bCs w:val="1"/>
                <w:color w:val="auto"/>
                <w:vertAlign w:val="superscript"/>
              </w:rPr>
              <w:t>(2)</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146,235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64,646</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0"/>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Supplemental Cash Flow Disclosure:</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 xml:space="preserve">Non-cash financing activities </w:t>
            </w:r>
            <w:r>
              <w:rPr>
                <w:rFonts w:ascii="Arial" w:cs="Arial" w:eastAsia="Arial" w:hAnsi="Arial"/>
                <w:sz w:val="19"/>
                <w:szCs w:val="19"/>
                <w:b w:val="1"/>
                <w:bCs w:val="1"/>
                <w:color w:val="auto"/>
                <w:vertAlign w:val="superscript"/>
              </w:rPr>
              <w:t>(3)</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(1)</w:t>
      </w:r>
      <w:r>
        <w:rPr>
          <w:rFonts w:ascii="Arial" w:cs="Arial" w:eastAsia="Arial" w:hAnsi="Arial"/>
          <w:sz w:val="16"/>
          <w:szCs w:val="16"/>
          <w:color w:val="auto"/>
        </w:rPr>
        <w:t xml:space="preserve"> Includes cash from discontinued operations of $3.8 million at January 1, 2024.</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(2)</w:t>
      </w:r>
      <w:r>
        <w:rPr>
          <w:rFonts w:ascii="Arial" w:cs="Arial" w:eastAsia="Arial" w:hAnsi="Arial"/>
          <w:sz w:val="16"/>
          <w:szCs w:val="16"/>
          <w:color w:val="auto"/>
        </w:rPr>
        <w:t xml:space="preserve"> Includes cash from discontinued operations of $5.1 million at March 31, 2024.</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(3)</w:t>
      </w:r>
      <w:r>
        <w:rPr>
          <w:rFonts w:ascii="Arial" w:cs="Arial" w:eastAsia="Arial" w:hAnsi="Arial"/>
          <w:sz w:val="16"/>
          <w:szCs w:val="16"/>
          <w:color w:val="auto"/>
        </w:rPr>
        <w:t xml:space="preserve"> Represents the non-cash settlement of Lugano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0139"/>
          </w:cols>
          <w:pgMar w:left="320" w:top="1070"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0" w:right="1440"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2025</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Company’s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LLC is a controlling owner of nine businesses, or operating segments, at March 31, 2025. The segments are as follows: 5.11 Acquisition Corp. ("5.11"), Boa Holdings Inc. ("BOA"), Lugano Holding, Inc. ("Lugano Diamonds" or "Lugano"), Relentless Topco, Inc. ("PrimaLoft"), THP Topco, Inc. ("The Honey Pot Co." or "THP"), CBCP Products, LLC ("Velocity Outdoor" or "Velocity"), AMTAC Holdings LLC ("Arnold"), FFI Compass, Inc. ("Altor Solutions" or "Altor"), and SternoCandleLamp Holdings, Inc. ("Sterno"). The segments are referred to interchangeably as “businesses”, “operating segments” or “subsidiaries” throughout the financial statements. Refer to </w:t>
      </w:r>
      <w:r>
        <w:rPr>
          <w:rFonts w:ascii="Arial" w:cs="Arial" w:eastAsia="Arial" w:hAnsi="Arial"/>
          <w:sz w:val="18"/>
          <w:szCs w:val="18"/>
          <w:u w:val="single" w:color="auto"/>
          <w:color w:val="0000FF"/>
        </w:rPr>
        <w:t>Note P - "Operating Segment Data"</w:t>
      </w:r>
      <w:r>
        <w:rPr>
          <w:rFonts w:ascii="Arial" w:cs="Arial" w:eastAsia="Arial" w:hAnsi="Arial"/>
          <w:sz w:val="18"/>
          <w:szCs w:val="18"/>
          <w:color w:val="auto"/>
        </w:rPr>
        <w:t xml:space="preserve"> for further discussion of the operating segments. Compass Group Management LLC, a Delaware limited liability Company ("CGM" or the "Manager"), manages the day-to-day operations of the LLC and oversees the management and operations of our businesses pursuant to a management services agreement (the "Management Services Agreement" or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financial statements for the three month periods ended March 31, 2025 and March 31, 2024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2024 Form 10-K/A.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filing this Form 10-Q, the Company is not in compliance with certain financial and other covenants under its 2022 Credit Facility. These instances of noncompliance include (i) breaches of financial covenants under the 2022 Credit Facility in historical periods (including December 31, 2024), resulting from required retesting of such covenants in connection with the restatement of our consolidated financial statements for the fiscal years as of and ended December 31, 2022, 2023, and 2024 and the interim periods therein, (ii) and prior defaults and events of default resulting from the circumstances related to Lugano.</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currently operating under a forbearance agreement with its lenders under the 2022 Credit Facility as described in “</w:t>
      </w:r>
      <w:r>
        <w:rPr>
          <w:rFonts w:ascii="Arial" w:cs="Arial" w:eastAsia="Arial" w:hAnsi="Arial"/>
          <w:sz w:val="18"/>
          <w:szCs w:val="18"/>
          <w:u w:val="single" w:color="auto"/>
          <w:color w:val="0000FF"/>
        </w:rPr>
        <w:t>Note Q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Subsequent Events</w:t>
      </w:r>
      <w:r>
        <w:rPr>
          <w:rFonts w:ascii="Arial" w:cs="Arial" w:eastAsia="Arial" w:hAnsi="Arial"/>
          <w:sz w:val="18"/>
          <w:szCs w:val="18"/>
          <w:color w:val="000000"/>
        </w:rPr>
        <w:t>”, while the Company negotiates an amendment to the 2022 Credit Facility to account for the deconsolidation of Lugano</w:t>
      </w:r>
      <w:r>
        <w:rPr>
          <w:rFonts w:ascii="Arial" w:cs="Arial" w:eastAsia="Arial" w:hAnsi="Arial"/>
          <w:sz w:val="18"/>
          <w:szCs w:val="18"/>
          <w:color w:val="0000FF"/>
        </w:rPr>
        <w:t xml:space="preserve"> </w:t>
      </w:r>
      <w:r>
        <w:rPr>
          <w:rFonts w:ascii="Arial" w:cs="Arial" w:eastAsia="Arial" w:hAnsi="Arial"/>
          <w:sz w:val="18"/>
          <w:szCs w:val="18"/>
          <w:color w:val="000000"/>
        </w:rPr>
        <w:t>from the Company’s financial statements and Lugano’s entry into Chapter 11 proceedings (also as discussed in more detail in “</w:t>
      </w:r>
      <w:r>
        <w:rPr>
          <w:rFonts w:ascii="Arial" w:cs="Arial" w:eastAsia="Arial" w:hAnsi="Arial"/>
          <w:sz w:val="18"/>
          <w:szCs w:val="18"/>
          <w:u w:val="single" w:color="auto"/>
          <w:color w:val="0000FF"/>
        </w:rPr>
        <w:t>Note Q –</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Subsequent Events</w:t>
      </w:r>
      <w:r>
        <w:rPr>
          <w:rFonts w:ascii="Arial" w:cs="Arial" w:eastAsia="Arial" w:hAnsi="Arial"/>
          <w:sz w:val="18"/>
          <w:szCs w:val="18"/>
          <w:color w:val="000000"/>
        </w:rPr>
        <w:t>”). The forbearance agreement is scheduled to expire on December 19, 2025. If an amendment to the 2022 Credit Facility</w:t>
      </w:r>
      <w:r>
        <w:rPr>
          <w:rFonts w:ascii="Arial" w:cs="Arial" w:eastAsia="Arial" w:hAnsi="Arial"/>
          <w:sz w:val="18"/>
          <w:szCs w:val="18"/>
          <w:color w:val="0000FF"/>
        </w:rPr>
        <w:t xml:space="preserve"> </w:t>
      </w:r>
      <w:r>
        <w:rPr>
          <w:rFonts w:ascii="Arial" w:cs="Arial" w:eastAsia="Arial" w:hAnsi="Arial"/>
          <w:sz w:val="18"/>
          <w:szCs w:val="18"/>
          <w:color w:val="000000"/>
        </w:rPr>
        <w:t>is not executed on or before December 19, 2025, then beginning December 20, 2025 the lenders under the 2022 Credit Facility may elect to exercise the remedies available to them, including but not limited to declaring borrowings due and payable, discontinuing further lending commitments, imposing cash-management controls, and instructing customers to remit payments directly to the administrative agent.</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our borrowings under the 2022 Credit Facility are accelerated and the acceleration is not rescinded, annulled, or otherwise cured within thirty (30) days after the notice of acceleration, the holders of the 5.250% Senior Notes due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jc w:val="both"/>
        <w:ind w:right="20"/>
        <w:spacing w:after="0" w:line="287" w:lineRule="auto"/>
        <w:rPr>
          <w:sz w:val="20"/>
          <w:szCs w:val="20"/>
          <w:color w:val="auto"/>
        </w:rPr>
      </w:pPr>
      <w:r>
        <w:rPr>
          <w:rFonts w:ascii="Arial" w:cs="Arial" w:eastAsia="Arial" w:hAnsi="Arial"/>
          <w:sz w:val="18"/>
          <w:szCs w:val="18"/>
          <w:color w:val="auto"/>
        </w:rPr>
        <w:t>2029 (the "2029 Notes" or "2029 Senior Notes") and 5.000% Senior Notes due 2032 (the “2032 Notes” or "2032 Senior Notes") would have the right to declare the notes due and payable as well.</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there can be no assurance that amendments to the Company’s debt instruments or any other relief will be obtained before an acceleration remedy would become available to the 2022 Credit Facility lenders or the holders of the 2029 Notes and 2032 Notes, management has concluded, applying the going-concern guidance under U.S. GAAP, that these conditions raise substantial doubt about the Company’s ability to continue as a going concern within one year after the date the consolidated financial statements included in this Form 10-Q are issued. Although the Company is actively negotiating an amendment to the 2022 Credit Facility that would include a waiver of ongoing noncompliance, that amendment has not been executed, is not fully within the Company’s control, and therefore cannot be considered a probable mitigating plan for purposes of alleviating substantial doubt.</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pursuing various operational and financial initiatives intended to strengthen liquidity and reduce leverage, including evaluating potential subsidiary divestitures, organic deleveraging actions, potential strategic transactions involving real estate, and actions to maximize recoveries in connection with Lugano’s Chapter 11 proceedings. If successfully executed, these plans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completed the sale of EBP Lifestyle Brands Holdings, Inc. (“Ergobaby”) during the fourth quarter of 2024. The results of operations of Ergobaby are reported as discontinued operations in the condensed consolidated statements of operations for the three months ended March 31, 2024. Refer to </w:t>
      </w:r>
      <w:r>
        <w:rPr>
          <w:rFonts w:ascii="Arial" w:cs="Arial" w:eastAsia="Arial" w:hAnsi="Arial"/>
          <w:sz w:val="18"/>
          <w:szCs w:val="18"/>
          <w:u w:val="single" w:color="auto"/>
          <w:color w:val="0000FF"/>
        </w:rPr>
        <w:t>Note C - "Dispositions"</w:t>
      </w:r>
      <w:r>
        <w:rPr>
          <w:rFonts w:ascii="Arial" w:cs="Arial" w:eastAsia="Arial" w:hAnsi="Arial"/>
          <w:sz w:val="18"/>
          <w:szCs w:val="18"/>
          <w:color w:val="auto"/>
        </w:rPr>
        <w:t xml:space="preserve"> for additional information. Unless otherwise indicated, the disclosures accompanying the condensed consolidated financial statements reflect the Company's continuing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Restatement of Previously Reported Interim Financial Statements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April 2025 the Audit Committee of Board of Directors (the “Audit Committee”) of the Company commenced an internal investigation into the financing, accounting, and inventory practices of Lugano Holding, Inc. (“Lugano”), a subsidiary and operating segment of the Company, based on concerns reported to Company management as to these practices. The findings of the investigation (the "Lugano Investigation") identified certain unrecorded financing arrangements and irregularities in sales, cost of sales, inventory, and accounts receivable recorded by Lugano. As a result of these findings, the Company restated its previously issued audited consolidated financial statements as of December 31, 2024, 2023 and 2022 and for the years ended December 31, 2024, 2023 and 2022 as well as the interim periods in the years ended December 31, 2024, 2023 and 2022 (collectively, the “Affected Periods”) for the correction of historical financial information related to Lugano. Management identified misstatements in each of the Affected Periods that the Company deemed to be material as a result of the Lugano Investigation.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Previously reported information as of March 31, 2024 and for the three months ended March 31, 2024 in this Form 10-Q have been updated to reflect the restatement.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three years, there has generally been less seasonality in our net sales on a consolidated basis in recent years than there was historically.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Financial Accounting Standards Board ("FASB") issued ASU No. 2023-07, Segment Reporting (Topic 280): Improvements to Reportable Segment Disclosures. This guidance will require, among other things, the following: (i) enhanced disclosures about significant segment expenses that are regularly provided to the chief operating decision maker ("CODM") and included in a segment's reported measure of profit or loss; (ii) disclosure of the amount and description of the composition of other segment items, as defined in ASU 2023-07, by reportable segment; and (iii) reporting the disclosures about each reportable segment's profit or loss and assets on an annual and interim basis. The guidance went into effect for fiscal years beginning after December 15, 2023, and interim periods within fiscal years beginning after December 15, 2024. The Company adopted the new standard as of the year ended December 31, 2024, and applied it retrospectively to all prior periods presented (refer to "</w:t>
      </w:r>
      <w:r>
        <w:rPr>
          <w:rFonts w:ascii="Arial" w:cs="Arial" w:eastAsia="Arial" w:hAnsi="Arial"/>
          <w:sz w:val="18"/>
          <w:szCs w:val="18"/>
          <w:u w:val="single" w:color="auto"/>
          <w:color w:val="0000FF"/>
        </w:rPr>
        <w:t>Note P - Operating Segment Data</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will be effective for annual periods beginning after December 15, 2024 and early adoption is permitted. The Company has determined that this ASU will result in additional disclosures in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Expense Disaggregation Disclosures (Subtopic 220-40). This guidance will require the disclosure of disaggregation of certain relevant expenses included in the consolidated statements of operations. The guidance will be effective for annual reporting periods beginning after December 15, 2026 and for interim reporting periods beginning December 15, 2027, with early adoption permitted. The Company is currently evaluating the impact this standard will have on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acquisitions of our businesses are accounted for under the acquisition method of accounting. For each platform acquisition, the Company typically structures the transaction so that a newly created holding company acquires 100% of the equity interests in the acquired business. The entirety of the purchase consideration is paid by the newly created holding company to the selling shareholders. The total purchase consideration is the amount paid to the selling shareholders and we will, from time to time, allow the selling shareholder to reinvest a portion of their proceeds alongside the Company at the same price per share, into the holding company that acquires the target business. Once the acquisition is complete, the selling shareholders no longer hold equity interests in the acquired company, but rather hold noncontrolling interests in the holding company that acquired the target business. Because the selling shareholders are investing in the transaction alongside the Company at the same price per share as the Company and are not retaining their existing equity in the acquired business, the Company includes the amount provided by noncontrolling shareholders in the total purchase consideration.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typically through our existing credit facility. The debt capital is in the form of “intercompany loans” made by the LLC to the newly created holding company and the acquired business and are due from the newly created holding company and the acquired business, and payable to the LLC by the newly created holding company and the acquired business. The selling shareholders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8"/>
          <w:szCs w:val="18"/>
          <w:color w:val="auto"/>
        </w:rPr>
        <w:t>the acquired businesses are not a party to the intercompany loan agreements nor do they have any obligation to repay the intercompany loans. These intercompany loans eliminate in consolidation and are not reflected on the Company's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 Co.</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2024 (the "Closing Date"), the LLC, through its newly formed acquisition subsidiaries, THP Topco, Inc., a Delaware corporation (“THP Topco”) and THP Intermediate, Inc., a Delaware corporation (“THP Buyer”), acquired The Honey Pot Company Holdings, LLC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with THP surviving such that the separate existence of THP Merger Sub ceased, with THP surviving the Merger as a wholly-owned, indirect subsidiary of the THP Topco. THP is the parent company of The Honey Pot Company (DE), LLC (“The Honey Pot Co.”).</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acquired THP for a total purchase price, including proceeds from noncontrolling shareholders, of approximately $380 million (the “THP Purchase Price”), before working capital and certain other adjustments, at the Closing Date. The Company funded the THP Purchase Price with cash on hand. Certain equity holders of THP invested in the transaction along with the Company, representing 15% of the initial equity interest in THP Topco. The Company directly owns approximately 85% of THP Topco, which in turn indirectly owns all of the issued and outstanding equity interests of THP and The Honey Pot Co. Concurrent with the Closing Date, the Company provided a credit facility to THP Buyer, THP and The Honey Pot Co., as borrowers (the “THP Credit Agreement”), pursuant to which a secured revolving loan commitment and secured term loans were made available to Buyer, THP and The Honey Pot Co. (collectively, the “Borrowers”). The initial amount outstanding under these facilities on the Closing Date was approximately $110 million.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is a feminine care brand that offers an extensive range of holistic wellness products across feminine hygiene, menstrual, consumer health, and sexual wellness categories. The Honey Pot Co.’s mission is to educate, support, and provide consumers around the world with the tools and resources that promote menstrual health and vaginal wellness.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Honey Pot Co. have been included in the consolidated results of operations since the date of acquisition. The Honey Pot Co.'s results of operations are reported as a separate operating segment as a branded consumer business. The table below provides the recording of the fair value of assets acquired and liabilities assumed as of the date of acquisition.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6" w:name="page17"/>
    <w:bookmarkEnd w:id="16"/>
    <w:tbl>
      <w:tblPr>
        <w:tblLayout w:type="fixed"/>
        <w:tblInd w:w="240" w:type="dxa"/>
        <w:tblCellMar>
          <w:top w:w="0" w:type="dxa"/>
          <w:left w:w="0" w:type="dxa"/>
          <w:bottom w:w="0" w:type="dxa"/>
          <w:right w:w="0" w:type="dxa"/>
        </w:tblCellMar>
      </w:tblPr>
      <w:tr>
        <w:trPr>
          <w:trHeight w:val="162"/>
        </w:trPr>
        <w:tc>
          <w:tcPr>
            <w:tcW w:w="4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Preliminary Purchase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240"/>
              <w:spacing w:after="0" w:line="162" w:lineRule="exact"/>
              <w:rPr>
                <w:sz w:val="20"/>
                <w:szCs w:val="20"/>
                <w:color w:val="auto"/>
              </w:rPr>
            </w:pPr>
            <w:r>
              <w:rPr>
                <w:rFonts w:ascii="Arial" w:cs="Arial" w:eastAsia="Arial" w:hAnsi="Arial"/>
                <w:sz w:val="15"/>
                <w:szCs w:val="15"/>
                <w:b w:val="1"/>
                <w:bCs w:val="1"/>
                <w:color w:val="auto"/>
              </w:rPr>
              <w:t>Measurement Period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Final Purchase Price</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rPr>
              <w:t>Price Allocation</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5"/>
                <w:szCs w:val="15"/>
                <w:b w:val="1"/>
                <w:bCs w:val="1"/>
                <w:color w:val="auto"/>
              </w:rPr>
              <w:t>Adjustments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Purchase Consideration</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of identifiable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Cash</w:t>
            </w:r>
          </w:p>
        </w:tc>
        <w:tc>
          <w:tcPr>
            <w:tcW w:w="3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4,076</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(3,320)</w:t>
            </w:r>
          </w:p>
        </w:tc>
        <w:tc>
          <w:tcPr>
            <w:tcW w:w="3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b w:val="1"/>
                <w:bCs w:val="1"/>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247,000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identifiable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292,269</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313,249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Fair value of 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40,283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42,963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Net identifiable assets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251,986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270,286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(21,096)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107,039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5"/>
                <w:szCs w:val="15"/>
                <w:b w:val="1"/>
                <w:bCs w:val="1"/>
                <w:color w:val="auto"/>
              </w:rPr>
              <w:t>Acquisition consideration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Purchase price</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Estimated cash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Net working capital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Other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fair value of accounts receivable approximates book value acquired.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allocation presented above is based upon management's estimate of the fair values using valuation techniques including income, cost and market approaches. In estimating the fair value of the identifiable acquired assets and assumed liabilities, the fair value estimates are based on, but not limited to, expected future revenue and cash flows, expected future growth rates and estimated discount rates. Current and noncurrent assets, property, plant and equipment and current and other liabilities are estimated at their historical carrying values, which approximates fair value. Inventory is recognized at fair value, with finished goods stated at selling price less an estimated cost to sell. Property, plant and equipment will be depreciated on a straight-line basis over the remaining useful lives of the assets. Goodwill is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goodwill of $107.0 million reflects the strategic fit of The Honey Pot Co. in the Company's branded consumer business and is not expected to be deductible for income tax purposes.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2024, the purchase price allocation for The Honey Pot Co. was adjusted to reflect certain measurement period adjustments due to updated intangible asset valuation and an adjustment to deferred tax liabilities. Customer relationships was increased $24.3 million, with a corresponding decrease to goodwill. Deferred income tax liability increased $2.7 million, with a corresponding decrease to goodwill. In the third quarter of 2024, the purchase price of The Honey Pot Co. was adjusted to reflect the working capital settlement, additional purchase consideration of $0.5 million, and the related tax effect. The purchase price allocation for The Honey Pot Co. was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final as of September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Honey Pot Co. acquisition are as follows (in thousands):</w:t>
      </w:r>
    </w:p>
    <w:p>
      <w:pPr>
        <w:spacing w:after="0" w:line="139"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4"/>
                <w:szCs w:val="14"/>
                <w:color w:val="auto"/>
              </w:rPr>
            </w:pPr>
          </w:p>
        </w:tc>
        <w:tc>
          <w:tcPr>
            <w:tcW w:w="1780" w:type="dxa"/>
            <w:vAlign w:val="bottom"/>
            <w:vMerge w:val="restart"/>
          </w:tcPr>
          <w:p>
            <w:pPr>
              <w:jc w:val="right"/>
              <w:ind w:right="660"/>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Tradename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 years</w:t>
            </w:r>
          </w:p>
        </w:tc>
        <w:tc>
          <w:tcPr>
            <w:tcW w:w="0" w:type="dxa"/>
            <w:vAlign w:val="bottom"/>
          </w:tcPr>
          <w:p>
            <w:pPr>
              <w:spacing w:after="0"/>
              <w:rPr>
                <w:sz w:val="1"/>
                <w:szCs w:val="1"/>
                <w:color w:val="auto"/>
              </w:rPr>
            </w:pPr>
          </w:p>
        </w:tc>
      </w:tr>
      <w:tr>
        <w:trPr>
          <w:trHeight w:val="21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46,300</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13 years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tradename was considered the primary intangible asset and was valued at $225.0 million using a multi-period excess earnings method. The customer relationships were valued at $46.3 million using a multi-period excess earnings method. The multi-period excess earnings method assumes an asset has value to the extent that it enables its owners to earn a return in excess of the other assets utilized in the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proforma information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proforma data for the three months ended March 31, 2024 gives effect to the acquisition of The Honey Pot Co., as described above, and the disposition of Ergo, as if these transactions had been completed as of January 1, 2024. The proforma data gives effect to historical operating results with adjustments to interest expense, amortization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rPr>
              <w:t>Three months ended</w:t>
            </w:r>
          </w:p>
        </w:tc>
      </w:tr>
      <w:tr>
        <w:trPr>
          <w:trHeight w:val="203"/>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7"/>
                <w:szCs w:val="17"/>
                <w:color w:val="auto"/>
              </w:rPr>
            </w:pPr>
          </w:p>
        </w:tc>
        <w:tc>
          <w:tcPr>
            <w:tcW w:w="1820" w:type="dxa"/>
            <w:vAlign w:val="bottom"/>
          </w:tcPr>
          <w:p>
            <w:pPr>
              <w:jc w:val="center"/>
              <w:ind w:right="121"/>
              <w:spacing w:after="0"/>
              <w:rPr>
                <w:sz w:val="20"/>
                <w:szCs w:val="20"/>
                <w:color w:val="auto"/>
              </w:rPr>
            </w:pPr>
            <w:r>
              <w:rPr>
                <w:rFonts w:ascii="Arial" w:cs="Arial" w:eastAsia="Arial" w:hAnsi="Arial"/>
                <w:sz w:val="15"/>
                <w:szCs w:val="15"/>
                <w:b w:val="1"/>
                <w:bCs w:val="1"/>
                <w:color w:val="auto"/>
              </w:rPr>
              <w:t>March 31, 2024</w:t>
            </w:r>
          </w:p>
        </w:tc>
      </w:tr>
      <w:tr>
        <w:trPr>
          <w:trHeight w:val="208"/>
        </w:trPr>
        <w:tc>
          <w:tcPr>
            <w:tcW w:w="6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421,497</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181,286</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(11,798)</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(89,103)</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(60,568)</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fully diluted net loss per share attributable to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Altor Solutions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Lifoam </w:t>
      </w:r>
      <w:r>
        <w:rPr>
          <w:rFonts w:ascii="Arial" w:cs="Arial" w:eastAsia="Arial" w:hAnsi="Arial"/>
          <w:sz w:val="18"/>
          <w:szCs w:val="18"/>
          <w:color w:val="auto"/>
        </w:rPr>
        <w:t>- On October 1, 2024, Altor Solutions acquired 100% of the outstanding equity interests of Lifoam Industries LLC, a Delaware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(“Lifoam”) pursuant to a Purchase and Sale Agreement entered into on August 19, 2024 (the “Lifoam Acquisition”). Lifoam is a manufacturer and distributor of temperature-controlled shipping solutions. The purchase price was $139.3 million, after working capital settlement and other adjustments to the purchase price. Altor incurred transaction costs of approximately $ 1.8 million, which were included in selling, general and administrative expense in the consolidated statement of operations in the quarter ended December 31, 2024. The acquisition and related transaction costs were funded through additional term loans of $143.7 million under the Altor intercompany credit agreement. The Company funded the additional intercompany loans used for the acquisition of Lifoam with a draw on the 2022 Revolving Credit Facility. Altor recorded a purchase price allocation of $19.4 million in goodwill, which is expected to be deductible for income tax purposes, $49.4 million in intangible assets comprised of $39.5 million in customer relationships and $9.9 million in tradenames, $24 million in capital asset step-up and $1.6 million in inventory step-up. The purchase price allocation was finalized in the first quarter of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C — Dispositions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Ergobaby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27, 2024, the LLC, solely in its capacity as the representative of the holders of stock and options of EBP Lifestyle Brands Holdings, Inc. (“Ergobaby”), a majority owned subsidiary of the Company, entered into a definitive Agreement and Plan of Merger (the “Ergobaby Merger Agreement”) with ERGO Acquisition LLC (“Ergo Acquirer”), Aloha Merger Sub LLC (“Aloha Merger Sub”) and Ergobaby, to sell to Ergo Acquirer all of the issued and outstanding securities of Ergobaby, the parent company of the operating entity, The ERGO Baby Carrier, Inc., through a merger of Aloha Merger Sub with and into Ergobaby, with Ergobaby surviving the merger and becoming a wholly owned subsidiary of Acquirer (the “Ergobaby Merger”). On the same day, December 27, 2024, the parties completed the Ergobaby Merger pursuant to the Ergobaby Merger Agreement.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sale price of Ergobaby was based on an enterprise value of $104 million and will be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Ergobaby Merger. After the allocation of the sales price to Ergobaby non-controlling equityholders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 The proceeds from the Ergobaby sale were used to pay down outstanding debt under the Company’s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Ergobaby for the three months ended March 31, 2024 are as follows (in thousands):</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jc w:val="right"/>
              <w:ind w:right="184"/>
              <w:spacing w:after="0"/>
              <w:rPr>
                <w:sz w:val="20"/>
                <w:szCs w:val="20"/>
                <w:color w:val="auto"/>
              </w:rPr>
            </w:pPr>
            <w:r>
              <w:rPr>
                <w:rFonts w:ascii="Arial" w:cs="Arial" w:eastAsia="Arial" w:hAnsi="Arial"/>
                <w:sz w:val="15"/>
                <w:szCs w:val="15"/>
                <w:b w:val="1"/>
                <w:bCs w:val="1"/>
                <w:color w:val="auto"/>
              </w:rPr>
              <w:t>Three months ended</w:t>
            </w:r>
          </w:p>
        </w:tc>
      </w:tr>
      <w:tr>
        <w:trPr>
          <w:trHeight w:val="213"/>
        </w:trPr>
        <w:tc>
          <w:tcPr>
            <w:tcW w:w="5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March 31, 2024</w:t>
            </w:r>
          </w:p>
        </w:tc>
      </w:tr>
      <w:tr>
        <w:trPr>
          <w:trHeight w:val="199"/>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21,218</w:t>
            </w:r>
          </w:p>
        </w:tc>
      </w:tr>
      <w:tr>
        <w:trPr>
          <w:trHeight w:val="201"/>
        </w:trPr>
        <w:tc>
          <w:tcPr>
            <w:tcW w:w="5600" w:type="dxa"/>
            <w:vAlign w:val="bottom"/>
          </w:tcPr>
          <w:p>
            <w:pPr>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7"/>
                <w:szCs w:val="17"/>
                <w:color w:val="auto"/>
              </w:rPr>
            </w:pP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13,958</w:t>
            </w:r>
          </w:p>
        </w:tc>
      </w:tr>
      <w:tr>
        <w:trPr>
          <w:trHeight w:val="204"/>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w:t>
            </w:r>
          </w:p>
        </w:tc>
      </w:tr>
      <w:tr>
        <w:trPr>
          <w:trHeight w:val="203"/>
        </w:trPr>
        <w:tc>
          <w:tcPr>
            <w:tcW w:w="5600" w:type="dxa"/>
            <w:vAlign w:val="bottom"/>
          </w:tcPr>
          <w:p>
            <w:pPr>
              <w:spacing w:after="0" w:line="203" w:lineRule="exact"/>
              <w:rPr>
                <w:sz w:val="20"/>
                <w:szCs w:val="20"/>
                <w:color w:val="auto"/>
              </w:rPr>
            </w:pPr>
            <w:r>
              <w:rPr>
                <w:rFonts w:ascii="Arial" w:cs="Arial" w:eastAsia="Arial" w:hAnsi="Arial"/>
                <w:sz w:val="15"/>
                <w:szCs w:val="15"/>
                <w:color w:val="auto"/>
              </w:rPr>
              <w:t xml:space="preserve">Loss from operations before income taxes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(993)</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Provision (benefit) for income taxes</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w:t>
            </w:r>
          </w:p>
        </w:tc>
      </w:tr>
      <w:tr>
        <w:trPr>
          <w:trHeight w:val="271"/>
        </w:trPr>
        <w:tc>
          <w:tcPr>
            <w:tcW w:w="5600" w:type="dxa"/>
            <w:vAlign w:val="bottom"/>
          </w:tcPr>
          <w:p>
            <w:pPr>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317</w:t>
            </w:r>
          </w:p>
        </w:tc>
      </w:tr>
    </w:tbl>
    <w:p>
      <w:pPr>
        <w:spacing w:after="0" w:line="16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results of operations for the three months ended March 31, 2024, excludes $2.1 million of intercompany interest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Crosman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2024, Velocity Outdoor entered into a stock purchase agreement to sell Crosman Corporation ("Crosman"), its airgun product division, to Daisy Manufacturing Company, for an enterprise value of approximately $63 million. The sale was completed on the same day. The Company recorded a loss of $24.6 million on the sale of Crosman in the quarter ended June 30, 2024, and a gain of $0.4 million in the third quarter of 2024 related to the working capital settlement. Velocity received net proceeds of approximately $61.9 million related to the sale of Crosman, which was used to repay amounts outstanding under its intercompany credit agreement. The results of operation of Crosman are included in the accompanying financial statements through the date of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operating segment and by geography for each strategic business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8"/>
          <w:szCs w:val="18"/>
          <w:color w:val="auto"/>
        </w:rPr>
        <w:t>financial performance to the investors and other users of its financial statements. Each strategic business unit represents the Company’s reportable segments and offers different products and services.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126365</wp:posOffset>
            </wp:positionV>
            <wp:extent cx="6892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Three months ended March 31, 2025</w:t>
      </w:r>
    </w:p>
    <w:p>
      <w:pPr>
        <w:spacing w:after="0" w:line="36"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rPr>
              <w:t>Mexico</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Europe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Total</w:t>
            </w:r>
          </w:p>
        </w:tc>
      </w:tr>
      <w:tr>
        <w:trPr>
          <w:trHeight w:val="210"/>
        </w:trPr>
        <w:tc>
          <w:tcPr>
            <w:tcW w:w="20" w:type="dxa"/>
            <w:vAlign w:val="bottom"/>
          </w:tcPr>
          <w:p>
            <w:pPr>
              <w:spacing w:after="0"/>
              <w:rPr>
                <w:sz w:val="18"/>
                <w:szCs w:val="18"/>
                <w:color w:val="auto"/>
              </w:rPr>
            </w:pPr>
          </w:p>
        </w:tc>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104,841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129,370</w:t>
            </w:r>
          </w:p>
        </w:tc>
      </w:tr>
      <w:tr>
        <w:trPr>
          <w:trHeight w:val="216"/>
        </w:trPr>
        <w:tc>
          <w:tcPr>
            <w:tcW w:w="20" w:type="dxa"/>
            <w:vAlign w:val="bottom"/>
          </w:tcPr>
          <w:p>
            <w:pPr>
              <w:spacing w:after="0"/>
              <w:rPr>
                <w:sz w:val="18"/>
                <w:szCs w:val="18"/>
                <w:color w:val="auto"/>
              </w:rPr>
            </w:pPr>
          </w:p>
        </w:tc>
        <w:tc>
          <w:tcPr>
            <w:tcW w:w="1980" w:type="dxa"/>
            <w:vAlign w:val="bottom"/>
            <w:gridSpan w:val="2"/>
          </w:tcPr>
          <w:p>
            <w:pPr>
              <w:ind w:left="20"/>
              <w:spacing w:after="0" w:line="216" w:lineRule="exact"/>
              <w:rPr>
                <w:sz w:val="20"/>
                <w:szCs w:val="20"/>
                <w:color w:val="auto"/>
              </w:rPr>
            </w:pPr>
            <w:r>
              <w:rPr>
                <w:rFonts w:ascii="Arial" w:cs="Arial" w:eastAsia="Arial" w:hAnsi="Arial"/>
                <w:sz w:val="25"/>
                <w:szCs w:val="25"/>
                <w:color w:val="auto"/>
                <w:vertAlign w:val="subscript"/>
              </w:rPr>
              <w:t>BOA</w:t>
            </w:r>
            <w:r>
              <w:rPr>
                <w:rFonts w:ascii="Arial" w:cs="Arial" w:eastAsia="Arial" w:hAnsi="Arial"/>
                <w:sz w:val="10"/>
                <w:szCs w:val="10"/>
                <w:b w:val="1"/>
                <w:bCs w:val="1"/>
                <w:color w:val="auto"/>
              </w:rPr>
              <w:t xml:space="preserve"> (1)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48,877</w:t>
            </w: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26,845</w:t>
            </w:r>
          </w:p>
        </w:tc>
      </w:tr>
      <w:tr>
        <w:trPr>
          <w:trHeight w:val="216"/>
        </w:trPr>
        <w:tc>
          <w:tcPr>
            <w:tcW w:w="20" w:type="dxa"/>
            <w:vAlign w:val="bottom"/>
          </w:tcPr>
          <w:p>
            <w:pPr>
              <w:spacing w:after="0"/>
              <w:rPr>
                <w:sz w:val="18"/>
                <w:szCs w:val="18"/>
                <w:color w:val="auto"/>
              </w:rPr>
            </w:pPr>
          </w:p>
        </w:tc>
        <w:tc>
          <w:tcPr>
            <w:tcW w:w="19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23,645</w:t>
            </w: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36,191</w:t>
            </w:r>
          </w:p>
        </w:tc>
      </w:tr>
      <w:tr>
        <w:trPr>
          <w:trHeight w:val="215"/>
        </w:trPr>
        <w:tc>
          <w:tcPr>
            <w:tcW w:w="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13,201</w:t>
            </w:r>
          </w:p>
        </w:tc>
      </w:tr>
      <w:tr>
        <w:trPr>
          <w:trHeight w:val="217"/>
        </w:trPr>
        <w:tc>
          <w:tcPr>
            <w:tcW w:w="2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76,257</w:t>
            </w:r>
          </w:p>
        </w:tc>
      </w:tr>
      <w:tr>
        <w:trPr>
          <w:trHeight w:val="215"/>
        </w:trPr>
        <w:tc>
          <w:tcPr>
            <w:tcW w:w="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34,008</w:t>
            </w: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65,381</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346,359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43,953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38,542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14,197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453,775</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1"/>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360"/>
              <w:spacing w:after="0"/>
              <w:rPr>
                <w:sz w:val="20"/>
                <w:szCs w:val="20"/>
                <w:color w:val="auto"/>
              </w:rPr>
            </w:pPr>
            <w:r>
              <w:rPr>
                <w:rFonts w:ascii="Arial" w:cs="Arial" w:eastAsia="Arial" w:hAnsi="Arial"/>
                <w:sz w:val="15"/>
                <w:szCs w:val="15"/>
                <w:b w:val="1"/>
                <w:bCs w:val="1"/>
                <w:color w:val="auto"/>
              </w:rPr>
              <w:t>Three months ended March 31, 2024</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Pr>
          <w:p>
            <w:pPr>
              <w:spacing w:after="0"/>
              <w:rPr>
                <w:sz w:val="17"/>
                <w:szCs w:val="17"/>
                <w:color w:val="auto"/>
              </w:rPr>
            </w:pPr>
          </w:p>
        </w:tc>
        <w:tc>
          <w:tcPr>
            <w:tcW w:w="1220" w:type="dxa"/>
            <w:vAlign w:val="bottom"/>
            <w:gridSpan w:val="3"/>
          </w:tcPr>
          <w:p>
            <w:pPr>
              <w:ind w:left="160"/>
              <w:spacing w:after="0"/>
              <w:rPr>
                <w:sz w:val="20"/>
                <w:szCs w:val="20"/>
                <w:color w:val="auto"/>
              </w:rPr>
            </w:pPr>
            <w:r>
              <w:rPr>
                <w:rFonts w:ascii="Arial" w:cs="Arial" w:eastAsia="Arial" w:hAnsi="Arial"/>
                <w:sz w:val="15"/>
                <w:szCs w:val="15"/>
                <w:b w:val="1"/>
                <w:bCs w:val="1"/>
                <w:color w:val="auto"/>
              </w:rPr>
              <w:t>Mexico</w:t>
            </w:r>
          </w:p>
        </w:tc>
        <w:tc>
          <w:tcPr>
            <w:tcW w:w="260" w:type="dxa"/>
            <w:vAlign w:val="bottom"/>
          </w:tcPr>
          <w:p>
            <w:pPr>
              <w:spacing w:after="0"/>
              <w:rPr>
                <w:sz w:val="17"/>
                <w:szCs w:val="17"/>
                <w:color w:val="auto"/>
              </w:rPr>
            </w:pPr>
          </w:p>
        </w:tc>
        <w:tc>
          <w:tcPr>
            <w:tcW w:w="1220" w:type="dxa"/>
            <w:vAlign w:val="bottom"/>
            <w:gridSpan w:val="3"/>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5"/>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Total</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5.11</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124,974</w:t>
            </w:r>
          </w:p>
        </w:tc>
      </w:tr>
      <w:tr>
        <w:trPr>
          <w:trHeight w:val="217"/>
        </w:trPr>
        <w:tc>
          <w:tcPr>
            <w:tcW w:w="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42,903</w:t>
            </w:r>
          </w:p>
        </w:tc>
      </w:tr>
      <w:tr>
        <w:trPr>
          <w:trHeight w:val="215"/>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Lugano (as restated)</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10,793</w:t>
            </w:r>
          </w:p>
        </w:tc>
      </w:tr>
      <w:tr>
        <w:trPr>
          <w:trHeight w:val="217"/>
        </w:trPr>
        <w:tc>
          <w:tcPr>
            <w:tcW w:w="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22,541</w:t>
            </w:r>
          </w:p>
        </w:tc>
      </w:tr>
      <w:tr>
        <w:trPr>
          <w:trHeight w:val="215"/>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The Honey Pot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20,165</w:t>
            </w:r>
          </w:p>
        </w:tc>
      </w:tr>
      <w:tr>
        <w:trPr>
          <w:trHeight w:val="217"/>
        </w:trPr>
        <w:tc>
          <w:tcPr>
            <w:tcW w:w="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29,899</w:t>
            </w:r>
          </w:p>
        </w:tc>
      </w:tr>
      <w:tr>
        <w:trPr>
          <w:trHeight w:val="215"/>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Altor</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53,404</w:t>
            </w:r>
          </w:p>
        </w:tc>
      </w:tr>
      <w:tr>
        <w:trPr>
          <w:trHeight w:val="217"/>
        </w:trPr>
        <w:tc>
          <w:tcPr>
            <w:tcW w:w="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Arnold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41,287</w:t>
            </w:r>
          </w:p>
        </w:tc>
      </w:tr>
      <w:tr>
        <w:trPr>
          <w:trHeight w:val="215"/>
        </w:trPr>
        <w:tc>
          <w:tcPr>
            <w:tcW w:w="2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64,860</w:t>
            </w:r>
          </w:p>
        </w:tc>
      </w:tr>
      <w:tr>
        <w:trPr>
          <w:trHeight w:val="230"/>
        </w:trPr>
        <w:tc>
          <w:tcPr>
            <w:tcW w:w="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 restated)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302,201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410,826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1"/>
          <w:szCs w:val="11"/>
          <w:b w:val="1"/>
          <w:bCs w:val="1"/>
          <w:color w:val="auto"/>
        </w:rPr>
      </w:pPr>
      <w:r>
        <w:rPr>
          <w:rFonts w:ascii="Arial" w:cs="Arial" w:eastAsia="Arial" w:hAnsi="Arial"/>
          <w:sz w:val="18"/>
          <w:szCs w:val="18"/>
          <w:color w:val="auto"/>
        </w:rPr>
        <w:t>For BOA and PrimaLoft, revenue reflects the location of the Brand Partners of each business.</w:t>
      </w:r>
    </w:p>
    <w:p>
      <w:pPr>
        <w:spacing w:after="0" w:line="200" w:lineRule="exact"/>
        <w:rPr>
          <w:rFonts w:ascii="Arial" w:cs="Arial" w:eastAsia="Arial" w:hAnsi="Arial"/>
          <w:sz w:val="11"/>
          <w:szCs w:val="11"/>
          <w:b w:val="1"/>
          <w:bCs w:val="1"/>
          <w:color w:val="auto"/>
        </w:rPr>
      </w:pPr>
    </w:p>
    <w:p>
      <w:pPr>
        <w:spacing w:after="0" w:line="200" w:lineRule="exact"/>
        <w:rPr>
          <w:rFonts w:ascii="Arial" w:cs="Arial" w:eastAsia="Arial" w:hAnsi="Arial"/>
          <w:sz w:val="11"/>
          <w:szCs w:val="11"/>
          <w:b w:val="1"/>
          <w:bCs w:val="1"/>
          <w:color w:val="auto"/>
        </w:rPr>
      </w:pPr>
    </w:p>
    <w:p>
      <w:pPr>
        <w:spacing w:after="0" w:line="248" w:lineRule="exact"/>
        <w:rPr>
          <w:rFonts w:ascii="Arial" w:cs="Arial" w:eastAsia="Arial" w:hAnsi="Arial"/>
          <w:sz w:val="11"/>
          <w:szCs w:val="11"/>
          <w:b w:val="1"/>
          <w:bCs w:val="1"/>
          <w:color w:val="auto"/>
        </w:rPr>
      </w:pPr>
    </w:p>
    <w:p>
      <w:pPr>
        <w:ind w:left="5540"/>
        <w:spacing w:after="0"/>
        <w:rPr>
          <w:rFonts w:ascii="Arial" w:cs="Arial" w:eastAsia="Arial" w:hAnsi="Arial"/>
          <w:sz w:val="11"/>
          <w:szCs w:val="11"/>
          <w:b w:val="1"/>
          <w:bCs w:val="1"/>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March 31,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March 31,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2024</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269,367</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72,721</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120,046</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11,547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11,375</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24,807</w:t>
            </w: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511,332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498,316</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(253,570)</w:t>
            </w:r>
          </w:p>
        </w:tc>
      </w:tr>
      <w:tr>
        <w:trPr>
          <w:trHeight w:val="210"/>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244,746</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$12.3 million and $10.7 million for the three months ended March 31, 2025 and March 31, 2024,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March 31, 2025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December 31, 2024</w:t>
            </w:r>
          </w:p>
        </w:tc>
      </w:tr>
      <w:tr>
        <w:trPr>
          <w:trHeight w:val="197"/>
        </w:trPr>
        <w:tc>
          <w:tcPr>
            <w:tcW w:w="4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(As Restated)</w:t>
            </w:r>
          </w:p>
        </w:tc>
      </w:tr>
      <w:tr>
        <w:trPr>
          <w:trHeight w:val="211"/>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80,145</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19,672</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515,242</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(43,811)</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571,248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annual impairment testing at March 31, 2025, the Company performed a qualitative assessment of our reporting units with goodwill balances. The results of the qualitative analysis indicated that it was more-likely-than-not that the fair value of each of the reporting units tested except PrimaLoft exceeded their carrying value. Based on our analysis, the Company determined that the PrimaLoft operating segment required quantitative testing because we could not conclude that the fair value of this reporting unit significantly exceeded the carrying value based on qualitative factors alone. The Company performed a quantitative test of PrimaLoft using an income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 performed a quantitative test of Velocity and the results of the testing indicated that the fair value of Velocity did not exceed the carrying value, resulting in goodwill impairment expense of $8.2 million as of March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 net carrying amount of goodwill at March 31, 2025 and December 31, 2024,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March 31, 2025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5"/>
                <w:szCs w:val="15"/>
                <w:b w:val="1"/>
                <w:bCs w:val="1"/>
                <w:color w:val="auto"/>
              </w:rPr>
              <w:t>December 31, 2024</w:t>
            </w:r>
          </w:p>
        </w:tc>
      </w:tr>
      <w:tr>
        <w:trPr>
          <w:trHeight w:val="195"/>
        </w:trPr>
        <w:tc>
          <w:tcPr>
            <w:tcW w:w="45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(As Restated)</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1,311,813</w:t>
            </w:r>
          </w:p>
        </w:tc>
      </w:tr>
      <w:tr>
        <w:trPr>
          <w:trHeight w:val="216"/>
        </w:trPr>
        <w:tc>
          <w:tcPr>
            <w:tcW w:w="4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Accumulated impairment losses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r>
      <w:tr>
        <w:trPr>
          <w:trHeight w:val="23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895,916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8"/>
        <w:spacing w:after="0" w:line="247" w:lineRule="auto"/>
        <w:tabs>
          <w:tab w:leader="none" w:pos="188" w:val="left"/>
        </w:tabs>
        <w:numPr>
          <w:ilvl w:val="0"/>
          <w:numId w:val="11"/>
        </w:numPr>
        <w:rPr>
          <w:rFonts w:ascii="Arial" w:cs="Arial" w:eastAsia="Arial" w:hAnsi="Arial"/>
          <w:sz w:val="21"/>
          <w:szCs w:val="21"/>
          <w:b w:val="1"/>
          <w:bCs w:val="1"/>
          <w:color w:val="auto"/>
          <w:vertAlign w:val="superscript"/>
        </w:rPr>
      </w:pPr>
      <w:r>
        <w:rPr>
          <w:rFonts w:ascii="Arial" w:cs="Arial" w:eastAsia="Arial" w:hAnsi="Arial"/>
          <w:sz w:val="18"/>
          <w:szCs w:val="18"/>
          <w:color w:val="auto"/>
        </w:rPr>
        <w:t>Comprised of accumulated goodwill impairment expense of $260.6 million at Lugano (as restated), $72.7 million at Velocity, $24.9 million at Arnold and $57.8 million at PrimaLoft.</w:t>
      </w:r>
    </w:p>
    <w:p>
      <w:pPr>
        <w:spacing w:after="0" w:line="18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2025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rPr>
              <w:t>Balance at January 1,</w:t>
            </w:r>
          </w:p>
        </w:tc>
        <w:tc>
          <w:tcPr>
            <w:tcW w:w="160" w:type="dxa"/>
            <w:vAlign w:val="bottom"/>
          </w:tcPr>
          <w:p>
            <w:pPr>
              <w:spacing w:after="0"/>
              <w:rPr>
                <w:sz w:val="14"/>
                <w:szCs w:val="14"/>
                <w:color w:val="auto"/>
              </w:rPr>
            </w:pPr>
          </w:p>
        </w:tc>
        <w:tc>
          <w:tcPr>
            <w:tcW w:w="20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Acquisitions/Measurement</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0"/>
              <w:spacing w:after="0" w:line="169" w:lineRule="exact"/>
              <w:rPr>
                <w:sz w:val="20"/>
                <w:szCs w:val="20"/>
                <w:color w:val="auto"/>
              </w:rPr>
            </w:pPr>
            <w:r>
              <w:rPr>
                <w:rFonts w:ascii="Arial" w:cs="Arial" w:eastAsia="Arial" w:hAnsi="Arial"/>
                <w:sz w:val="15"/>
                <w:szCs w:val="15"/>
                <w:b w:val="1"/>
                <w:bCs w:val="1"/>
                <w:color w:val="auto"/>
              </w:rPr>
              <w:t>Balance at March</w:t>
            </w:r>
          </w:p>
        </w:tc>
      </w:tr>
      <w:tr>
        <w:trPr>
          <w:trHeight w:val="208"/>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59"/>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5"/>
                <w:szCs w:val="15"/>
                <w:b w:val="1"/>
                <w:bCs w:val="1"/>
                <w:color w:val="auto"/>
              </w:rPr>
              <w:t>Period Adjustments</w:t>
            </w:r>
          </w:p>
        </w:tc>
        <w:tc>
          <w:tcPr>
            <w:tcW w:w="120" w:type="dxa"/>
            <w:vAlign w:val="bottom"/>
          </w:tcPr>
          <w:p>
            <w:pPr>
              <w:spacing w:after="0"/>
              <w:rPr>
                <w:sz w:val="18"/>
                <w:szCs w:val="18"/>
                <w:color w:val="auto"/>
              </w:rPr>
            </w:pPr>
          </w:p>
        </w:tc>
        <w:tc>
          <w:tcPr>
            <w:tcW w:w="1380" w:type="dxa"/>
            <w:vAlign w:val="bottom"/>
          </w:tcPr>
          <w:p>
            <w:pPr>
              <w:jc w:val="right"/>
              <w:ind w:right="380"/>
              <w:spacing w:after="0"/>
              <w:rPr>
                <w:sz w:val="20"/>
                <w:szCs w:val="20"/>
                <w:color w:val="auto"/>
              </w:rPr>
            </w:pPr>
            <w:r>
              <w:rPr>
                <w:rFonts w:ascii="Arial" w:cs="Arial" w:eastAsia="Arial" w:hAnsi="Arial"/>
                <w:sz w:val="15"/>
                <w:szCs w:val="15"/>
                <w:b w:val="1"/>
                <w:bCs w:val="1"/>
                <w:color w:val="auto"/>
              </w:rPr>
              <w:t>31, 2025</w:t>
            </w:r>
          </w:p>
        </w:tc>
      </w:tr>
      <w:tr>
        <w:trPr>
          <w:trHeight w:val="210"/>
        </w:trPr>
        <w:tc>
          <w:tcPr>
            <w:tcW w:w="4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254,153</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232,536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232,536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114,123</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39,267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39,267</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r>
      <w:tr>
        <w:trPr>
          <w:trHeight w:val="210"/>
        </w:trPr>
        <w:tc>
          <w:tcPr>
            <w:tcW w:w="4420" w:type="dxa"/>
            <w:vAlign w:val="bottom"/>
          </w:tcPr>
          <w:p>
            <w:pPr>
              <w:ind w:left="220"/>
              <w:spacing w:after="0"/>
              <w:rPr>
                <w:sz w:val="20"/>
                <w:szCs w:val="20"/>
                <w:color w:val="auto"/>
              </w:rPr>
            </w:pPr>
            <w:r>
              <w:rPr>
                <w:rFonts w:ascii="Arial" w:cs="Arial" w:eastAsia="Arial" w:hAnsi="Arial"/>
                <w:sz w:val="16"/>
                <w:szCs w:val="16"/>
                <w:color w:val="auto"/>
              </w:rPr>
              <w:t>Total (as restated)</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895,916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895,420</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the indefinite lived intangible asset in connection with the annual impairment testing for 2025 and 2024. Results of the qualitative analysis indicate that it is more likely than not that the fair value of the reporting unit that maintains an indefinite lived intangible assets exceeded the carrying value.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Other intangible assets are comprised of the following at March 31,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center"/>
              <w:ind w:right="47"/>
              <w:spacing w:after="0" w:line="130" w:lineRule="exact"/>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7"/>
              <w:spacing w:after="0" w:line="130"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center"/>
              <w:ind w:right="67"/>
              <w:spacing w:after="0" w:line="130"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tcPr>
          <w:p>
            <w:pPr>
              <w:jc w:val="center"/>
              <w:ind w:right="6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16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772,033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(324,351)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447,682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772,361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461,004</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199,329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(81,840)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117,489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198,865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120,690</w:t>
            </w: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364,034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453,792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370,086</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contractual intangible 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1,427,404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(497,954)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929,450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1,426,816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952,086</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5"/>
                <w:szCs w:val="15"/>
                <w:color w:val="auto"/>
              </w:rPr>
              <w:t>In-process research and development</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(1)</w:t>
            </w:r>
          </w:p>
        </w:tc>
        <w:tc>
          <w:tcPr>
            <w:tcW w:w="160" w:type="dxa"/>
            <w:vAlign w:val="bottom"/>
          </w:tcPr>
          <w:p>
            <w:pPr>
              <w:spacing w:after="0"/>
              <w:rPr>
                <w:sz w:val="8"/>
                <w:szCs w:val="8"/>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right"/>
              <w:ind w:right="7"/>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restart"/>
          </w:tcPr>
          <w:p>
            <w:pPr>
              <w:ind w:left="980"/>
              <w:spacing w:after="0" w:line="149" w:lineRule="exact"/>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54"/>
        </w:trPr>
        <w:tc>
          <w:tcPr>
            <w:tcW w:w="2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1,458,714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(497,954)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1,458,126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983,396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76" w:lineRule="auto"/>
        <w:tabs>
          <w:tab w:leader="none" w:pos="171" w:val="left"/>
        </w:tabs>
        <w:numPr>
          <w:ilvl w:val="0"/>
          <w:numId w:val="12"/>
        </w:numPr>
        <w:rPr>
          <w:rFonts w:ascii="Arial" w:cs="Arial" w:eastAsia="Arial" w:hAnsi="Arial"/>
          <w:sz w:val="20"/>
          <w:szCs w:val="20"/>
          <w:b w:val="1"/>
          <w:bCs w:val="1"/>
          <w:color w:val="auto"/>
          <w:vertAlign w:val="superscript"/>
        </w:rPr>
      </w:pPr>
      <w:r>
        <w:rPr>
          <w:rFonts w:ascii="Arial" w:cs="Arial" w:eastAsia="Arial" w:hAnsi="Arial"/>
          <w:sz w:val="17"/>
          <w:szCs w:val="17"/>
          <w:color w:val="auto"/>
        </w:rPr>
        <w:t>In-process research and development is considered indefinite lived until the underlying technology becomes viable, at which point the intangible asset will be amortized over the expected useful life.</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related to intangible assets was $23.4 million and $23.2 million for the three months ended March 31, 2025 and March 31, 2024, respectively.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2025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2800" w:type="dxa"/>
        <w:tblCellMar>
          <w:top w:w="0" w:type="dxa"/>
          <w:left w:w="0" w:type="dxa"/>
          <w:bottom w:w="0" w:type="dxa"/>
          <w:right w:w="0" w:type="dxa"/>
        </w:tblCellMar>
      </w:tblPr>
      <w:tr>
        <w:trPr>
          <w:trHeight w:val="217"/>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2029</w:t>
            </w:r>
          </w:p>
        </w:tc>
      </w:tr>
      <w:tr>
        <w:trPr>
          <w:trHeight w:val="34"/>
        </w:trPr>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three months ended March 31, 2025 and the year ended December 31, 2024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101"/>
              <w:spacing w:after="0" w:line="162" w:lineRule="exact"/>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41"/>
              <w:spacing w:after="0" w:line="162" w:lineRule="exact"/>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31, 2024</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99"/>
              </w:rPr>
              <w:t>1,258</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121"/>
              <w:spacing w:after="0"/>
              <w:rPr>
                <w:sz w:val="20"/>
                <w:szCs w:val="20"/>
                <w:color w:val="auto"/>
              </w:rPr>
            </w:pPr>
            <w:r>
              <w:rPr>
                <w:rFonts w:ascii="Arial" w:cs="Arial" w:eastAsia="Arial" w:hAnsi="Arial"/>
                <w:sz w:val="16"/>
                <w:szCs w:val="16"/>
                <w:color w:val="auto"/>
                <w:w w:val="99"/>
              </w:rPr>
              <w:t>2,332</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98"/>
              </w:rPr>
              <w:t>(2,469)</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99"/>
              </w:rPr>
              <w:t>1,121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Facility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12, 2022, the LLC entered into the Third Amended and Restated Credit Agreement (the "2022 Credit Facility") to amend and restate the Second Amended and Restated Credit Agreement (the "2021 Credit Facility"). The 2022 Credit Facility provides for revolving loans, swing line loans and letters of credit (the "2022 Revolving Credit Facility") up to a maximum aggregate amount of $600 million ("the 2022 Revolving Loan Commitment") and 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color w:val="auto"/>
        </w:rPr>
        <w:t>$400 million term loan (the “2022 Term Loan”). All amounts outstanding under the 2022 Revolving Credit Facility will become due on July 12, 2027, which is the termination date of the 2022 Revolving Loan Commitment. The 2022 Credit Facility also permits the LLC, prior to the applicable maturity date, to increase the 2022 Revolving Loan Commitment and/or obtain additional term loans in an aggregate amount of up to $250 million, subject to certain restrictions and conditions.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LLC may borrow, prepay and reborrow principal under the 2022 Revolving Credit Facility from time to time during its term. Advances under the 2022 Revolving Credit Facility can be either term Secured Overnight Financing Rate ("SOFR") loans or base rate loans. Term SOFR revolving loans bear interest on the outstanding principal amount thereof for each interest period at a rate per annum based on the applicable SOFR as administered by the Federal Reserve Bank of New York (or a successor administrator), as adjusted,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the applicable SOFR plus 1.0% (the “Base Rate”), plus a margin ranging from 0.50% to 1.50%, based on the Company's Consolidated Total Leverage Ratio.</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Advances under the 2022 Term Loan can be either term SOFR loans or base rate loans. The 2022 Term Loan was advanced in full on the closing date for the 2022 Credit Facility as a Term SOFR loan with an interest period of one month. On the last day of an interest period, Term SOFR loans may be converted to Term SOFR loans of a different interest period or to Base Rate loans. Term SOFR term loans bear interest on the outstanding principal amount thereof for each interest period at a rate per annum based on the Term SOFR for such interest period plus a margin ranging from 1.50% to 2.50%, based on the Consolidated Total Leverage Ratio. Base rate term loans bear interest on the outstanding principal amount thereof from the applicable borrowing date at a rate per annum equal to the Base Rate plus a margin ranging from 0.50% to 1.50%, based on the Consolidated Total Leverage Ratio.</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2022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2022 Revolving Credit Facility.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availability under the 2022 Revolving Credit Facility was approximately $596.6 million at March 31, 2025, however, the Company was not in compliance with the financial covenants contained in the 2022 Credit Facility as of March 31, 2025 and as a result, the availability of the 2022 Revolving Credit Facility at March 31, 2025 would have been limited. Letters of credit outstanding at March 31, 2025 totaled approximately $3.5 million.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2022 Revolving Credit Facility is secured by all of the assets of the LLC, including all of its equity interests in, and loans to,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2022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2022 Credit Facility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9, 2025, the LLC entered into a First Incremental Facility Amendment (the “Amendment”) to its existing 2022 Credit Facility. The Amendment was by and among the LLC, the lenders party thereto, and Bank of America, N.A., as administrative agent for the Lenders (the “Administrative Agent”).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modifies the 2022 Credit Facility to provide for (a) an additional advance of the term loan in the aggregate amount of $200 million (the “Incremental Term Loan”) on the date of the Amendment, and (b) delayed draw term loan commitments in the aggregate amount of $100 million (the “Incremental Delayed Draw Term Loan Commitments,” and the loan drawn thereunder is referred to herein as the “Incremental Delayed Draw Term Loan”), which may be reduced or terminated by the LLC upon five business days’ notice and pursuant to which the Company may make no more than two draws by July 9, 2025. The proceeds from the Incremental Term Loan and the Incremental Delayed Draw Term Loan will be used for new acquisitions, working capital, capital expenditures and other general corporate purposes.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Incremental Term Loan, along with the existing term loan under the Credit Agreement, requires quarterly repayments of principal amounts ranging from $3.75 million to $11.25 million, which commenced on March 31, 2025, with a final payment of principal and interest due on July 12, 2027.</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 LLC will pay to the Administrative Agent, for the account of each Lender in accordance with its applicable percentage of the Incremental Delayed Draw Term Loan Commitments, a commitment fee equal to the product of (i) a rate ranging from 0.25% to 0.45% per annum, based on the Consolidated Total Leverage Ratio, times (ii) the actual daily amount by which the Incremental Delayed Draw Term Loan Commitments exceed the Incremental Delayed Draw Term Loan. Such commitment fee only accrues during the period when the Incremental Delayed Draw Term Loan Commitments are available (the “Availability Period”), which is the period from January 9, 2025 to the earlier of (a) July 9, 2025 and (b) the date on which the Incremental Delayed Draw Term Loan Commitments have been terminated.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Commencing on the first quarter ending after the earlier of (i) the date Incremental Delayed Draw Term Loan is fully drawn and (ii) the end of the Availability Period, the LLC will be required to make quarterly repayments of principal amounts ranging from 0.625% to 1.875% of the drawn Incremental Delayed Draw Term Loan (which amounts will be reduced by certain prepayment, if any), unless such loan is accelerated sooner.</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Amendment contains customary representations and warranties. All other material terms and conditions of the Credit Agreement were unchanged.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2022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Senior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the Company consummated the issuance and sale of $300 million aggregate principal amount of our 5.000% Senior Notes due 2032 (the “2032 Notes” or "2032 Senior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Company and U.S. Bank National Association, as trustee (the “Trustee”). The 2032 Notes bear interest at the rate of 5.000% per annum and will mature on January 15, 2032. Interest on the 2032 Notes is payable in cash on January 15 and July 15 of each year, beginning on July 15,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of the 2032 Notes were used to repay a portion of our debt outstanding under the 2021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2032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between the Company and U.S. Bank National Association, as trustee (the "Trustee"). The 2029 Notes bear interest at the rate of 5.250% per annum and will mature on April 15, 2029. Interest on the 2029 Notes is payable in cash on April 15th and October 15th of each year. The first interest payment date on the 2029 Senior Notes was October 15, 2021. The 2029 Notes are general unsecured obligations of the Company and are not guaranteed by our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2029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subject to certain customary affirmative and restrictive covenants arising under the 2022 Credit Facility. The following table reflects actual and required financial ratios as of March 31, 2025 included as part of the affirmative covenants in the 2022 Credit Facility:</w:t>
      </w:r>
    </w:p>
    <w:p>
      <w:pPr>
        <w:spacing w:after="0" w:line="85"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420" w:type="dxa"/>
            <w:vAlign w:val="bottom"/>
            <w:gridSpan w:val="2"/>
          </w:tcPr>
          <w:p>
            <w:pPr>
              <w:spacing w:after="0"/>
              <w:rPr>
                <w:sz w:val="20"/>
                <w:szCs w:val="20"/>
                <w:color w:val="auto"/>
              </w:rPr>
            </w:pPr>
            <w:r>
              <w:rPr>
                <w:rFonts w:ascii="Arial" w:cs="Arial" w:eastAsia="Arial" w:hAnsi="Arial"/>
                <w:sz w:val="15"/>
                <w:szCs w:val="15"/>
                <w:b w:val="1"/>
                <w:bCs w:val="1"/>
                <w:color w:val="auto"/>
              </w:rPr>
              <w:t>Covenant Ratio Requirement</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Actual Ratio</w:t>
            </w:r>
          </w:p>
        </w:tc>
      </w:tr>
      <w:tr>
        <w:trPr>
          <w:trHeight w:val="74"/>
        </w:trPr>
        <w:tc>
          <w:tcPr>
            <w:tcW w:w="3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1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r>
      <w:tr>
        <w:trPr>
          <w:trHeight w:val="20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Fixed Charge Coverage Ratio</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Greater than or equal to 1.50: 1.00</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0.62:1:00</w:t>
            </w:r>
          </w:p>
        </w:tc>
      </w:tr>
      <w:tr>
        <w:trPr>
          <w:trHeight w:val="201"/>
        </w:trPr>
        <w:tc>
          <w:tcPr>
            <w:tcW w:w="3940" w:type="dxa"/>
            <w:vAlign w:val="bottom"/>
            <w:gridSpan w:val="2"/>
          </w:tcPr>
          <w:p>
            <w:pPr>
              <w:ind w:left="20"/>
              <w:spacing w:after="0"/>
              <w:rPr>
                <w:sz w:val="20"/>
                <w:szCs w:val="20"/>
                <w:color w:val="auto"/>
              </w:rPr>
            </w:pPr>
            <w:r>
              <w:rPr>
                <w:rFonts w:ascii="Arial" w:cs="Arial" w:eastAsia="Arial" w:hAnsi="Arial"/>
                <w:sz w:val="15"/>
                <w:szCs w:val="15"/>
                <w:color w:val="auto"/>
              </w:rPr>
              <w:t>Total Secured Debt to EBITDA Ratio</w:t>
            </w:r>
          </w:p>
        </w:tc>
        <w:tc>
          <w:tcPr>
            <w:tcW w:w="3420" w:type="dxa"/>
            <w:vAlign w:val="bottom"/>
            <w:gridSpan w:val="2"/>
          </w:tcPr>
          <w:p>
            <w:pPr>
              <w:spacing w:after="0"/>
              <w:rPr>
                <w:sz w:val="20"/>
                <w:szCs w:val="20"/>
                <w:color w:val="auto"/>
              </w:rPr>
            </w:pPr>
            <w:r>
              <w:rPr>
                <w:rFonts w:ascii="Arial" w:cs="Arial" w:eastAsia="Arial" w:hAnsi="Arial"/>
                <w:sz w:val="15"/>
                <w:szCs w:val="15"/>
                <w:color w:val="auto"/>
              </w:rPr>
              <w:t>Less than or equal to 3.50: 1.00</w:t>
            </w:r>
          </w:p>
        </w:tc>
        <w:tc>
          <w:tcPr>
            <w:tcW w:w="1500" w:type="dxa"/>
            <w:vAlign w:val="bottom"/>
          </w:tcPr>
          <w:p>
            <w:pPr>
              <w:jc w:val="center"/>
              <w:spacing w:after="0"/>
              <w:rPr>
                <w:sz w:val="20"/>
                <w:szCs w:val="20"/>
                <w:color w:val="auto"/>
              </w:rPr>
            </w:pPr>
            <w:r>
              <w:rPr>
                <w:rFonts w:ascii="Arial" w:cs="Arial" w:eastAsia="Arial" w:hAnsi="Arial"/>
                <w:sz w:val="15"/>
                <w:szCs w:val="15"/>
                <w:color w:val="auto"/>
              </w:rPr>
              <w:t>1.69:1:00</w:t>
            </w:r>
          </w:p>
        </w:tc>
      </w:tr>
      <w:tr>
        <w:trPr>
          <w:trHeight w:val="204"/>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EBITDA Ratio</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than or equal to 5.00: 1.00</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6.46:1:00</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Agent and the Lenders may exercise any rights or remedies available to them under the 2022 Credit Facility. The Company was not in compliance with such financial covenants as of March 31, 2025 and the year ended December 31, 2024 and had not received forbearance or other relief from its lenders as of those dates. As a result, the lenders had the contractual right on those dates to accelerate the Company’s outstanding obligations under the 2022 Credit Facility. Accordingly, the Company has classified outstanding borrowings under the 2022 Term Loan and 2022 Revolving Credit facility as current at March 31,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March 31, 2025 and December 31, 2024 in the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 Financing Arrangements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Lugano entered into various financing arrangements with third parties that were not recorded in the financial statements of Lugano as debt. Pursuant to some of these agreements, the third-party investors agreed to provide a specific amount of cash to purportedly jointly invest with Lugano in a specified jewel or piece of jewelry. The arrangements provided that Lugano would be responsible for purchasing, holding and insuring the jewelry until Lugano found a buyer or the third-party investor otherwise requested a return of their cash contribution. According to the terms of the arrangement, the third-party investors made an upfront payment to Lugano in exchange for the right to receive a return of their initial investment plus either (i) a portion of the profit when the jewelry was sold to a buyer, or (ii) interest on their invested cash if the third-party requested to liquidate their investment prior to the sale of the specified jewelry to a buyer. Lugano also entered into financing arrangements that were not specific to the acquisition of a specified jewel or piece of jewelry. These arrangements involved cash receipts that were recorded as payment of accounts receivable balances or customer deposits and cash payments that were recorded as inventory purchases or purchase deposits. Other financing arrangements with third parties involved the receipt of cash by Lugano from third parties and repayment of cash to those third parties that was not associated with purported investment in a specified jewel or piece of jewelry.</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 debt and the financing arrangements and related interest expense have been recorded in the restated consolidated financial statements. Interest expense was determined based on documentation related to the underlying arrangement or, when no documentation existed related to the financing arrangement, imputed based on various factors associated with the arrangement. Certain financing arrangements that were entered into during 2024 and the three months ended March 31, 2025 contained unique interest terms reflecting a guaranteed return on the arrangements that have resulted in a calculation of interest expense at a higher rate than the historical effective interest rate on the Lugano financing arrangements. The Lugano financing arrangements have been classified as current in the accompanying condensed consolidated balance sheets for the periods ended March 31, 2025 and December 31, 2024.</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provides the Lugano financing arrangements and effective interest rates at March 31, 2025 and December 31,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9" w:lineRule="exact"/>
        <w:rPr>
          <w:sz w:val="20"/>
          <w:szCs w:val="20"/>
          <w:color w:val="auto"/>
        </w:rPr>
      </w:pPr>
    </w:p>
    <w:tbl>
      <w:tblPr>
        <w:tblLayout w:type="fixed"/>
        <w:tblInd w:w="170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2620" w:type="dxa"/>
            <w:vAlign w:val="bottom"/>
            <w:gridSpan w:val="3"/>
          </w:tcPr>
          <w:p>
            <w:pPr>
              <w:ind w:left="700"/>
              <w:spacing w:after="0"/>
              <w:rPr>
                <w:sz w:val="20"/>
                <w:szCs w:val="20"/>
                <w:color w:val="auto"/>
              </w:rPr>
            </w:pPr>
            <w:r>
              <w:rPr>
                <w:rFonts w:ascii="Arial" w:cs="Arial" w:eastAsia="Arial" w:hAnsi="Arial"/>
                <w:sz w:val="15"/>
                <w:szCs w:val="15"/>
                <w:b w:val="1"/>
                <w:bCs w:val="1"/>
                <w:color w:val="auto"/>
              </w:rPr>
              <w:t>March 31, 2025</w:t>
            </w:r>
          </w:p>
        </w:tc>
        <w:tc>
          <w:tcPr>
            <w:tcW w:w="2660" w:type="dxa"/>
            <w:vAlign w:val="bottom"/>
            <w:gridSpan w:val="2"/>
          </w:tcPr>
          <w:p>
            <w:pPr>
              <w:jc w:val="center"/>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600" w:type="dxa"/>
            <w:vAlign w:val="bottom"/>
          </w:tcPr>
          <w:p>
            <w:pPr>
              <w:jc w:val="center"/>
              <w:ind w:right="286"/>
              <w:spacing w:after="0" w:line="147" w:lineRule="exact"/>
              <w:rPr>
                <w:sz w:val="20"/>
                <w:szCs w:val="20"/>
                <w:color w:val="auto"/>
              </w:rPr>
            </w:pPr>
            <w:r>
              <w:rPr>
                <w:rFonts w:ascii="Arial" w:cs="Arial" w:eastAsia="Arial" w:hAnsi="Arial"/>
                <w:sz w:val="14"/>
                <w:szCs w:val="14"/>
                <w:b w:val="1"/>
                <w:bCs w:val="1"/>
                <w:color w:val="auto"/>
              </w:rPr>
              <w:t>Effective Interest</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60" w:type="dxa"/>
            <w:vAlign w:val="bottom"/>
          </w:tcPr>
          <w:p>
            <w:pPr>
              <w:jc w:val="center"/>
              <w:ind w:right="306"/>
              <w:spacing w:after="0" w:line="147" w:lineRule="exact"/>
              <w:rPr>
                <w:sz w:val="20"/>
                <w:szCs w:val="20"/>
                <w:color w:val="auto"/>
              </w:rPr>
            </w:pPr>
            <w:r>
              <w:rPr>
                <w:rFonts w:ascii="Arial" w:cs="Arial" w:eastAsia="Arial" w:hAnsi="Arial"/>
                <w:sz w:val="14"/>
                <w:szCs w:val="14"/>
                <w:b w:val="1"/>
                <w:bCs w:val="1"/>
                <w:color w:val="auto"/>
              </w:rPr>
              <w:t>Effective Interest</w:t>
            </w:r>
          </w:p>
        </w:tc>
        <w:tc>
          <w:tcPr>
            <w:tcW w:w="100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600" w:type="dxa"/>
            <w:vAlign w:val="bottom"/>
          </w:tcPr>
          <w:p>
            <w:pPr>
              <w:jc w:val="center"/>
              <w:ind w:right="286"/>
              <w:spacing w:after="0"/>
              <w:rPr>
                <w:sz w:val="20"/>
                <w:szCs w:val="20"/>
                <w:color w:val="auto"/>
              </w:rPr>
            </w:pPr>
            <w:r>
              <w:rPr>
                <w:rFonts w:ascii="Arial" w:cs="Arial" w:eastAsia="Arial" w:hAnsi="Arial"/>
                <w:sz w:val="14"/>
                <w:szCs w:val="14"/>
                <w:b w:val="1"/>
                <w:bCs w:val="1"/>
                <w:color w:val="auto"/>
              </w:rPr>
              <w:t>Rate</w:t>
            </w:r>
          </w:p>
        </w:tc>
        <w:tc>
          <w:tcPr>
            <w:tcW w:w="1020" w:type="dxa"/>
            <w:vAlign w:val="bottom"/>
            <w:gridSpan w:val="2"/>
            <w:vMerge w:val="continue"/>
          </w:tcPr>
          <w:p>
            <w:pPr>
              <w:spacing w:after="0"/>
              <w:rPr>
                <w:sz w:val="16"/>
                <w:szCs w:val="16"/>
                <w:color w:val="auto"/>
              </w:rPr>
            </w:pPr>
          </w:p>
        </w:tc>
        <w:tc>
          <w:tcPr>
            <w:tcW w:w="1660" w:type="dxa"/>
            <w:vAlign w:val="bottom"/>
          </w:tcPr>
          <w:p>
            <w:pPr>
              <w:jc w:val="center"/>
              <w:ind w:right="306"/>
              <w:spacing w:after="0"/>
              <w:rPr>
                <w:sz w:val="20"/>
                <w:szCs w:val="20"/>
                <w:color w:val="auto"/>
              </w:rPr>
            </w:pPr>
            <w:r>
              <w:rPr>
                <w:rFonts w:ascii="Arial" w:cs="Arial" w:eastAsia="Arial" w:hAnsi="Arial"/>
                <w:sz w:val="14"/>
                <w:szCs w:val="14"/>
                <w:b w:val="1"/>
                <w:bCs w:val="1"/>
                <w:color w:val="auto"/>
              </w:rPr>
              <w:t>Rate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 financing arrangements</w:t>
            </w:r>
          </w:p>
        </w:tc>
        <w:tc>
          <w:tcPr>
            <w:tcW w:w="16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19.54 %  $</w:t>
            </w: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181,682</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11.43 %  $</w:t>
            </w: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169,765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ind w:right="20"/>
        <w:spacing w:after="0" w:line="287" w:lineRule="auto"/>
        <w:rPr>
          <w:sz w:val="20"/>
          <w:szCs w:val="20"/>
          <w:color w:val="auto"/>
        </w:rPr>
      </w:pPr>
      <w:r>
        <w:rPr>
          <w:rFonts w:ascii="Arial" w:cs="Arial" w:eastAsia="Arial" w:hAnsi="Arial"/>
          <w:sz w:val="18"/>
          <w:szCs w:val="18"/>
          <w:color w:val="auto"/>
        </w:rPr>
        <w:t xml:space="preserve">The following table provides the Company’s outstanding long-term debt and effective interest rates at March 31,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20" w:type="dxa"/>
            <w:vAlign w:val="bottom"/>
            <w:tcBorders>
              <w:top w:val="single" w:sz="8" w:color="auto"/>
              <w:bottom w:val="single" w:sz="8" w:color="auto"/>
            </w:tcBorders>
            <w:gridSpan w:val="3"/>
          </w:tcPr>
          <w:p>
            <w:pPr>
              <w:jc w:val="center"/>
              <w:ind w:left="1141"/>
              <w:spacing w:after="0"/>
              <w:rPr>
                <w:sz w:val="20"/>
                <w:szCs w:val="20"/>
                <w:color w:val="auto"/>
              </w:rPr>
            </w:pPr>
            <w:r>
              <w:rPr>
                <w:rFonts w:ascii="Arial" w:cs="Arial" w:eastAsia="Arial" w:hAnsi="Arial"/>
                <w:sz w:val="15"/>
                <w:szCs w:val="15"/>
                <w:b w:val="1"/>
                <w:bCs w:val="1"/>
                <w:color w:val="auto"/>
              </w:rPr>
              <w:t>March 31, 2025</w:t>
            </w:r>
          </w:p>
        </w:tc>
        <w:tc>
          <w:tcPr>
            <w:tcW w:w="1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Borders>
              <w:top w:val="single" w:sz="8" w:color="auto"/>
              <w:bottom w:val="single" w:sz="8" w:color="auto"/>
            </w:tcBorders>
            <w:gridSpan w:val="4"/>
          </w:tcPr>
          <w:p>
            <w:pPr>
              <w:ind w:left="110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320" w:type="dxa"/>
            <w:vAlign w:val="bottom"/>
            <w:gridSpan w:val="3"/>
          </w:tcPr>
          <w:p>
            <w:pPr>
              <w:jc w:val="center"/>
              <w:ind w:right="639"/>
              <w:spacing w:after="0" w:line="142" w:lineRule="exact"/>
              <w:rPr>
                <w:sz w:val="20"/>
                <w:szCs w:val="20"/>
                <w:color w:val="auto"/>
              </w:rPr>
            </w:pPr>
            <w:r>
              <w:rPr>
                <w:rFonts w:ascii="Arial" w:cs="Arial" w:eastAsia="Arial" w:hAnsi="Arial"/>
                <w:sz w:val="15"/>
                <w:szCs w:val="15"/>
                <w:b w:val="1"/>
                <w:bCs w:val="1"/>
                <w:color w:val="auto"/>
              </w:rPr>
              <w:t>Effective Interest</w:t>
            </w:r>
          </w:p>
        </w:tc>
        <w:tc>
          <w:tcPr>
            <w:tcW w:w="1240" w:type="dxa"/>
            <w:vAlign w:val="bottom"/>
            <w:vMerge w:val="restart"/>
          </w:tcPr>
          <w:p>
            <w:pPr>
              <w:jc w:val="right"/>
              <w:ind w:right="56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2"/>
                <w:szCs w:val="12"/>
                <w:color w:val="auto"/>
              </w:rPr>
            </w:pPr>
          </w:p>
        </w:tc>
        <w:tc>
          <w:tcPr>
            <w:tcW w:w="2080" w:type="dxa"/>
            <w:vAlign w:val="bottom"/>
            <w:gridSpan w:val="3"/>
          </w:tcPr>
          <w:p>
            <w:pPr>
              <w:jc w:val="right"/>
              <w:ind w:right="579"/>
              <w:spacing w:after="0" w:line="142" w:lineRule="exact"/>
              <w:rPr>
                <w:sz w:val="20"/>
                <w:szCs w:val="20"/>
                <w:color w:val="auto"/>
              </w:rPr>
            </w:pPr>
            <w:r>
              <w:rPr>
                <w:rFonts w:ascii="Arial" w:cs="Arial" w:eastAsia="Arial" w:hAnsi="Arial"/>
                <w:sz w:val="15"/>
                <w:szCs w:val="15"/>
                <w:b w:val="1"/>
                <w:bCs w:val="1"/>
                <w:color w:val="auto"/>
              </w:rPr>
              <w:t>Effective Interest</w:t>
            </w:r>
          </w:p>
        </w:tc>
        <w:tc>
          <w:tcPr>
            <w:tcW w:w="1500" w:type="dxa"/>
            <w:vAlign w:val="bottom"/>
            <w:vMerge w:val="restart"/>
          </w:tcPr>
          <w:p>
            <w:pPr>
              <w:jc w:val="right"/>
              <w:ind w:right="58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20" w:type="dxa"/>
            <w:vAlign w:val="bottom"/>
            <w:gridSpan w:val="3"/>
          </w:tcPr>
          <w:p>
            <w:pPr>
              <w:jc w:val="center"/>
              <w:ind w:right="639"/>
              <w:spacing w:after="0"/>
              <w:rPr>
                <w:sz w:val="20"/>
                <w:szCs w:val="20"/>
                <w:color w:val="auto"/>
              </w:rPr>
            </w:pPr>
            <w:r>
              <w:rPr>
                <w:rFonts w:ascii="Arial" w:cs="Arial" w:eastAsia="Arial" w:hAnsi="Arial"/>
                <w:sz w:val="15"/>
                <w:szCs w:val="15"/>
                <w:b w:val="1"/>
                <w:bCs w:val="1"/>
                <w:color w:val="auto"/>
                <w:w w:val="98"/>
              </w:rPr>
              <w:t>Rate</w:t>
            </w: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right"/>
              <w:ind w:right="1019"/>
              <w:spacing w:after="0"/>
              <w:rPr>
                <w:sz w:val="20"/>
                <w:szCs w:val="20"/>
                <w:color w:val="auto"/>
              </w:rPr>
            </w:pPr>
            <w:r>
              <w:rPr>
                <w:rFonts w:ascii="Arial" w:cs="Arial" w:eastAsia="Arial" w:hAnsi="Arial"/>
                <w:sz w:val="15"/>
                <w:szCs w:val="15"/>
                <w:b w:val="1"/>
                <w:bCs w:val="1"/>
                <w:color w:val="auto"/>
              </w:rPr>
              <w:t>Rate</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2029</w:t>
            </w:r>
          </w:p>
        </w:tc>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right="3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5.25 %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2032</w:t>
            </w:r>
          </w:p>
        </w:tc>
        <w:tc>
          <w:tcPr>
            <w:tcW w:w="31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620" w:type="dxa"/>
            <w:vAlign w:val="bottom"/>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c>
          <w:tcPr>
            <w:tcW w:w="1720" w:type="dxa"/>
            <w:vAlign w:val="bottom"/>
            <w:gridSpan w:val="2"/>
          </w:tcPr>
          <w:p>
            <w:pPr>
              <w:ind w:left="1200"/>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571,250</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7.60 %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31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ind w:left="1200"/>
              <w:spacing w:after="0"/>
              <w:rPr>
                <w:sz w:val="20"/>
                <w:szCs w:val="20"/>
                <w:color w:val="auto"/>
              </w:rPr>
            </w:pPr>
            <w:r>
              <w:rPr>
                <w:rFonts w:ascii="Arial" w:cs="Arial" w:eastAsia="Arial" w:hAnsi="Arial"/>
                <w:sz w:val="16"/>
                <w:szCs w:val="16"/>
                <w:color w:val="auto"/>
              </w:rPr>
              <w:t>7.62 %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17"/>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09"/>
        </w:trPr>
        <w:tc>
          <w:tcPr>
            <w:tcW w:w="352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center"/>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1,860,064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1,774,290</w:t>
            </w:r>
          </w:p>
        </w:tc>
        <w:tc>
          <w:tcPr>
            <w:tcW w:w="0" w:type="dxa"/>
            <w:vAlign w:val="bottom"/>
          </w:tcPr>
          <w:p>
            <w:pPr>
              <w:spacing w:after="0"/>
              <w:rPr>
                <w:sz w:val="1"/>
                <w:szCs w:val="1"/>
                <w:color w:val="auto"/>
              </w:rPr>
            </w:pPr>
          </w:p>
        </w:tc>
      </w:tr>
      <w:tr>
        <w:trPr>
          <w:trHeight w:val="217"/>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 term loan facilities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(1,860,064)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(1,774,290)</w:t>
            </w:r>
          </w:p>
        </w:tc>
        <w:tc>
          <w:tcPr>
            <w:tcW w:w="0" w:type="dxa"/>
            <w:vAlign w:val="bottom"/>
          </w:tcPr>
          <w:p>
            <w:pPr>
              <w:spacing w:after="0"/>
              <w:rPr>
                <w:sz w:val="1"/>
                <w:szCs w:val="1"/>
                <w:color w:val="auto"/>
              </w:rPr>
            </w:pPr>
          </w:p>
        </w:tc>
      </w:tr>
      <w:tr>
        <w:trPr>
          <w:trHeight w:val="209"/>
        </w:trPr>
        <w:tc>
          <w:tcPr>
            <w:tcW w:w="3520" w:type="dxa"/>
            <w:vAlign w:val="bottom"/>
            <w:gridSpan w:val="2"/>
          </w:tcPr>
          <w:p>
            <w:pPr>
              <w:ind w:left="320"/>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reflects the annual maturities of the Company's debt obligations, including the Lugano financing arrangements which are classified as current. As noted above, the Company was not in compliance with certain of its covenants under the 2022 Credit Facility as of the quarter ended March 31, 2025 and the year ended December 31, 2024 and as a result, the 2022 Revolving Credit Facility, the 2022 Term Loan and the 2029 and 2032 Senior Notes have been classified as current in the accompanying Condensed Consolidated Balance Sheets at March 31, 2025 and December 31, 2024. Annual maturities of the Company's debt obligations are as follows (in thousands):</w:t>
      </w:r>
    </w:p>
    <w:p>
      <w:pPr>
        <w:spacing w:after="0" w:line="200" w:lineRule="exact"/>
        <w:rPr>
          <w:sz w:val="20"/>
          <w:szCs w:val="20"/>
          <w:color w:val="auto"/>
        </w:rPr>
      </w:pPr>
    </w:p>
    <w:tbl>
      <w:tblPr>
        <w:tblLayout w:type="fixed"/>
        <w:tblInd w:w="3600" w:type="dxa"/>
        <w:tblCellMar>
          <w:top w:w="0" w:type="dxa"/>
          <w:left w:w="0" w:type="dxa"/>
          <w:bottom w:w="0" w:type="dxa"/>
          <w:right w:w="0" w:type="dxa"/>
        </w:tblCellMar>
      </w:tblPr>
      <w:tr>
        <w:trPr>
          <w:trHeight w:val="241"/>
        </w:trPr>
        <w:tc>
          <w:tcPr>
            <w:tcW w:w="2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xml:space="preserve">Remainder of 2025 </w:t>
            </w:r>
            <w:r>
              <w:rPr>
                <w:rFonts w:ascii="Arial" w:cs="Arial" w:eastAsia="Arial" w:hAnsi="Arial"/>
                <w:sz w:val="21"/>
                <w:szCs w:val="21"/>
                <w:b w:val="1"/>
                <w:bCs w:val="1"/>
                <w:color w:val="auto"/>
                <w:vertAlign w:val="superscript"/>
              </w:rPr>
              <w:t>(1)</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200,432</w:t>
            </w:r>
          </w:p>
        </w:tc>
      </w:tr>
      <w:tr>
        <w:trPr>
          <w:trHeight w:val="215"/>
        </w:trPr>
        <w:tc>
          <w:tcPr>
            <w:tcW w:w="2260" w:type="dxa"/>
            <w:vAlign w:val="bottom"/>
          </w:tcPr>
          <w:p>
            <w:pPr>
              <w:jc w:val="right"/>
              <w:ind w:right="99"/>
              <w:spacing w:after="0"/>
              <w:rPr>
                <w:sz w:val="20"/>
                <w:szCs w:val="20"/>
                <w:color w:val="auto"/>
              </w:rPr>
            </w:pPr>
            <w:r>
              <w:rPr>
                <w:rFonts w:ascii="Arial" w:cs="Arial" w:eastAsia="Arial" w:hAnsi="Arial"/>
                <w:sz w:val="16"/>
                <w:szCs w:val="16"/>
                <w:color w:val="auto"/>
              </w:rPr>
              <w:t>2026</w:t>
            </w: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37,500</w:t>
            </w:r>
          </w:p>
        </w:tc>
      </w:tr>
      <w:tr>
        <w:trPr>
          <w:trHeight w:val="217"/>
        </w:trPr>
        <w:tc>
          <w:tcPr>
            <w:tcW w:w="2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2027</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515,000</w:t>
            </w:r>
          </w:p>
        </w:tc>
      </w:tr>
      <w:tr>
        <w:trPr>
          <w:trHeight w:val="215"/>
        </w:trPr>
        <w:tc>
          <w:tcPr>
            <w:tcW w:w="2260" w:type="dxa"/>
            <w:vAlign w:val="bottom"/>
          </w:tcPr>
          <w:p>
            <w:pPr>
              <w:jc w:val="right"/>
              <w:ind w:right="99"/>
              <w:spacing w:after="0"/>
              <w:rPr>
                <w:sz w:val="20"/>
                <w:szCs w:val="20"/>
                <w:color w:val="auto"/>
              </w:rPr>
            </w:pPr>
            <w:r>
              <w:rPr>
                <w:rFonts w:ascii="Arial" w:cs="Arial" w:eastAsia="Arial" w:hAnsi="Arial"/>
                <w:sz w:val="16"/>
                <w:szCs w:val="16"/>
                <w:color w:val="auto"/>
              </w:rPr>
              <w:t>2028</w:t>
            </w: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2029</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226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2030 and thereafter</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34"/>
        </w:trPr>
        <w:tc>
          <w:tcPr>
            <w:tcW w:w="2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2,052,932</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
        <w:spacing w:after="0" w:line="247" w:lineRule="auto"/>
        <w:tabs>
          <w:tab w:leader="none" w:pos="189" w:val="left"/>
        </w:tabs>
        <w:numPr>
          <w:ilvl w:val="0"/>
          <w:numId w:val="13"/>
        </w:numPr>
        <w:rPr>
          <w:rFonts w:ascii="Arial" w:cs="Arial" w:eastAsia="Arial" w:hAnsi="Arial"/>
          <w:sz w:val="22"/>
          <w:szCs w:val="22"/>
          <w:b w:val="1"/>
          <w:bCs w:val="1"/>
          <w:color w:val="auto"/>
          <w:vertAlign w:val="superscript"/>
        </w:rPr>
      </w:pPr>
      <w:r>
        <w:rPr>
          <w:rFonts w:ascii="Arial" w:cs="Arial" w:eastAsia="Arial" w:hAnsi="Arial"/>
          <w:sz w:val="17"/>
          <w:szCs w:val="17"/>
          <w:color w:val="auto"/>
        </w:rPr>
        <w:t>Debt obligations in 2025 include $181.7 million in Lugano financing arrangements, which are classified as current in the accompanying condensed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consisted of the following carrying value and estimated fair value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Hierarchy</w:t>
            </w: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720" w:type="dxa"/>
            <w:vAlign w:val="bottom"/>
            <w:gridSpan w:val="3"/>
            <w:vMerge w:val="restart"/>
          </w:tcPr>
          <w:p>
            <w:pPr>
              <w:ind w:left="280"/>
              <w:spacing w:after="0"/>
              <w:rPr>
                <w:sz w:val="20"/>
                <w:szCs w:val="20"/>
                <w:color w:val="auto"/>
              </w:rPr>
            </w:pPr>
            <w:r>
              <w:rPr>
                <w:rFonts w:ascii="Arial" w:cs="Arial" w:eastAsia="Arial" w:hAnsi="Arial"/>
                <w:sz w:val="16"/>
                <w:szCs w:val="16"/>
                <w:b w:val="1"/>
                <w:bCs w:val="1"/>
                <w:color w:val="auto"/>
              </w:rPr>
              <w:t>Maturity Date</w:t>
            </w: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Rate</w:t>
            </w:r>
          </w:p>
        </w:tc>
        <w:tc>
          <w:tcPr>
            <w:tcW w:w="12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Carrying Value</w:t>
            </w:r>
          </w:p>
        </w:tc>
        <w:tc>
          <w:tcPr>
            <w:tcW w:w="240" w:type="dxa"/>
            <w:vAlign w:val="bottom"/>
          </w:tcPr>
          <w:p>
            <w:pPr>
              <w:spacing w:after="0"/>
              <w:rPr>
                <w:sz w:val="2"/>
                <w:szCs w:val="2"/>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6"/>
        </w:trPr>
        <w:tc>
          <w:tcPr>
            <w:tcW w:w="196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Level</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2032 Senior Notes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268,500</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2029 Senior Notes</w:t>
            </w:r>
          </w:p>
        </w:tc>
        <w:tc>
          <w:tcPr>
            <w:tcW w:w="1200" w:type="dxa"/>
            <w:vAlign w:val="bottom"/>
          </w:tcPr>
          <w:p>
            <w:pPr>
              <w:jc w:val="right"/>
              <w:spacing w:after="0"/>
              <w:rPr>
                <w:sz w:val="20"/>
                <w:szCs w:val="20"/>
                <w:color w:val="auto"/>
              </w:rPr>
            </w:pPr>
            <w:r>
              <w:rPr>
                <w:rFonts w:ascii="Arial" w:cs="Arial" w:eastAsia="Arial" w:hAnsi="Arial"/>
                <w:sz w:val="16"/>
                <w:szCs w:val="16"/>
                <w:color w:val="auto"/>
              </w:rPr>
              <w:t>April 15,</w:t>
            </w:r>
          </w:p>
        </w:tc>
        <w:tc>
          <w:tcPr>
            <w:tcW w:w="42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5.250 %</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940,000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Since the Company can borrow, repay and reborrow principal under the 2022 Revolving Credit Facility, the debt issuance costs associated with the 2022 Revolving Credit Facility have been classified as other non-current assets in the accompanying condensed consolidated balance sheet. The debt issuance costs associated with the 2022 Term Loan and Amendment and Senior Notes are classified as a reduction of long-term debt in the accompanying condensed consolidated balance sheets. The Company recorded $1.2 million in deferred debt issuance costs related to the Amendment of the 2022 Credit Facility in the three months ended March 31, 2025.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8"/>
          <w:szCs w:val="18"/>
          <w:color w:val="auto"/>
        </w:rPr>
        <w:t>The following table summarizes debt issuance costs at March 31, 2025 and December 31, 2024,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March 31,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debt issuance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32,526</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(17,797)</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debt issuance costs,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Balance sheet classification: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long-term debt</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Trust common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LLC are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common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("ATM")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Common Sales Agreement amended and restated in its entirety the At Market Issuance Sales Agreement (the “Common Sales Agreement”), dated September 7, 2021, between the Company, B. Riley Securities and Goldman, which provided for the offer and sale of Trust common shares up to $500 million under the terms substantially same as those under the Amended Common Sales Agreement.</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2025, there were no sales of Trust common shares under the Amended Common Sales Agreement.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2024, the Company sold 53,932 Trust common shares under the Common Sales Agreement. During the same period, the Company received total net proceeds of approximately $1.3 million from these sales. The Company incurred approximately $0.2 million in commissions paid to the Common Sales Agents during the three months ended March 31,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incurred approximately $35 thousand and $0.4 million in total costs related to the ATM program during the three months ended March 31, 2025 and March 31, 2024,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ind w:right="1500"/>
        <w:spacing w:after="0" w:line="406"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xml:space="preserve">” for additional information concerning the Amended Common Sales Agreement. </w:t>
      </w:r>
      <w:r>
        <w:rPr>
          <w:rFonts w:ascii="Arial" w:cs="Arial" w:eastAsia="Arial" w:hAnsi="Arial"/>
          <w:sz w:val="18"/>
          <w:szCs w:val="18"/>
          <w:i w:val="1"/>
          <w:iCs w:val="1"/>
          <w:color w:val="auto"/>
        </w:rPr>
        <w:t>Share repurchase program</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The share repurchase program expired on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preferred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and the Series B Preferred Shares, the “Preferred Shares”), each representing beneficial interests in the Trust.</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Preferred Sales Agreement amended and restated in its entirety, the At Market Issuance Sales Agreement, dated March 20, 2024, between the Company and B. Riley Securities, which provided for the offer and sale of Trust preferred shares up to $100 million under the terms substantially the same as those under the Amended Preferred Sales Agreement.</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The following table reflects the activity in the preferred share ATM program during the three months ended March 31, 2025 and March 31, 2024 </w:t>
      </w:r>
      <w:r>
        <w:rPr>
          <w:rFonts w:ascii="Arial" w:cs="Arial" w:eastAsia="Arial" w:hAnsi="Arial"/>
          <w:sz w:val="18"/>
          <w:szCs w:val="18"/>
          <w:i w:val="1"/>
          <w:iCs w:val="1"/>
          <w:color w:val="auto"/>
        </w:rPr>
        <w:t>(in thousands, except share data)</w:t>
      </w:r>
      <w:r>
        <w:rPr>
          <w:rFonts w:ascii="Arial" w:cs="Arial" w:eastAsia="Arial" w:hAnsi="Arial"/>
          <w:sz w:val="18"/>
          <w:szCs w:val="18"/>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4320" w:type="dxa"/>
            <w:vAlign w:val="bottom"/>
            <w:gridSpan w:val="8"/>
          </w:tcPr>
          <w:p>
            <w:pPr>
              <w:ind w:left="760"/>
              <w:spacing w:after="0"/>
              <w:rPr>
                <w:sz w:val="20"/>
                <w:szCs w:val="20"/>
                <w:color w:val="auto"/>
              </w:rPr>
            </w:pPr>
            <w:r>
              <w:rPr>
                <w:rFonts w:ascii="Arial" w:cs="Arial" w:eastAsia="Arial" w:hAnsi="Arial"/>
                <w:sz w:val="15"/>
                <w:szCs w:val="15"/>
                <w:b w:val="1"/>
                <w:bCs w:val="1"/>
                <w:color w:val="auto"/>
              </w:rPr>
              <w:t>Three Months Ended March 31, 2025</w:t>
            </w:r>
          </w:p>
        </w:tc>
        <w:tc>
          <w:tcPr>
            <w:tcW w:w="3860" w:type="dxa"/>
            <w:vAlign w:val="bottom"/>
            <w:gridSpan w:val="6"/>
          </w:tcPr>
          <w:p>
            <w:pPr>
              <w:jc w:val="center"/>
              <w:ind w:left="504"/>
              <w:spacing w:after="0"/>
              <w:rPr>
                <w:sz w:val="20"/>
                <w:szCs w:val="20"/>
                <w:color w:val="auto"/>
              </w:rPr>
            </w:pPr>
            <w:r>
              <w:rPr>
                <w:rFonts w:ascii="Arial" w:cs="Arial" w:eastAsia="Arial" w:hAnsi="Arial"/>
                <w:sz w:val="15"/>
                <w:szCs w:val="15"/>
                <w:b w:val="1"/>
                <w:bCs w:val="1"/>
                <w:color w:val="auto"/>
              </w:rPr>
              <w:t>Three Months Ended March 31, 2024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5"/>
                <w:szCs w:val="15"/>
                <w:b w:val="1"/>
                <w:bCs w:val="1"/>
                <w:color w:val="auto"/>
              </w:rPr>
              <w:t>Number of</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Net Proceeds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44"/>
              <w:spacing w:after="0" w:line="142" w:lineRule="exact"/>
              <w:rPr>
                <w:sz w:val="20"/>
                <w:szCs w:val="20"/>
                <w:color w:val="auto"/>
              </w:rPr>
            </w:pPr>
            <w:r>
              <w:rPr>
                <w:rFonts w:ascii="Arial" w:cs="Arial" w:eastAsia="Arial" w:hAnsi="Arial"/>
                <w:sz w:val="15"/>
                <w:szCs w:val="15"/>
                <w:b w:val="1"/>
                <w:bCs w:val="1"/>
                <w:color w:val="auto"/>
              </w:rPr>
              <w:t>Commissions</w:t>
            </w:r>
          </w:p>
        </w:tc>
        <w:tc>
          <w:tcPr>
            <w:tcW w:w="14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Shares Sold</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Paid</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300" w:type="dxa"/>
            <w:vAlign w:val="bottom"/>
          </w:tcPr>
          <w:p>
            <w:pPr>
              <w:jc w:val="right"/>
              <w:spacing w:after="0"/>
              <w:rPr>
                <w:sz w:val="20"/>
                <w:szCs w:val="20"/>
                <w:color w:val="auto"/>
              </w:rPr>
            </w:pPr>
            <w:r>
              <w:rPr>
                <w:rFonts w:ascii="Arial" w:cs="Arial" w:eastAsia="Arial" w:hAnsi="Arial"/>
                <w:sz w:val="15"/>
                <w:szCs w:val="15"/>
                <w:color w:val="auto"/>
              </w:rPr>
              <w:t>1,301,683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29,210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597</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1,148,158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26,187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535</w:t>
            </w:r>
          </w:p>
        </w:tc>
        <w:tc>
          <w:tcPr>
            <w:tcW w:w="14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558</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5"/>
        </w:trPr>
        <w:tc>
          <w:tcPr>
            <w:tcW w:w="2420" w:type="dxa"/>
            <w:vAlign w:val="bottom"/>
          </w:tcPr>
          <w:p>
            <w:pPr>
              <w:ind w:left="220"/>
              <w:spacing w:after="0"/>
              <w:rPr>
                <w:sz w:val="20"/>
                <w:szCs w:val="20"/>
                <w:color w:val="auto"/>
              </w:rPr>
            </w:pPr>
            <w:r>
              <w:rPr>
                <w:rFonts w:ascii="Arial" w:cs="Arial" w:eastAsia="Arial" w:hAnsi="Arial"/>
                <w:sz w:val="15"/>
                <w:szCs w:val="15"/>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2,572,171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58,148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1,188</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33,848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836</w:t>
            </w:r>
          </w:p>
        </w:tc>
        <w:tc>
          <w:tcPr>
            <w:tcW w:w="8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incurred approximately $0.1 million in total costs related to the preferred share ATM program during both the three months ended March 31, 2025 and March 31, 2024.</w:t>
      </w:r>
    </w:p>
    <w:p>
      <w:pPr>
        <w:spacing w:after="0" w:line="99" w:lineRule="exact"/>
        <w:rPr>
          <w:sz w:val="20"/>
          <w:szCs w:val="20"/>
          <w:color w:val="auto"/>
        </w:rPr>
      </w:pPr>
    </w:p>
    <w:p>
      <w:pPr>
        <w:ind w:right="1480"/>
        <w:spacing w:after="0" w:line="406"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xml:space="preserve">” for additional information concerning the Amended Preferred Sales Agreement. </w:t>
      </w:r>
      <w:r>
        <w:rPr>
          <w:rFonts w:ascii="Arial" w:cs="Arial" w:eastAsia="Arial" w:hAnsi="Arial"/>
          <w:sz w:val="18"/>
          <w:szCs w:val="18"/>
          <w:i w:val="1"/>
          <w:iCs w:val="1"/>
          <w:color w:val="auto"/>
        </w:rPr>
        <w:t>Series C Preferred Shares</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were cumulative and at March 31, 2025, $2.6 million of Series C distributions were accumulated and unpaid.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13, 2018, the Trust issued 4,000,000 7.875% Series B Preferred Shares (the "Series B Preferred Shares") with a liquidation preference of $ 25.00 per share, for gross proceeds of $100.0 million, or $96.5 million net of underwriters' discount and issuance costs. Distributions on the Series B Preferred Shares are payable quarterly in arrears, when and as declared by the Company's board of directors on January 30, April 30, July 30, and October 30 of each year, beginning on July 30, 2018, at a rate per annum of 7.875%. Holders of the Series B Preferred Shares are entitled to receive cumulative cash distributions (i) from and including the date of issuance to, but excluding, April 30, 2028 a rate equal to 7.875% per annum and (ii) from and including April 30, 2028, at a floating rate equal to the applicable successor to three-month LIBOR (or a successor rate) plus a spread of 4.985% per annum. Subsequent to April 30, 2028, the distribution rate will be reset quarterly. At March 31, 2025, $2.5 million of Series B distributions were accumulated and unpaid.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2017, the Trust issued 4,000,000 7.250% Series A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the Allocation Interests (“Holders”), through Sostratus LLC, are entitled to receive distributions pursuant to a profit allocation formula upon the occurrence of certain events. The distributions of the profit allocation is paid upon the sale of a business (a "Sale Event") and upon election of the Holder during the 30-day period following the fifth anniversary of the date upon which we acquired a controlling interest in a business (a "Holding Event"). The Company records distributions of the profit allocation to the Holders upon occurrence of a Sale Event or Holding Event as dividends declared on Allocation Interests to stockholders’ equity when they are approved by the Board.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and therefore no profit allocation payment was due to the Holders. The negative amount will offset future profit allocation payments due to the Holders.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net income (loss) attributable to Holdings to net income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57785</wp:posOffset>
            </wp:positionV>
            <wp:extent cx="1808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70" w:lineRule="exact"/>
        <w:rPr>
          <w:sz w:val="20"/>
          <w:szCs w:val="20"/>
          <w:color w:val="auto"/>
        </w:rPr>
      </w:pPr>
    </w:p>
    <w:p>
      <w:pPr>
        <w:ind w:left="890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206"/>
        </w:trPr>
        <w:tc>
          <w:tcPr>
            <w:tcW w:w="16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ind w:left="78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Net income (loss) from continuing operations attributable to Holdings</w:t>
            </w:r>
          </w:p>
        </w:tc>
        <w:tc>
          <w:tcPr>
            <w:tcW w:w="3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(30,037)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(60,175)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Less: Distributions paid - Allocation Interests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48,941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Less: Distributions paid - Preferred Shares</w:t>
            </w:r>
          </w:p>
        </w:tc>
        <w:tc>
          <w:tcPr>
            <w:tcW w:w="3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8,434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6,045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Less: Accrued distributions - Preferred Shares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Net income (loss) from continuing operations attributable to common shares of Holdings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(118,039)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jc w:val="right"/>
              <w:ind w:right="2459"/>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1"/>
        </w:trPr>
        <w:tc>
          <w:tcPr>
            <w:tcW w:w="8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9A9A9A"/>
            </w:tcBorders>
          </w:tcPr>
          <w:p>
            <w:pPr>
              <w:spacing w:after="0"/>
              <w:rPr>
                <w:sz w:val="14"/>
                <w:szCs w:val="14"/>
                <w:color w:val="auto"/>
              </w:rPr>
            </w:pPr>
          </w:p>
        </w:tc>
        <w:tc>
          <w:tcPr>
            <w:tcW w:w="81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2025 and 2024 reflects the incremental increase during the period in the profit allocation distribution to Holders related to Holding Events.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Basic and diluted earnings per share for the three months ended March 31, 2025 and 2024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117475</wp:posOffset>
            </wp:positionV>
            <wp:extent cx="1800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5" w:lineRule="exact"/>
        <w:rPr>
          <w:sz w:val="20"/>
          <w:szCs w:val="20"/>
          <w:color w:val="auto"/>
        </w:rPr>
      </w:pPr>
    </w:p>
    <w:p>
      <w:pPr>
        <w:ind w:left="8880"/>
        <w:spacing w:after="0"/>
        <w:rPr>
          <w:sz w:val="20"/>
          <w:szCs w:val="20"/>
          <w:color w:val="auto"/>
        </w:rPr>
      </w:pPr>
      <w:r>
        <w:rPr>
          <w:rFonts w:ascii="Arial" w:cs="Arial" w:eastAsia="Arial" w:hAnsi="Arial"/>
          <w:sz w:val="15"/>
          <w:szCs w:val="15"/>
          <w:b w:val="1"/>
          <w:bCs w:val="1"/>
          <w:color w:val="auto"/>
        </w:rPr>
        <w:t>Three months ended</w:t>
      </w:r>
    </w:p>
    <w:tbl>
      <w:tblPr>
        <w:tblLayout w:type="fixed"/>
        <w:tblInd w:w="160" w:type="dxa"/>
        <w:tblCellMar>
          <w:top w:w="0" w:type="dxa"/>
          <w:left w:w="0" w:type="dxa"/>
          <w:bottom w:w="0" w:type="dxa"/>
          <w:right w:w="0" w:type="dxa"/>
        </w:tblCellMar>
      </w:tblPr>
      <w:tr>
        <w:trPr>
          <w:trHeight w:val="206"/>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March 31,</w:t>
            </w:r>
          </w:p>
        </w:tc>
      </w:tr>
      <w:tr>
        <w:trPr>
          <w:trHeight w:val="200"/>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196"/>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(As Restated)</w:t>
            </w:r>
          </w:p>
        </w:tc>
      </w:tr>
      <w:tr>
        <w:trPr>
          <w:trHeight w:val="197"/>
        </w:trPr>
        <w:tc>
          <w:tcPr>
            <w:tcW w:w="808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 attributable to common shares of Holdings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(43,619)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(118,039)</w:t>
            </w:r>
          </w:p>
        </w:tc>
      </w:tr>
      <w:tr>
        <w:trPr>
          <w:trHeight w:val="21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Effect of contribution based profit - Holding Event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214</w:t>
            </w: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 attributable to common shares of Holdings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(44,015)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(118,253)</w:t>
            </w:r>
          </w:p>
        </w:tc>
      </w:tr>
      <w:tr>
        <w:trPr>
          <w:trHeight w:val="217"/>
        </w:trPr>
        <w:tc>
          <w:tcPr>
            <w:tcW w:w="8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Income from discontinued operations attributable to Holdings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3,998</w:t>
            </w:r>
          </w:p>
        </w:tc>
      </w:tr>
      <w:tr>
        <w:trPr>
          <w:trHeight w:val="21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Effect of contribution based profit - Holding Event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5"/>
        </w:trPr>
        <w:tc>
          <w:tcPr>
            <w:tcW w:w="8080" w:type="dxa"/>
            <w:vAlign w:val="bottom"/>
          </w:tcPr>
          <w:p>
            <w:pPr>
              <w:ind w:left="20"/>
              <w:spacing w:after="0"/>
              <w:rPr>
                <w:sz w:val="20"/>
                <w:szCs w:val="20"/>
                <w:color w:val="auto"/>
              </w:rPr>
            </w:pPr>
            <w:r>
              <w:rPr>
                <w:rFonts w:ascii="Arial" w:cs="Arial" w:eastAsia="Arial" w:hAnsi="Arial"/>
                <w:sz w:val="16"/>
                <w:szCs w:val="16"/>
                <w:color w:val="auto"/>
              </w:rPr>
              <w:t>Income from discontinued operations attributable to common shares of Holdings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3,998</w:t>
            </w:r>
          </w:p>
        </w:tc>
      </w:tr>
      <w:tr>
        <w:trPr>
          <w:trHeight w:val="217"/>
        </w:trPr>
        <w:tc>
          <w:tcPr>
            <w:tcW w:w="8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Basic and diluted weighted average common shares outstanding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75,236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75,274</w:t>
            </w:r>
          </w:p>
        </w:tc>
      </w:tr>
      <w:tr>
        <w:trPr>
          <w:trHeight w:val="217"/>
        </w:trPr>
        <w:tc>
          <w:tcPr>
            <w:tcW w:w="8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Basic and fully diluted income (loss) per common share attributable to Holdings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0.05</w:t>
            </w:r>
          </w:p>
        </w:tc>
      </w:tr>
      <w:tr>
        <w:trPr>
          <w:trHeight w:val="221"/>
        </w:trPr>
        <w:tc>
          <w:tcPr>
            <w:tcW w:w="8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240"/>
          </w:cols>
          <w:pgMar w:left="320" w:top="1108" w:right="339" w:bottom="1440" w:gutter="0" w:footer="0" w:header="0"/>
        </w:sectPr>
      </w:pP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January 1, 2025 - March 31,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2024 - December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1, 2024 - September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2024 - June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2024 - March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January 30, 2025 - April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January 30, 2025 - April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3700" w:type="dxa"/>
            <w:vAlign w:val="bottom"/>
            <w:gridSpan w:val="2"/>
          </w:tcPr>
          <w:p>
            <w:pPr>
              <w:ind w:left="20"/>
              <w:spacing w:after="0" w:line="226" w:lineRule="exact"/>
              <w:rPr>
                <w:sz w:val="20"/>
                <w:szCs w:val="20"/>
                <w:color w:val="auto"/>
              </w:rPr>
            </w:pPr>
            <w:r>
              <w:rPr>
                <w:rFonts w:ascii="Arial" w:cs="Arial" w:eastAsia="Arial" w:hAnsi="Arial"/>
                <w:sz w:val="16"/>
                <w:szCs w:val="16"/>
                <w:color w:val="auto"/>
              </w:rPr>
              <w:t xml:space="preserve">July 30, 2024 - October 29, 2024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4"/>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January 30, 2025 - April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-3940175</wp:posOffset>
            </wp:positionV>
            <wp:extent cx="70980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-3665855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-3391535</wp:posOffset>
            </wp:positionV>
            <wp:extent cx="70980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-3151505</wp:posOffset>
            </wp:positionV>
            <wp:extent cx="709803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-2877185</wp:posOffset>
            </wp:positionV>
            <wp:extent cx="70980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-2602865</wp:posOffset>
            </wp:positionV>
            <wp:extent cx="70980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-2328545</wp:posOffset>
            </wp:positionV>
            <wp:extent cx="709803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-2088515</wp:posOffset>
            </wp:positionV>
            <wp:extent cx="70980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-1814195</wp:posOffset>
            </wp:positionV>
            <wp:extent cx="70980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-1539875</wp:posOffset>
            </wp:positionV>
            <wp:extent cx="70980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-1265555</wp:posOffset>
            </wp:positionV>
            <wp:extent cx="70980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-956945</wp:posOffset>
            </wp:positionV>
            <wp:extent cx="70980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-682625</wp:posOffset>
            </wp:positionV>
            <wp:extent cx="709803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-408305</wp:posOffset>
            </wp:positionV>
            <wp:extent cx="70980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-133985</wp:posOffset>
            </wp:positionV>
            <wp:extent cx="70980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6"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April 3, 2025.</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41"/>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8"/>
        </w:trPr>
        <w:tc>
          <w:tcPr>
            <w:tcW w:w="1500" w:type="dxa"/>
            <w:vAlign w:val="bottom"/>
          </w:tcPr>
          <w:p>
            <w:pPr>
              <w:jc w:val="right"/>
              <w:ind w:right="461"/>
              <w:spacing w:after="0"/>
              <w:rPr>
                <w:sz w:val="20"/>
                <w:szCs w:val="20"/>
                <w:color w:val="auto"/>
              </w:rPr>
            </w:pPr>
            <w:r>
              <w:rPr>
                <w:rFonts w:ascii="Arial" w:cs="Arial" w:eastAsia="Arial" w:hAnsi="Arial"/>
                <w:sz w:val="16"/>
                <w:szCs w:val="16"/>
                <w:b w:val="1"/>
                <w:bCs w:val="1"/>
                <w:color w:val="auto"/>
                <w:w w:val="95"/>
              </w:rPr>
              <w:t>Distributions</w:t>
            </w:r>
          </w:p>
        </w:tc>
        <w:tc>
          <w:tcPr>
            <w:tcW w:w="1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0"/>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17,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24,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17,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24,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25,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18,846</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25,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1,852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1,822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3,048</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2,347</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1,983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702"/>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3,324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2,690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2,430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2,295</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-4180205</wp:posOffset>
            </wp:positionV>
            <wp:extent cx="1165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5720" w:space="340"/>
            <w:col w:w="5180"/>
          </w:cols>
          <w:pgMar w:left="320" w:top="110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Noncontrolling interest represents the portion of the Company’s majority owned subsidiaries' net income (loss) and equity that is owned by noncontrolling shareholders. The following tables reflect the LLC’s ownership percentage of its majority owned operating segments and related noncontrolling interest balances as of March 31, 2025 and December 31, 2024:</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32" w:name="page33"/>
    <w:bookmarkEnd w:id="32"/>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ind w:left="8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44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March 31, 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5"/>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5"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5"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34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line="235" w:lineRule="auto"/>
        <w:tabs>
          <w:tab w:leader="none" w:pos="477" w:val="left"/>
        </w:tabs>
        <w:numPr>
          <w:ilvl w:val="0"/>
          <w:numId w:val="14"/>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Noncontrolling Interest Balances</w:t>
            </w:r>
          </w:p>
        </w:tc>
      </w:tr>
      <w:tr>
        <w:trPr>
          <w:trHeight w:val="19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6"/>
                <w:szCs w:val="16"/>
                <w:color w:val="auto"/>
              </w:rPr>
            </w:pPr>
          </w:p>
        </w:tc>
        <w:tc>
          <w:tcPr>
            <w:tcW w:w="1720" w:type="dxa"/>
            <w:vAlign w:val="bottom"/>
          </w:tcPr>
          <w:p>
            <w:pPr>
              <w:jc w:val="right"/>
              <w:ind w:right="180"/>
              <w:spacing w:after="0"/>
              <w:rPr>
                <w:sz w:val="20"/>
                <w:szCs w:val="20"/>
                <w:color w:val="auto"/>
              </w:rPr>
            </w:pPr>
            <w:r>
              <w:rPr>
                <w:rFonts w:ascii="Arial" w:cs="Arial" w:eastAsia="Arial" w:hAnsi="Arial"/>
                <w:sz w:val="15"/>
                <w:szCs w:val="15"/>
                <w:b w:val="1"/>
                <w:bCs w:val="1"/>
                <w:color w:val="auto"/>
              </w:rPr>
              <w:t>December 31, 2024</w:t>
            </w:r>
          </w:p>
        </w:tc>
      </w:tr>
      <w:tr>
        <w:trPr>
          <w:trHeight w:val="208"/>
        </w:trPr>
        <w:tc>
          <w:tcPr>
            <w:tcW w:w="5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(As Restated)</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15,103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Lugano (as restated)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(268,595)</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PrimaLoft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32,133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41,869</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6,824</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Arnold</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15"/>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Allocation Interests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 restated)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assets or liabilities measured on a recurring basis as of March 31, 2025 or December 31, 2024. The Company had no assets or liabilities Level 3 fair value measurements during the three months ended March 31, 2025 or during the year ended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2024 Form 10-K/A.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 provides the assets and liabilities carried at fair value measured on a non-recurring basis as of December 31, 2024. Refer to </w:t>
      </w:r>
      <w:r>
        <w:rPr>
          <w:rFonts w:ascii="Arial" w:cs="Arial" w:eastAsia="Arial" w:hAnsi="Arial"/>
          <w:sz w:val="18"/>
          <w:szCs w:val="18"/>
          <w:u w:val="single" w:color="auto"/>
          <w:color w:val="0000FF"/>
        </w:rPr>
        <w:t>"Note F - Goodwill and Intangible Assets"</w:t>
      </w:r>
      <w:r>
        <w:rPr>
          <w:rFonts w:ascii="Arial" w:cs="Arial" w:eastAsia="Arial" w:hAnsi="Arial"/>
          <w:sz w:val="18"/>
          <w:szCs w:val="18"/>
          <w:color w:val="auto"/>
        </w:rPr>
        <w:t>, for a description of the valuation techniques used to determine fair value of the assets measured on a non-recurring basis in the table below. There were no assets or liabilities carried at fair value measured on a non-recurring basis as of March 31, 2025.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3" w:name="page34"/>
    <w:bookmarkEnd w:id="33"/>
    <w:tbl>
      <w:tblPr>
        <w:tblLayout w:type="fixed"/>
        <w:tblInd w:w="78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22"/>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7"/>
          </w:tcPr>
          <w:p>
            <w:pPr>
              <w:ind w:left="480"/>
              <w:spacing w:after="0"/>
              <w:rPr>
                <w:sz w:val="20"/>
                <w:szCs w:val="20"/>
                <w:color w:val="auto"/>
              </w:rPr>
            </w:pPr>
            <w:r>
              <w:rPr>
                <w:rFonts w:ascii="Arial" w:cs="Arial" w:eastAsia="Arial" w:hAnsi="Arial"/>
                <w:sz w:val="15"/>
                <w:szCs w:val="15"/>
                <w:b w:val="1"/>
                <w:bCs w:val="1"/>
                <w:color w:val="auto"/>
              </w:rPr>
              <w:t>Fair Value Measurements at December 31, 2024</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22"/>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1220" w:type="dxa"/>
            <w:vAlign w:val="bottom"/>
            <w:vMerge w:val="restart"/>
          </w:tcPr>
          <w:p>
            <w:pPr>
              <w:ind w:left="660"/>
              <w:spacing w:after="0"/>
              <w:rPr>
                <w:sz w:val="20"/>
                <w:szCs w:val="20"/>
                <w:color w:val="auto"/>
              </w:rPr>
            </w:pPr>
            <w:r>
              <w:rPr>
                <w:rFonts w:ascii="Arial" w:cs="Arial" w:eastAsia="Arial" w:hAnsi="Arial"/>
                <w:sz w:val="15"/>
                <w:szCs w:val="15"/>
                <w:b w:val="1"/>
                <w:bCs w:val="1"/>
                <w:color w:val="auto"/>
              </w:rPr>
              <w:t>Level 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jc w:val="center"/>
              <w:ind w:right="122"/>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9"/>
              </w:rPr>
              <w:t>Value</w:t>
            </w: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Velocity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estimates its annual effective tax rate for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74930</wp:posOffset>
            </wp:positionV>
            <wp:extent cx="2425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05" w:lineRule="exact"/>
        <w:rPr>
          <w:sz w:val="20"/>
          <w:szCs w:val="20"/>
          <w:color w:val="auto"/>
        </w:rPr>
      </w:pPr>
    </w:p>
    <w:p>
      <w:pPr>
        <w:ind w:left="764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80"/>
              <w:spacing w:after="0"/>
              <w:rPr>
                <w:sz w:val="20"/>
                <w:szCs w:val="20"/>
                <w:color w:val="auto"/>
              </w:rPr>
            </w:pPr>
            <w:r>
              <w:rPr>
                <w:rFonts w:ascii="Arial" w:cs="Arial" w:eastAsia="Arial" w:hAnsi="Arial"/>
                <w:sz w:val="15"/>
                <w:szCs w:val="15"/>
                <w:b w:val="1"/>
                <w:bCs w:val="1"/>
                <w:color w:val="auto"/>
              </w:rPr>
              <w:t>2024</w:t>
            </w:r>
          </w:p>
        </w:tc>
      </w:tr>
      <w:tr>
        <w:trPr>
          <w:trHeight w:val="208"/>
        </w:trPr>
        <w:tc>
          <w:tcPr>
            <w:tcW w:w="6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6280" w:type="dxa"/>
            <w:vAlign w:val="bottom"/>
          </w:tcPr>
          <w:p>
            <w:pPr>
              <w:spacing w:after="0"/>
              <w:rPr>
                <w:sz w:val="20"/>
                <w:szCs w:val="20"/>
                <w:color w:val="auto"/>
              </w:rPr>
            </w:pPr>
            <w:r>
              <w:rPr>
                <w:rFonts w:ascii="Arial" w:cs="Arial" w:eastAsia="Arial" w:hAnsi="Arial"/>
                <w:sz w:val="16"/>
                <w:szCs w:val="16"/>
                <w:color w:val="auto"/>
              </w:rPr>
              <w:t>United States Federal Statutory Rate</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income taxes (net of Federal benefits)</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Foreign income taxes</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(0.8)</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Non-deductible acquisition costs</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(0.3)</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of tax credits</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Non-recognition of various carryforwards at subsidiaries</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(25.4)</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tax on foreign income</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Impairment expense</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(1.7)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r>
      <w:tr>
        <w:trPr>
          <w:trHeight w:val="210"/>
        </w:trPr>
        <w:tc>
          <w:tcPr>
            <w:tcW w:w="7460" w:type="dxa"/>
            <w:vAlign w:val="bottom"/>
            <w:gridSpan w:val="2"/>
          </w:tcPr>
          <w:p>
            <w:pPr>
              <w:ind w:left="340"/>
              <w:spacing w:after="0"/>
              <w:rPr>
                <w:sz w:val="20"/>
                <w:szCs w:val="20"/>
                <w:color w:val="auto"/>
              </w:rPr>
            </w:pPr>
            <w:r>
              <w:rPr>
                <w:rFonts w:ascii="Arial" w:cs="Arial" w:eastAsia="Arial" w:hAnsi="Arial"/>
                <w:sz w:val="16"/>
                <w:szCs w:val="16"/>
                <w:color w:val="auto"/>
              </w:rPr>
              <w:t>Effective 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6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$2.5 million is recognized in the consolidated balance sheet as a component of other non-current liabilities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2025. Net periodic benefit cost consists of the following for the three months ended March 31, 2025 and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ind w:left="7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4845685</wp:posOffset>
            </wp:positionH>
            <wp:positionV relativeFrom="page">
              <wp:posOffset>697230</wp:posOffset>
            </wp:positionV>
            <wp:extent cx="1971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1675" cy="8255"/>
                    </a:xfrm>
                    <a:prstGeom prst="rect">
                      <a:avLst/>
                    </a:prstGeom>
                    <a:noFill/>
                  </pic:spPr>
                </pic:pic>
              </a:graphicData>
            </a:graphic>
          </wp:anchor>
        </w:drawing>
        <w:t>Three months ended March 31,</w:t>
      </w:r>
    </w:p>
    <w:p>
      <w:pPr>
        <w:spacing w:after="0" w:line="33"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64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2024</w:t>
            </w: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5"/>
        </w:trPr>
        <w:tc>
          <w:tcPr>
            <w:tcW w:w="64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648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unrecognized loss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settlement</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periodic benefit cost</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three months ended March 31,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 the terms of the pension agreement, Arnold contributed approximately $0.2 million to the plan. For the remainder of 2025, the expected contribution to the plan will be approximately $0.5 million.</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2025 were considered Level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subject to legal proceedings and claims that arise in the ordinary course of business. A liability for a loss contingency is accrued when it is both probable that a liability has been incurred and the amount of the loss can be reasonably estimated. For all other material loss contingencies, including those where the loss is reasonably possible or where the amount cannot be reasonably estimated, the Company discloses the nature of the contingency. The Lugano Investigation and the restatement of our previously issued consolidated financial statements for the periods ended at December 31, 2024, 2023 and 2022, may result in additional stockholder litigation, regulatory investigations and additional liabilities in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Action Naming Lugano and the Company as Defendants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24, 2025, a complaint was filed against Lugano, the Company and others in California State Court, styled Champion Force Industrial Limited v. Lugano Diamonds &amp; Jewelry Inc., et al., asserting claims for breach of contract, goods had and received, conversion, fraud, promissory estoppel, unjust enrichment, and fraudulent conveyance. The plaintiff is a vendor of diamonds and finished jewelry to Lugano and seeking in excess of $56.4 million in damages, principally for unpaid goods. The foregoing matter is in the early stages and the Company is currently unable to determine the likelihood of an unfavorable outcome.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this matter is subject to an automatic stay that prohibits, among other things, the continuation of this action against Lugano, as debtor, outside of the bankruptcy process. If Lugano is determined to be a necessary party to this litigation, it is possible that the litigation may also be stayed as against the Company. Presently, the Company currently remains a defendant in this case but believes that it can avail itself of certain defenses to these claims and intends to vigorously defend itself.</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an accrual of $51.0 million as of March 31, 2025 related to certain current contractual obligations to Lugano’s vendors, including Champion, in accordance with applicable accounting standards. Accordingly, the Company intends to avail itself of all available defenses in the Champion litigation. The Company is unable to reasonably estimate any additional loss or range of possible loss, if any, that may result from the Champion litigation or whether such loss or range of possible loss would be less than, equal or exceed the amounts accrued in respect of Lugano’s contract with Champion.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Lugano-Specific Claims and Threatened Claims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period from approximately April 1, 2025 to November 21, 2025, litigation has been threatened and initiated by counterparties to transactions that appear to have been overseen by Lugano’s former CEO, Moti Ferder, who resigned effective May 7, 2025. The vast majority involve purported investment arrangements whereby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8"/>
          <w:szCs w:val="18"/>
          <w:color w:val="auto"/>
        </w:rPr>
        <w:t>claimant delivered a specified dollar amount to Lugano in exchange for either (a) a profits interest in the future sale of a specified diamond(s), or (b) a guaranteed interest rate (collectively, “Diamond Financing Arrangements”).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Diamond Financing Arrangements are the subject of current litigation, primarily in California State court, and the majority of the plaintiffs in these cases have presented similar fact patterns and are primarily seeking damages for alleged losses of principal amounts invested (“Diamond Financing Litigation”). The total damages being sought by all plaintiffs in Diamond Financing Litigation, is approximately $32.2 million, plus interest and penalties, in most cases. The Diamond Financing Litigation is in the early stages and the Company is currently unable to determine the likelihood of an unfavorable outcome for any or all of these cases. At this time, management has determined that a loss is reasonably possible; however, management cannot currently reasonably estimate such loss or range of potential loss associated with the Diamond Financing Litigation.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the Diamond Financing Litigation is subject to an automatic stay that prohibits, among other things, the continuation of these actions against Lugano, as debtor, outside of the bankruptcy process. The Company was named in a co-defendant in one Diamond Financing Litigation matter for which the plaintiff is seeking approximately $1.4 million in damages, plus interest and penalties. If Lugano is determined to be a necessary party to this litigation, it is possible that the litigation may also be stayed as against the Company. Nonetheless, the Company believes that it can avail itself of certain defenses to this claim and intends to vigorously defend itself.</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not the subject of active litigation, claims have been asserted against Lugano and legal action has been threatened by parties to alleged Diamond Financing Arrangements (the “Diamond Financing Arrangement Claims”). At this time, management has determined that a loss resulting from the Diamond Financing Arrangement Claims is reasonably possible; however, management cannot currently reasonably estimate such loss or range of potential loss.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recorded an accrual of $181.7 million as of March 31, 2025 of estimated principal as short-term debt and interest expense in its condensed consolidated financial statements related to previously undisclosed financing arrangements at Lugano, in accordance with applicable accounting standards, although such financing arrangements are subject to dispute. Accordingly, the Company intends to avail itself of all available defenses in the Diamond Financing Litigation (or any Diamond Financing Arrangement Claim or other Diamond Financing Arrangements for which claims may arise). The Company is unable to reasonably estimate any additional loss or range of possible loss, if any, that may result from the Diamond Financing Litigation (or any Diamond Financing Arrangement Claim or other Diamond Financing Arrangements for which claims may arise) or whether such loss or range of possible loss would be less than, equal to or exceed the amounts accrued in respect of the previously undisclosed financing arrangements at Lugano.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Lugano Chapter 11 Filing on Lugano Claims and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16, 2025, Lugano Holding, Inc. and certain of its subsidiaries, filed voluntary Chapter 11 petitions under the United States Bankruptcy Code in the United States Bankruptcy Court for the District of Delaware. Upon the filing of a bankruptcy petition, Section 362 of the Bankruptcy Code imposes an automatic stay that prohibits, among other things, the commencement or continuation of numerous actions against the debtor entity (in this case, Lugano), which include all lawsuits and collection efforts. The stay goes into effect immediately upon the bankruptcy filing without any further action by the debtor entity or any other party. The automatic stay remains in place until resolution of the bankruptcy case, or until otherwise waived by the debtor. The automatic stay generally protects only the debtor and does not usually extend to non-debtor parties who may be the subject of claims or litigation, including co-defendants named in litigation where Lugano is also defendant. In certain circumstances, a court may extend the stay to non-debtors if the debtor entity is a necessary party to the action. Thus, upon the filing of its bankruptcy petition, the automatic stay will immediately go into effect and prohibit further litigation against Lugano in courts outside of the Bankruptcy Court but will not necessarily prohibit continuation of actions against the Company in Lugano-related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our subsidiaries have leases that contain both fixed rent costs and variable rent costs based on achievement of certain operating metrics. The variable lease expense was not a material component of our total lease expense for the three months ended March 31, 2025 and 2024. The Company recognized $13.5 million and $11.3 million in the three months ended March 31, 2025, and March 31, 2024, respectively, in expense related to operating leases in the condensed consolidated statements of operations. The Company entered into one finance lease in the fourth quarter of 2024. In the three months ended March 31, 2025, the Company recognized $0.2 million in interest expense related to its finance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March 31, 2025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9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Operating</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Finance</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2025 (excluding the three months ended March 31,</w:t>
            </w:r>
          </w:p>
        </w:tc>
        <w:tc>
          <w:tcPr>
            <w:tcW w:w="1480" w:type="dxa"/>
            <w:vAlign w:val="bottom"/>
            <w:vMerge w:val="restart"/>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39,637</w:t>
            </w:r>
          </w:p>
        </w:tc>
        <w:tc>
          <w:tcPr>
            <w:tcW w:w="12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2026</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54,207</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54,926</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53,185</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2028</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35,775</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35,775</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26,366</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26,366</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72,773</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72,773</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1480" w:type="dxa"/>
            <w:vAlign w:val="bottom"/>
            <w:tcBorders>
              <w:top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274,903</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283,201</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66,422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67,823</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208,481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215,378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240" w:type="dxa"/>
            <w:vAlign w:val="bottom"/>
            <w:tcBorders>
              <w:top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March 31, 2025</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March 31, 2024</w:t>
            </w:r>
          </w:p>
        </w:tc>
      </w:tr>
      <w:tr>
        <w:trPr>
          <w:trHeight w:val="21"/>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8.93 %</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8.62 %</w:t>
            </w: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9.90 %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80" w:type="dxa"/>
            <w:vAlign w:val="bottom"/>
            <w:tcBorders>
              <w:top w:val="single" w:sz="8" w:color="auto"/>
            </w:tcBorders>
          </w:tcPr>
          <w:p>
            <w:pPr>
              <w:ind w:left="40"/>
              <w:spacing w:after="0" w:line="162" w:lineRule="exact"/>
              <w:rPr>
                <w:sz w:val="20"/>
                <w:szCs w:val="20"/>
                <w:color w:val="auto"/>
              </w:rPr>
            </w:pPr>
            <w:r>
              <w:rPr>
                <w:rFonts w:ascii="Arial" w:cs="Arial" w:eastAsia="Arial" w:hAnsi="Arial"/>
                <w:sz w:val="15"/>
                <w:szCs w:val="15"/>
                <w:b w:val="1"/>
                <w:bCs w:val="1"/>
                <w:color w:val="auto"/>
              </w:rPr>
              <w:t>Line Item in the Company’s Consolidated</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400"/>
              <w:spacing w:after="0"/>
              <w:rPr>
                <w:sz w:val="20"/>
                <w:szCs w:val="20"/>
                <w:color w:val="auto"/>
              </w:rPr>
            </w:pPr>
            <w:r>
              <w:rPr>
                <w:rFonts w:ascii="Arial" w:cs="Arial" w:eastAsia="Arial" w:hAnsi="Arial"/>
                <w:sz w:val="15"/>
                <w:szCs w:val="15"/>
                <w:b w:val="1"/>
                <w:bCs w:val="1"/>
                <w:color w:val="auto"/>
              </w:rPr>
              <w:t>March 31, 2025</w:t>
            </w:r>
          </w:p>
        </w:tc>
        <w:tc>
          <w:tcPr>
            <w:tcW w:w="8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5"/>
                <w:szCs w:val="15"/>
                <w:b w:val="1"/>
                <w:bCs w:val="1"/>
                <w:color w:val="auto"/>
              </w:rPr>
              <w:t>Balance Sheet</w:t>
            </w:r>
          </w:p>
        </w:tc>
        <w:tc>
          <w:tcPr>
            <w:tcW w:w="3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183,447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191,639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190,329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39,033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38,180</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178,577</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Finance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215,378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223,665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128905</wp:posOffset>
            </wp:positionV>
            <wp:extent cx="28632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p>
      <w:pPr>
        <w:spacing w:after="0" w:line="203" w:lineRule="exact"/>
        <w:rPr>
          <w:sz w:val="20"/>
          <w:szCs w:val="20"/>
          <w:color w:val="auto"/>
        </w:rPr>
      </w:pPr>
    </w:p>
    <w:p>
      <w:pPr>
        <w:jc w:val="center"/>
        <w:ind w:left="6660"/>
        <w:spacing w:after="0"/>
        <w:rPr>
          <w:sz w:val="20"/>
          <w:szCs w:val="20"/>
          <w:color w:val="auto"/>
        </w:rPr>
      </w:pPr>
      <w:r>
        <w:rPr>
          <w:rFonts w:ascii="Arial" w:cs="Arial" w:eastAsia="Arial" w:hAnsi="Arial"/>
          <w:sz w:val="15"/>
          <w:szCs w:val="15"/>
          <w:b w:val="1"/>
          <w:bCs w:val="1"/>
          <w:color w:val="auto"/>
        </w:rPr>
        <w:t>Three months ended March</w:t>
      </w:r>
    </w:p>
    <w:p>
      <w:pPr>
        <w:jc w:val="center"/>
        <w:ind w:left="6660"/>
        <w:spacing w:after="0"/>
        <w:rPr>
          <w:sz w:val="20"/>
          <w:szCs w:val="20"/>
          <w:color w:val="auto"/>
        </w:rPr>
      </w:pPr>
      <w:r>
        <w:rPr>
          <w:rFonts w:ascii="Arial" w:cs="Arial" w:eastAsia="Arial" w:hAnsi="Arial"/>
          <w:sz w:val="15"/>
          <w:szCs w:val="15"/>
          <w:b w:val="1"/>
          <w:bCs w:val="1"/>
          <w:color w:val="auto"/>
        </w:rPr>
        <w:t>31, 2025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Three months ended March</w:t>
      </w:r>
    </w:p>
    <w:p>
      <w:pPr>
        <w:jc w:val="center"/>
        <w:ind w:right="260"/>
        <w:spacing w:after="0"/>
        <w:rPr>
          <w:sz w:val="20"/>
          <w:szCs w:val="20"/>
          <w:color w:val="auto"/>
        </w:rPr>
      </w:pPr>
      <w:r>
        <w:rPr>
          <w:rFonts w:ascii="Arial" w:cs="Arial" w:eastAsia="Arial" w:hAnsi="Arial"/>
          <w:sz w:val="15"/>
          <w:szCs w:val="15"/>
          <w:b w:val="1"/>
          <w:bCs w:val="1"/>
          <w:color w:val="auto"/>
        </w:rPr>
        <w:t>31, 2024</w:t>
      </w:r>
    </w:p>
    <w:p>
      <w:pPr>
        <w:spacing w:after="0" w:line="22" w:lineRule="exact"/>
        <w:rPr>
          <w:sz w:val="20"/>
          <w:szCs w:val="20"/>
          <w:color w:val="auto"/>
        </w:rPr>
      </w:pPr>
    </w:p>
    <w:p>
      <w:pPr>
        <w:sectPr>
          <w:pgSz w:w="11900" w:h="16838" w:orient="portrait"/>
          <w:cols w:equalWidth="0" w:num="2">
            <w:col w:w="8660" w:space="320"/>
            <w:col w:w="2260"/>
          </w:cols>
          <w:pgMar w:left="320" w:top="1106" w:right="339" w:bottom="1440" w:gutter="0" w:footer="0" w:header="0"/>
          <w:type w:val="continuous"/>
        </w:sectPr>
      </w:pPr>
    </w:p>
    <w:tbl>
      <w:tblPr>
        <w:tblLayout w:type="fixed"/>
        <w:tblInd w:w="160" w:type="dxa"/>
        <w:tblCellMar>
          <w:top w:w="0" w:type="dxa"/>
          <w:left w:w="0" w:type="dxa"/>
          <w:bottom w:w="0" w:type="dxa"/>
          <w:right w:w="0" w:type="dxa"/>
        </w:tblCellMar>
      </w:tblPr>
      <w:tr>
        <w:trPr>
          <w:trHeight w:val="208"/>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8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cash flows from 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13,514</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10,618</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cash flows from finance leases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Financing cash flows from finance leases</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2,310</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Finance leases</w:t>
            </w:r>
          </w:p>
        </w:tc>
        <w:tc>
          <w:tcPr>
            <w:tcW w:w="8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2024, Arnold relocated two of its facilities located in Marengo, Illinois into one combined facility in Woodstock, Illinois. Arnold recorded $9.9 million in exit costs related to the move of which $9.3 million was recorded in selling, general and administrative expense and $0.6 million is recorded in costs of revenues in the consolidated statement of operations in the year ended December 31, 2024. An additional $2.9 million in expense was incurred related to the move to the new facility that were not classified as exit costs, for total expense of approximately $13.0 million in the year ended December 31, 2024. Arnold recorded an additional $0.9 million in costs in the first quarter of 2025 related to the relocation of the two facilities. The exit from the Marengo facility is now substantially complete.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LLC entered into the Management Services Agreement ("MSA") with CGM effective May 16, 2006, as amended. Our Chief Executive Officer is a partner of CGM. The MSA provides for, among other things, CGM to perform services for the LLC in exchange for a management fee paid quarterly.</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w:t>
      </w:r>
    </w:p>
    <w:p>
      <w:pPr>
        <w:spacing w:after="0" w:line="2"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 of the Company’s adjusted net assets when the adjusted net assets are less than or equal to $3.5 billion (the “Initial Threshold Fee”),</w:t>
      </w:r>
    </w:p>
    <w:p>
      <w:pPr>
        <w:spacing w:after="0" w:line="9" w:lineRule="exact"/>
        <w:rPr>
          <w:rFonts w:ascii="Arial" w:cs="Arial" w:eastAsia="Arial" w:hAnsi="Arial"/>
          <w:sz w:val="18"/>
          <w:szCs w:val="18"/>
          <w:color w:val="auto"/>
        </w:rPr>
      </w:pPr>
    </w:p>
    <w:p>
      <w:pPr>
        <w:jc w:val="both"/>
        <w:ind w:firstLine="8"/>
        <w:spacing w:after="0" w:line="255"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Board.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currently estimates the aggregate amount of overpaid management fees as of March 31, 2025 at approximately $43.1 million, which amount will reduce future payments on a dollar-for-dollar basis. The Board intends to direct the Company to pursue its right to recover all such excess management fees paid to the Manager as soon as is reasonably practicable in light of the facts and circumstances.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management fee amounts that were in excess of the amount due after the restatement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vMerge w:val="restart"/>
          </w:tcPr>
          <w:p>
            <w:pPr>
              <w:jc w:val="center"/>
              <w:ind w:right="460"/>
              <w:spacing w:after="0"/>
              <w:rPr>
                <w:sz w:val="20"/>
                <w:szCs w:val="20"/>
                <w:color w:val="auto"/>
              </w:rPr>
            </w:pPr>
            <w:r>
              <w:rPr>
                <w:rFonts w:ascii="Arial" w:cs="Arial" w:eastAsia="Arial" w:hAnsi="Arial"/>
                <w:sz w:val="16"/>
                <w:szCs w:val="16"/>
                <w:b w:val="1"/>
                <w:bCs w:val="1"/>
                <w:color w:val="auto"/>
              </w:rPr>
              <w:t>Management Fee -</w:t>
            </w:r>
          </w:p>
        </w:tc>
        <w:tc>
          <w:tcPr>
            <w:tcW w:w="18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Management Fee -</w:t>
            </w:r>
          </w:p>
        </w:tc>
        <w:tc>
          <w:tcPr>
            <w:tcW w:w="200" w:type="dxa"/>
            <w:vAlign w:val="bottom"/>
          </w:tcPr>
          <w:p>
            <w:pPr>
              <w:spacing w:after="0"/>
              <w:rPr>
                <w:sz w:val="16"/>
                <w:szCs w:val="16"/>
                <w:color w:val="auto"/>
              </w:rPr>
            </w:pPr>
          </w:p>
        </w:tc>
        <w:tc>
          <w:tcPr>
            <w:tcW w:w="17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Overpayment of</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ind w:left="100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Arial" w:cs="Arial" w:eastAsia="Arial" w:hAnsi="Arial"/>
                <w:sz w:val="16"/>
                <w:szCs w:val="16"/>
                <w:b w:val="1"/>
                <w:bCs w:val="1"/>
                <w:color w:val="auto"/>
                <w:w w:val="99"/>
              </w:rPr>
              <w:t>Adjusted for</w:t>
            </w:r>
          </w:p>
        </w:tc>
        <w:tc>
          <w:tcPr>
            <w:tcW w:w="2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60"/>
              <w:spacing w:after="0" w:line="216" w:lineRule="exact"/>
              <w:rPr>
                <w:sz w:val="20"/>
                <w:szCs w:val="20"/>
                <w:color w:val="auto"/>
              </w:rPr>
            </w:pPr>
            <w:r>
              <w:rPr>
                <w:rFonts w:ascii="Arial" w:cs="Arial" w:eastAsia="Arial" w:hAnsi="Arial"/>
                <w:sz w:val="16"/>
                <w:szCs w:val="16"/>
                <w:b w:val="1"/>
                <w:bCs w:val="1"/>
                <w:color w:val="auto"/>
                <w:w w:val="95"/>
              </w:rPr>
              <w:t xml:space="preserve">Incurred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Restatement</w:t>
            </w:r>
          </w:p>
        </w:tc>
        <w:tc>
          <w:tcPr>
            <w:tcW w:w="2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rPr>
              <w:t>Management Fee</w:t>
            </w:r>
          </w:p>
        </w:tc>
        <w:tc>
          <w:tcPr>
            <w:tcW w:w="0" w:type="dxa"/>
            <w:vAlign w:val="bottom"/>
          </w:tcPr>
          <w:p>
            <w:pPr>
              <w:spacing w:after="0"/>
              <w:rPr>
                <w:sz w:val="1"/>
                <w:szCs w:val="1"/>
                <w:color w:val="auto"/>
              </w:rPr>
            </w:pPr>
          </w:p>
        </w:tc>
      </w:tr>
      <w:tr>
        <w:trPr>
          <w:trHeight w:val="128"/>
        </w:trPr>
        <w:tc>
          <w:tcPr>
            <w:tcW w:w="3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December 31, 2021 </w:t>
            </w:r>
            <w:r>
              <w:rPr>
                <w:rFonts w:ascii="Arial" w:cs="Arial" w:eastAsia="Arial" w:hAnsi="Arial"/>
                <w:sz w:val="21"/>
                <w:szCs w:val="21"/>
                <w:b w:val="1"/>
                <w:bCs w:val="1"/>
                <w:color w:val="auto"/>
                <w:vertAlign w:val="superscript"/>
              </w:rPr>
              <w:t>(2)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March 31, 2022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13,128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2022</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16,592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14,785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March 31, 2023</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16,458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September 30, 2023</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18,596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15,392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March 31, 2024</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18,067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2024</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September 30, 2024</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14,351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2024</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31, 2025</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3"/>
          <w:szCs w:val="23"/>
          <w:b w:val="1"/>
          <w:bCs w:val="1"/>
          <w:color w:val="auto"/>
          <w:vertAlign w:val="superscript"/>
        </w:rPr>
      </w:pPr>
      <w:r>
        <w:rPr>
          <w:rFonts w:ascii="Arial" w:cs="Arial" w:eastAsia="Arial" w:hAnsi="Arial"/>
          <w:sz w:val="18"/>
          <w:szCs w:val="18"/>
          <w:color w:val="auto"/>
        </w:rPr>
        <w:t>Management Fee incurred in the quarter indicated prior to the effect of discontinued operation, as applicable.</w:t>
      </w:r>
    </w:p>
    <w:p>
      <w:pPr>
        <w:spacing w:after="0" w:line="139" w:lineRule="exact"/>
        <w:rPr>
          <w:rFonts w:ascii="Arial" w:cs="Arial" w:eastAsia="Arial" w:hAnsi="Arial"/>
          <w:sz w:val="23"/>
          <w:szCs w:val="23"/>
          <w:b w:val="1"/>
          <w:bCs w:val="1"/>
          <w:color w:val="auto"/>
          <w:vertAlign w:val="superscript"/>
        </w:rPr>
      </w:pPr>
    </w:p>
    <w:p>
      <w:pPr>
        <w:ind w:firstLine="8"/>
        <w:spacing w:after="0" w:line="231" w:lineRule="auto"/>
        <w:tabs>
          <w:tab w:leader="none" w:pos="233" w:val="left"/>
        </w:tabs>
        <w:numPr>
          <w:ilvl w:val="0"/>
          <w:numId w:val="16"/>
        </w:numPr>
        <w:rPr>
          <w:rFonts w:ascii="Arial" w:cs="Arial" w:eastAsia="Arial" w:hAnsi="Arial"/>
          <w:sz w:val="23"/>
          <w:szCs w:val="23"/>
          <w:b w:val="1"/>
          <w:bCs w:val="1"/>
          <w:color w:val="auto"/>
          <w:vertAlign w:val="superscript"/>
        </w:rPr>
      </w:pPr>
      <w:r>
        <w:rPr>
          <w:rFonts w:ascii="Arial" w:cs="Arial" w:eastAsia="Arial" w:hAnsi="Arial"/>
          <w:sz w:val="18"/>
          <w:szCs w:val="18"/>
          <w:color w:val="auto"/>
        </w:rPr>
        <w:t>Lugano was acquired on September 3, 2021. The overpayment of Management fee in 2021 is limited to the three months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LLC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LLC agreement gives Holders the right to distributions pursuant to a profit allocation formula upon the occurrence of a Sale Event or a Holding Event. The Holders are entitled to receive and as such can elect to receive, if due pursuant to the profit allocation formula, an allocation payment upon the sale of a business (a "Sale Event") and upon election of the Holders during the 30-day period following the fifth anniversary of the date upon which we acquired a controlling interest in a business (Holding Event). Holders received $48.9 million in distributions in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first quarter of 2024 related to a Sale Event that occurred during 2023. Refer to "</w:t>
      </w:r>
      <w:r>
        <w:rPr>
          <w:rFonts w:ascii="Arial" w:cs="Arial" w:eastAsia="Arial" w:hAnsi="Arial"/>
          <w:sz w:val="18"/>
          <w:szCs w:val="18"/>
          <w:u w:val="single" w:color="auto"/>
          <w:color w:val="0000FF"/>
        </w:rPr>
        <w:t>Note I - Stockholders' Equity</w:t>
      </w:r>
      <w:r>
        <w:rPr>
          <w:rFonts w:ascii="Arial" w:cs="Arial" w:eastAsia="Arial" w:hAnsi="Arial"/>
          <w:sz w:val="18"/>
          <w:szCs w:val="18"/>
          <w:color w:val="auto"/>
        </w:rPr>
        <w:t>" for a description of the profit allocation payments.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Form 10-K/A.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Integration service fees are included in selling, general and administrative expenses on the subsidiaries' statement of operations in the period in which they are incurred.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The amendment to the Management Service Agreement entered into in January 2025 eliminated the payment of integration services for future acquisitions.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 THP paid CGM $0.9 million in integration service fees in the quarters ended June 30, 2024, September 30, 2024, December 31, 2024 and March 31, 2025, respectively.</w:t>
      </w:r>
    </w:p>
    <w:p>
      <w:pPr>
        <w:spacing w:after="0" w:line="173" w:lineRule="exact"/>
        <w:rPr>
          <w:sz w:val="20"/>
          <w:szCs w:val="20"/>
          <w:color w:val="auto"/>
        </w:rPr>
      </w:pPr>
    </w:p>
    <w:p>
      <w:pPr>
        <w:ind w:right="3560"/>
        <w:spacing w:after="0" w:line="374" w:lineRule="auto"/>
        <w:rPr>
          <w:sz w:val="20"/>
          <w:szCs w:val="20"/>
          <w:color w:val="auto"/>
        </w:rPr>
      </w:pPr>
      <w:r>
        <w:rPr>
          <w:rFonts w:ascii="Arial" w:cs="Arial" w:eastAsia="Arial" w:hAnsi="Arial"/>
          <w:sz w:val="18"/>
          <w:szCs w:val="18"/>
          <w:b w:val="1"/>
          <w:bCs w:val="1"/>
          <w:i w:val="1"/>
          <w:iCs w:val="1"/>
          <w:color w:val="auto"/>
        </w:rPr>
        <w:t xml:space="preserve">The Company and its businesses have the following significant related party transactions </w:t>
      </w:r>
      <w:r>
        <w:rPr>
          <w:rFonts w:ascii="Arial" w:cs="Arial" w:eastAsia="Arial" w:hAnsi="Arial"/>
          <w:sz w:val="18"/>
          <w:szCs w:val="18"/>
          <w:i w:val="1"/>
          <w:iCs w:val="1"/>
          <w:u w:val="single" w:color="auto"/>
          <w:color w:val="auto"/>
        </w:rPr>
        <w:t>5.11</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$0.2 million and $0.4 million during the three months ended March 31, 2025 and March 31, 2024, respectively in inventory from the vendor.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$12.0 million and $10.6 million from this supplier during the three months ended March 31, 2025 and March 31,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During the three months ended March 31, 2025, Lugano purchased approximately $1.9 million in inventory from the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Operating Segment Data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2025, the Company had nine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jc w:val="both"/>
        <w:ind w:left="340" w:hanging="331"/>
        <w:spacing w:after="0" w:line="25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w:t>
      </w:r>
    </w:p>
    <w:p>
      <w:pPr>
        <w:spacing w:after="0" w:line="128" w:lineRule="exact"/>
        <w:rPr>
          <w:rFonts w:ascii="Arial" w:cs="Arial" w:eastAsia="Arial" w:hAnsi="Arial"/>
          <w:sz w:val="18"/>
          <w:szCs w:val="18"/>
          <w:color w:val="auto"/>
        </w:rPr>
      </w:pPr>
    </w:p>
    <w:p>
      <w:pPr>
        <w:jc w:val="both"/>
        <w:ind w:left="340" w:hanging="331"/>
        <w:spacing w:after="0" w:line="256"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Greater China, South Korea, and Japan.</w:t>
      </w:r>
    </w:p>
    <w:p>
      <w:pPr>
        <w:spacing w:after="0" w:line="128" w:lineRule="exact"/>
        <w:rPr>
          <w:rFonts w:ascii="Arial" w:cs="Arial" w:eastAsia="Arial" w:hAnsi="Arial"/>
          <w:sz w:val="18"/>
          <w:szCs w:val="18"/>
          <w:color w:val="auto"/>
        </w:rPr>
      </w:pPr>
    </w:p>
    <w:p>
      <w:pPr>
        <w:jc w:val="both"/>
        <w:ind w:left="340" w:hanging="331"/>
        <w:spacing w:after="0" w:line="268"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Lugano</w:t>
      </w:r>
      <w:r>
        <w:rPr>
          <w:rFonts w:ascii="Arial" w:cs="Arial" w:eastAsia="Arial" w:hAnsi="Arial"/>
          <w:sz w:val="18"/>
          <w:szCs w:val="18"/>
          <w:color w:val="auto"/>
        </w:rPr>
        <w:t xml:space="preserve"> is designer, manufacturer, and retailer of high-end jewelry. Lugano conducts sales via its own retail salons as well as pop-up showrooms at Lugano-hosted or sponsored events in partnership with organizations in the equestrian, art, and philanthropic communities. Lugano is headquartered in Newport Beach, California.</w:t>
      </w:r>
    </w:p>
    <w:p>
      <w:pPr>
        <w:spacing w:after="0" w:line="116"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5" w:lineRule="exact"/>
        <w:rPr>
          <w:rFonts w:ascii="Arial" w:cs="Arial" w:eastAsia="Arial" w:hAnsi="Arial"/>
          <w:sz w:val="18"/>
          <w:szCs w:val="18"/>
          <w:color w:val="auto"/>
        </w:rPr>
      </w:pPr>
    </w:p>
    <w:p>
      <w:pPr>
        <w:jc w:val="both"/>
        <w:ind w:left="340" w:hanging="331"/>
        <w:spacing w:after="0" w:line="256" w:lineRule="auto"/>
        <w:tabs>
          <w:tab w:leader="none" w:pos="335"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27" w:lineRule="exact"/>
        <w:rPr>
          <w:rFonts w:ascii="Times New Roman" w:cs="Times New Roman" w:eastAsia="Times New Roman" w:hAnsi="Times New Roman"/>
          <w:sz w:val="18"/>
          <w:szCs w:val="18"/>
          <w:color w:val="auto"/>
        </w:rPr>
      </w:pPr>
    </w:p>
    <w:p>
      <w:pPr>
        <w:jc w:val="both"/>
        <w:ind w:left="340" w:hanging="331"/>
        <w:spacing w:after="0" w:line="25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128" w:lineRule="exact"/>
        <w:rPr>
          <w:rFonts w:ascii="Arial" w:cs="Arial" w:eastAsia="Arial" w:hAnsi="Arial"/>
          <w:sz w:val="18"/>
          <w:szCs w:val="18"/>
          <w:color w:val="auto"/>
        </w:rPr>
      </w:pPr>
    </w:p>
    <w:p>
      <w:pPr>
        <w:jc w:val="both"/>
        <w:ind w:left="340" w:hanging="331"/>
        <w:spacing w:after="0" w:line="262"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23 molding and fabricating facilities across North America.</w:t>
      </w:r>
    </w:p>
    <w:p>
      <w:pPr>
        <w:spacing w:after="0" w:line="122" w:lineRule="exact"/>
        <w:rPr>
          <w:rFonts w:ascii="Arial" w:cs="Arial" w:eastAsia="Arial" w:hAnsi="Arial"/>
          <w:sz w:val="18"/>
          <w:szCs w:val="18"/>
          <w:color w:val="auto"/>
        </w:rPr>
      </w:pPr>
    </w:p>
    <w:p>
      <w:pPr>
        <w:jc w:val="both"/>
        <w:ind w:left="340" w:hanging="331"/>
        <w:spacing w:after="0" w:line="25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w:t>
      </w: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102235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52" w:right="339" w:bottom="1440" w:gutter="0" w:footer="0" w:header="0"/>
        </w:sectPr>
      </w:pPr>
    </w:p>
    <w:bookmarkStart w:id="41" w:name="page42"/>
    <w:bookmarkEnd w:id="41"/>
    <w:p>
      <w:pPr>
        <w:jc w:val="both"/>
        <w:ind w:left="420"/>
        <w:spacing w:after="0" w:line="287" w:lineRule="auto"/>
        <w:rPr>
          <w:sz w:val="20"/>
          <w:szCs w:val="20"/>
          <w:color w:val="auto"/>
        </w:rPr>
      </w:pPr>
      <w:r>
        <w:rPr>
          <w:rFonts w:ascii="Arial" w:cs="Arial" w:eastAsia="Arial" w:hAnsi="Arial"/>
          <w:sz w:val="18"/>
          <w:szCs w:val="18"/>
          <w:color w:val="auto"/>
        </w:rPr>
        <w:t>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99" w:lineRule="exact"/>
        <w:rPr>
          <w:sz w:val="20"/>
          <w:szCs w:val="20"/>
          <w:color w:val="auto"/>
        </w:rPr>
      </w:pPr>
    </w:p>
    <w:p>
      <w:pPr>
        <w:jc w:val="both"/>
        <w:ind w:left="420" w:hanging="331"/>
        <w:spacing w:after="0" w:line="259" w:lineRule="auto"/>
        <w:tabs>
          <w:tab w:leader="none" w:pos="41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Sterno is headquartered in Plano, Texas.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function of chief operating decision-maker (“CODM”) is performed collectively by our Chief Executive Officer, the Chief Operating Officer and the partners of the Company’s Manager,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jc w:val="both"/>
        <w:spacing w:after="0"/>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to the Company's reportable segments. There were no significant inter-segment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548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Three months ended March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BOA</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Lugano</w:t>
            </w:r>
          </w:p>
        </w:tc>
        <w:tc>
          <w:tcPr>
            <w:tcW w:w="9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Velocity</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Altor</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Outdoor</w:t>
            </w: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129,370</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48,877</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23,645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76,257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65,381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453,775</w:t>
            </w: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59,622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17,658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13,667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9,837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57,221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26,987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48,083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257,743</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Selling, general and</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administrative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141,751</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b w:val="1"/>
                <w:bCs w:val="1"/>
                <w:color w:val="auto"/>
              </w:rPr>
              <w:t>(1)</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3,894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29,111</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segment operating</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25,170</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(21,729)</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3,441</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(35,851)</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Amortization of debt issuance</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net</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(13,681)</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8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income from continuing</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360"/>
              <w:spacing w:after="0" w:line="149" w:lineRule="exact"/>
              <w:rPr>
                <w:sz w:val="20"/>
                <w:szCs w:val="20"/>
                <w:color w:val="auto"/>
              </w:rPr>
            </w:pPr>
            <w:r>
              <w:rPr>
                <w:rFonts w:ascii="Arial" w:cs="Arial" w:eastAsia="Arial" w:hAnsi="Arial"/>
                <w:sz w:val="15"/>
                <w:szCs w:val="15"/>
                <w:color w:val="auto"/>
              </w:rPr>
              <w:t>operations before</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(47,216)</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540" w:right="1220" w:hanging="5532"/>
        <w:spacing w:after="0"/>
        <w:tabs>
          <w:tab w:leader="none" w:pos="210" w:val="left"/>
        </w:tabs>
        <w:numPr>
          <w:ilvl w:val="0"/>
          <w:numId w:val="19"/>
        </w:numPr>
        <w:rPr>
          <w:rFonts w:ascii="Arial" w:cs="Arial" w:eastAsia="Arial" w:hAnsi="Arial"/>
          <w:sz w:val="24"/>
          <w:szCs w:val="24"/>
          <w:b w:val="1"/>
          <w:bCs w:val="1"/>
          <w:color w:val="auto"/>
          <w:vertAlign w:val="superscript"/>
        </w:rPr>
      </w:pPr>
      <w:r>
        <w:rPr>
          <w:rFonts w:ascii="Arial" w:cs="Arial" w:eastAsia="Arial" w:hAnsi="Arial"/>
          <w:sz w:val="16"/>
          <w:szCs w:val="16"/>
          <w:color w:val="auto"/>
        </w:rPr>
        <w:t xml:space="preserve">Other consists of segment allocated management fees, amortization expense of intangible assets and stock-based compensation. </w:t>
      </w: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23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Three months ended March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BOA</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5"/>
                <w:szCs w:val="15"/>
                <w:b w:val="1"/>
                <w:bCs w:val="1"/>
                <w:color w:val="auto"/>
              </w:rPr>
              <w:t>Lugano</w:t>
            </w:r>
          </w:p>
        </w:tc>
        <w:tc>
          <w:tcPr>
            <w:tcW w:w="9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5"/>
                <w:szCs w:val="15"/>
                <w:b w:val="1"/>
                <w:bCs w:val="1"/>
                <w:color w:val="auto"/>
              </w:rPr>
              <w:t>Velocity</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Altor</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Sterno</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Outdoor</w:t>
            </w: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(As</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5"/>
        </w:trPr>
        <w:tc>
          <w:tcPr>
            <w:tcW w:w="2120" w:type="dxa"/>
            <w:vAlign w:val="bottom"/>
            <w:vMerge w:val="restart"/>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Restated)</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5"/>
        </w:trPr>
        <w:tc>
          <w:tcPr>
            <w:tcW w:w="212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124,974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42,903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10,793</w:t>
            </w:r>
          </w:p>
        </w:tc>
        <w:tc>
          <w:tcPr>
            <w:tcW w:w="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22,541</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20,165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29,899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53,404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41,287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64,860</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410,826</w:t>
            </w:r>
          </w:p>
        </w:tc>
        <w:tc>
          <w:tcPr>
            <w:tcW w:w="0" w:type="dxa"/>
            <w:vAlign w:val="bottom"/>
          </w:tcPr>
          <w:p>
            <w:pPr>
              <w:spacing w:after="0"/>
              <w:rPr>
                <w:sz w:val="1"/>
                <w:szCs w:val="1"/>
                <w:color w:val="auto"/>
              </w:rPr>
            </w:pPr>
          </w:p>
        </w:tc>
      </w:tr>
      <w:tr>
        <w:trPr>
          <w:trHeight w:val="204"/>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59,047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47,148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235,874</w:t>
            </w: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5"/>
                <w:szCs w:val="15"/>
                <w:color w:val="auto"/>
              </w:rPr>
              <w:t>Selling, general and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5"/>
                <w:szCs w:val="15"/>
                <w:color w:val="auto"/>
              </w:rPr>
              <w:t>administrative expense</w:t>
            </w:r>
          </w:p>
        </w:tc>
        <w:tc>
          <w:tcPr>
            <w:tcW w:w="16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54,805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10,952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19,656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4,616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6,880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8,359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125,238</w:t>
            </w:r>
          </w:p>
        </w:tc>
        <w:tc>
          <w:tcPr>
            <w:tcW w:w="0" w:type="dxa"/>
            <w:vAlign w:val="bottom"/>
          </w:tcPr>
          <w:p>
            <w:pPr>
              <w:spacing w:after="0"/>
              <w:rPr>
                <w:sz w:val="1"/>
                <w:szCs w:val="1"/>
                <w:color w:val="auto"/>
              </w:rPr>
            </w:pPr>
          </w:p>
        </w:tc>
      </w:tr>
      <w:tr>
        <w:trPr>
          <w:trHeight w:val="206"/>
        </w:trPr>
        <w:tc>
          <w:tcPr>
            <w:tcW w:w="2120" w:type="dxa"/>
            <w:vAlign w:val="bottom"/>
            <w:shd w:val="clear" w:color="auto" w:fill="CCEEFF"/>
          </w:tcPr>
          <w:p>
            <w:pPr>
              <w:ind w:left="20"/>
              <w:spacing w:after="0" w:line="205"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2,955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6,134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10,897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2,846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4,568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40,444</w:t>
            </w:r>
          </w:p>
        </w:tc>
        <w:tc>
          <w:tcPr>
            <w:tcW w:w="0" w:type="dxa"/>
            <w:vAlign w:val="bottom"/>
          </w:tcPr>
          <w:p>
            <w:pPr>
              <w:spacing w:after="0"/>
              <w:rPr>
                <w:sz w:val="1"/>
                <w:szCs w:val="1"/>
                <w:color w:val="auto"/>
              </w:rPr>
            </w:pPr>
          </w:p>
        </w:tc>
      </w:tr>
      <w:tr>
        <w:trPr>
          <w:trHeight w:val="128"/>
        </w:trPr>
        <w:tc>
          <w:tcPr>
            <w:tcW w:w="2120" w:type="dxa"/>
            <w:vAlign w:val="bottom"/>
          </w:tcPr>
          <w:p>
            <w:pPr>
              <w:ind w:left="360"/>
              <w:spacing w:after="0" w:line="129" w:lineRule="exact"/>
              <w:rPr>
                <w:sz w:val="20"/>
                <w:szCs w:val="20"/>
                <w:color w:val="auto"/>
              </w:rPr>
            </w:pPr>
            <w:r>
              <w:rPr>
                <w:rFonts w:ascii="Arial" w:cs="Arial" w:eastAsia="Arial" w:hAnsi="Arial"/>
                <w:sz w:val="14"/>
                <w:szCs w:val="14"/>
                <w:color w:val="auto"/>
              </w:rPr>
              <w:t>Total segment operating</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360"/>
              <w:spacing w:after="0"/>
              <w:rPr>
                <w:sz w:val="20"/>
                <w:szCs w:val="20"/>
                <w:color w:val="auto"/>
              </w:rPr>
            </w:pPr>
            <w:r>
              <w:rPr>
                <w:rFonts w:ascii="Arial" w:cs="Arial" w:eastAsia="Arial" w:hAnsi="Arial"/>
                <w:sz w:val="15"/>
                <w:szCs w:val="15"/>
                <w:color w:val="auto"/>
              </w:rPr>
              <w:t>income (loss)</w:t>
            </w:r>
          </w:p>
        </w:tc>
        <w:tc>
          <w:tcPr>
            <w:tcW w:w="16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(12,364)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6,628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4,785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9,270</w:t>
            </w:r>
          </w:p>
        </w:tc>
        <w:tc>
          <w:tcPr>
            <w:tcW w:w="0" w:type="dxa"/>
            <w:vAlign w:val="bottom"/>
          </w:tcPr>
          <w:p>
            <w:pPr>
              <w:spacing w:after="0"/>
              <w:rPr>
                <w:sz w:val="1"/>
                <w:szCs w:val="1"/>
                <w:color w:val="auto"/>
              </w:rPr>
            </w:pPr>
          </w:p>
        </w:tc>
      </w:tr>
      <w:tr>
        <w:trPr>
          <w:trHeight w:val="206"/>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(21,377)</w:t>
            </w:r>
          </w:p>
        </w:tc>
        <w:tc>
          <w:tcPr>
            <w:tcW w:w="0" w:type="dxa"/>
            <w:vAlign w:val="bottom"/>
          </w:tcPr>
          <w:p>
            <w:pPr>
              <w:spacing w:after="0"/>
              <w:rPr>
                <w:sz w:val="1"/>
                <w:szCs w:val="1"/>
                <w:color w:val="auto"/>
              </w:rPr>
            </w:pPr>
          </w:p>
        </w:tc>
      </w:tr>
      <w:tr>
        <w:trPr>
          <w:trHeight w:val="128"/>
        </w:trPr>
        <w:tc>
          <w:tcPr>
            <w:tcW w:w="2120" w:type="dxa"/>
            <w:vAlign w:val="bottom"/>
          </w:tcPr>
          <w:p>
            <w:pPr>
              <w:ind w:left="360"/>
              <w:spacing w:after="0" w:line="129" w:lineRule="exact"/>
              <w:rPr>
                <w:sz w:val="20"/>
                <w:szCs w:val="20"/>
                <w:color w:val="auto"/>
              </w:rPr>
            </w:pPr>
            <w:r>
              <w:rPr>
                <w:rFonts w:ascii="Arial" w:cs="Arial" w:eastAsia="Arial" w:hAnsi="Arial"/>
                <w:sz w:val="14"/>
                <w:szCs w:val="14"/>
                <w:color w:val="auto"/>
              </w:rPr>
              <w:t>Total consolidated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operating income</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(12,107)</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5"/>
                <w:szCs w:val="15"/>
                <w:color w:val="auto"/>
              </w:rPr>
              <w:t>Amortization of debt issuance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5"/>
                <w:szCs w:val="15"/>
                <w:color w:val="auto"/>
              </w:rPr>
              <w:t>costs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(1,005)</w:t>
            </w:r>
          </w:p>
        </w:tc>
        <w:tc>
          <w:tcPr>
            <w:tcW w:w="0" w:type="dxa"/>
            <w:vAlign w:val="bottom"/>
          </w:tcPr>
          <w:p>
            <w:pPr>
              <w:spacing w:after="0"/>
              <w:rPr>
                <w:sz w:val="1"/>
                <w:szCs w:val="1"/>
                <w:color w:val="auto"/>
              </w:rPr>
            </w:pPr>
          </w:p>
        </w:tc>
      </w:tr>
      <w:tr>
        <w:trPr>
          <w:trHeight w:val="206"/>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(47,442)</w:t>
            </w:r>
          </w:p>
        </w:tc>
        <w:tc>
          <w:tcPr>
            <w:tcW w:w="0" w:type="dxa"/>
            <w:vAlign w:val="bottom"/>
          </w:tcPr>
          <w:p>
            <w:pPr>
              <w:spacing w:after="0"/>
              <w:rPr>
                <w:sz w:val="1"/>
                <w:szCs w:val="1"/>
                <w:color w:val="auto"/>
              </w:rPr>
            </w:pPr>
          </w:p>
        </w:tc>
      </w:tr>
      <w:tr>
        <w:trPr>
          <w:trHeight w:val="128"/>
        </w:trPr>
        <w:tc>
          <w:tcPr>
            <w:tcW w:w="2120" w:type="dxa"/>
            <w:vAlign w:val="bottom"/>
          </w:tcPr>
          <w:p>
            <w:pPr>
              <w:ind w:left="360"/>
              <w:spacing w:after="0" w:line="129" w:lineRule="exact"/>
              <w:rPr>
                <w:sz w:val="20"/>
                <w:szCs w:val="20"/>
                <w:color w:val="auto"/>
              </w:rPr>
            </w:pPr>
            <w:r>
              <w:rPr>
                <w:rFonts w:ascii="Arial" w:cs="Arial" w:eastAsia="Arial" w:hAnsi="Arial"/>
                <w:sz w:val="14"/>
                <w:szCs w:val="14"/>
                <w:color w:val="auto"/>
              </w:rPr>
              <w:t>Total consolidated income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20" w:type="dxa"/>
            <w:vAlign w:val="bottom"/>
          </w:tcPr>
          <w:p>
            <w:pPr>
              <w:ind w:left="360"/>
              <w:spacing w:after="0" w:line="158" w:lineRule="exact"/>
              <w:rPr>
                <w:sz w:val="20"/>
                <w:szCs w:val="20"/>
                <w:color w:val="auto"/>
              </w:rPr>
            </w:pPr>
            <w:r>
              <w:rPr>
                <w:rFonts w:ascii="Arial" w:cs="Arial" w:eastAsia="Arial" w:hAnsi="Arial"/>
                <w:sz w:val="15"/>
                <w:szCs w:val="15"/>
                <w:color w:val="auto"/>
              </w:rPr>
              <w:t>from continuing</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20" w:type="dxa"/>
            <w:vAlign w:val="bottom"/>
          </w:tcPr>
          <w:p>
            <w:pPr>
              <w:ind w:left="360"/>
              <w:spacing w:after="0" w:line="153" w:lineRule="exact"/>
              <w:rPr>
                <w:sz w:val="20"/>
                <w:szCs w:val="20"/>
                <w:color w:val="auto"/>
              </w:rPr>
            </w:pPr>
            <w:r>
              <w:rPr>
                <w:rFonts w:ascii="Arial" w:cs="Arial" w:eastAsia="Arial" w:hAnsi="Arial"/>
                <w:sz w:val="15"/>
                <w:szCs w:val="15"/>
                <w:color w:val="auto"/>
              </w:rPr>
              <w:t>operations before income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(85,821)</w:t>
            </w:r>
          </w:p>
        </w:tc>
        <w:tc>
          <w:tcPr>
            <w:tcW w:w="0" w:type="dxa"/>
            <w:vAlign w:val="bottom"/>
          </w:tcPr>
          <w:p>
            <w:pPr>
              <w:spacing w:after="0"/>
              <w:rPr>
                <w:sz w:val="1"/>
                <w:szCs w:val="1"/>
                <w:color w:val="auto"/>
              </w:rPr>
            </w:pPr>
          </w:p>
        </w:tc>
      </w:tr>
      <w:tr>
        <w:trPr>
          <w:trHeight w:val="180"/>
        </w:trPr>
        <w:tc>
          <w:tcPr>
            <w:tcW w:w="2120" w:type="dxa"/>
            <w:vAlign w:val="bottom"/>
          </w:tcPr>
          <w:p>
            <w:pPr>
              <w:ind w:left="360"/>
              <w:spacing w:after="0"/>
              <w:rPr>
                <w:sz w:val="20"/>
                <w:szCs w:val="20"/>
                <w:color w:val="auto"/>
              </w:rPr>
            </w:pPr>
            <w:r>
              <w:rPr>
                <w:rFonts w:ascii="Arial" w:cs="Arial" w:eastAsia="Arial" w:hAnsi="Arial"/>
                <w:sz w:val="15"/>
                <w:szCs w:val="15"/>
                <w:color w:val="auto"/>
              </w:rPr>
              <w:t>taxes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firstLine="8"/>
        <w:spacing w:after="0" w:line="261" w:lineRule="auto"/>
        <w:tabs>
          <w:tab w:leader="none" w:pos="196" w:val="left"/>
        </w:tabs>
        <w:numPr>
          <w:ilvl w:val="0"/>
          <w:numId w:val="20"/>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stock-based compensation, acquisition costs at THP, and goodwill impairment expense of $8.2 million for Velocity.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4" w:name="page45"/>
    <w:bookmarkEnd w:id="44"/>
    <w:tbl>
      <w:tblPr>
        <w:tblLayout w:type="fixed"/>
        <w:tblInd w:w="1340" w:type="dxa"/>
        <w:tblCellMar>
          <w:top w:w="0" w:type="dxa"/>
          <w:left w:w="0" w:type="dxa"/>
          <w:bottom w:w="0" w:type="dxa"/>
          <w:right w:w="0" w:type="dxa"/>
        </w:tblCellMar>
      </w:tblPr>
      <w:tr>
        <w:trPr>
          <w:trHeight w:val="216"/>
        </w:trPr>
        <w:tc>
          <w:tcPr>
            <w:tcW w:w="5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ind w:right="320"/>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556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2024</w:t>
            </w:r>
          </w:p>
        </w:tc>
      </w:tr>
      <w:tr>
        <w:trPr>
          <w:trHeight w:val="195"/>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b w:val="1"/>
                <w:bCs w:val="1"/>
                <w:color w:val="auto"/>
              </w:rPr>
              <w:t>(As restated)</w:t>
            </w:r>
          </w:p>
        </w:tc>
      </w:tr>
      <w:tr>
        <w:trPr>
          <w:trHeight w:val="217"/>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w:t>
            </w:r>
          </w:p>
        </w:tc>
      </w:tr>
      <w:tr>
        <w:trPr>
          <w:trHeight w:val="215"/>
        </w:trPr>
        <w:tc>
          <w:tcPr>
            <w:tcW w:w="5560" w:type="dxa"/>
            <w:vAlign w:val="bottom"/>
            <w:gridSpan w:val="2"/>
          </w:tcPr>
          <w:p>
            <w:pPr>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5,237</w:t>
            </w:r>
          </w:p>
        </w:tc>
      </w:tr>
      <w:tr>
        <w:trPr>
          <w:trHeight w:val="217"/>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Lugano (as restated)</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5"/>
        </w:trPr>
        <w:tc>
          <w:tcPr>
            <w:tcW w:w="5560" w:type="dxa"/>
            <w:vAlign w:val="bottom"/>
            <w:gridSpan w:val="2"/>
          </w:tcPr>
          <w:p>
            <w:pPr>
              <w:spacing w:after="0"/>
              <w:rPr>
                <w:sz w:val="20"/>
                <w:szCs w:val="20"/>
                <w:color w:val="auto"/>
              </w:rPr>
            </w:pPr>
            <w:r>
              <w:rPr>
                <w:rFonts w:ascii="Arial" w:cs="Arial" w:eastAsia="Arial" w:hAnsi="Arial"/>
                <w:sz w:val="16"/>
                <w:szCs w:val="16"/>
                <w:color w:val="auto"/>
              </w:rPr>
              <w:t>PrimaLoft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5,248</w:t>
            </w:r>
          </w:p>
        </w:tc>
      </w:tr>
      <w:tr>
        <w:trPr>
          <w:trHeight w:val="217"/>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w:t>
            </w:r>
          </w:p>
        </w:tc>
      </w:tr>
      <w:tr>
        <w:trPr>
          <w:trHeight w:val="215"/>
        </w:trPr>
        <w:tc>
          <w:tcPr>
            <w:tcW w:w="5560" w:type="dxa"/>
            <w:vAlign w:val="bottom"/>
            <w:gridSpan w:val="2"/>
          </w:tcPr>
          <w:p>
            <w:pPr>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3,271</w:t>
            </w:r>
          </w:p>
        </w:tc>
      </w:tr>
      <w:tr>
        <w:trPr>
          <w:trHeight w:val="217"/>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Altor Solutions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r>
      <w:tr>
        <w:trPr>
          <w:trHeight w:val="215"/>
        </w:trPr>
        <w:tc>
          <w:tcPr>
            <w:tcW w:w="5560" w:type="dxa"/>
            <w:vAlign w:val="bottom"/>
            <w:gridSpan w:val="2"/>
          </w:tcPr>
          <w:p>
            <w:pPr>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2,145</w:t>
            </w:r>
          </w:p>
        </w:tc>
      </w:tr>
      <w:tr>
        <w:trPr>
          <w:trHeight w:val="217"/>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Sterno</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4,921</w:t>
            </w:r>
          </w:p>
        </w:tc>
      </w:tr>
      <w:tr>
        <w:trPr>
          <w:trHeight w:val="209"/>
        </w:trPr>
        <w:tc>
          <w:tcPr>
            <w:tcW w:w="5560" w:type="dxa"/>
            <w:vAlign w:val="bottom"/>
            <w:gridSpan w:val="2"/>
          </w:tcPr>
          <w:p>
            <w:pPr>
              <w:spacing w:after="0"/>
              <w:rPr>
                <w:sz w:val="20"/>
                <w:szCs w:val="20"/>
                <w:color w:val="auto"/>
              </w:rPr>
            </w:pPr>
            <w:r>
              <w:rPr>
                <w:rFonts w:ascii="Arial" w:cs="Arial" w:eastAsia="Arial" w:hAnsi="Arial"/>
                <w:sz w:val="16"/>
                <w:szCs w:val="16"/>
                <w:color w:val="auto"/>
              </w:rPr>
              <w:t>Total (as restated)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36,610</w:t>
            </w:r>
          </w:p>
        </w:tc>
      </w:tr>
      <w:tr>
        <w:trPr>
          <w:trHeight w:val="217"/>
        </w:trPr>
        <w:tc>
          <w:tcPr>
            <w:tcW w:w="5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r>
      <w:tr>
        <w:trPr>
          <w:trHeight w:val="235"/>
        </w:trPr>
        <w:tc>
          <w:tcPr>
            <w:tcW w:w="5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Consolidated total (as restated)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Accounts Receivable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0"/>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r>
      <w:tr>
        <w:trPr>
          <w:trHeight w:val="208"/>
        </w:trPr>
        <w:tc>
          <w:tcPr>
            <w:tcW w:w="48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0"/>
              <w:spacing w:after="0" w:line="208" w:lineRule="exact"/>
              <w:rPr>
                <w:sz w:val="20"/>
                <w:szCs w:val="20"/>
                <w:color w:val="auto"/>
              </w:rPr>
            </w:pPr>
            <w:r>
              <w:rPr>
                <w:rFonts w:ascii="Arial" w:cs="Arial" w:eastAsia="Arial" w:hAnsi="Arial"/>
                <w:sz w:val="15"/>
                <w:szCs w:val="15"/>
                <w:b w:val="1"/>
                <w:bCs w:val="1"/>
                <w:color w:val="auto"/>
              </w:rPr>
              <w:t xml:space="preserve">2025 </w:t>
            </w:r>
            <w:r>
              <w:rPr>
                <w:rFonts w:ascii="Arial" w:cs="Arial" w:eastAsia="Arial" w:hAnsi="Arial"/>
                <w:sz w:val="19"/>
                <w:szCs w:val="19"/>
                <w:b w:val="1"/>
                <w:bCs w:val="1"/>
                <w:color w:val="auto"/>
                <w:vertAlign w:val="superscript"/>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0"/>
              <w:spacing w:after="0" w:line="208" w:lineRule="exact"/>
              <w:rPr>
                <w:sz w:val="20"/>
                <w:szCs w:val="20"/>
                <w:color w:val="auto"/>
              </w:rPr>
            </w:pPr>
            <w:r>
              <w:rPr>
                <w:rFonts w:ascii="Arial" w:cs="Arial" w:eastAsia="Arial" w:hAnsi="Arial"/>
                <w:sz w:val="15"/>
                <w:szCs w:val="15"/>
                <w:b w:val="1"/>
                <w:bCs w:val="1"/>
                <w:color w:val="auto"/>
                <w:w w:val="94"/>
              </w:rPr>
              <w:t xml:space="preserve">2024 </w:t>
            </w:r>
            <w:r>
              <w:rPr>
                <w:rFonts w:ascii="Arial" w:cs="Arial" w:eastAsia="Arial" w:hAnsi="Arial"/>
                <w:sz w:val="19"/>
                <w:szCs w:val="19"/>
                <w:b w:val="1"/>
                <w:bCs w:val="1"/>
                <w:color w:val="auto"/>
                <w:w w:val="94"/>
                <w:vertAlign w:val="superscript"/>
              </w:rPr>
              <w:t>(1)</w:t>
            </w:r>
          </w:p>
        </w:tc>
      </w:tr>
      <w:tr>
        <w:trPr>
          <w:trHeight w:val="195"/>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Arial" w:cs="Arial" w:eastAsia="Arial" w:hAnsi="Arial"/>
                <w:sz w:val="14"/>
                <w:szCs w:val="14"/>
                <w:b w:val="1"/>
                <w:bCs w:val="1"/>
                <w:color w:val="auto"/>
              </w:rPr>
              <w:t>(As Restated)</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413,831</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219,283</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315,992</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268,527</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284,208</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90,736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309,174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126,035</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145,647</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Sales allowance accounts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 restated)</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2,173,433</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20,901</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Total (as restated)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196,422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2,275,106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2,194,334</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6"/>
          <w:szCs w:val="16"/>
          <w:color w:val="auto"/>
        </w:rPr>
        <w:t xml:space="preserve">Does not include accounts receivable balances per schedule above or goodwill balances - refer to </w:t>
      </w:r>
      <w:r>
        <w:rPr>
          <w:rFonts w:ascii="Arial" w:cs="Arial" w:eastAsia="Arial" w:hAnsi="Arial"/>
          <w:sz w:val="16"/>
          <w:szCs w:val="16"/>
          <w:u w:val="single" w:color="auto"/>
          <w:color w:val="0000FF"/>
        </w:rPr>
        <w:t>Note F - "Goodwill and Other Intangible Assets"</w:t>
      </w: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Subsequent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Forbearance Agreement with Respect to Credit Agreement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7, 2025, the Company indicated its intent to delay the filing of its Quarterly Report on Form 10-Q for the quarter ended March 31, 2025 and disclosed non-reliance on its 2024 financial statements as a result of concerns about financing, accounting, and inventory practices at one of its subsidiaries, Lugano, and irregularities identified in sales, cost of sales, inventory, and accounts receivable recorded by Lugano. Concurrently, the LLC also provided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8"/>
          <w:szCs w:val="18"/>
          <w:color w:val="auto"/>
        </w:rPr>
        <w:t>notice to the Administrative Agent, advising of the existence of potential defaults or events of default under the Credit Agreement in respect of Lugano (the “Lugano Events of Default”).</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“First Forbearance Agreement”) with the Administrative Agent and the lenders party thereto representing at least 50% of the total credit exposure of all lenders under the Credit Agreement (the “Consenting Lenders”), pursuant to which the Consenting Lenders agreed on behalf of all lenders under the Credit Agreement to refrain from exercising rights and remedies available to them with respect to the Lugano Events of Default until the earliest of: (a) 11:59 p.m. (Eastern Time) on July 25, 2025; (b) the occurrence of any event of default other than a Lugano Event of Default;</w:t>
      </w:r>
    </w:p>
    <w:p>
      <w:pPr>
        <w:spacing w:after="0" w:line="3" w:lineRule="exact"/>
        <w:rPr>
          <w:sz w:val="20"/>
          <w:szCs w:val="20"/>
          <w:color w:val="auto"/>
        </w:rPr>
      </w:pPr>
    </w:p>
    <w:p>
      <w:pPr>
        <w:jc w:val="both"/>
        <w:ind w:firstLine="8"/>
        <w:spacing w:after="0" w:line="252"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breach by the LLC of any covenant or provision of the First Forbearance Agreement; (d) a declaration by the Trustee (as defined below) or any holders of the LLC’s 5.250% senior notes due 2029 (the “2029 Notes”) of any default or event of default under the Indenture dated as of March 23, 2021 (as amended, restated, supplemented or otherwise modified from time to time, the “2029 Notes Indenture”) between the LLC and U.S. Bank Trust Company National Association (as successor to U.S. Bank National Association), and (e) the declaration by the Trustee or any holder of the LLC’s 5.000% senior notes due 2032 (the “2032 Notes” and together with the 2029 Notes, the “Notes”) of any default or event of default under the Indenture dated as of November 27, 2021 (as amended, restated, supplemented or otherwise modified from time to time, the “2032 Notes Indenture” and together with the 2029 Notes Indenture, the “Indentures”) between the LLC and the Trustee (the “First Forbearance Period”).</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LLC’s subsidiaries to the Manager to no more than $2.0 million per fiscal quarter; (iv) restrict investments by the LLC into Lugano to no more than $5 million in the aggregate; (v) impose additional reporting requirements on the LLC; (vi) prohibit certain acquisitions and dispositions; and (vii) require that cash-on hand in excess of $10 million as of the last business day of any week be paid by the LLC to the Administrative Agent, for the account of the lenders, which payments would be applied to the outstanding revolving loans owing by the LLC and (ix) terminate the commitment of the Lenders to advance Incremental Delayed Draw Term Loans..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22, 2025, the Manager delivered to the Company a waiver agreeing to the management fee limitations described above and waiving any management fees in excess of such limitations.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and Derivative Actions Involving the Company</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Between May 9, 2025, and June 25, 2025, three putative class actions were commenced against the Company and certain of the Company’s officers and directors, asserting claims under Sections 10(b) and 20(a) of the Securities Exchange Act of 1934 (the “Exchange Act”), and Rule 10b-5 promulgated thereunder in the U.S. District Court for the Central District of California (collectively, the “CA Securities Class Actions”). On August 22, 2025, such CA Securities Class Actions were consolidated under the caption In re: Compass Securities Litigation, and the Court appointed the Eastern Atlantic States Carpenters Benefit Funds (“EAS Carpenters”) as lead plaintiff and the law firm of Cohen Milstein Sellers &amp; Toll PLLC (“Cohen Milstein”) as lead counsel. On May 12, 2025, a separate putative class action was commenced against the Company and certain of its officers and directors in the U.S. District Court for the District of Connecticut, captioned </w:t>
      </w:r>
      <w:r>
        <w:rPr>
          <w:rFonts w:ascii="Arial" w:cs="Arial" w:eastAsia="Arial" w:hAnsi="Arial"/>
          <w:sz w:val="18"/>
          <w:szCs w:val="18"/>
          <w:i w:val="1"/>
          <w:iCs w:val="1"/>
          <w:color w:val="auto"/>
        </w:rPr>
        <w:t>Moreno v. Compass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Diversified Holdings LLC, et al. </w:t>
      </w:r>
      <w:r>
        <w:rPr>
          <w:rFonts w:ascii="Arial" w:cs="Arial" w:eastAsia="Arial" w:hAnsi="Arial"/>
          <w:sz w:val="18"/>
          <w:szCs w:val="18"/>
          <w:color w:val="auto"/>
        </w:rPr>
        <w:t>(the “Moreno Action”). The plaintiff in the Moreno Action is asserting the same claims as asserted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in the CA Securities Class Actions. By order dated July 21, 2025, EAS Carpenters was appointed lead plaintiff and Cohen Milstein was appointed lead counsel for the Moreno Action. The foregoing matters are in the early stages and the Company is currently unable to determine the likelihood of an unfavorable outcome. At this time, management has determined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jc w:val="both"/>
        <w:spacing w:after="0" w:line="268" w:lineRule="auto"/>
        <w:rPr>
          <w:sz w:val="20"/>
          <w:szCs w:val="20"/>
          <w:color w:val="auto"/>
        </w:rPr>
      </w:pPr>
      <w:r>
        <w:rPr>
          <w:rFonts w:ascii="Arial" w:cs="Arial" w:eastAsia="Arial" w:hAnsi="Arial"/>
          <w:sz w:val="18"/>
          <w:szCs w:val="18"/>
          <w:color w:val="auto"/>
        </w:rPr>
        <w:t>that a loss is reasonably possible but cannot reasonably estimate a range of potential loss. The Company believes it has strong defenses available to it and intends to vigorously defend itself. On December 10, 2025, with the Court’s approval, Lead Plaintiff voluntarily dismissed this consolidated action so that it could pursue its claims in the District of Connecticut.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May 12, 2025, a separate putative class action was commenced against the Company and certain of its officers and directors in the U.S. District Court for the District of Connecticut, captioned </w:t>
      </w:r>
      <w:r>
        <w:rPr>
          <w:rFonts w:ascii="Arial" w:cs="Arial" w:eastAsia="Arial" w:hAnsi="Arial"/>
          <w:sz w:val="18"/>
          <w:szCs w:val="18"/>
          <w:i w:val="1"/>
          <w:iCs w:val="1"/>
          <w:color w:val="auto"/>
        </w:rPr>
        <w:t>Moreno v. Compass Diversified Holdings LLC, et al.</w:t>
      </w:r>
      <w:r>
        <w:rPr>
          <w:rFonts w:ascii="Arial" w:cs="Arial" w:eastAsia="Arial" w:hAnsi="Arial"/>
          <w:sz w:val="18"/>
          <w:szCs w:val="18"/>
          <w:color w:val="auto"/>
        </w:rPr>
        <w:t xml:space="preserve"> (the “Moreno Action”). The plaintiff in the Moreno Action is asserting the same claims as asserted by the plaintiffs in the CA Securities Class Actions. By order dated July 21, 2025, EAS Carpenters was appointed lead plaintiff and Cohen Milstein was appointed lead counsel for the Moreno Action. 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June 5, 2025, a Company shareholder commenced a shareholder derivative action in the U.S. District Court for the Central District of California, captioned </w:t>
      </w:r>
      <w:r>
        <w:rPr>
          <w:rFonts w:ascii="Arial" w:cs="Arial" w:eastAsia="Arial" w:hAnsi="Arial"/>
          <w:sz w:val="18"/>
          <w:szCs w:val="18"/>
          <w:i w:val="1"/>
          <w:iCs w:val="1"/>
          <w:color w:val="auto"/>
        </w:rPr>
        <w:t>Jones v. Sabo, et al</w:t>
      </w:r>
      <w:r>
        <w:rPr>
          <w:rFonts w:ascii="Arial" w:cs="Arial" w:eastAsia="Arial" w:hAnsi="Arial"/>
          <w:sz w:val="18"/>
          <w:szCs w:val="18"/>
          <w:color w:val="auto"/>
        </w:rPr>
        <w:t xml:space="preserve">. (the “Jones Action”), purporting to assert claims on behalf of the Company against current and former Company officers and directors who were named as defendants. The plaintiff is asserting causes of action for breach of fiduciary duty and violations of Section 14(a) of the Exchange Act. On July 17, 2025, a Company shareholder commenced a second shareholder derivative action in the U.S. District Court for the Central District of California, captioned </w:t>
      </w:r>
      <w:r>
        <w:rPr>
          <w:rFonts w:ascii="Arial" w:cs="Arial" w:eastAsia="Arial" w:hAnsi="Arial"/>
          <w:sz w:val="18"/>
          <w:szCs w:val="18"/>
          <w:i w:val="1"/>
          <w:iCs w:val="1"/>
          <w:color w:val="auto"/>
        </w:rPr>
        <w:t>Kelly v. Sabo, et al</w:t>
      </w:r>
      <w:r>
        <w:rPr>
          <w:rFonts w:ascii="Arial" w:cs="Arial" w:eastAsia="Arial" w:hAnsi="Arial"/>
          <w:sz w:val="18"/>
          <w:szCs w:val="18"/>
          <w:color w:val="auto"/>
        </w:rPr>
        <w:t>., (the “Kelly Action”). The plaintiff in the Kelly Action is asserting the same causes of action, against the same defendants, as the Jones Action. On August 6, 2025, the parties to the Jones Action and the Kelly Action filed a stipulation and proposed order to consolidate the two actions and to stay the actions, pending certain future events. 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September 12, 2025, a shareholder of the Company filed a shareholder derivative action in the District Court for the District of Connecticut, captioned </w:t>
      </w:r>
      <w:r>
        <w:rPr>
          <w:rFonts w:ascii="Arial" w:cs="Arial" w:eastAsia="Arial" w:hAnsi="Arial"/>
          <w:sz w:val="18"/>
          <w:szCs w:val="18"/>
          <w:i w:val="1"/>
          <w:iCs w:val="1"/>
          <w:color w:val="auto"/>
        </w:rPr>
        <w:t>Kamp v. Sabo, et al.</w:t>
      </w:r>
      <w:r>
        <w:rPr>
          <w:rFonts w:ascii="Arial" w:cs="Arial" w:eastAsia="Arial" w:hAnsi="Arial"/>
          <w:sz w:val="18"/>
          <w:szCs w:val="18"/>
          <w:color w:val="auto"/>
        </w:rPr>
        <w:t xml:space="preserve"> (the “Kamp Action”). The plaintiff in the Kamp Action asserts the same causes of action as in the above derivative cases, plus a cause of action for securities fraud in violation of Section 10(b) and 20 (a) of the Exchange Act and Rule 10b-5 promulgated thereunder. On October 7, 2025, a shareholder of the Company filed a shareholder derivative action in the District Court for the District of Connecticut, captioned </w:t>
      </w:r>
      <w:r>
        <w:rPr>
          <w:rFonts w:ascii="Arial" w:cs="Arial" w:eastAsia="Arial" w:hAnsi="Arial"/>
          <w:sz w:val="18"/>
          <w:szCs w:val="18"/>
          <w:i w:val="1"/>
          <w:iCs w:val="1"/>
          <w:color w:val="auto"/>
        </w:rPr>
        <w:t>Sulger v. Sabo</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 “Sulger Action”). The plaintiff in the Sulger Action asserts the same causes of action as in the Kamp Action. On October 9, 2025, a shareholder of CODI commenced a shareholder derivative action in the United State District Court for the District of Connecticut captioned Moore v. Sabo, et al., Case No. 3:25-cv-01707 (the “Moore Action”). The shareholder asserts similar claims against the same defendants as in the Kamp and Sulger actions. On December 8, 2025, the Court consolidated these three cases, which now will be referred to as In re Compass Diversified Holdings Derivative Litigation, Case No. 3:25-cv-01505-AWT. This case is pending before District Court Judge Alvin Thompson, who is also presiding over the federal securities class action. The parties are discussing staying the proceedings in this consolidated derivative case pending further developments in the federal securities class action.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Lugano Long-lived Assets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 preliminary findings of the Lugano Investigation, the Company determined that a triggering event had occurred in the second quarter of 2025 and tested the long-lived assets of Lugano for impairment. The impairment testing indicated that the fair value of the assets was less than the carrying value and the Company recorded impairment expense of $31.4 million related to property, plant and equipment and right-of-use assets as of June 30,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Investigations Involving the Company and Lugano</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Company’s withdrawal of reliance on its 2024, 2023, and 2022 financial statements, its failure to timely file its financial statements for the quarters ended at March 31, 2025 and June 30, 2025, and the underlying conduct at the Company’s Lugano subsidiary, there are ongoing investigations initiated by the United States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Securities Exchange Commission (“SEC”) and Department of Justice (“DOJ”). The regulatory investigative process is inherently uncertain the foregoing investigations are in the early stages. Additionally, the Financial Industry Regulatory Authority (“FINRA”) initiated a routine review of trading activity in the Company’s securities following the public announcement of the restatement. On November 17, 2025, the Company received notification from FINRA that its review had been completed and had referred the matter to the SEC for whatever actions the SEC deems appropriate, if any. The Company and Lugano have cooperated and continue to cooperate fully with each investigation and review.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NYSE Notice of Failure to Satisfy a Continued Listing Rule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20, 2025, the Company received a notice from the NYSE indicating that the Company was no longer in compliance with the timely filing criteria outlined in Section 802.01E of the NYSE-Listed Company Manual due to the Company’s failure to timely file its Quarterly Report on Form 10-Q for the quarter ended March 31, 2025. Under NYSE rules, the Company was provided with six months to cure its filing delinquencies by filing its delinquent filings with the SEC. Prior to the expiration of the six month cure period, the Company requested that NYSE exercise its discretionary authority to grant the Company additional time to file its delinquent filings. On November 18, 2025, NYSE extended the Company’s compliance period until January 20,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Distribution on Common Shares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light of the Lugano Investigation and related matters, on May 27, 2025, the Company announced that it will suspend the quarterly cash distribution historically paid to common shareholders in order to preserve cash and protect long-term value until such time as the Company’s Board of Directors deems it appropriate to resume such distributions.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At-the-Market Offering Programs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commencement of the Lugano Investigation and related events, the Company determined it was unable to offer and sell shares under its common and preferred at-the-market equity offering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Forbearance Agreement with Respect to Credit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June 25, 2025, the Company further disclosed non-reliance on its 2022 and 2023 financial statements as a result of the Lugano matters.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“Second Forbearance Agreement”) with the Administrative Agent and the Consenting Lenders, pursuant to which the Consenting Lenders agreed on behalf of all lenders under the Credit Agreement to refrain from exercising rights and remedies available to them with respect to the Lugano Events of Default until the earliest of: (a) 11:59 p.m. (Eastern Time) on October 24, 2025; (b) the occurrence of any event of default other than a Lugano Event of Default; (c) the breach by the LLC of any covenant or provision of the Second Forbearance Agreement; (d) a declaration by the Trustee or any holders of the LLC’s 2029 Notes of any default or event of default under the 2029 Notes Indenture, for which a forbearance agreement was not executed with the LLC within five business days after the date of such declaration; and (e) the declaration by the Trustee or any holder of the 2032 Notes of any default or event of default under the 2032 Notes Indenture, for which a forbearance agreement was not executed with the LLC within five business days after the date of such declaration (the period from July 25, 2025 through the earliest of events (a) through (e) above, the “Second Forbearance Period”).</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Forbearance Period, the lenders under the Credit Agreement, as amended by the Second Forbearance Agreement, agreed to honor requests for credit extensions from the LLC for revolving loans composed of term SOFR loans with an applicable rate of 2.50% per annum plus the SOFR rate for an interest period of one month; provided, however, that such credit extensions were not to cause the lenders’ revolving credit exposures (inclusive of letters of credit obligations) to exceed $60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 In addition, during the Second Forbearance Period, the LLC was permitted to make Restricted Payments (as defined in the Credit Agreement), including any dividend or other distribution with respect to equity interests, if, after giving effect to any indebtedness incurred in connection with such payment (a) all cash of the LLC on deposit with the Administrative Agent or subject to a qualifying control account, plus (b) unused borrowing availability, was not less than $10 million; provided, however, that the foregoing was not the exclusive method by which the LLC may make Restricted Payments.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jc w:val="both"/>
        <w:spacing w:after="0" w:line="262" w:lineRule="auto"/>
        <w:rPr>
          <w:sz w:val="20"/>
          <w:szCs w:val="20"/>
          <w:color w:val="auto"/>
        </w:rPr>
      </w:pPr>
      <w:r>
        <w:rPr>
          <w:rFonts w:ascii="Arial" w:cs="Arial" w:eastAsia="Arial" w:hAnsi="Arial"/>
          <w:sz w:val="18"/>
          <w:szCs w:val="18"/>
          <w:color w:val="auto"/>
        </w:rPr>
        <w:t>In addition to the forbearance of the lenders described above, the Second Forbearance Agreement also amended the Credit Agreement to, among other modifications, limit the management fees that could be paid by the LLC to the Manager to no more than $5 million per fiscal quarter (with the amount of such management fees that could not be paid due to this limitation being available to offset any potential future reduction in management fees as a result of any adjustments for deemed overpayments).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25, 2025, the Manager delivered to the Company a waiver agreeing to the management fee limitations described above and waiving any management fees in excess of such limitations.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Forbearance Agreement</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Lugano matters, the LLC has been in regular communication with holders of the LLC’s Notes concerning the existence of the potential for default under the terms of the Indentures in respect of the Lugano matters.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provide the Company with adequate time to complete the restatement of its 2022, 2023, and 2024 financial statements and to file its quarterly reports for the first and second quarters of 2025, 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below),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 within specified time periods, and (ii) any other default or event of default mutually agreed upon between the Supporting Holders and the LLC in writing and delivered to the Trustee (events (i) and (ii), collectively, the “Specified Defaults”) until the earliest of: (a) the occurrence or existence of any event of default under the Indentures, other than the Specified Defaults, that is not cured or waived within any applicable grace or cure period under the Indentures; (b) the failure of the LLC to timely comply with any term, condition, or covenant of the Indenture Forbearance Agreement; (c) the termination of the forbearance period provided under the Second Forbearance Agreement with respect to the Credit Agreement, such forbearance period having not been extended or replaced by another forbearance or similar agreement among the parties thereto within three (3) business days of such termination; (d) the cure of any Specified Default related to any breach of the requirement to provide certain financial information within specified time periods pursuant to Section 4.03 of the Indentures; (e) the LLC’s failure to cause the execution and the delivery of supplemental indentures in respect of each series of Notes substantially in the form provided in the Indenture Forbearance Agreement providing for the payment to the holders of the Notes of the fees specified in the Indenture Forbearance Agreement (or another form reasonably acceptable to the Supporting Holders providing for the payment of the same fees) (the “Supplemental Indentures”), or alternatively the LLC fails to make certain cash fee payment within fifteen business days of August 29, 2025, and (f) 11:59 p.m. ET on October 24, 2025 (the period from August 29, 2025 through the earliest of events (a) through (f) above, the “Indenture Forbearance Period”).</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Indenture Forbearance Period, the Supporting Holders also agreed (1) in the event that the Trustee or any holder or group of holders of the Notes declares the 2029 Notes and/or the 2032 Notes to be due and payable immediately solely as a result of any Specified Default (an “Acceleration”), the Supporting Holders would (a) deliver written notice and direction to the Trustee to rescind and not seek any remedy under the Indenture in connection with such Acceleration in accordance with the terms of the Indentures and (b) take all other action in the Supporting Holders’ power to cause such Acceleration to be rescinded and cancelled, to the extent permitted by the Indentures, and</w:t>
      </w:r>
    </w:p>
    <w:p>
      <w:pPr>
        <w:spacing w:after="0" w:line="3" w:lineRule="exact"/>
        <w:rPr>
          <w:sz w:val="20"/>
          <w:szCs w:val="20"/>
          <w:color w:val="auto"/>
        </w:rPr>
      </w:pPr>
    </w:p>
    <w:p>
      <w:pPr>
        <w:jc w:val="both"/>
        <w:ind w:firstLine="8"/>
        <w:spacing w:after="0" w:line="258"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to transfer any right, title or interest in their respective Notes, unless (x) such transferee is a party to the Indenture Forbearance Agreement or (y) the transferee executes a joinder agreeing to be bound by the terms of the Indenture Forbearance Agreement if such transferee is not already a party to the Indenture Forbearance Agreement.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Supplemental Indentures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9, 2025, the LLC entered into (a) a second supplemental indenture by and between the LLC and the Trustee amending and supplementing the 2029 Notes Indenture (the “2029 Second Supplemental Indenture”); and (b) a second supplemental indenture (the “2032 Second Supplemental Indenture” and, together with the 2029 Second Supplemental Indenture, the “Supplemental Indentures”) by and between the LLC and the Trustee, amending and supplementing the 2032 Notes Indenture.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Supplemental Indentures: (a) amend and restate Section 2.01(a) of each of the Indentures to (i) require all Notes to be in minimum denominations of $1.00 and integral multiples of $1.00 in excess thereof and (ii) authorize the payment of the PIK Payments (defined below), which shall be paid in kind as an increase in the principal amount of the Global Notes (as defined in the Indentures) held by Cede &amp; Co., as nominee for the Depositary (as defined in the Indentures); and (b) add a new Section 4.19 to each of the Indentures (i) requiring the LLC to make (A) a special one-time payment in kind (the “Fixed PIK Payment”) on September 17, 2025 (the “Fixed PIK Payment Date”) in an amount equal to $17.50 per $1,000 of the principal amount of the Notes outstanding to the holders of such Notes as of September 16, 2025; and (B) an additional interest payment on the Notes (the “Interest PIK Payment” and, together with the Fixed PIK Payment, the “PIK Payments”)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quarter of fiscal year 2025.</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4.19(c), PIK Payments on the Notes were payable by increasing the principal amount of the outstanding Global Notes by an amount equal to the amount of the applicable PIK Payment (rounded down to the nearest whole dollar) as directed by the LLC. Such increased principal amount is fungible with the Notes issued prior to the applicable date of such PIK Payment and will bear interest from the most recent interest payment date on the Notes prior to the applicable date of such PIK Payment. The principal of all Notes resulting from a PIK Payment will mature on the maturity dates of the Notes.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27, 2025, the Trustee delivered a notice of default under the Indentures related to the Company’s failure to deliver to the Trustee the Company’s consolidated financial statements for the fiscal quarter ending March 31, 2025 within the time period required under the Indenture Forbearance Agreement. The Company is currently within the sixty (60) day cure period provided under the Indentures to remedy such defaults prior to the occurrence of an event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Forbearance Agreement with Respect to Credit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10, 2025, the LLC entered into a Third Forbearance Agreement (the “Third Forbearance Agreement”) with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LLC of any covenant or provision of the Third Forbearance Agreement;</w:t>
      </w:r>
    </w:p>
    <w:p>
      <w:pPr>
        <w:spacing w:after="0" w:line="2" w:lineRule="exact"/>
        <w:rPr>
          <w:sz w:val="20"/>
          <w:szCs w:val="20"/>
          <w:color w:val="auto"/>
        </w:rPr>
      </w:pPr>
    </w:p>
    <w:p>
      <w:pPr>
        <w:jc w:val="both"/>
        <w:ind w:firstLine="8"/>
        <w:spacing w:after="0" w:line="252"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declaration by the Trustee or any holders of the LLC’s 2029 Notes of any default or event of default under the 2029 Notes Indenture, which has was not cured and for which a forbearance agreement was not executed with the LLC within five business days after the date of such declaration; (d) the declaration by the Trustee or any holder of the 2032 Notes of any default or event of default under the 2032 Notes Indenture, which was not cured and for which a forbearance agreement was not executed with the LLC within five business days after the date of such declaration; and (e) 11:59 p.m. (Eastern Time) on November 24, 2025 (the period from October 10, 2025 through the earliest of events (a) through (e) above, the “Third Forbearance Period”). However, with respect to the foregoing clauses (c) and (d), if the Administrative Agent agreed to extend the date on which the restated financial statements were required to be delivered as discussed below, such five-business-day requirement would be extended to 10 days.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Third Forbearance Agreement becoming effective on October 10, 2025, the LLC was required to deliver, among other things, to the Administrative Agent, for distribution to the lenders, a budget of the LLC’s projected receipts and disbursements for the 13-week period following the such effective date (the “Forbearance Budget”) that was acceptable to the Administrative Agent and the lenders representing at least 50% of the total credit exposure of all lenders under the Credit Agreement, which Forbearance Budget could be updated as requested by the LLC if such update was acceptable to the Administrative Agent in its sole discretion. During the Third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exceed the projected total cash disbursements set forth in the Forbearance Budget for such week by more than $1 million in the aggregate.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Forbearance Agreement provided that the LLC may make Restricted Payments (as defined in the Credit Agreement) during the Third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may make Restricted Payments. The Third Forbearance Agreement also required the LLC to deliver (i) the restated audited financials for the fiscal year ended December 31, 2024 and any other fiscal years for which restated financials were prepared, and (ii) the financials for the month ended June 30, 2025, both on or before October 24, 2025, which could be extended by the Administrative Agent for no more than 10 days.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21, 2025, the Company was advised that the Administrative Agent agreed to extend to November 3, 2025 the deadline for the delivery of certain restated financial statements as specified in the Third Forbearance Agreement Subsequently, on October 30, 2025, the Consenting Lenders agreed to extend to November 10, 2025 the deadline for delivery of such financial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Forbearance Period, the lenders under the Credit Agreement, as amended by the Third Forbearance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 without the additional capacity at the discretion of the lenders previously allowed under the Second Forbearance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Forbearance Agreement with Respect to Credit Agreement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7, 2025, the LLC entered into a Fourth Forbearance Agreement and Fourth Amendment to Credit Agreement (the “Fourth Forbearance Agreement”) with the Administrative Agent and the Consenting Lenders, which replaced the Third Forbearance Agreement. Pursuant to the Fourth Forbearance Agreement,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LLC of any covenant or provision of the Fourth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(d) the failure by the LLC to timely deliver the restated audited financials that were required to be delivered to the New York Stock Exchange (“NYSE”) on or before November 19, 2025 (or such later deadline for delivery as determined by NYSE); and (e) 11:59 p.m. (Eastern Time) on November 24, 2025 (the period from November 7, 2025 through the earliest of events (a) through (e) above, the “Fourth Forbearance Period”).</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Fourth Forbearance Agreement becoming effective on November 7, 2025, the LLC delivered, among other things, to the Administrative Agent, for distribution to the lenders, an updated Forbearance Budget of the LLC’s projected receipts and disbursements for the 13-week period following the effective date of the Fourth Forbearance Agreement, which Forbearance Budget could be updated as requested by the LLC if such update were acceptable to the Administrative Agent in its sole discretion. During the Fourth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 exceed the projected total cash disbursements set forth in the Forbearance Budget for such week by more than $1 million in the aggregate.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Fourth Forbearance Agreement provided that the LLC could make Restricted Payments (as defined in the Credit Agreement) during the Fourth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could make Restricted Payments. The Fourth Forbearance Agreement also required the LLC to deliver (i) the restated audited financials for the fiscal year ended December 31, 2024 and any other fiscal years for which restated financials were prepared, and (ii) the financials for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months ended June 30, 2025, July 31, 2025, August 31, 2025 and September 30, 2025, all on or before November 24, 2025.</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Forbearance Period, the lenders under the Credit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forbearance of the lenders described above, the Fourth Forbearance Agreement also amended the Credit Agreement to, among other modifications, provided the LLC with greater flexibility in connection with the disposition of Lugano assets and in making financing available to Lugano.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Lugano Chapter 11 Proceedings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16, 2025, Lugano and certain of its subsidiaries filed voluntary Chapter 11 petitions under the United States Bankruptcy Code in the United States Bankruptcy Court for the District of Delaware (the “Lugano Bankruptcy”). As a result the Lugano Bankruptcy, effective November 16, 2025, Lugano and its subsidiaries were deconsolidated from the Company’s financial statements pursuant to ASC 810 -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Forbearance Agreement with Respect to Credit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24, 2025, the Company entered into a Fifth Forbearance Agreement (the “Fifth Forbearance Agreement”) with the Administrative Agent and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Company of any covenant or provision of the Fifth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and (d) 11:59 p.m. (Eastern Time) on December 19, 2025 (the period from the Effective Date through the earliest of events (a) through (d) above, the “Fifth Forbearance Period”).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Fifth Forbearance Agreement becoming effective, the Company delivered, among other things, to the Administrative Agent, for distribution to the lenders, an updated Forbearance Budget of the LLC’s projected receipts and disbursements for the 13-week period following the effective date of the Fifth Forbearance Agreement, which Forbearance Budget may be updated as requested by the Company if such update is acceptable to the Administrative Agent in its sole discretion. During the Fifth Forbearance Period, the Company cannot utilize the proceeds of collateral or loans for any purpose not contemplated under the Forbearance Budget and the Company’s total cash disbursements in any calendar week (excluding disbursements for fees and costs of the Administrative Agent’s financial advisor and counsel) cannot exceed the projected total cash disbursements set forth in the Forbearance Budget for such week by more than $1 million in the aggregate.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Fifth Forbearance Agreement provides that the Company may make Restricted Payments (as defined in the Credit Agreement) during the Fifth Forbearance Period to the extent such Restricted Payments are set forth in the Forbearance Budget and after giving effect thereto and the incurrence of any indebtedness in connection therewith the sum of (i) all cash of the Company on deposit with the Administrative Agent or subject to a qualifying control account, plus (ii) unused borrowing availability, is not less than $10,000,000; provided, however, that the forgoing is not the exclusive method by which the Company may make Restricted Payments.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Forbearance Period, the lenders under the Credit Agreement will honor requests for credit extensions from the Company for revolving loans composed of term SOFR loans with an applicable rate of 2.50% per annum plus the SOFR rate for an interest period of one month; provided, however, that such credit extensions shall not cause the lenders’ revolving credit exposures (inclusive of letters of credit obligations) to exceed $ 60 million. In addition, the modification of certain documents in connection with the Lugano Bankruptcy will require the prior written consent of the Administrative Agent or both the Administrative Agent and the Consenting Lenders.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Fifth Forbearance Agreement also required the Company to deliver the restated audited financials for the fiscal year ended December 31, 2024 and any other fiscal years for which restated financials were prepared, on or before December 5, 2025. Because we did not file the 2024 Form 10-K/A until December 8, 2025, the Fifth Forbearance Agreement initially expired on December 6, 2025. However, on December 9, 2025, subsequent to the filing of the 2024 Form 10-K/A, the Company was advised that the required lenders under the Credit Agreement (1) agreed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waive the requirement for the Company to deliver the restated financial statements by December 5, 2025 under the Fifth Forbearance Agreement and (2) further agreed that the financial statements and the report and opinion of the Company’s independent certified public accountant as they appear in the 2024 Form 10-K/A satisfied the requirements of the Credit Agreement and the Fifth Forbearance Agreement. As a result of the foregoing, the Fifth Forbearance Agreement continues in effect until December 19, 2025 unless terminated earlier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Amendment No. 1 to the Company's Annual Report on Form 10-K (“Form 10-K/A”) for the fiscal year ended December 31, 2024 and in the section entitled "Risk Factors" in Part II, Item 1A of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Part 1, Item 1., Note A to the Condensed Consolidated Financial Statements, the Company has restated its Condensed Consolidated Financial Statements as of March 31, 2024 and for the three months ended March 31, 2024. As a result, the previously reported financial information as of March 31, 2024 and for the three months ended March 31, 2024 in this Management's Discussion and Analysis ("MD&amp;A") have been updated to reflect the restatements. See Item 1. Note A - Presentation and principles of consolidation in the Consolidated Financial Statements for additional information related to these restatements, including descriptions of the adjustments and the impacts on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of the filing of this Form 10-Q, the Company is not in compliance with certain covenants under its 2022 Credit Facility. While the Company is currently operating under a forbearance agreement with its lenders under the 2022 Credit Facility while it negotiates an amendment to the 2022 Credit Facility, that agreement is scheduled to expire on December 19, 2025, unless terminated earlier in accordance with its terms. Accordingly, management has determined, applying the going-concern guidance under U.S. GAAP, that there is substantial doubt about the Company’s ability to continue as a going concern within one year after the date the consolidated financial statements set forth in this Form 10-Q are issued. For more information concerning this emphasis of matter paragraph and the Company’s ability to continue as a going concern, please see the section titled “Going Concern” under the heading “Liquidity and Capital Resources” in this MD&amp;A.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Compass Diversified Holdings ("Holdings", or the "Trust") was incorporated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nine businesses, or operating segments, at March 31, 2025. The segments are as follows: 5.11 Acquisition Corp. ("5.11"), Boa Holdings Inc. ("BOA"), Lugano Holdings, Inc. ("Lugano Diamonds" or "Lugano"), Relentless Topco, Inc. ("PrimaLoft"), THP Topco, Inc. ("The Honey Pot Co." or "THP"), CBCP Products, LLC ("Velocity Outdoor" or "Velocity"), AMTAC Holdings LLC ("Arnold"), FFI Compass, Inc. ("Altor Solutions" or "Altor"), and SternoCandleLamp Holdings, Inc. ("Sterno").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We acquired our existing businesses (operating segments) that we own at March 31, 2025 as follows: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auto"/>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Ownership Interest - March 31, 2025</w:t>
            </w:r>
          </w:p>
        </w:tc>
      </w:tr>
      <w:tr>
        <w:trPr>
          <w:trHeight w:val="196"/>
        </w:trPr>
        <w:tc>
          <w:tcPr>
            <w:tcW w:w="2340" w:type="dxa"/>
            <w:vAlign w:val="bottom"/>
            <w:gridSpan w:val="2"/>
          </w:tcPr>
          <w:p>
            <w:pPr>
              <w:ind w:left="780"/>
              <w:spacing w:after="0"/>
              <w:rPr>
                <w:sz w:val="20"/>
                <w:szCs w:val="20"/>
                <w:color w:val="auto"/>
              </w:rPr>
            </w:pPr>
            <w:r>
              <w:rPr>
                <w:rFonts w:ascii="Arial" w:cs="Arial" w:eastAsia="Arial" w:hAnsi="Arial"/>
                <w:sz w:val="15"/>
                <w:szCs w:val="15"/>
                <w:b w:val="1"/>
                <w:bCs w:val="1"/>
                <w:color w:val="auto"/>
              </w:rPr>
              <w:t>Business</w:t>
            </w:r>
          </w:p>
        </w:tc>
        <w:tc>
          <w:tcPr>
            <w:tcW w:w="2100" w:type="dxa"/>
            <w:vAlign w:val="bottom"/>
            <w:gridSpan w:val="2"/>
          </w:tcPr>
          <w:p>
            <w:pPr>
              <w:ind w:left="400"/>
              <w:spacing w:after="0"/>
              <w:rPr>
                <w:sz w:val="20"/>
                <w:szCs w:val="20"/>
                <w:color w:val="auto"/>
              </w:rPr>
            </w:pPr>
            <w:r>
              <w:rPr>
                <w:rFonts w:ascii="Arial" w:cs="Arial" w:eastAsia="Arial" w:hAnsi="Arial"/>
                <w:sz w:val="15"/>
                <w:szCs w:val="15"/>
                <w:b w:val="1"/>
                <w:bCs w:val="1"/>
                <w:color w:val="auto"/>
              </w:rPr>
              <w:t>Acquisition Date</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Primary</w:t>
            </w:r>
          </w:p>
        </w:tc>
        <w:tc>
          <w:tcPr>
            <w:tcW w:w="1840" w:type="dxa"/>
            <w:vAlign w:val="bottom"/>
          </w:tcPr>
          <w:p>
            <w:pPr>
              <w:ind w:left="660"/>
              <w:spacing w:after="0"/>
              <w:rPr>
                <w:sz w:val="20"/>
                <w:szCs w:val="20"/>
                <w:color w:val="auto"/>
              </w:rPr>
            </w:pPr>
            <w:r>
              <w:rPr>
                <w:rFonts w:ascii="Arial" w:cs="Arial" w:eastAsia="Arial" w:hAnsi="Arial"/>
                <w:sz w:val="15"/>
                <w:szCs w:val="15"/>
                <w:b w:val="1"/>
                <w:bCs w:val="1"/>
                <w:color w:val="auto"/>
              </w:rPr>
              <w:t>Diluted</w:t>
            </w:r>
          </w:p>
        </w:tc>
      </w:tr>
      <w:tr>
        <w:trPr>
          <w:trHeight w:val="20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March 5, 2012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85.8%</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tcPr>
          <w:p>
            <w:pPr>
              <w:jc w:val="center"/>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91.7%</w:t>
            </w: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87.2%</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93.2%</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90.5%</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82.8%</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55.0%</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July 12, 2022</w:t>
            </w:r>
          </w:p>
        </w:tc>
        <w:tc>
          <w:tcPr>
            <w:tcW w:w="1840" w:type="dxa"/>
            <w:vAlign w:val="bottom"/>
          </w:tcPr>
          <w:p>
            <w:pPr>
              <w:jc w:val="center"/>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84.7%</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31, 2024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77.1%</w:t>
            </w: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each of our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products are widely distributed in uniform stores, military exchanges, outdoor retail stores, its own retail stores and on 511tactical.com.</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BOA </w:t>
      </w:r>
      <w:r>
        <w:rPr>
          <w:rFonts w:ascii="Arial" w:cs="Arial" w:eastAsia="Arial" w:hAnsi="Arial"/>
          <w:sz w:val="18"/>
          <w:szCs w:val="18"/>
          <w:color w:val="auto"/>
        </w:rPr>
        <w:t>- creator of the revolutionary, award-winning, patented BOA Fit System, partners with market-leading brands to make the best gear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Lugano </w:t>
      </w:r>
      <w:r>
        <w:rPr>
          <w:rFonts w:ascii="Arial" w:cs="Arial" w:eastAsia="Arial" w:hAnsi="Arial"/>
          <w:sz w:val="18"/>
          <w:szCs w:val="18"/>
          <w:color w:val="auto"/>
        </w:rPr>
        <w:t>- Lugano is a designer, manufacturer, and retailer of high-end jewelry. Lugano conducts sales via its own retail salons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pop-up showrooms at Lugano-hosted or sponsored events in partnership with organizations in the equestrian, art, and philanthropic communities. Lugano is headquartered in Newport Beach, California.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PrimaLoft - </w:t>
      </w:r>
      <w:r>
        <w:rPr>
          <w:rFonts w:ascii="Arial" w:cs="Arial" w:eastAsia="Arial" w:hAnsi="Arial"/>
          <w:sz w:val="18"/>
          <w:szCs w:val="18"/>
          <w:color w:val="auto"/>
        </w:rPr>
        <w:t>PrimaLoft is a leading provider of branded, high-performance synthetic insulation and materials used primarily in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Honey Pot Co</w:t>
      </w:r>
      <w:r>
        <w:rPr>
          <w:rFonts w:ascii="Arial" w:cs="Arial" w:eastAsia="Arial" w:hAnsi="Arial"/>
          <w:sz w:val="18"/>
          <w:szCs w:val="18"/>
          <w:color w:val="auto"/>
        </w:rPr>
        <w:t>.- The Honey Pot Co. is a leading “better-for-you” feminine care brand, powered by plant-derived ingredients and clinically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tested formulas.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jc w:val="both"/>
        <w:spacing w:after="0" w:line="268" w:lineRule="auto"/>
        <w:rPr>
          <w:sz w:val="20"/>
          <w:szCs w:val="20"/>
          <w:color w:val="auto"/>
        </w:rPr>
      </w:pPr>
      <w:r>
        <w:rPr>
          <w:rFonts w:ascii="Arial" w:cs="Arial" w:eastAsia="Arial" w:hAnsi="Arial"/>
          <w:sz w:val="18"/>
          <w:szCs w:val="18"/>
          <w:color w:val="auto"/>
        </w:rPr>
        <w:t>The Honey Pot Co.'s mission is to educate, support, and provide consumers around the world with tools and resources that promote menstrual health and vaginal wellness. Its products can be found in stores across the U.S. through mass merchants, drug and grocery retail chains, and online.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leading designer, manufacturer, and marketer of archery products, hunting apparel and related accessories.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Altor Solutions is a designer and manufacturer of custom molded protective foam solutions and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components made from expanded polystyrene and expanded polypropylene. Altor provides products to a variety of end markets, including appliances and electronics, pharmaceuticals, health and wellness, automotive, building and other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is a leading manufacturer and marketer of portable food warming systems, creative indoor and outdoor lighting, and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Strategy and Business Outlook</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strategy involves the proactive financial and operational management of the subsidiaries we own in order to increase cash flows and shareholder value. While our subsidiary businesses have different growth opportunities and potential rates of growth, we actively manage each of our subsidiary businesses to increase the value of, and cash generated by, each business through various initiatives, including making selective capital investments to expand geographic reach, increase capacity or reduce manufacturing costs of our subsidiary businesses; improving and expanding existing sales and marketing programs; and assisting in the acquisition and integration of complementary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areas of focus for 2025, which are generally applicable to each of our businesses, include:</w:t>
      </w:r>
    </w:p>
    <w:p>
      <w:pPr>
        <w:spacing w:after="0" w:line="117" w:lineRule="exact"/>
        <w:rPr>
          <w:sz w:val="20"/>
          <w:szCs w:val="20"/>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Pursuing sales growth through a combination of new product development, increasing distribution, new customer acquisitions and selective international expansion;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Raising prices, when appropriate,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focused or less well capitalized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Recent Events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Credit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9, 2025, the LLC entered into a First Incremental Facility Amendment (the “Amendment”) to its existing Credit Agreement (as defined below). The Amendment was by and among the LLC, the lenders party thereto (the “Lenders”), and Bank of America, N.A., as administrative agent for the Lenders (the “Administrative Agent”).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 modifies the LLC’s Third Amended and Restated Credit Agreement, dated as of July 12, 2022, as amended, among the LLC, the Lenders, the Administrative Agent and the other financial institutions party thereto (the “Credit Agreement”), to provide for (a) an additional advance of the term loan in the aggregate amount of $200 million (the “Incremental Term Loan”) on the date of the Amendment, and (b) delayed draw term loan commitments in the aggregate amount of $100 million (the “Incremental Delayed Draw Term Loan Commitments,” and the loan drawn thereunder is referred to herein as the “Incremental Delayed Draw Term Loan”), which may be reduced or terminated by the LLC upon five business days’ notice and pursuant to which the Company may make no more than two draws by July 9, 2025. The proceeds from the Incremental Term Loan and the Incremental Delayed Draw Term Loan will be used for new acquisitions, working capital, capital expenditures and other general corporate purposes.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Incremental Term Loan, along with the existing term loan under the Credit Agreement, will require quarterly repayments of principal amounts ranging from $3.75 million to $11.25 million, commencing March 31, 2025, with a final payment of principal and interest due on July 12, 2027.</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Credit Agreement included in the "Notes to the to the Consolidated Financial Statements" included in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Management Services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w:t>
      </w:r>
    </w:p>
    <w:p>
      <w:pPr>
        <w:spacing w:after="0" w:line="2"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 of the Company’s adjusted net assets when the adjusted net assets are less than or equal to $3.5 billion (the “Initial Threshold Fee”),</w:t>
      </w:r>
    </w:p>
    <w:p>
      <w:pPr>
        <w:spacing w:after="0" w:line="9" w:lineRule="exact"/>
        <w:rPr>
          <w:rFonts w:ascii="Arial" w:cs="Arial" w:eastAsia="Arial" w:hAnsi="Arial"/>
          <w:sz w:val="18"/>
          <w:szCs w:val="18"/>
          <w:color w:val="auto"/>
        </w:rPr>
      </w:pPr>
    </w:p>
    <w:p>
      <w:pPr>
        <w:jc w:val="both"/>
        <w:ind w:firstLine="8"/>
        <w:spacing w:after="0" w:line="252"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Board.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2025 and March 31, 2024, and components of the results of operations for each of our operating segments on a stand-alone basis. The Company has restated its Condensed Consolidated Financial Statements as of March 31, 2024 and for the three months ended March 31, 2024. As a result, the previously reported financial information as of March 31, 2024 and for the three months ended March 31, 2024 in this Management's Discussion and Analysis ("MD&amp;A") have been updated to reflect the restatements.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following results of operations, we provide (i) our actual Consolidated Results of Operations for the three months ended March 31, 2025 and 2024,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months ended March 31, 2025 and 2024, where all periods presented include relevant pro forma adjustments for pre-acquisition periods and explanations where applicable. For the acquisition of The Honey Pot Co. in January 2024, the pro forma results of operations for The Honey Pot Co. business segment has been prepared as if we purchased this business on January 1, 2024. We believe this is the most meaningful comparison for the operating results of acquired business segments. The following results of operations at each of our businesses are not necessarily indicative of the results to be expected for a full year.</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(As Restated):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2025 compared to three months ended March 31, 2024 (As Restated)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9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March 31, 2025</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5"/>
                <w:szCs w:val="15"/>
                <w:b w:val="1"/>
                <w:bCs w:val="1"/>
                <w:color w:val="auto"/>
              </w:rPr>
              <w:t>March 31, 2024</w:t>
            </w:r>
          </w:p>
        </w:tc>
        <w:tc>
          <w:tcPr>
            <w:tcW w:w="72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rPr>
              <w:t>(As Restated)</w:t>
            </w:r>
          </w:p>
        </w:tc>
        <w:tc>
          <w:tcPr>
            <w:tcW w:w="720" w:type="dxa"/>
            <w:vAlign w:val="bottom"/>
          </w:tcPr>
          <w:p>
            <w:pPr>
              <w:spacing w:after="0"/>
              <w:rPr>
                <w:sz w:val="17"/>
                <w:szCs w:val="17"/>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453,775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410,826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1"/>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257,743</w:t>
            </w: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56.8 %</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235,874</w:t>
            </w:r>
          </w:p>
        </w:tc>
        <w:tc>
          <w:tcPr>
            <w:tcW w:w="3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57.4 %</w:t>
            </w:r>
          </w:p>
        </w:tc>
      </w:tr>
      <w:tr>
        <w:trPr>
          <w:trHeight w:val="197"/>
        </w:trPr>
        <w:tc>
          <w:tcPr>
            <w:tcW w:w="4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196,032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174,952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42.6 %</w:t>
            </w:r>
          </w:p>
        </w:tc>
      </w:tr>
      <w:tr>
        <w:trPr>
          <w:trHeight w:val="201"/>
        </w:trPr>
        <w:tc>
          <w:tcPr>
            <w:tcW w:w="432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150,377</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33.1 %</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137,724</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33.5 %</w:t>
            </w:r>
          </w:p>
        </w:tc>
      </w:tr>
      <w:tr>
        <w:trPr>
          <w:trHeight w:val="204"/>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18,863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17,942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201"/>
        </w:trPr>
        <w:tc>
          <w:tcPr>
            <w:tcW w:w="432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23,351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5.1 %</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23,211</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5.6 %</w:t>
            </w:r>
          </w:p>
        </w:tc>
      </w:tr>
      <w:tr>
        <w:trPr>
          <w:trHeight w:val="204"/>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4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 %</w:t>
            </w: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r>
        <w:trPr>
          <w:trHeight w:val="195"/>
        </w:trPr>
        <w:tc>
          <w:tcPr>
            <w:tcW w:w="4320" w:type="dxa"/>
            <w:vAlign w:val="bottom"/>
          </w:tcPr>
          <w:p>
            <w:pPr>
              <w:ind w:left="220"/>
              <w:spacing w:after="0"/>
              <w:rPr>
                <w:sz w:val="20"/>
                <w:szCs w:val="20"/>
                <w:color w:val="auto"/>
              </w:rPr>
            </w:pPr>
            <w:r>
              <w:rPr>
                <w:rFonts w:ascii="Arial" w:cs="Arial" w:eastAsia="Arial" w:hAnsi="Arial"/>
                <w:sz w:val="15"/>
                <w:szCs w:val="15"/>
                <w:color w:val="auto"/>
              </w:rPr>
              <w:t>Operating income (loss)</w:t>
            </w:r>
          </w:p>
        </w:tc>
        <w:tc>
          <w:tcPr>
            <w:tcW w:w="4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3,441</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0.8 %</w:t>
            </w:r>
          </w:p>
        </w:tc>
        <w:tc>
          <w:tcPr>
            <w:tcW w:w="1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(12,107)</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4"/>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(35,851)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1"/>
        </w:trPr>
        <w:tc>
          <w:tcPr>
            <w:tcW w:w="432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(1,125)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(1,005)</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4"/>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(47,442)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195"/>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(47,216)</w:t>
            </w:r>
          </w:p>
        </w:tc>
        <w:tc>
          <w:tcPr>
            <w:tcW w:w="3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(10.4)%</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(85,821)</w:t>
            </w:r>
          </w:p>
        </w:tc>
        <w:tc>
          <w:tcPr>
            <w:tcW w:w="3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(20.9)%</w:t>
            </w:r>
          </w:p>
        </w:tc>
      </w:tr>
      <w:tr>
        <w:trPr>
          <w:trHeight w:val="196"/>
        </w:trPr>
        <w:tc>
          <w:tcPr>
            <w:tcW w:w="4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2,538</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3,110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0.8 %</w:t>
            </w:r>
          </w:p>
        </w:tc>
      </w:tr>
      <w:tr>
        <w:trPr>
          <w:trHeight w:val="197"/>
        </w:trPr>
        <w:tc>
          <w:tcPr>
            <w:tcW w:w="432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(49,754)</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(11.0)%</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(88,931)</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w:t>
            </w:r>
          </w:p>
        </w:tc>
      </w:tr>
      <w:tr>
        <w:trPr>
          <w:trHeight w:val="20"/>
        </w:trPr>
        <w:tc>
          <w:tcPr>
            <w:tcW w:w="4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auto"/>
        </w:rPr>
        <w:t>Net revenues (as Restated)</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3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March 31, 2025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March 31, 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Increase (Decrease)</w:t>
            </w:r>
          </w:p>
        </w:tc>
        <w:tc>
          <w:tcPr>
            <w:tcW w:w="600" w:type="dxa"/>
            <w:vAlign w:val="bottom"/>
            <w:tcBorders>
              <w:bottom w:val="single" w:sz="8" w:color="auto"/>
            </w:tcBorders>
          </w:tcPr>
          <w:p>
            <w:pPr>
              <w:spacing w:after="0"/>
              <w:rPr>
                <w:sz w:val="17"/>
                <w:szCs w:val="17"/>
                <w:color w:val="auto"/>
              </w:rPr>
            </w:pPr>
          </w:p>
        </w:tc>
      </w:tr>
      <w:tr>
        <w:trPr>
          <w:trHeight w:val="194"/>
        </w:trPr>
        <w:tc>
          <w:tcPr>
            <w:tcW w:w="390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264"/>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129,370</w:t>
            </w:r>
          </w:p>
        </w:tc>
        <w:tc>
          <w:tcPr>
            <w:tcW w:w="140" w:type="dxa"/>
            <w:vAlign w:val="bottom"/>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124,974</w:t>
            </w:r>
          </w:p>
        </w:tc>
        <w:tc>
          <w:tcPr>
            <w:tcW w:w="100" w:type="dxa"/>
            <w:vAlign w:val="bottom"/>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4,396</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BOA</w:t>
            </w:r>
          </w:p>
        </w:tc>
        <w:tc>
          <w:tcPr>
            <w:tcW w:w="1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48,877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42,903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5,974</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13.9 %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14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10,793</w:t>
            </w: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16,052</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23,645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22,541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1,104</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36,191</w:t>
            </w:r>
          </w:p>
        </w:tc>
        <w:tc>
          <w:tcPr>
            <w:tcW w:w="14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20,165</w:t>
            </w: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16,026</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79.5 %</w:t>
            </w:r>
          </w:p>
        </w:tc>
      </w:tr>
      <w:tr>
        <w:trPr>
          <w:trHeight w:val="20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13,201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29,899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(16,698)</w:t>
            </w:r>
          </w:p>
        </w:tc>
        <w:tc>
          <w:tcPr>
            <w:tcW w:w="7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(55.8)%</w:t>
            </w:r>
          </w:p>
        </w:tc>
      </w:tr>
      <w:tr>
        <w:trPr>
          <w:trHeight w:val="197"/>
        </w:trPr>
        <w:tc>
          <w:tcPr>
            <w:tcW w:w="3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Branded Consumer</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278,129</w:t>
            </w:r>
          </w:p>
        </w:tc>
        <w:tc>
          <w:tcPr>
            <w:tcW w:w="140" w:type="dxa"/>
            <w:vAlign w:val="bottom"/>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251,275</w:t>
            </w:r>
          </w:p>
        </w:tc>
        <w:tc>
          <w:tcPr>
            <w:tcW w:w="100" w:type="dxa"/>
            <w:vAlign w:val="bottom"/>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26,854</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Altor</w:t>
            </w:r>
          </w:p>
        </w:tc>
        <w:tc>
          <w:tcPr>
            <w:tcW w:w="18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76,257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53,404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22,853</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42.8 %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34,008</w:t>
            </w:r>
          </w:p>
        </w:tc>
        <w:tc>
          <w:tcPr>
            <w:tcW w:w="14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41,287</w:t>
            </w:r>
          </w:p>
        </w:tc>
        <w:tc>
          <w:tcPr>
            <w:tcW w:w="10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(7,279)</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20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65,381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64,860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w:t>
            </w:r>
          </w:p>
        </w:tc>
        <w:tc>
          <w:tcPr>
            <w:tcW w:w="7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0.8 %</w:t>
            </w:r>
          </w:p>
        </w:tc>
      </w:tr>
      <w:tr>
        <w:trPr>
          <w:trHeight w:val="196"/>
        </w:trPr>
        <w:tc>
          <w:tcPr>
            <w:tcW w:w="3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Industrial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175,646</w:t>
            </w:r>
          </w:p>
        </w:tc>
        <w:tc>
          <w:tcPr>
            <w:tcW w:w="14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159,551</w:t>
            </w:r>
          </w:p>
        </w:tc>
        <w:tc>
          <w:tcPr>
            <w:tcW w:w="10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16,095</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r>
      <w:tr>
        <w:trPr>
          <w:trHeight w:val="197"/>
        </w:trPr>
        <w:tc>
          <w:tcPr>
            <w:tcW w:w="3900" w:type="dxa"/>
            <w:vAlign w:val="bottom"/>
          </w:tcPr>
          <w:p>
            <w:pPr>
              <w:ind w:left="20"/>
              <w:spacing w:after="0"/>
              <w:rPr>
                <w:sz w:val="20"/>
                <w:szCs w:val="20"/>
                <w:color w:val="auto"/>
              </w:rPr>
            </w:pPr>
            <w:r>
              <w:rPr>
                <w:rFonts w:ascii="Arial" w:cs="Arial" w:eastAsia="Arial" w:hAnsi="Arial"/>
                <w:sz w:val="15"/>
                <w:szCs w:val="15"/>
                <w:b w:val="1"/>
                <w:bCs w:val="1"/>
                <w:color w:val="auto"/>
              </w:rPr>
              <w:t>Consolidated net revenues</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453,775</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410,826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42,949</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10.5 %</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revenues for the three months ended March 31, 2025 increased by approximately $42.9 million, or 10.5%, compared to the corresponding period in 2024. During the three months ended March 31, 2025 compared to 2024, we saw notable increases in net revenues at 5.11 ($4.4 million increase), BOA ($6.0 million increase), Lugano ($16.1 million increase), The Honey Pot Co. ($16.0 million increase ) and Altor ($ 22.9 million increase). The Honey Pot Co. was acquired on January 31, 2024 and had an incremental revenue increase of $5.4 million quarter over quarter on a pro forma basis. The increase in net revenue at Altor was attributable to the acquisition of Lifoam in October 2024. These increases in net revenue was offset by notable decreases in net revenue at Velocity ($16.7 million decrease, primarily as a result of the sale of Crosman) and Arnold ($7.3 million decrease). Refer to "Results of Operations - Operating Segments" for a more detailed analysis of net revenues by operating segment.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 (as restated)</w:t>
      </w:r>
    </w:p>
    <w:p>
      <w:pPr>
        <w:spacing w:after="0" w:line="101" w:lineRule="exact"/>
        <w:rPr>
          <w:sz w:val="20"/>
          <w:szCs w:val="20"/>
          <w:color w:val="auto"/>
        </w:rPr>
      </w:pPr>
    </w:p>
    <w:tbl>
      <w:tblPr>
        <w:tblLayout w:type="fixed"/>
        <w:tblInd w:w="90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March 31, 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5"/>
        </w:trPr>
        <w:tc>
          <w:tcPr>
            <w:tcW w:w="36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Restated)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7"/>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69,748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65,927</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3,821</w:t>
            </w: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BOA</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31,219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26,215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5,004</w:t>
            </w:r>
          </w:p>
        </w:tc>
        <w:tc>
          <w:tcPr>
            <w:tcW w:w="1320" w:type="dxa"/>
            <w:vAlign w:val="bottom"/>
          </w:tcPr>
          <w:p>
            <w:pPr>
              <w:jc w:val="right"/>
              <w:spacing w:after="0"/>
              <w:rPr>
                <w:sz w:val="20"/>
                <w:szCs w:val="20"/>
                <w:color w:val="auto"/>
              </w:rPr>
            </w:pPr>
            <w:r>
              <w:rPr>
                <w:rFonts w:ascii="Arial" w:cs="Arial" w:eastAsia="Arial" w:hAnsi="Arial"/>
                <w:sz w:val="15"/>
                <w:szCs w:val="15"/>
                <w:color w:val="auto"/>
              </w:rPr>
              <w:t>19.1 %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7,987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5,192</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14,050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1,087</w:t>
            </w:r>
          </w:p>
        </w:tc>
        <w:tc>
          <w:tcPr>
            <w:tcW w:w="1320" w:type="dxa"/>
            <w:vAlign w:val="bottom"/>
          </w:tcPr>
          <w:p>
            <w:pPr>
              <w:jc w:val="right"/>
              <w:spacing w:after="0"/>
              <w:rPr>
                <w:sz w:val="20"/>
                <w:szCs w:val="20"/>
                <w:color w:val="auto"/>
              </w:rPr>
            </w:pPr>
            <w:r>
              <w:rPr>
                <w:rFonts w:ascii="Arial" w:cs="Arial" w:eastAsia="Arial" w:hAnsi="Arial"/>
                <w:sz w:val="15"/>
                <w:szCs w:val="15"/>
                <w:color w:val="auto"/>
              </w:rPr>
              <w:t>7.7 %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8,585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11,446</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133.3 %</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6,498</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(3,135)</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(48.2)%</w:t>
            </w:r>
          </w:p>
        </w:tc>
      </w:tr>
      <w:tr>
        <w:trPr>
          <w:trHeight w:val="197"/>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129,262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23,415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19,036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16,173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2,863</w:t>
            </w:r>
          </w:p>
        </w:tc>
        <w:tc>
          <w:tcPr>
            <w:tcW w:w="1320" w:type="dxa"/>
            <w:vAlign w:val="bottom"/>
          </w:tcPr>
          <w:p>
            <w:pPr>
              <w:jc w:val="right"/>
              <w:spacing w:after="0"/>
              <w:rPr>
                <w:sz w:val="20"/>
                <w:szCs w:val="20"/>
                <w:color w:val="auto"/>
              </w:rPr>
            </w:pPr>
            <w:r>
              <w:rPr>
                <w:rFonts w:ascii="Arial" w:cs="Arial" w:eastAsia="Arial" w:hAnsi="Arial"/>
                <w:sz w:val="15"/>
                <w:szCs w:val="15"/>
                <w:color w:val="auto"/>
              </w:rPr>
              <w:t>17.7 %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11,806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17,298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17,711</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w:t>
            </w:r>
          </w:p>
        </w:tc>
      </w:tr>
      <w:tr>
        <w:trPr>
          <w:trHeight w:val="197"/>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43,355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45,690</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198"/>
        </w:trPr>
        <w:tc>
          <w:tcPr>
            <w:tcW w:w="366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196,032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174,952</w:t>
            </w:r>
          </w:p>
        </w:tc>
        <w:tc>
          <w:tcPr>
            <w:tcW w:w="14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21,080</w:t>
            </w:r>
          </w:p>
        </w:tc>
        <w:tc>
          <w:tcPr>
            <w:tcW w:w="1320" w:type="dxa"/>
            <w:vAlign w:val="bottom"/>
          </w:tcPr>
          <w:p>
            <w:pPr>
              <w:jc w:val="right"/>
              <w:spacing w:after="0"/>
              <w:rPr>
                <w:sz w:val="20"/>
                <w:szCs w:val="20"/>
                <w:color w:val="auto"/>
              </w:rPr>
            </w:pPr>
            <w:r>
              <w:rPr>
                <w:rFonts w:ascii="Arial" w:cs="Arial" w:eastAsia="Arial" w:hAnsi="Arial"/>
                <w:sz w:val="15"/>
                <w:szCs w:val="15"/>
                <w:color w:val="auto"/>
              </w:rPr>
              <w:t>12.0 %</w:t>
            </w: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9" w:name="page60"/>
    <w:bookmarkEnd w:id="59"/>
    <w:tbl>
      <w:tblPr>
        <w:tblLayout w:type="fixed"/>
        <w:tblInd w:w="900" w:type="dxa"/>
        <w:tblCellMar>
          <w:top w:w="0" w:type="dxa"/>
          <w:left w:w="0" w:type="dxa"/>
          <w:bottom w:w="0" w:type="dxa"/>
          <w:right w:w="0" w:type="dxa"/>
        </w:tblCellMar>
      </w:tblPr>
      <w:tr>
        <w:trPr>
          <w:trHeight w:val="208"/>
        </w:trPr>
        <w:tc>
          <w:tcPr>
            <w:tcW w:w="340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3"/>
        </w:trPr>
        <w:tc>
          <w:tcPr>
            <w:tcW w:w="3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25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54.9 %</w:t>
            </w:r>
          </w:p>
        </w:tc>
        <w:tc>
          <w:tcPr>
            <w:tcW w:w="166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51.4 %</w:t>
            </w:r>
          </w:p>
        </w:tc>
        <w:tc>
          <w:tcPr>
            <w:tcW w:w="186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3.5%</w:t>
            </w:r>
          </w:p>
        </w:tc>
      </w:tr>
      <w:tr>
        <w:trPr>
          <w:trHeight w:val="201"/>
        </w:trPr>
        <w:tc>
          <w:tcPr>
            <w:tcW w:w="340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2520" w:type="dxa"/>
            <w:vAlign w:val="bottom"/>
          </w:tcPr>
          <w:p>
            <w:pPr>
              <w:jc w:val="right"/>
              <w:ind w:right="564"/>
              <w:spacing w:after="0"/>
              <w:rPr>
                <w:sz w:val="20"/>
                <w:szCs w:val="20"/>
                <w:color w:val="auto"/>
              </w:rPr>
            </w:pPr>
            <w:r>
              <w:rPr>
                <w:rFonts w:ascii="Arial" w:cs="Arial" w:eastAsia="Arial" w:hAnsi="Arial"/>
                <w:sz w:val="15"/>
                <w:szCs w:val="15"/>
                <w:color w:val="auto"/>
              </w:rPr>
              <w:t>24.7 %</w:t>
            </w:r>
          </w:p>
        </w:tc>
        <w:tc>
          <w:tcPr>
            <w:tcW w:w="1660" w:type="dxa"/>
            <w:vAlign w:val="bottom"/>
          </w:tcPr>
          <w:p>
            <w:pPr>
              <w:jc w:val="right"/>
              <w:ind w:right="464"/>
              <w:spacing w:after="0"/>
              <w:rPr>
                <w:sz w:val="20"/>
                <w:szCs w:val="20"/>
                <w:color w:val="auto"/>
              </w:rPr>
            </w:pPr>
            <w:r>
              <w:rPr>
                <w:rFonts w:ascii="Arial" w:cs="Arial" w:eastAsia="Arial" w:hAnsi="Arial"/>
                <w:sz w:val="15"/>
                <w:szCs w:val="15"/>
                <w:color w:val="auto"/>
              </w:rPr>
              <w:t>28.6 %</w:t>
            </w:r>
          </w:p>
        </w:tc>
        <w:tc>
          <w:tcPr>
            <w:tcW w:w="1860" w:type="dxa"/>
            <w:vAlign w:val="bottom"/>
          </w:tcPr>
          <w:p>
            <w:pPr>
              <w:jc w:val="right"/>
              <w:ind w:right="804"/>
              <w:spacing w:after="0"/>
              <w:rPr>
                <w:sz w:val="20"/>
                <w:szCs w:val="20"/>
                <w:color w:val="auto"/>
              </w:rPr>
            </w:pPr>
            <w:r>
              <w:rPr>
                <w:rFonts w:ascii="Arial" w:cs="Arial" w:eastAsia="Arial" w:hAnsi="Arial"/>
                <w:sz w:val="15"/>
                <w:szCs w:val="15"/>
                <w:color w:val="auto"/>
              </w:rPr>
              <w:t>(4.0)%</w:t>
            </w: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25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43.2 %</w:t>
            </w:r>
          </w:p>
        </w:tc>
        <w:tc>
          <w:tcPr>
            <w:tcW w:w="166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42.6 %</w:t>
            </w:r>
          </w:p>
        </w:tc>
        <w:tc>
          <w:tcPr>
            <w:tcW w:w="186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0.6%</w:t>
            </w: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gross profit increased approximately $21.1 million during the three months ended March 31, 2025 compared to the corresponding period in 2024. We saw notable increases in gross profit at 5.11 ($3.8 million increase), BOA ($5.0 million increase) and Lugano ($5.2 million increase), that correlates with the increase in net revenue in the first quarter of 2025. We also saw increases in gross profit at The Honey Pot Co. and Altor attributable to the timing of acquisitions with The Honey Pot Co. acquired by the Company on January 31, 2024 and therefore only two months of activity are included in the three months ended March 31, 2024, and Altor acquiring Lifoam on October 1, 2024. We saw notable decreases in gross profit at Velocity ($3.1 million decrease, primarily as a result of the sale of Crosman) and Arnold ($ 4.8 million decrease) that corresponded to the decrease in net revenue noted above. Gross profit as a percentage of net revenues was approximately 43.2% in the three months ended March 31, 2025 compared to 42.6% in the three months ended March 31, 2024. The increase in gross profit as a percentage of net revenue in the quarter ended March 31, 2025 as compared to the quarter ended March 31, 2024 is driven by the mix of products sold, with increases in net revenue at our higher margin businesses, particularly Lugano. Our branded consumer businesses had gross profit as a percentage of net revenues of 54.9% in the first quarter of 2025 as compared to 51.4% in the first quarter of 2024, while our industrial businesses had gross profit as a percentage of net revenues of 24.7% in the first quarter of 2025 as compared to 28.6% in the first quarter of 2024. The decrease in gross profit as a percentage of net revenues at our industrial businesses was attributable to higher fixed overhead costs absorbed on a lower revenue base due to the decrease in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Three months ended</w:t>
            </w:r>
          </w:p>
        </w:tc>
        <w:tc>
          <w:tcPr>
            <w:tcW w:w="1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48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b w:val="1"/>
                <w:bCs w:val="1"/>
                <w:color w:val="auto"/>
              </w:rPr>
              <w:t>Increase (Decrease)</w:t>
            </w:r>
          </w:p>
        </w:tc>
        <w:tc>
          <w:tcPr>
            <w:tcW w:w="520" w:type="dxa"/>
            <w:vAlign w:val="bottom"/>
          </w:tcPr>
          <w:p>
            <w:pPr>
              <w:spacing w:after="0"/>
              <w:rPr>
                <w:sz w:val="17"/>
                <w:szCs w:val="17"/>
                <w:color w:val="auto"/>
              </w:rPr>
            </w:pPr>
          </w:p>
        </w:tc>
      </w:tr>
      <w:tr>
        <w:trPr>
          <w:trHeight w:val="19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150,377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137,724</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rPr>
              <w:t>12,653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9.2 %</w:t>
            </w: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selling, general and administrative expense increased approximately $12.7 million during the three months ended March 31, 2025, compared to the corresponding period in 2024, driven primarily by increases at Lugano ($6.4 million) due to increased investment in salons and headcount, 5.11 ($3.4 million increase) due to increases in headcount and employee compensation, and Altor ($3.5 million increase) due to the acquisition of Lifoam in the fourth quarter of 2024. The Honey Pot Co. was acquired by the Company on January 31, 2024 and had incremental selling, general and administrative expense of $2.1 million during the three months ended March 31, 2025. The increase in selling, general and administrative expense was partially offset by a decrease in expense at Velocity after their disposition of the Crosman product line in the second quarter of 2024.</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corporate level, general and administrative expense was $4.6 million in the first quarter of 2025 and $4.9 million in the first quarter of 2024. The decrease in general and administrative expense in the first quarter of 2025 related to the timing of certain expenses versus the prior year and non-recurring professional fees incurred in the first quarter of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0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18,863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17,942</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921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5.1 %</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Effective January 15, 2025, the LLC and CGM entered into the MSA amendment to, beginning with the first fiscal quarter for 2025, restructure the management fee under the MSA to consist of a base management fee and an incentive management fee. Pursuant to the MSA Amendment, the base management fee will be (i) 2% of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0" w:name="page61"/>
    <w:bookmarkEnd w:id="60"/>
    <w:p>
      <w:pPr>
        <w:jc w:val="both"/>
        <w:spacing w:after="0" w:line="254" w:lineRule="auto"/>
        <w:rPr>
          <w:sz w:val="20"/>
          <w:szCs w:val="20"/>
          <w:color w:val="auto"/>
        </w:rPr>
      </w:pPr>
      <w:r>
        <w:rPr>
          <w:rFonts w:ascii="Arial" w:cs="Arial" w:eastAsia="Arial" w:hAnsi="Arial"/>
          <w:sz w:val="18"/>
          <w:szCs w:val="18"/>
          <w:color w:val="auto"/>
        </w:rPr>
        <w:t>Company’s adjusted net assets when the adjusted net assets are less than or equal to $ 3.5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The MSA Amendment also eliminates the payment of integration services fee to the Manager for future acquisitions and excludes excess cash held by the Company and the Company’s subsidiaries, subject to certain exceptions, from the calculation of the adjusted net assets of the Company, along with certain other changes. For the three months ended March 31, 2025, we incurred approximately $18.9 million in management fees as compared to $17.9 million in fees in the three months ended March 31, 2024. The increase in management fees is primarily attributable to the increase in adjusted net assets during the prior year, which was partially offset by the effect of the amendments made to the MSA.</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currently estimates the aggregate amount of overpaid management fees as of March 31, 2025 at approximately $43.1 million, which amount will reduce future payments on a dollar-for-dollar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 (as restated)</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440" w:type="dxa"/>
            <w:vAlign w:val="bottom"/>
          </w:tcPr>
          <w:p>
            <w:pPr>
              <w:jc w:val="center"/>
              <w:ind w:right="125"/>
              <w:spacing w:after="0"/>
              <w:rPr>
                <w:sz w:val="20"/>
                <w:szCs w:val="20"/>
                <w:color w:val="auto"/>
              </w:rPr>
            </w:pPr>
            <w:r>
              <w:rPr>
                <w:rFonts w:ascii="Arial" w:cs="Arial" w:eastAsia="Arial" w:hAnsi="Arial"/>
                <w:sz w:val="15"/>
                <w:szCs w:val="15"/>
                <w:b w:val="1"/>
                <w:bCs w:val="1"/>
                <w:color w:val="auto"/>
              </w:rPr>
              <w:t>March 31, 2024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5"/>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(As Restated)</w:t>
            </w:r>
          </w:p>
        </w:tc>
        <w:tc>
          <w:tcPr>
            <w:tcW w:w="1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CCEEFF"/>
            </w:tcBorders>
          </w:tcPr>
          <w:p>
            <w:pPr>
              <w:spacing w:after="0"/>
              <w:rPr>
                <w:sz w:val="16"/>
                <w:szCs w:val="16"/>
                <w:color w:val="auto"/>
              </w:rPr>
            </w:pPr>
          </w:p>
        </w:tc>
      </w:tr>
      <w:tr>
        <w:trPr>
          <w:trHeight w:val="197"/>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23,211</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140</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r>
    </w:tbl>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expense for the three months ended March 31, 2025 increased $ 0.1 million as compared to the three months ended March 31, 2024 as a result of the amortization expense associated with the intangibles that were recognized in conjunction with the purchase price allocation for Lifoam, the add-on acquisition that Altor completed in the fourth quarter of 2024, partially offset by the reduction in expense associated with the sale of Crosman in the second quarter of 2024.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March 31, 2025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60" w:type="dxa"/>
            <w:vAlign w:val="bottom"/>
          </w:tcPr>
          <w:p>
            <w:pPr>
              <w:spacing w:after="0"/>
              <w:rPr>
                <w:sz w:val="17"/>
                <w:szCs w:val="17"/>
                <w:color w:val="auto"/>
              </w:rPr>
            </w:pPr>
          </w:p>
        </w:tc>
        <w:tc>
          <w:tcPr>
            <w:tcW w:w="210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1360" w:type="dxa"/>
            <w:vAlign w:val="bottom"/>
            <w:tcBorders>
              <w:top w:val="single" w:sz="8" w:color="auto"/>
            </w:tcBorders>
            <w:shd w:val="clear" w:color="auto" w:fill="CCEEFF"/>
          </w:tcPr>
          <w:p>
            <w:pPr>
              <w:jc w:val="right"/>
              <w:ind w:right="120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(8,182)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bl>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the prior year, Velocity performed an impairment test of their goodwill as part of the annual impairment test at March 31, 2024. The impairment test resulted in Velocity recording impairment expense of $8.2 million in the quarter ended March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(as restated)</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Arial" w:cs="Arial" w:eastAsia="Arial" w:hAnsi="Arial"/>
                <w:sz w:val="15"/>
                <w:szCs w:val="15"/>
                <w:b w:val="1"/>
                <w:bCs w:val="1"/>
                <w:color w:val="auto"/>
              </w:rPr>
              <w:t>March 31, 2025</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5"/>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Borders>
              <w:top w:val="single" w:sz="8" w:color="auto"/>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CCEEFF"/>
            </w:tcBorders>
          </w:tcPr>
          <w:p>
            <w:pPr>
              <w:spacing w:after="0"/>
              <w:rPr>
                <w:sz w:val="16"/>
                <w:szCs w:val="16"/>
                <w:color w:val="auto"/>
              </w:rPr>
            </w:pPr>
          </w:p>
        </w:tc>
      </w:tr>
      <w:tr>
        <w:trPr>
          <w:trHeight w:val="197"/>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35,851</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25,267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10,584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41.9 %</w:t>
            </w:r>
          </w:p>
        </w:tc>
      </w:tr>
    </w:tbl>
    <w:p>
      <w:pPr>
        <w:spacing w:after="0" w:line="3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recorded interest expense totaling $35.9 million for the three months ended March 31, 2025 compared to $25.3 million for the comparable period in 2024, an increase of $10.6 million. In January 2025, we amended our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facility to provide for an additional advance of the term loan in the aggregate amount of $200 million on the date of the amendment, and a delayed draw term loan commitment in the aggregate amount of $100 million. The proceeds from the initial $ 200 million were used to repay amounts outstanding under our revolving credit facility, and the excess amount was held as cash on the balance sheet during the first quarter. In the prior year, the cash proceeds from our sale of Marucci in November 2023 earned interest income during January 2024 before being used to pay for the acquisition of The Honey Pot Co. in January 2024. The result of these transactions was a higher amount outstanding under the credit facility in the first quarter of 2025 compared to the first quarter of 2024, although at lower effective interest rates quarter over quarter, and a higher amount of interest income earned in the first quarter of 2024 as compared to the first quarter of 2025. The interest expense also reflects an increase of $7.2 million in interest expense related to financing arrangements at our Lugano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 (as restated)</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460" w:type="dxa"/>
            <w:vAlign w:val="bottom"/>
          </w:tcPr>
          <w:p>
            <w:pPr>
              <w:jc w:val="center"/>
              <w:ind w:right="125"/>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5"/>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CCEEFF"/>
            </w:tcBorders>
          </w:tcPr>
          <w:p>
            <w:pPr>
              <w:spacing w:after="0"/>
              <w:rPr>
                <w:sz w:val="16"/>
                <w:szCs w:val="16"/>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(13,681)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(47,442)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33,761</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March 31, 2025, we recorded $13.7 million in other expense as compared to $47.4 million in other expense in the quarter ended March 31, 2024, a decrease in expense of $33.8 million. In both periods, the other expense primarily represents expense recognized at Lugano related to losses resulting from the accounting for the transactions associated with the off-balance sheet arrangements ($13.8 million in expense in the three months ended March 31, 2025 and $44.6 million in the three months ended March 31, 2024). A significant portion of the expense associated with the Lugano financing arrangements was recognized in the historical restatement period (the years ending December 31, 2024, 2023 and 2022) which resulted in lower expense in the current year.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 In the quarter ended March 31, 2024, the expense also reflected a non-recurring loss on an equity method investment at Altor Solutions.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 (as restated)</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20" w:type="dxa"/>
            <w:vAlign w:val="bottom"/>
          </w:tcPr>
          <w:p>
            <w:pPr>
              <w:spacing w:after="0"/>
              <w:rPr>
                <w:sz w:val="17"/>
                <w:szCs w:val="17"/>
                <w:color w:val="auto"/>
              </w:rPr>
            </w:pPr>
          </w:p>
        </w:tc>
        <w:tc>
          <w:tcPr>
            <w:tcW w:w="1520" w:type="dxa"/>
            <w:vAlign w:val="bottom"/>
          </w:tcPr>
          <w:p>
            <w:pPr>
              <w:jc w:val="center"/>
              <w:ind w:right="144"/>
              <w:spacing w:after="0"/>
              <w:rPr>
                <w:sz w:val="20"/>
                <w:szCs w:val="20"/>
                <w:color w:val="auto"/>
              </w:rPr>
            </w:pPr>
            <w:r>
              <w:rPr>
                <w:rFonts w:ascii="Arial" w:cs="Arial" w:eastAsia="Arial" w:hAnsi="Arial"/>
                <w:sz w:val="15"/>
                <w:szCs w:val="15"/>
                <w:b w:val="1"/>
                <w:bCs w:val="1"/>
                <w:color w:val="auto"/>
              </w:rPr>
              <w:t>March 31, 2024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5"/>
        </w:trPr>
        <w:tc>
          <w:tcPr>
            <w:tcW w:w="3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(As Restated)</w:t>
            </w:r>
          </w:p>
        </w:tc>
        <w:tc>
          <w:tcPr>
            <w:tcW w:w="1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CCEEFF"/>
            </w:tcBorders>
          </w:tcPr>
          <w:p>
            <w:pPr>
              <w:spacing w:after="0"/>
              <w:rPr>
                <w:sz w:val="16"/>
                <w:szCs w:val="16"/>
                <w:color w:val="auto"/>
              </w:rPr>
            </w:pPr>
          </w:p>
        </w:tc>
      </w:tr>
      <w:tr>
        <w:trPr>
          <w:trHeight w:val="197"/>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2,538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3,110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(572)</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256"/>
        </w:trPr>
        <w:tc>
          <w:tcPr>
            <w:tcW w:w="3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an income tax provision of $2.5 million during the three months ended March 31, 2025 compared to an income tax provision of $3.1 million during the same period in 2024, a decrease of $0.6 million due to the increase in income from continuing operation before income taxes. Our effective tax rate in the quarter ended March 31, 2025 was (5.4)%, compared to an effective income tax rate of (3.6)% during the same period in 2024.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for the three months ended March 31, 2025 and 2024 was the limitations on the net operating loss carryforwards and utilization of tax credits at our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Operating Segments</w:t>
      </w:r>
    </w:p>
    <w:p>
      <w:pPr>
        <w:spacing w:after="0" w:line="225" w:lineRule="exact"/>
        <w:rPr>
          <w:sz w:val="20"/>
          <w:szCs w:val="20"/>
          <w:color w:val="auto"/>
        </w:rPr>
      </w:pPr>
    </w:p>
    <w:p>
      <w:pPr>
        <w:ind w:right="3900"/>
        <w:spacing w:after="0" w:line="421" w:lineRule="auto"/>
        <w:rPr>
          <w:sz w:val="20"/>
          <w:szCs w:val="20"/>
          <w:color w:val="auto"/>
        </w:rPr>
      </w:pPr>
      <w:r>
        <w:rPr>
          <w:rFonts w:ascii="Arial" w:cs="Arial" w:eastAsia="Arial" w:hAnsi="Arial"/>
          <w:sz w:val="18"/>
          <w:szCs w:val="18"/>
          <w:b w:val="1"/>
          <w:bCs w:val="1"/>
          <w:color w:val="auto"/>
        </w:rPr>
        <w:t>Three months ended March 31, 2025 compared to three months ended March 31, 2024 Branded Consumer Businesses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5.11</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129,370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124,974</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4,396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bl>
    <w:p>
      <w:pPr>
        <w:spacing w:after="0" w:line="3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Net sales for the three months ended March 31, 2025 were $129.4 million as compared to net sales of $125.0 million for the three months ended March 31, 2024, an increase of $4.4 million, or 3.5%. This increase was driven by a $5.5 million increase in domestic wholesale sales from strong demand and the fulfillment of large contracts, as well as a $3.2 million increase in direct-to-consumer sales due to an increase in</w:t>
      </w:r>
    </w:p>
    <w:p>
      <w:pPr>
        <w:jc w:val="both"/>
        <w:spacing w:after="0" w:line="287" w:lineRule="auto"/>
        <w:rPr>
          <w:sz w:val="20"/>
          <w:szCs w:val="20"/>
          <w:color w:val="auto"/>
        </w:rPr>
      </w:pPr>
      <w:r>
        <w:rPr>
          <w:rFonts w:ascii="Arial" w:cs="Arial" w:eastAsia="Arial" w:hAnsi="Arial"/>
          <w:sz w:val="18"/>
          <w:szCs w:val="18"/>
          <w:color w:val="auto"/>
        </w:rPr>
        <w:t>full-price sales for new products. These increases were offset by a $2.9 million decrease in international sales and a $1.4 million decrease in direct-to-agency sales due to the timing of large contracts.</w:t>
      </w:r>
    </w:p>
    <w:p>
      <w:pPr>
        <w:spacing w:after="0" w:line="200" w:lineRule="exact"/>
        <w:rPr>
          <w:sz w:val="20"/>
          <w:szCs w:val="20"/>
          <w:color w:val="auto"/>
        </w:rPr>
      </w:pPr>
    </w:p>
    <w:p>
      <w:pPr>
        <w:spacing w:after="0" w:line="290"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280" w:type="dxa"/>
            <w:vAlign w:val="bottom"/>
          </w:tcPr>
          <w:p>
            <w:pPr>
              <w:spacing w:after="0"/>
              <w:rPr>
                <w:sz w:val="17"/>
                <w:szCs w:val="17"/>
                <w:color w:val="auto"/>
              </w:rPr>
            </w:pPr>
          </w:p>
        </w:tc>
        <w:tc>
          <w:tcPr>
            <w:tcW w:w="1640" w:type="dxa"/>
            <w:vAlign w:val="bottom"/>
          </w:tcPr>
          <w:p>
            <w:pPr>
              <w:jc w:val="center"/>
              <w:ind w:left="84"/>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8,573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8,167</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406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5.0 %</w:t>
            </w: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rPr>
              <w:t>NM</w:t>
            </w:r>
          </w:p>
        </w:tc>
        <w:tc>
          <w:tcPr>
            <w:tcW w:w="4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three months ended March 31, 2025 was $8.6 million, an increase of $0.4 million when compared to segment operating income of $ 8.2 million for the same period in 2024. The increase in segment operating income was driven by the higher net sales as well as favorable gross margin performance, supported by a higher mix of full-price sales. The increase was offset by an increase in selling, general and administrative expenses primarily attributable to higher payroll expense and marketing spending to drive sales growth. Segment operating margin was consistent quarter over quarter, at 6.6% in the first quarter of 2025 and 6.5% in the first quarter of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48,877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42,903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5,974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13.9 %</w:t>
            </w: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March 31, 2025 were $48.9 million as compared to net sales of $42.9 million for the three months ended March 31, 2024, an increase of $6.0 million, or 13.9%. The increase was reflected across key industries including Cycling, Workwear, Outdoor, Helmets and Snow Sports. The increase in sales was a result of the improvement of end market inventory levels, coupled with market share gains in many of our key industries.</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5"/>
                <w:szCs w:val="15"/>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5"/>
                <w:szCs w:val="15"/>
                <w:color w:val="auto"/>
              </w:rPr>
              <w:t>March 31, 2024</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13,655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9,656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41.4 %</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9"/>
              </w:rPr>
              <w:t>5.4%</w:t>
            </w: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March 31, 2025 was $13.7 million, an increase of $ 4.0 million when compared to segment operating income of $9.7 million for the same period in 2024. The increase in segment operating income was driven by higher sales, improved product margins and fixed manufacturing overhead leverage. This was partially offset by an increase in employee related costs. Segment operating margin was 27.9% in the first quarter of 2025 and 22.5% in the first quarter of 2024. The increase in operating margin in the current quarter was driven by both improved gross profit margin as well as operating expense leverage.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Lugano</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10,793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16,052</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148.7 %</w:t>
            </w:r>
          </w:p>
        </w:tc>
      </w:tr>
    </w:tbl>
    <w:p>
      <w:pPr>
        <w:spacing w:after="0" w:line="3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2025 were $26.8 million an increase of approximately $16.1 million, or 148.7%, compared to net sales of $ 10.8 million in the corresponding quarter ended March 31, 2024. In the current year quarter, Lugano had stronger same store sales growth. Lugano opened its London, England salon in the second quarter of 2024.</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b w:val="1"/>
                <w:bCs w:val="1"/>
                <w:color w:val="auto"/>
              </w:rPr>
              <w:t>Three months ended</w:t>
            </w: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186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 31, 2025</w:t>
            </w:r>
          </w:p>
        </w:tc>
        <w:tc>
          <w:tcPr>
            <w:tcW w:w="1720" w:type="dxa"/>
            <w:vAlign w:val="bottom"/>
          </w:tcPr>
          <w:p>
            <w:pPr>
              <w:jc w:val="right"/>
              <w:ind w:right="244"/>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83"/>
        </w:trPr>
        <w:tc>
          <w:tcPr>
            <w:tcW w:w="36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1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(13,659)</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(12,364)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rPr>
              <w:t>(1,295)</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r>
      <w:tr>
        <w:trPr>
          <w:trHeight w:val="162"/>
        </w:trPr>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63.7%</w:t>
            </w:r>
          </w:p>
        </w:tc>
        <w:tc>
          <w:tcPr>
            <w:tcW w:w="760" w:type="dxa"/>
            <w:vAlign w:val="bottom"/>
            <w:shd w:val="clear" w:color="auto" w:fill="CCEEFF"/>
          </w:tcPr>
          <w:p>
            <w:pPr>
              <w:spacing w:after="0"/>
              <w:rPr>
                <w:sz w:val="17"/>
                <w:szCs w:val="17"/>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increased during the three months ended March 31, 2025 to $13.7 million, as compared to $12.4 million in the corresponding period in 2024. This increase was a result of higher selling general and administrative expense driven by increased headcount and employee related costs. Segment operating margin was (50.9)% in the first quarter of 2025 as compared to (114.6)% in the first quarter of 2024 due to the lower revenue base after the restatement that did not correlate to the higher selling, general and administrative spend.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23,645</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22,541</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1,104</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4.9 %</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three months ended March 31, 2025 were $23.6 million, an increase of $1.1 million as compared to net sales of $22.5 million for the three months ended March 31, 2024. The increase in net sales in the current quarter versus the quarter ended March 31, 2024 is attributable to new programs with European and Asia brand partners resulting in an increase in sales for the first quarter of 2025 compared to the first quarter of 2024, as well as an increase in shipments earlier in the period due to the timing of the Chinese New Year in 2025 compared to 2024.</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4,158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3,300</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26.0 %</w:t>
            </w: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9"/>
              </w:rPr>
              <w:t>2.9%</w:t>
            </w: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for the three months ended March 31, 2025 was $4.2 million, an increase of $0.9 million when compared to segment operating income of $3.3 million for the same period in 2024, driven by the increase in net sales. Segment operating margin was 17.6% in the first quarter of 2025 as compared to 14.6% in the first quarter of 2024.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The Honey Pot Co.</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results of operations, we provide comparative proforma results of operations for The Honey Pot Co. for the three and three months ended March 31, 2025 and March 31, 2024 as if we had acquired the business on January 1, 2024. The results of operations that follow include relevant proforma adjustments for the pre-acquisition period and explanations where applicable. The operating results for The Honey Pot Co. have been included in the consolidated results of operation from the date of acquisition on January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Proforma results of operations include the following proforma adjustments as if we had acquired The Honey Pot Co. on January 1, 2024:</w:t>
      </w:r>
    </w:p>
    <w:p>
      <w:pPr>
        <w:spacing w:after="0" w:line="115" w:lineRule="exact"/>
        <w:rPr>
          <w:sz w:val="20"/>
          <w:szCs w:val="20"/>
          <w:color w:val="auto"/>
        </w:rPr>
      </w:pPr>
    </w:p>
    <w:p>
      <w:pPr>
        <w:ind w:left="66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Incremental stock compensation expense of $0.3 million for the three months ended March 31, 2024. This amount is included in SG&amp;A and reduces segment operating income.</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expense associated with the intangible assets recorded in connection with the purchase price allocation for THP of $1.3 million for the three months ended March 31, 2024. This amount reduces segment operating income.</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fees that would have been payable to the Manager during each period. THP will pay a management fee of $1.0 million per year ($0.25 million per quarter) to CGM. This amount reduces segment operating income.</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Pro forma</w:t>
            </w:r>
          </w:p>
        </w:tc>
        <w:tc>
          <w:tcPr>
            <w:tcW w:w="1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CCEEFF"/>
            </w:tcBorders>
          </w:tcPr>
          <w:p>
            <w:pPr>
              <w:spacing w:after="0"/>
              <w:rPr>
                <w:sz w:val="17"/>
                <w:szCs w:val="17"/>
                <w:color w:val="auto"/>
              </w:rPr>
            </w:pPr>
          </w:p>
        </w:tc>
      </w:tr>
      <w:tr>
        <w:trPr>
          <w:trHeight w:val="196"/>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36,191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30,836</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5,355</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17.4 %</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March 31, 2025 were $ 36.2 million, an increase of $ 5.4 million or 17.4% from net sales of $30.8 million for the three months ended March 31, 2024. The increase in net sales is primarily due to strong volume growth due to market share gain in our Period Care product line, particularly in mass retail, drugstores and online. Overall, volume and share growth continues to be fueled by compelling innovation, targeted investments in demand generation, and disciplined investments in capabilities to accelerate growth.</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b w:val="1"/>
                <w:bCs w:val="1"/>
                <w:color w:val="auto"/>
              </w:rPr>
              <w:t>Three months ended</w:t>
            </w:r>
          </w:p>
        </w:tc>
        <w:tc>
          <w:tcPr>
            <w:tcW w:w="1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520" w:type="dxa"/>
            <w:vAlign w:val="bottom"/>
          </w:tcPr>
          <w:p>
            <w:pPr>
              <w:jc w:val="right"/>
              <w:ind w:right="244"/>
              <w:spacing w:after="0"/>
              <w:rPr>
                <w:sz w:val="20"/>
                <w:szCs w:val="20"/>
                <w:color w:val="auto"/>
              </w:rPr>
            </w:pPr>
            <w:r>
              <w:rPr>
                <w:rFonts w:ascii="Arial" w:cs="Arial" w:eastAsia="Arial" w:hAnsi="Arial"/>
                <w:sz w:val="15"/>
                <w:szCs w:val="15"/>
                <w:b w:val="1"/>
                <w:bCs w:val="1"/>
                <w:color w:val="auto"/>
              </w:rPr>
              <w:t>March 31, 2024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Pro forma</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CCEEFF"/>
            </w:tcBorders>
          </w:tcPr>
          <w:p>
            <w:pPr>
              <w:spacing w:after="0"/>
              <w:rPr>
                <w:sz w:val="17"/>
                <w:szCs w:val="17"/>
                <w:color w:val="auto"/>
              </w:rPr>
            </w:pPr>
          </w:p>
        </w:tc>
        <w:tc>
          <w:tcPr>
            <w:tcW w:w="820" w:type="dxa"/>
            <w:vAlign w:val="bottom"/>
            <w:tcBorders>
              <w:top w:val="single" w:sz="8" w:color="auto"/>
              <w:bottom w:val="single" w:sz="8" w:color="CCEEFF"/>
            </w:tcBorders>
          </w:tcPr>
          <w:p>
            <w:pPr>
              <w:spacing w:after="0"/>
              <w:rPr>
                <w:sz w:val="17"/>
                <w:szCs w:val="17"/>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4,836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(691)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5,527</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(799.9)%</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15.6%</w:t>
            </w:r>
          </w:p>
        </w:tc>
        <w:tc>
          <w:tcPr>
            <w:tcW w:w="82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March 31, 2025 was $4.8 million, an increase of $5.5 million when compared to segment operating loss of $0.7 million for the same period in 2024. Segment operating income in the first quarter of 2024 included certain non-recurring expenses related to the acquisition of The Honey Pot Co. in January 2024, including $ 2.7 million of inventory step-up amortization expense and $3.5 million in acquisition costs. Operating margin in the first quarter of 2025 was 13.4% as compared to (2.2)% in the first quarter of 2024, with the increase attributable to the non-recurring expenses incurred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30, 2024, Velocity Outdoor sold its Crosman airgun product division. The results of operations for the three months ended March 31, 2024 presented below include the results from the Crosman airgun product division.</w:t>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13,201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29,899</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(16,698)</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(55.8)%</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2025 were $13.2 million, a decrease of $16.7 million or 55.8%, compared to net sales of $29.9 million in the same period in 2024. The decrease in net sales for the three months ended March 31, 2025 was driven by the divestiture of Crosman. The remaining product categories, which consist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5" w:name="page66"/>
    <w:bookmarkEnd w:id="65"/>
    <w:p>
      <w:pPr>
        <w:jc w:val="both"/>
        <w:spacing w:after="0" w:line="287" w:lineRule="auto"/>
        <w:rPr>
          <w:sz w:val="20"/>
          <w:szCs w:val="20"/>
          <w:color w:val="auto"/>
        </w:rPr>
      </w:pPr>
      <w:r>
        <w:rPr>
          <w:rFonts w:ascii="Arial" w:cs="Arial" w:eastAsia="Arial" w:hAnsi="Arial"/>
          <w:sz w:val="18"/>
          <w:szCs w:val="18"/>
          <w:color w:val="auto"/>
        </w:rPr>
        <w:t>of the archery and hunting apparel product categories, increased 37.6% compared to the same period in 2024 due to increased archery sales through the dealer and distributor channels and improved online sales of apparel.</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(2,825)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(12,424)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rPr>
              <w:t>9,599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w:t>
            </w:r>
          </w:p>
        </w:tc>
      </w:t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20.2%</w:t>
            </w:r>
          </w:p>
        </w:tc>
        <w:tc>
          <w:tcPr>
            <w:tcW w:w="7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loss for the three months ended March 31, 2025 was $2.8 million compared to segment operating loss of $12.4 million for the same period in 2024. The loss in the prior year was driven primarily by the goodwill impairment expense of $8.2 million recognized in the first quarter of 2024. Segment operating margin was (21.4)% in the first quarter of 2025 as compared to (41.6)% in the first quarter 2024. Despite an improvement in gross margin quarter over quarter attributable to the sale of the Crosman product line, the decrease in net sales led to a decrease in operating expense leverage, with selling, general and administrative expense as a percentage of net sales of 37.0% in the quarter ended March 31, 2025 as compared to 27.5% in the quarter ended March 31, 2024.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76,257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53,404</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22,853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42.8 %</w:t>
            </w:r>
          </w:p>
        </w:tc>
      </w:tr>
    </w:tbl>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quarter ended March 31, 2025 were $76.3 million, an increase of $22.9 million, or 42.8%, compared to net sales of $53.4 million in the quarter ended March 31, 2024. The increase in net sales during the quarter was driven by the acquisition of Lifoam in October 2024. Lifoam contributed $32.6 million in net sales in the first quarter of 2025. The increase in net sales attributable to Lifoam was offset by lower quarterly sales due to shifting market conditions of perishable and cold chain markets and supplier diversification initiatives on behalf of several of Altor's customers.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4,986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6,628</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(1,642)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2"/>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w:t>
            </w:r>
          </w:p>
        </w:tc>
        <w:tc>
          <w:tcPr>
            <w:tcW w:w="7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was $5.0 million in the three months ended March 31, 2025, a decrease of $1.6 million as compared to the three months ended March 31, 2024. Segment operating margin was 6.5% in the first quarter of 2025 as compared to 12.4% in the first quarter of 2024, with the decrease driven by a reduction in fixed cost of goods sold coverage due to lower sales levels on the non-Lifoam portion of the business and increases in selling, general and administrative costs related to the acquisition and integration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34,008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41,287</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(7,279)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2025 were approximately $34.0 million, a decrease of $7.3 million compared to net sales of $41.3 million in the same period in 2024. The decrease in net sales is primarily a result of lower demand in various markets and delays in production startup at new facilities.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6" w:name="page67"/>
    <w:bookmarkEnd w:id="66"/>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(912)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4,172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rPr>
              <w:t>(5,084)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(121.9)%</w:t>
            </w: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(12.8)%</w:t>
            </w:r>
          </w:p>
        </w:tc>
        <w:tc>
          <w:tcPr>
            <w:tcW w:w="80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for the three months ended March 31, 2025 was approximately $0.9 million, a decrease of $5.1 million when compared to the same period in 2024. The decrease in segment operating income (loss) was driven by the sales shortfall, unfavorable product mix and non-recurring move related expenses. Segment operating margin was (2.7)% in the first quarter of 2025 as compared to 10.1% in the first quarter of 2024.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2024</w:t>
            </w: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65,381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64,860</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521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r>
    </w:tbl>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2025 were approximately $65.4 million, an increase of $0.5 million,or 0.8%, compared to net sales of $ 64.9 million in the same period in 2024. The net sales variance reflects a slight increase in sales volume for wax, fragrance oil, and multi-use oils.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b w:val="1"/>
                <w:bCs w:val="1"/>
                <w:color w:val="auto"/>
              </w:rPr>
              <w:t>Three months ended</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2025</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20" w:type="dxa"/>
            <w:vAlign w:val="bottom"/>
          </w:tcPr>
          <w:p>
            <w:pPr>
              <w:spacing w:after="0"/>
              <w:rPr>
                <w:sz w:val="17"/>
                <w:szCs w:val="17"/>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6,358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4,785</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rPr>
              <w:t>1,573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32.9 %</w:t>
            </w:r>
          </w:p>
        </w:tc>
      </w:tr>
      <w:tr>
        <w:trPr>
          <w:trHeight w:val="16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2.3 %</w:t>
            </w:r>
          </w:p>
        </w:tc>
        <w:tc>
          <w:tcPr>
            <w:tcW w:w="52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March 31, 2025 was approximately $6.4 million, an increase of $1.6 million compared to the three months ended March 31, 2024, driven by reduced amortization expense for intangibles that have been fully amortized (amortization expense decreased $1.5 million quarter over quarter). Segment operating margin was 9.7% in the first quarter of 2025 as compared to 7.4% in the first quarter of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2022 Credit Facility to fund our operating, investing and financing activities. Our principal uses of cash are operating expenses, payment of management fees, capital expenditures, working capital needs, debt service, dividends on the preferred shares of the Trust, and strategic growth initiatives, including potential acquisitions. In connection with the Lugano Investigation, we have incurred unanticipated costs for accounting, financing and legal fees in connection with the restatements, including those associated with our entry into forbearance agreements with respect to our credit agreement and indentures due to potential defaults or events of default thereunder. We expect to continue to incur costs, including financing and legal fees related to our financing arrangements and costs related to ongoing securities litigation resulting from the Lugano Investigation and the restatement of our previously issued financial statements.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9, 2025, the LLC entered into a First Incremental Facility Amendment to its existing Credit Agreement. The Amendment modifies the LLC’s Third Amended and Restated Credit Agreement, dated as of July 12, 2022, as amended, among the LLC, the Lenders, the Administrative Agent and the other financial institutions party thereto (the “Credit Agreement”), to provide for (a) an additional advance of the term loan in the aggregate amount of $200 million on the date of the Amendment, and (b) delayed draw term loan commitments in the aggregate amount of $100 million which may be reduced or terminated by the LLC upon five business days’ notice and pursuant to which the Company may make no more than two draws by July 9, 2025. The proceeds from the Incremental Term Loan and the Incremental Delayed Draw Term Loan were to be used for new acquisitions, working capital, capital expenditures and other general corporate purposes. The Company did not utilize the delayed draw feature and it expired on July 9, 2025.</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2025, we had $1,000.0 million of indebtedness associated with our 5.250% Senior Notes due 2029 (the "2029 Notes" or "2029 Senior Notes"), $300.0 million of indebtedness associated with our 5.000% Senior Notes (the "2032 Notes" or "2032 Senior Notes") and $571.3 million outstanding on our 2022 Term Loan. Only our 2022 Term Loan has required principal payments. Long-term debt liquidity requirements consist of the payment in full of our Notes upon their respective maturity dates, amounts outstanding under our 2022 Revolving Credit Facility upon its maturity date, and principal payments under our 2022 Term Loan. The 2022 Term Loan requires quarterly payments commencing September 30, 2022, with a final payment of all remaining principal and interest due on July 12, 2027, which is the 2022 Term Loan’s maturity date. At March 31, 2025, approximately 31% of our outstanding debt was subject to interest rate changes.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2025, we had approximately $146.2 million of cash and cash equivalents on hand, an increase of $86.6 million as compared to the year ended December 31, 2024. The majority of our cash is in non-interest bearing checking accounts or invested in short-term money market accounts and is maintained in accordance with the Company’s investment policy, which identifies allowable investments and specifies credit quality standards.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 in cash and cash equivalents for the three months ended March 31, 2025 and 2024 is as follows :</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380" w:type="dxa"/>
            <w:vAlign w:val="bottom"/>
            <w:tcBorders>
              <w:top w:val="single" w:sz="8" w:color="auto"/>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2025</w:t>
            </w:r>
          </w:p>
        </w:tc>
        <w:tc>
          <w:tcPr>
            <w:tcW w:w="320" w:type="dxa"/>
            <w:vAlign w:val="bottom"/>
          </w:tcPr>
          <w:p>
            <w:pPr>
              <w:spacing w:after="0"/>
              <w:rPr>
                <w:sz w:val="18"/>
                <w:szCs w:val="18"/>
                <w:color w:val="auto"/>
              </w:rPr>
            </w:pPr>
          </w:p>
        </w:tc>
        <w:tc>
          <w:tcPr>
            <w:tcW w:w="192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2024</w:t>
            </w: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(As Restated)</w:t>
            </w:r>
          </w:p>
        </w:tc>
      </w:tr>
      <w:tr>
        <w:trPr>
          <w:trHeight w:val="19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(29,348)</w:t>
            </w:r>
          </w:p>
        </w:tc>
        <w:tc>
          <w:tcPr>
            <w:tcW w:w="2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(25,368)</w:t>
            </w:r>
          </w:p>
        </w:tc>
      </w:tr>
      <w:tr>
        <w:trPr>
          <w:trHeight w:val="217"/>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(382,478)</w:t>
            </w: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128,240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23,072</w:t>
            </w:r>
          </w:p>
        </w:tc>
      </w:tr>
      <w:tr>
        <w:trPr>
          <w:trHeight w:val="216"/>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0"/>
        </w:trPr>
        <w:tc>
          <w:tcPr>
            <w:tcW w:w="54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86,576</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(385,763)</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the date of filing this Form 10-Q, the Company is not in compliance with certain financial and other covenants under its 2022 Credit Facility. These instances of noncompliance include (i) breaches of financial covenants under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8" w:name="page69"/>
    <w:bookmarkEnd w:id="68"/>
    <w:p>
      <w:pPr>
        <w:jc w:val="both"/>
        <w:spacing w:after="0" w:line="268" w:lineRule="auto"/>
        <w:rPr>
          <w:sz w:val="20"/>
          <w:szCs w:val="20"/>
          <w:color w:val="auto"/>
        </w:rPr>
      </w:pPr>
      <w:r>
        <w:rPr>
          <w:rFonts w:ascii="Arial" w:cs="Arial" w:eastAsia="Arial" w:hAnsi="Arial"/>
          <w:sz w:val="18"/>
          <w:szCs w:val="18"/>
          <w:color w:val="auto"/>
        </w:rPr>
        <w:t>the 2022 Credit Facility in historical periods (including December 31, 2024), resulting from required retesting of such covenants in connection with the restatement of our consolidated financial statements for the fiscal years as of and ended December 31, 2022, 2023, and 2024 and the interim periods therein, (ii) and prior defaults and events of default resulting from the circumstances related to Lugano.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operating under a forbearance agreement with its lenders under the 2022 Credit Facility as described in “</w:t>
      </w:r>
      <w:r>
        <w:rPr>
          <w:rFonts w:ascii="Arial" w:cs="Arial" w:eastAsia="Arial" w:hAnsi="Arial"/>
          <w:sz w:val="18"/>
          <w:szCs w:val="18"/>
          <w:u w:val="single" w:color="auto"/>
          <w:color w:val="0000FF"/>
        </w:rPr>
        <w:t>Note Q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Subsequent Events</w:t>
      </w:r>
      <w:r>
        <w:rPr>
          <w:rFonts w:ascii="Arial" w:cs="Arial" w:eastAsia="Arial" w:hAnsi="Arial"/>
          <w:sz w:val="18"/>
          <w:szCs w:val="18"/>
          <w:color w:val="000000"/>
        </w:rPr>
        <w:t>” in the “Notes to Consolidated Financial Statements” in this Form 10-Q, while the Company negotiates an amendment to</w:t>
      </w:r>
      <w:r>
        <w:rPr>
          <w:rFonts w:ascii="Arial" w:cs="Arial" w:eastAsia="Arial" w:hAnsi="Arial"/>
          <w:sz w:val="18"/>
          <w:szCs w:val="18"/>
          <w:color w:val="0000FF"/>
        </w:rPr>
        <w:t xml:space="preserve"> </w:t>
      </w:r>
      <w:r>
        <w:rPr>
          <w:rFonts w:ascii="Arial" w:cs="Arial" w:eastAsia="Arial" w:hAnsi="Arial"/>
          <w:sz w:val="18"/>
          <w:szCs w:val="18"/>
          <w:color w:val="000000"/>
        </w:rPr>
        <w:t>the 2022 Credit Facility to account for the deconsolidation of Lugano from the Company’s financial statements and Lugano’s entry into Chapter 11 proceedings (also as discussed in more detail in “</w:t>
      </w:r>
      <w:r>
        <w:rPr>
          <w:rFonts w:ascii="Arial" w:cs="Arial" w:eastAsia="Arial" w:hAnsi="Arial"/>
          <w:sz w:val="18"/>
          <w:szCs w:val="18"/>
          <w:u w:val="single" w:color="auto"/>
          <w:color w:val="0000FF"/>
        </w:rPr>
        <w:t>Note Q – Subsequent Events</w:t>
      </w:r>
      <w:r>
        <w:rPr>
          <w:rFonts w:ascii="Arial" w:cs="Arial" w:eastAsia="Arial" w:hAnsi="Arial"/>
          <w:sz w:val="18"/>
          <w:szCs w:val="18"/>
          <w:color w:val="000000"/>
        </w:rPr>
        <w:t>” in the “Notes to Condensed Consolidated Financial Statements” in this Form 10-Q). The forbearance agreement is scheduled to expire on December 19, 2025. If an amendment to the 2022 Credit Facility is not executed on or before December 19, 2025, then beginning December 20, 2025 the lenders under the 2022 Credit Facility may elect to exercise the remedies available to them, including but not limited to declaring borrowings due and payable, discontinuing further lending commitments, imposing cash-management controls, and instructing customers to remit payments directly to the administrative agent.</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our borrowings under the 2022 Credit Facility are accelerated and the acceleration is not rescinded, annulled, or otherwise cured within thirty (30) days after the notice of acceleration, the holders of the 2029 Notes and the 2032 Notes would have the right to declare the notes due and payable as well.</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there can be no assurance that amendments to the Company’s debt instruments or any other relief will be obtained before an acceleration remedy would become available to the 2022 Credit Facility lenders or the holders of the 2029 Notes and 2032 Notes, management has concluded, applying the going-concern guidance under U.S. GAAP, that these conditions raise substantial doubt about the Company’s ability to continue as a going concern within one year after the date the consolidated financial statements included in this Form 10-Q are issued. Although the Company is actively negotiating an amendment to the 2022 Credit Facility that would include a waiver of ongoing noncompliance, that amendment has not been executed, is not fully within the Company’s control, and therefore cannot be considered a probable mitigating plan for purposes of alleviating substantial doubt.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pursuing various operational and financial initiatives intended to strengthen liquidity and reduce leverage, including evaluating potential subsidiary divestitures, organic deleveraging actions, potential strategic transactions involving real estate, and actions to maximize recoveries in connection with Lugano’s Chapter 11 proceedings. If successfully executed, these plans (together with expected operating cash flow from the Company’s operating subsidiaries excluding Lugano)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 in the “Notes to Condensed Consolidated Financial Statements” in this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2025, cash flows used in operating activities totaled approximately $ 29.3 million, which represents a $4.0 million increase in cash use compared to cash used in operating activities of $25.4 million during the three-month period ended March 31, 2024. Cash used in operating activities for working capital for the three months ended March 31, 2025 was $12.6 million, as compared to cash provided by operating activities for working capital of $17.2 million for the three months ended March 31, 2024. We typically have a higher usage of cash for working capital in the first half of the year as most of our subsidiaries will build up inventories after the fourth quarter of the prior year. In the prior year, our 5.11 business did not have a build up of inventory until the second quarter of 2024 due to a delay in receipt of inventory as purchases of non-PFAS inventory had longer than expected lead times. The cash flows for working capital in the first quarter of 2025 reflect more normalized cash flow patterns.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flows used in investing activities for the three months ended March 31, 2025 totaled $12.9 million, compared to cash used in investing activities of $382.5 million in the same period of 2024. In the prior year, cash used in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investing activities reflects our acquisition of The Honey Pot Co. in January 2024, while investing activities in the current year is primarily capital expenditures. Capital expenditures spend increased $5.4 million during the three months ended March 31, 2025 as compared to the three months ended March 31, 2024, with $13.1 million in capital expenditures in 2025 and $7.7 million in capital expenditures in 2024. The increase in capital expenditures is primarily due to increased capital expenditures at Lugano related to their salon expansion and overall growth, and Arnold, related to the relocation of two of their facilities in the United States. We expect capital expenditures for the full year of 2025 to be between approximately $50 million to $60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financing activities totaled approximately $128.2 million during the three months ended March 31, 2025 compared to cash flows provided by financing activities of $23.1 million during the three months ended March 31, 2024. Financing activities in the current year reflects $58.1 million in Trust preferred shares issued under our at-the-market share offering program while financing activities in the first three months of 2024 reflects $2.0 million in Trust common and preferred shares issued under our at-the-market share offering program. In the current year, we added an additional $200 million in outstanding term loan, a portion of which was used to repay amounts outstanding under our revolving credit facility, resulting in net borrowings of $90 million. In the prior year comparable period, we had net borrowings under the credit facility of $46 million. The prior year cash provided by financing activities also reflects the amount of equity investment made by noncontrolling shareholders related to the acquisition of The Honey Pot Co. ($41.7 million). Financing activities in both periods reflect the payment of our common and preferred share distributions, and prior period financing cash flows includes the payment of the profit allocation from the sale of Marucci to the Allocation Interest Holders of $48.9 million.</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Lugano business entered into various financing arrangements with third parties that resulted in debt being recorded. In the three months ended March 31, 2025 and 2024, the cash flows provided by these financing arrangements totaled $15.6 million and $12.2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will from time to time, amend the intercompany credit agreements to reflect changes in the business or funding needs of our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have been made in the time period indicated: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made several amendments to the Lugano intercompany credit agreement to allow Lugano to continue to expand its operations and build inventory to support its salon expansion. Amendments were made to the Lugano intercompany credit agreement in the first quarter of 2025 and the first, second, third and fourth quarter of 2024.</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2024, we amended the PrimaLoft intercompany credit agreement to amend the fixed charge ratio and leverage ratio covenants contained within its intercompany credit agreement.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2024, we amended the Velocity intercompany credit agreement to reflect the sale of the Crosman division. The amendment revises the principal payments due under the credit facility and waives the fixed charge coverage covenant for the quarters ended June 30, 2024 and September 30, 2024.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2024, we amended the Arnold intercompany credit agreement to increase the amount of the term loan outstanding under the credit agreement. Arnold was in the process of relocating two of their product divisions to a new facility at the time of the amendment. Arnold incurred total expense of approximately $13.0 million in the year ended December 31, 2024, and an additional $0.9 million in costs in the first quarter of 2025 related to the relocation of the two facilities. Arnold exceeded the capital expenditure spend that was permitted under the amendment and was granted a waiver at December 31, 2024 and March 31, 2025.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0" w:name="page71"/>
    <w:bookmarkEnd w:id="70"/>
    <w:p>
      <w:pPr>
        <w:jc w:val="both"/>
        <w:ind w:right="20"/>
        <w:spacing w:after="0" w:line="287" w:lineRule="auto"/>
        <w:rPr>
          <w:sz w:val="20"/>
          <w:szCs w:val="20"/>
          <w:color w:val="auto"/>
        </w:rPr>
      </w:pPr>
      <w:r>
        <w:rPr>
          <w:rFonts w:ascii="Arial" w:cs="Arial" w:eastAsia="Arial" w:hAnsi="Arial"/>
          <w:sz w:val="18"/>
          <w:szCs w:val="18"/>
          <w:color w:val="auto"/>
        </w:rPr>
        <w:t>In the fourth quarter of 2024, we amended the Altor intercompany credit agreement to increase the amount of the term loan to finance the acquisition of Lifoam on October 1, 2024, and extended the term of the intercompany credit agreement by an additional three years.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subsidiaries were in compliance with the financial covenants included within their intercompany credit arrangements at March 31, 2025 except Lugano, Velocity and Arnold. Velocity was issued a waiver for the fourth quarter of 2024 and first quarter of 2025 related to the fixed charge coverage ratio in their intercompany credit agreement. Arnold received a waiver for the fourth quarter of 2024 and first quarter of 2025 related to the fixed charge ratio covenant in their intercompany credit agreement. As a result of the restatement of Lugano's historical financial information, Lugano was not in compliance with the covenants in its intercompany credit agreement with the Company at March 31, 2025. On June 6, 2025, the Company issued a Notice of Default to Lugano for failure to comply with the intercompany credit agreement (the Lugano Events of Default"). On August 29, 2025, the Company entered into a forbearance agreement with Lugano (the Lugano Forbearance Agreement"). The Lugano Forbearance Agreement, as amended, whereby the Company agreed to forbear from exercising its rights and remedies as a lender under the Lugano intercompany credit agreement due to the Lugano Events of Default. The Lugano Forbearance Agreement, as amended, was in effect until November 16, 2025 when Lugano filed for bankruptcy protection.</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intercompany loans eliminate in consolidation and are not reflected in the consolidated balance sheet. As of March 31, 2025, we had the following outstanding loans due from each of our subsidiary businesses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Intercompany loan</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144,738</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156,561</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659,349</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152,069</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94,000</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53,600</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191,491</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88,346</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70,213</w:t>
            </w:r>
          </w:p>
        </w:tc>
      </w:tr>
      <w:tr>
        <w:trPr>
          <w:trHeight w:val="209"/>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intercompany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1,610,367</w:t>
            </w:r>
          </w:p>
        </w:tc>
      </w:tr>
      <w:tr>
        <w:trPr>
          <w:trHeight w:val="21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(1,610,367)</w:t>
            </w: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applicable credit facility and interest on our Senior Notes; (iii) payments to CGM due pursuant to the MSA and payments to Sostratus LLC pursuant to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12, 2022, we entered into the Third Amended and Restated Credit Agreement (the "2022 Credit Facility"). The 2022 Credit Facility provides for revolving loans, swing line loans and letters of credit up to a maximum aggregate amount of $600 million (the "2022 Revolving Credit Facility") and also permits the LLC, prior to the applicable maturity date, to increase the revolving loan commitment and/or obtain term loans in an aggregate amount of up to $250 million, subject to certain restrictions and conditions. All amounts outstanding under the 2022 Revolving Credit Facility will become due on July 12, 2027, which is the maturity date of loans advanced under the 2022 Revolving Credit Facility. The 2022 Credit Facility also provided for a $400 million term loan (the “2022 Term Loan”). In January 2025, the Company entered into an amendment of the 2022 Credit Facility to provide for (a) an additional advance of the term loan in the aggregate amount of $200 million on the date of the amendment, and (b) delayed draw term loan commitments in the aggregate amount of $100 million, which may be reduced or terminated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by the Company upon five business days’ notice and pursuant to which the Company may make no more than two draws by July 9, 2025. The initial $200 million draw was used to reduce the amount outstanding under the 2022 Revolving Credit Facility and for general corporate purposes. The Company did not draw on the delayed draw term loan and the commitment expired on July 9, 2025. The 2022 Term Loan requires quarterly payments commencing September 30, 2022, with a final payment of all remaining principal and interest due on July 12, 2027, which is the 2022 Term Loan’s maturity date.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availability under the 2022 Revolving Credit Facility was approximately $596.6 million at March 31, 2025, however, the Company was not in compliance with the financial covenants contained in the 2022 Credit Facility as of March 31, 2025 and as a result, the availability of the 2022 Revolving Credit Facility at March 31, 2025 would have been limited. The outstanding borrowings under the 2022 Revolving Credit Facility include $3.5 million of outstanding letters of credit at March 31, 2025, which are not reflected on our balance sheet.</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2022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LLC and U.S. Bank National Association, as trustee. The 2032 Notes bear interest at the rate of 5.000% per annum and will mature on January 15, 2032. Interest on the 2032 Notes is payable in cash on July 15th and January 15th of each year. The 2032 Notes are general unsecured obligations of the LLC and are not guaranteed by our subsidiaries.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2032 Senior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offered pursuant to a private offering to qualified institutional buyers in accordance with Rule 144A under the</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Securities Act, and to non-U.S. persons under Regulation S under the Securities Act. The 2029 Notes were issued pursuant to an indenture, dated as of March 23, 2021 (the “2029 Notes Indenture”), between the LLC and U.S. Bank National Association, as trustee. The 2029 Notes bear interest at the rate of 5.250% per annum and will mature on April 15, 2029. Interest on the 2029 Notes is payable in cash on April 15th and October 15th of each year. The 2029 Notes are general unsecured obligations of the LLC and are not guaranteed by our subsidiaries.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2029 Senior Notes.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Agent and the Lenders may exercise any rights or remedies available to them under the 2022 Credit Facility. The Company was not in compliance with such financial covenants as of March 31, 2025 and the year ended December 31, 2024 and had not received forbearance or other relief from its lenders as of those dates. As a result, the lenders had the contractual right on those dates to accelerate the Company’s outstanding obligations under the 2022 Credit Facility. Accordingly, the Company has classified outstanding borrowings under the 2022 Term Loan and 2022 Revolving Credit facility as current at March 31,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March 31, 2025 and December 31, 2024 in the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2" w:name="page73"/>
    <w:bookmarkEnd w:id="72"/>
    <w:p>
      <w:pPr>
        <w:ind w:right="20"/>
        <w:spacing w:after="0" w:line="287" w:lineRule="auto"/>
        <w:rPr>
          <w:sz w:val="20"/>
          <w:szCs w:val="20"/>
          <w:color w:val="auto"/>
        </w:rPr>
      </w:pPr>
      <w:r>
        <w:rPr>
          <w:rFonts w:ascii="Arial" w:cs="Arial" w:eastAsia="Arial" w:hAnsi="Arial"/>
          <w:sz w:val="18"/>
          <w:szCs w:val="18"/>
          <w:color w:val="auto"/>
        </w:rPr>
        <w:t>The following table reflects required and actual financial ratios as of March 31, 2025 included as part of the affirmative covenants in our 2022 Credit Facility.</w:t>
      </w:r>
    </w:p>
    <w:p>
      <w:pPr>
        <w:spacing w:after="0" w:line="85" w:lineRule="exact"/>
        <w:rPr>
          <w:sz w:val="20"/>
          <w:szCs w:val="20"/>
          <w:color w:val="auto"/>
        </w:rPr>
      </w:pPr>
    </w:p>
    <w:tbl>
      <w:tblPr>
        <w:tblLayout w:type="fixed"/>
        <w:tblInd w:w="720" w:type="dxa"/>
        <w:tblCellMar>
          <w:top w:w="0" w:type="dxa"/>
          <w:left w:w="0" w:type="dxa"/>
          <w:bottom w:w="0" w:type="dxa"/>
          <w:right w:w="0" w:type="dxa"/>
        </w:tblCellMar>
      </w:tblPr>
      <w:tr>
        <w:trPr>
          <w:trHeight w:val="208"/>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0"/>
              <w:spacing w:after="0"/>
              <w:rPr>
                <w:sz w:val="20"/>
                <w:szCs w:val="20"/>
                <w:color w:val="auto"/>
              </w:rPr>
            </w:pPr>
            <w:r>
              <w:rPr>
                <w:rFonts w:ascii="Arial" w:cs="Arial" w:eastAsia="Arial" w:hAnsi="Arial"/>
                <w:sz w:val="15"/>
                <w:szCs w:val="15"/>
                <w:b w:val="1"/>
                <w:bCs w:val="1"/>
                <w:color w:val="auto"/>
              </w:rPr>
              <w:t>Actual Ratio</w:t>
            </w:r>
          </w:p>
        </w:tc>
      </w:tr>
      <w:tr>
        <w:trPr>
          <w:trHeight w:val="88"/>
        </w:trPr>
        <w:tc>
          <w:tcPr>
            <w:tcW w:w="41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02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r>
      <w:tr>
        <w:trPr>
          <w:trHeight w:val="21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0.62:1.0</w:t>
            </w:r>
          </w:p>
        </w:tc>
      </w:tr>
      <w:tr>
        <w:trPr>
          <w:trHeight w:val="215"/>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6"/>
                <w:szCs w:val="16"/>
                <w:color w:val="auto"/>
              </w:rPr>
              <w:t>1.69:1.0</w:t>
            </w:r>
          </w:p>
        </w:tc>
      </w:tr>
      <w:tr>
        <w:trPr>
          <w:trHeight w:val="21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6.46:1.0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top w:val="single" w:sz="8" w:color="auto"/>
              <w:bottom w:val="single" w:sz="8" w:color="auto"/>
            </w:tcBorders>
          </w:tcPr>
          <w:p>
            <w:pPr>
              <w:spacing w:after="0"/>
              <w:rPr>
                <w:sz w:val="19"/>
                <w:szCs w:val="19"/>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credit facilities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Interest on Senior Notes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16,875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16,875</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fee on Revolving Credit Facility</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6"/>
        </w:trPr>
        <w:tc>
          <w:tcPr>
            <w:tcW w:w="5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interest expense </w:t>
            </w:r>
            <w:r>
              <w:rPr>
                <w:rFonts w:ascii="Arial" w:cs="Arial" w:eastAsia="Arial" w:hAnsi="Arial"/>
                <w:sz w:val="21"/>
                <w:szCs w:val="21"/>
                <w:b w:val="1"/>
                <w:bCs w:val="1"/>
                <w:color w:val="auto"/>
                <w:vertAlign w:val="superscript"/>
              </w:rPr>
              <w:t>(1)</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9,047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1,704</w:t>
            </w: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35,851</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25,267</w:t>
            </w: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interest expense includes interest amounts related to Lugano financing arrangements.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debt at March 31, 2025 and December 31,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5"/>
                <w:szCs w:val="15"/>
                <w:b w:val="1"/>
                <w:bCs w:val="1"/>
                <w:color w:val="auto"/>
              </w:rPr>
              <w:t>March 31, 2025</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2024</w:t>
            </w:r>
          </w:p>
        </w:tc>
        <w:tc>
          <w:tcPr>
            <w:tcW w:w="1020" w:type="dxa"/>
            <w:vAlign w:val="bottom"/>
            <w:tcBorders>
              <w:bottom w:val="single" w:sz="8" w:color="auto"/>
            </w:tcBorders>
          </w:tcPr>
          <w:p>
            <w:pPr>
              <w:spacing w:after="0"/>
              <w:rPr>
                <w:sz w:val="18"/>
                <w:szCs w:val="18"/>
                <w:color w:val="auto"/>
              </w:rPr>
            </w:pPr>
          </w:p>
        </w:tc>
      </w:tr>
      <w:tr>
        <w:trPr>
          <w:trHeight w:val="195"/>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Effective Interest Rate</w:t>
            </w:r>
          </w:p>
        </w:tc>
        <w:tc>
          <w:tcPr>
            <w:tcW w:w="220" w:type="dxa"/>
            <w:vAlign w:val="bottom"/>
          </w:tcPr>
          <w:p>
            <w:pPr>
              <w:spacing w:after="0"/>
              <w:rPr>
                <w:sz w:val="16"/>
                <w:szCs w:val="16"/>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Interest Rate</w:t>
            </w:r>
          </w:p>
        </w:tc>
        <w:tc>
          <w:tcPr>
            <w:tcW w:w="40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2032</w:t>
            </w:r>
          </w:p>
        </w:tc>
        <w:tc>
          <w:tcPr>
            <w:tcW w:w="39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Pr>
          <w:p>
            <w:pPr>
              <w:jc w:val="center"/>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7"/>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571,250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3920" w:type="dxa"/>
            <w:vAlign w:val="bottom"/>
          </w:tcPr>
          <w:p>
            <w:pPr>
              <w:ind w:left="4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110,000</w:t>
            </w: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(11,186)</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r>
      <w:tr>
        <w:trPr>
          <w:trHeight w:val="210"/>
        </w:trPr>
        <w:tc>
          <w:tcPr>
            <w:tcW w:w="4320" w:type="dxa"/>
            <w:vAlign w:val="bottom"/>
            <w:gridSpan w:val="2"/>
          </w:tcPr>
          <w:p>
            <w:pPr>
              <w:ind w:left="360"/>
              <w:spacing w:after="0"/>
              <w:rPr>
                <w:sz w:val="20"/>
                <w:szCs w:val="20"/>
                <w:color w:val="auto"/>
              </w:rPr>
            </w:pPr>
            <w:r>
              <w:rPr>
                <w:rFonts w:ascii="Arial" w:cs="Arial" w:eastAsia="Arial" w:hAnsi="Arial"/>
                <w:sz w:val="16"/>
                <w:szCs w:val="16"/>
                <w:color w:val="auto"/>
              </w:rPr>
              <w:t>Total debt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1,860,064</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1,774,290</w:t>
            </w:r>
          </w:p>
        </w:tc>
      </w:tr>
      <w:tr>
        <w:trPr>
          <w:trHeight w:val="21"/>
        </w:trPr>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t>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reconcile the most directly comparable GAAP financial measures to Adjusted earnings before Interest, Income Taxes, Depreciation and Amortization ("Adjusted EBITDA") and Adjusted Earnings.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 EBITDA is calculated as net income (loss) from continuing operations before interest expense,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depreciation expense and amortization expense. Amortization expenses consist of amortization of intangibles, amortization of inventory step-up associated with purchase price allocations of our acquisitions,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impairment charges, which reflect write downs to goodwill or other intangible assets; (iv) 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Net income (loss) from continuing operations to Adjusted EBITDA</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tables reconcile </w:t>
      </w:r>
      <w:r>
        <w:rPr>
          <w:rFonts w:ascii="Arial" w:cs="Arial" w:eastAsia="Arial" w:hAnsi="Arial"/>
          <w:sz w:val="18"/>
          <w:szCs w:val="18"/>
          <w:i w:val="1"/>
          <w:iCs w:val="1"/>
          <w:color w:val="auto"/>
        </w:rPr>
        <w:t>Adj</w:t>
      </w:r>
      <w:r>
        <w:rPr>
          <w:rFonts w:ascii="Arial" w:cs="Arial" w:eastAsia="Arial" w:hAnsi="Arial"/>
          <w:sz w:val="18"/>
          <w:szCs w:val="18"/>
          <w:color w:val="auto"/>
        </w:rPr>
        <w:t>u</w:t>
      </w:r>
      <w:r>
        <w:rPr>
          <w:rFonts w:ascii="Arial" w:cs="Arial" w:eastAsia="Arial" w:hAnsi="Arial"/>
          <w:sz w:val="18"/>
          <w:szCs w:val="18"/>
          <w:i w:val="1"/>
          <w:iCs w:val="1"/>
          <w:color w:val="auto"/>
        </w:rPr>
        <w:t>sted EBITDA</w:t>
      </w:r>
      <w:r>
        <w:rPr>
          <w:rFonts w:ascii="Arial" w:cs="Arial" w:eastAsia="Arial" w:hAnsi="Arial"/>
          <w:sz w:val="18"/>
          <w:szCs w:val="18"/>
          <w:color w:val="auto"/>
        </w:rPr>
        <w:t xml:space="preserve">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4" w:name="page75"/>
    <w:bookmarkEnd w:id="74"/>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989330</wp:posOffset>
            </wp:positionV>
            <wp:extent cx="6369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jc w:val="center"/>
        <w:ind w:right="7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Three months ended March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7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BOA</w:t>
            </w: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Lugano</w:t>
            </w:r>
          </w:p>
        </w:tc>
        <w:tc>
          <w:tcPr>
            <w:tcW w:w="7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PrimaLoft</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THP</w:t>
            </w:r>
          </w:p>
        </w:tc>
        <w:tc>
          <w:tcPr>
            <w:tcW w:w="8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Sterno</w:t>
            </w:r>
          </w:p>
        </w:tc>
        <w:tc>
          <w:tcPr>
            <w:tcW w:w="8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2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Net income (loss) from</w:t>
            </w: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(8,764)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3,906</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8,243</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$(51,634)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(4,167)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(1,606)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3,179</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(49,754)</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Arial" w:cs="Arial" w:eastAsia="Arial" w:hAnsi="Arial"/>
                <w:sz w:val="14"/>
                <w:szCs w:val="14"/>
                <w:color w:val="auto"/>
              </w:rPr>
              <w:t>Adjusted for: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Provision (benefit) for</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1,144</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1,166</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997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35,851</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3,344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3,984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4,854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5,772</w:t>
            </w:r>
          </w:p>
        </w:tc>
        <w:tc>
          <w:tcPr>
            <w:tcW w:w="80" w:type="dxa"/>
            <w:vAlign w:val="bottom"/>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color w:val="auto"/>
              </w:rPr>
              <w:t>5,248</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5,315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4,160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7,192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2,578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3"/>
                <w:szCs w:val="13"/>
                <w:color w:val="auto"/>
              </w:rPr>
              <w:t>3,476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36,777</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EBITDA</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14,167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18,640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11,831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9,921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25,412</w:t>
            </w: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13,515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13,681</w:t>
            </w:r>
          </w:p>
        </w:tc>
        <w:tc>
          <w:tcPr>
            <w:tcW w:w="0" w:type="dxa"/>
            <w:vAlign w:val="bottom"/>
          </w:tcPr>
          <w:p>
            <w:pPr>
              <w:spacing w:after="0"/>
              <w:rPr>
                <w:sz w:val="1"/>
                <w:szCs w:val="1"/>
                <w:color w:val="auto"/>
              </w:rPr>
            </w:pPr>
          </w:p>
        </w:tc>
      </w:tr>
      <w:tr>
        <w:trPr>
          <w:trHeight w:val="189"/>
        </w:trPr>
        <w:tc>
          <w:tcPr>
            <w:tcW w:w="1720" w:type="dxa"/>
            <w:vAlign w:val="bottom"/>
          </w:tcPr>
          <w:p>
            <w:pPr>
              <w:ind w:left="20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shareholder</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1,346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w:t>
            </w:r>
          </w:p>
        </w:tc>
        <w:tc>
          <w:tcPr>
            <w:tcW w:w="0" w:type="dxa"/>
            <w:vAlign w:val="bottom"/>
          </w:tcPr>
          <w:p>
            <w:pPr>
              <w:spacing w:after="0"/>
              <w:rPr>
                <w:sz w:val="1"/>
                <w:szCs w:val="1"/>
                <w:color w:val="auto"/>
              </w:rPr>
            </w:pPr>
          </w:p>
        </w:tc>
      </w:tr>
      <w:tr>
        <w:trPr>
          <w:trHeight w:val="198"/>
        </w:trPr>
        <w:tc>
          <w:tcPr>
            <w:tcW w:w="1720" w:type="dxa"/>
            <w:vAlign w:val="bottom"/>
          </w:tcPr>
          <w:p>
            <w:pPr>
              <w:ind w:left="200"/>
              <w:spacing w:after="0"/>
              <w:rPr>
                <w:sz w:val="20"/>
                <w:szCs w:val="20"/>
                <w:color w:val="auto"/>
              </w:rPr>
            </w:pPr>
            <w:r>
              <w:rPr>
                <w:rFonts w:ascii="Arial" w:cs="Arial" w:eastAsia="Arial" w:hAnsi="Arial"/>
                <w:sz w:val="14"/>
                <w:szCs w:val="14"/>
                <w:color w:val="auto"/>
              </w:rPr>
              <w:t>Integration services fee</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b w:val="1"/>
                <w:bCs w:val="1"/>
                <w:color w:val="auto"/>
                <w:vertAlign w:val="superscript"/>
              </w:rPr>
              <w:t>(1)</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rPr>
              <w:t>Adjusted EBITDA</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(21,726)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14,817</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$ 20,049</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 (11,616)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9,830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12,853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2,564</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10,167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45,526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200" w:hanging="4"/>
        <w:spacing w:after="0" w:line="361" w:lineRule="auto"/>
        <w:tabs>
          <w:tab w:leader="none" w:pos="375"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for Altor includes the add-back of certain expenses incurred related to restructuring of their facilities after the acquisition of Lifoam.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102235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780" w:top="1440" w:right="41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1195070</wp:posOffset>
            </wp:positionV>
            <wp:extent cx="6412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32"/>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632"/>
        <w:spacing w:after="0"/>
        <w:rPr>
          <w:sz w:val="20"/>
          <w:szCs w:val="20"/>
          <w:color w:val="auto"/>
        </w:rPr>
      </w:pPr>
      <w:r>
        <w:rPr>
          <w:rFonts w:ascii="Arial" w:cs="Arial" w:eastAsia="Arial" w:hAnsi="Arial"/>
          <w:sz w:val="16"/>
          <w:szCs w:val="16"/>
          <w:b w:val="1"/>
          <w:bCs w:val="1"/>
          <w:color w:val="auto"/>
        </w:rPr>
        <w:t>Three months ended March 31, 2024</w:t>
      </w:r>
    </w:p>
    <w:p>
      <w:pPr>
        <w:spacing w:after="0" w:line="26" w:lineRule="exact"/>
        <w:rPr>
          <w:sz w:val="20"/>
          <w:szCs w:val="20"/>
          <w:color w:val="auto"/>
        </w:rPr>
      </w:pPr>
    </w:p>
    <w:tbl>
      <w:tblPr>
        <w:tblLayout w:type="fixed"/>
        <w:tblInd w:w="88" w:type="dxa"/>
        <w:tblCellMar>
          <w:top w:w="0" w:type="dxa"/>
          <w:left w:w="0" w:type="dxa"/>
          <w:bottom w:w="0" w:type="dxa"/>
          <w:right w:w="0" w:type="dxa"/>
        </w:tblCellMar>
      </w:tblPr>
      <w:tr>
        <w:trPr>
          <w:trHeight w:val="129"/>
        </w:trPr>
        <w:tc>
          <w:tcPr>
            <w:tcW w:w="16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Corporate</w:t>
            </w:r>
          </w:p>
        </w:tc>
        <w:tc>
          <w:tcPr>
            <w:tcW w:w="80" w:type="dxa"/>
            <w:vAlign w:val="bottom"/>
            <w:tcBorders>
              <w:top w:val="single" w:sz="8" w:color="auto"/>
            </w:tcBorders>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3"/>
                <w:szCs w:val="13"/>
                <w:b w:val="1"/>
                <w:bCs w:val="1"/>
                <w:color w:val="auto"/>
              </w:rPr>
              <w:t>BOA</w:t>
            </w:r>
          </w:p>
        </w:tc>
        <w:tc>
          <w:tcPr>
            <w:tcW w:w="80" w:type="dxa"/>
            <w:vAlign w:val="bottom"/>
            <w:tcBorders>
              <w:top w:val="single" w:sz="8" w:color="auto"/>
            </w:tcBorders>
            <w:vMerge w:val="restart"/>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ind w:right="30"/>
              <w:spacing w:after="0"/>
              <w:rPr>
                <w:sz w:val="20"/>
                <w:szCs w:val="20"/>
                <w:color w:val="auto"/>
              </w:rPr>
            </w:pPr>
            <w:r>
              <w:rPr>
                <w:rFonts w:ascii="Arial" w:cs="Arial" w:eastAsia="Arial" w:hAnsi="Arial"/>
                <w:sz w:val="13"/>
                <w:szCs w:val="13"/>
                <w:b w:val="1"/>
                <w:bCs w:val="1"/>
                <w:color w:val="auto"/>
              </w:rPr>
              <w:t>Lugano</w:t>
            </w:r>
          </w:p>
        </w:tc>
        <w:tc>
          <w:tcPr>
            <w:tcW w:w="80" w:type="dxa"/>
            <w:vAlign w:val="bottom"/>
            <w:tcBorders>
              <w:top w:val="single" w:sz="8" w:color="auto"/>
            </w:tcBorders>
            <w:vMerge w:val="restart"/>
          </w:tcPr>
          <w:p>
            <w:pPr>
              <w:spacing w:after="0"/>
              <w:rPr>
                <w:sz w:val="11"/>
                <w:szCs w:val="11"/>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PrimaLoft</w:t>
            </w:r>
          </w:p>
        </w:tc>
        <w:tc>
          <w:tcPr>
            <w:tcW w:w="8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3"/>
                <w:szCs w:val="13"/>
                <w:b w:val="1"/>
                <w:bCs w:val="1"/>
                <w:color w:val="auto"/>
              </w:rPr>
              <w:t>THP</w:t>
            </w:r>
          </w:p>
        </w:tc>
        <w:tc>
          <w:tcPr>
            <w:tcW w:w="80" w:type="dxa"/>
            <w:vAlign w:val="bottom"/>
            <w:tcBorders>
              <w:top w:val="single" w:sz="8" w:color="auto"/>
            </w:tcBorders>
            <w:vMerge w:val="restart"/>
          </w:tcPr>
          <w:p>
            <w:pPr>
              <w:spacing w:after="0"/>
              <w:rPr>
                <w:sz w:val="11"/>
                <w:szCs w:val="11"/>
                <w:color w:val="auto"/>
              </w:rPr>
            </w:pPr>
          </w:p>
        </w:tc>
        <w:tc>
          <w:tcPr>
            <w:tcW w:w="74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Velocity</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3"/>
                <w:szCs w:val="13"/>
                <w:b w:val="1"/>
                <w:bCs w:val="1"/>
                <w:color w:val="auto"/>
              </w:rPr>
              <w:t>Altor</w:t>
            </w:r>
          </w:p>
        </w:tc>
        <w:tc>
          <w:tcPr>
            <w:tcW w:w="80" w:type="dxa"/>
            <w:vAlign w:val="bottom"/>
            <w:tcBorders>
              <w:top w:val="single" w:sz="8" w:color="auto"/>
            </w:tcBorders>
            <w:vMerge w:val="restart"/>
          </w:tcPr>
          <w:p>
            <w:pPr>
              <w:spacing w:after="0"/>
              <w:rPr>
                <w:sz w:val="11"/>
                <w:szCs w:val="11"/>
                <w:color w:val="auto"/>
              </w:rPr>
            </w:pPr>
          </w:p>
        </w:tc>
        <w:tc>
          <w:tcPr>
            <w:tcW w:w="62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3"/>
                <w:szCs w:val="13"/>
                <w:b w:val="1"/>
                <w:bCs w:val="1"/>
                <w:color w:val="auto"/>
              </w:rPr>
              <w:t>Arnold</w:t>
            </w:r>
          </w:p>
        </w:tc>
        <w:tc>
          <w:tcPr>
            <w:tcW w:w="80" w:type="dxa"/>
            <w:vAlign w:val="bottom"/>
            <w:tcBorders>
              <w:top w:val="single" w:sz="8" w:color="auto"/>
            </w:tcBorders>
            <w:vMerge w:val="restart"/>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3"/>
                <w:szCs w:val="13"/>
                <w:b w:val="1"/>
                <w:bCs w:val="1"/>
                <w:color w:val="auto"/>
              </w:rPr>
              <w:t>Sterno</w:t>
            </w:r>
          </w:p>
        </w:tc>
        <w:tc>
          <w:tcPr>
            <w:tcW w:w="8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Outdoor</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0" w:lineRule="exact"/>
              <w:rPr>
                <w:sz w:val="20"/>
                <w:szCs w:val="20"/>
                <w:color w:val="auto"/>
              </w:rPr>
            </w:pPr>
            <w:r>
              <w:rPr>
                <w:rFonts w:ascii="Arial" w:cs="Arial" w:eastAsia="Arial" w:hAnsi="Arial"/>
                <w:sz w:val="13"/>
                <w:szCs w:val="13"/>
                <w:b w:val="1"/>
                <w:bCs w:val="1"/>
                <w:color w:val="auto"/>
                <w:w w:val="95"/>
              </w:rPr>
              <w:t>(As</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(As restated)</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Restated)</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Net income (loss) from</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(15,973)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(88,931)</w:t>
            </w:r>
          </w:p>
        </w:tc>
        <w:tc>
          <w:tcPr>
            <w:tcW w:w="0" w:type="dxa"/>
            <w:vAlign w:val="bottom"/>
          </w:tcPr>
          <w:p>
            <w:pPr>
              <w:spacing w:after="0"/>
              <w:rPr>
                <w:sz w:val="1"/>
                <w:szCs w:val="1"/>
                <w:color w:val="auto"/>
              </w:rPr>
            </w:pPr>
          </w:p>
        </w:tc>
      </w:tr>
      <w:tr>
        <w:trPr>
          <w:trHeight w:val="198"/>
        </w:trPr>
        <w:tc>
          <w:tcPr>
            <w:tcW w:w="164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4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Provision (benefit) for</w:t>
            </w:r>
          </w:p>
        </w:tc>
        <w:tc>
          <w:tcPr>
            <w:tcW w:w="14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628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25,267</w:t>
            </w:r>
          </w:p>
        </w:tc>
        <w:tc>
          <w:tcPr>
            <w:tcW w:w="0" w:type="dxa"/>
            <w:vAlign w:val="bottom"/>
          </w:tcPr>
          <w:p>
            <w:pPr>
              <w:spacing w:after="0"/>
              <w:rPr>
                <w:sz w:val="1"/>
                <w:szCs w:val="1"/>
                <w:color w:val="auto"/>
              </w:rPr>
            </w:pPr>
          </w:p>
        </w:tc>
      </w:tr>
      <w:tr>
        <w:trPr>
          <w:trHeight w:val="207"/>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interest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5,873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5,438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5,138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4"/>
                <w:szCs w:val="14"/>
                <w:color w:val="auto"/>
              </w:rPr>
              <w:t>4,085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2,153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4,935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37,615</w:t>
            </w:r>
          </w:p>
        </w:tc>
        <w:tc>
          <w:tcPr>
            <w:tcW w:w="0" w:type="dxa"/>
            <w:vAlign w:val="bottom"/>
          </w:tcPr>
          <w:p>
            <w:pPr>
              <w:spacing w:after="0"/>
              <w:rPr>
                <w:sz w:val="1"/>
                <w:szCs w:val="1"/>
                <w:color w:val="auto"/>
              </w:rPr>
            </w:pPr>
          </w:p>
        </w:tc>
      </w:tr>
      <w:tr>
        <w:trPr>
          <w:trHeight w:val="189"/>
        </w:trPr>
        <w:tc>
          <w:tcPr>
            <w:tcW w:w="1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(22,939)</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44,639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4"/>
                <w:szCs w:val="14"/>
                <w:color w:val="auto"/>
              </w:rPr>
              <w:t>3,236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47,442</w:t>
            </w:r>
          </w:p>
        </w:tc>
        <w:tc>
          <w:tcPr>
            <w:tcW w:w="0" w:type="dxa"/>
            <w:vAlign w:val="bottom"/>
          </w:tcPr>
          <w:p>
            <w:pPr>
              <w:spacing w:after="0"/>
              <w:rPr>
                <w:sz w:val="1"/>
                <w:szCs w:val="1"/>
                <w:color w:val="auto"/>
              </w:rPr>
            </w:pPr>
          </w:p>
        </w:tc>
      </w:tr>
      <w:tr>
        <w:trPr>
          <w:trHeight w:val="189"/>
        </w:trPr>
        <w:tc>
          <w:tcPr>
            <w:tcW w:w="1640" w:type="dxa"/>
            <w:vAlign w:val="bottom"/>
          </w:tcPr>
          <w:p>
            <w:pPr>
              <w:ind w:left="18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shareholder</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215"/>
        </w:trPr>
        <w:tc>
          <w:tcPr>
            <w:tcW w:w="1640" w:type="dxa"/>
            <w:vAlign w:val="bottom"/>
          </w:tcPr>
          <w:p>
            <w:pPr>
              <w:ind w:left="180"/>
              <w:spacing w:after="0"/>
              <w:rPr>
                <w:sz w:val="20"/>
                <w:szCs w:val="20"/>
                <w:color w:val="auto"/>
              </w:rPr>
            </w:pPr>
            <w:r>
              <w:rPr>
                <w:rFonts w:ascii="Arial" w:cs="Arial" w:eastAsia="Arial" w:hAnsi="Arial"/>
                <w:sz w:val="14"/>
                <w:szCs w:val="14"/>
                <w:color w:val="auto"/>
              </w:rPr>
              <w:t>Impairment expense</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expenses</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98"/>
        </w:trPr>
        <w:tc>
          <w:tcPr>
            <w:tcW w:w="1640" w:type="dxa"/>
            <w:vAlign w:val="bottom"/>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12"/>
        </w:trPr>
        <w:tc>
          <w:tcPr>
            <w:tcW w:w="1640" w:type="dxa"/>
            <w:vAlign w:val="bottom"/>
            <w:tcBorders>
              <w:top w:val="single" w:sz="8" w:color="CCEEFF"/>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21"/>
                <w:szCs w:val="21"/>
                <w:b w:val="1"/>
                <w:bCs w:val="1"/>
                <w:i w:val="1"/>
                <w:iCs w:val="1"/>
                <w:color w:val="auto"/>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10,903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40,509</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8" w:hanging="328"/>
        <w:spacing w:after="0" w:line="278" w:lineRule="auto"/>
        <w:tabs>
          <w:tab w:leader="none" w:pos="179" w:val="left"/>
        </w:tabs>
        <w:numPr>
          <w:ilvl w:val="0"/>
          <w:numId w:val="30"/>
        </w:numPr>
        <w:rPr>
          <w:rFonts w:ascii="Arial" w:cs="Arial" w:eastAsia="Arial" w:hAnsi="Arial"/>
          <w:sz w:val="21"/>
          <w:szCs w:val="21"/>
          <w:b w:val="1"/>
          <w:bCs w:val="1"/>
          <w:color w:val="auto"/>
          <w:vertAlign w:val="superscript"/>
        </w:rPr>
      </w:pPr>
      <w:r>
        <w:rPr>
          <w:rFonts w:ascii="Arial" w:cs="Arial" w:eastAsia="Arial" w:hAnsi="Arial"/>
          <w:sz w:val="16"/>
          <w:szCs w:val="16"/>
          <w:color w:val="auto"/>
        </w:rPr>
        <w:t>As a result of the sale of Ergobaby in December 2024, Adjusted EBITDA does not include $1.4 million that was previously included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111125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(Loss)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Adjusted Earnings to Net income (loss), which we consider the most comparable GAAP financial measure,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(Loss)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900" w:type="dxa"/>
            <w:vAlign w:val="bottom"/>
            <w:tcBorders>
              <w:top w:val="single" w:sz="8" w:color="auto"/>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(85,269)</w:t>
            </w:r>
          </w:p>
        </w:tc>
        <w:tc>
          <w:tcPr>
            <w:tcW w:w="0" w:type="dxa"/>
            <w:vAlign w:val="bottom"/>
          </w:tcPr>
          <w:p>
            <w:pPr>
              <w:spacing w:after="0"/>
              <w:rPr>
                <w:sz w:val="1"/>
                <w:szCs w:val="1"/>
                <w:color w:val="auto"/>
              </w:rPr>
            </w:pPr>
          </w:p>
        </w:tc>
      </w:tr>
      <w:tr>
        <w:trPr>
          <w:trHeight w:val="215"/>
        </w:trPr>
        <w:tc>
          <w:tcPr>
            <w:tcW w:w="5680" w:type="dxa"/>
            <w:vAlign w:val="bottom"/>
          </w:tcPr>
          <w:p>
            <w:pPr>
              <w:spacing w:after="0"/>
              <w:rPr>
                <w:sz w:val="20"/>
                <w:szCs w:val="20"/>
                <w:color w:val="auto"/>
              </w:rPr>
            </w:pPr>
            <w:r>
              <w:rPr>
                <w:rFonts w:ascii="Arial" w:cs="Arial" w:eastAsia="Arial" w:hAnsi="Arial"/>
                <w:sz w:val="16"/>
                <w:szCs w:val="16"/>
                <w:color w:val="auto"/>
              </w:rPr>
              <w:t>Income from discontinued operations, net of tax</w:t>
            </w:r>
          </w:p>
        </w:tc>
        <w:tc>
          <w:tcPr>
            <w:tcW w:w="1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discontinued operations, net of tax</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(49,754)</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(88,931)</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Less: loss from continuing operations attributable to noncontrolling interest</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(28,756)</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6"/>
                <w:szCs w:val="16"/>
                <w:color w:val="auto"/>
              </w:rPr>
              <w:t>Net loss attributable to Holdings - continuing operations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(30,037)</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(60,175)</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expense - intangibles and inventory step-up</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w:t>
            </w: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w:t>
            </w: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Acquisition expenses</w:t>
            </w:r>
          </w:p>
        </w:tc>
        <w:tc>
          <w:tcPr>
            <w:tcW w:w="1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Integration Services Fee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5"/>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Loss</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Plus (less):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10,731</w:t>
            </w: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25,267</w:t>
            </w: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attributable to noncontrolling interest</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(28,756)</w:t>
            </w:r>
          </w:p>
        </w:tc>
        <w:tc>
          <w:tcPr>
            <w:tcW w:w="0" w:type="dxa"/>
            <w:vAlign w:val="bottom"/>
          </w:tcPr>
          <w:p>
            <w:pPr>
              <w:spacing w:after="0"/>
              <w:rPr>
                <w:sz w:val="1"/>
                <w:szCs w:val="1"/>
                <w:color w:val="auto"/>
              </w:rPr>
            </w:pPr>
          </w:p>
        </w:tc>
      </w:tr>
      <w:tr>
        <w:trPr>
          <w:trHeight w:val="215"/>
        </w:trPr>
        <w:tc>
          <w:tcPr>
            <w:tcW w:w="568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47,442</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LLC in exchange for a management fee paid quarterly, as defined in the MSA. Our Chief Executive Officer is a partner of CGM.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8"/>
          <w:szCs w:val="18"/>
          <w:color w:val="auto"/>
        </w:rPr>
        <w:t>In January 2025, the LLC and the Manager amended the Sixth Amended and Restated Management Services Agreement by entering into a Seventh Amended and Restated Management Services Agreement (the “MSA Amendment”), which restructures the management fee to consist of a base management fee and an incentive management fee. Pursuant to the MSA Amendment, the base management fee will be</w:t>
      </w:r>
    </w:p>
    <w:p>
      <w:pPr>
        <w:spacing w:after="0" w:line="1" w:lineRule="exact"/>
        <w:rPr>
          <w:sz w:val="20"/>
          <w:szCs w:val="20"/>
          <w:color w:val="auto"/>
        </w:rPr>
      </w:pPr>
    </w:p>
    <w:p>
      <w:pPr>
        <w:jc w:val="both"/>
        <w:ind w:firstLine="8"/>
        <w:spacing w:after="0" w:line="252"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Board. The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2025 and 2024, the Company incurred the following management fees to CGM, by entity:</w:t>
      </w:r>
    </w:p>
    <w:p>
      <w:pPr>
        <w:spacing w:after="0" w:line="162"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2040" w:type="dxa"/>
        <w:tblCellMar>
          <w:top w:w="0" w:type="dxa"/>
          <w:left w:w="0" w:type="dxa"/>
          <w:bottom w:w="0" w:type="dxa"/>
          <w:right w:w="0" w:type="dxa"/>
        </w:tblCellMar>
      </w:tblPr>
      <w:tr>
        <w:trPr>
          <w:trHeight w:val="20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0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BOA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Velocity</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Arnold Magnetics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16,441</w:t>
            </w:r>
          </w:p>
        </w:tc>
      </w:tr>
      <w:tr>
        <w:trPr>
          <w:trHeight w:val="235"/>
        </w:trPr>
        <w:tc>
          <w:tcPr>
            <w:tcW w:w="36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currently estimates the aggregate amount of overpaid management fees as of March 31, 2025 at approximately $43.1 million, which amount will reduce future payments on a dollar-for-dollar basis. The Board intends to direct the Company to pursue its right to recover all such excess management fees paid to the Manager as soon as is reasonably practicable in light of the facts and circumstances. Refer to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white"/>
        </w:rPr>
        <w:t>O - Related Parties</w:t>
      </w:r>
      <w:r>
        <w:rPr>
          <w:rFonts w:ascii="Arial" w:cs="Arial" w:eastAsia="Arial" w:hAnsi="Arial"/>
          <w:sz w:val="18"/>
          <w:szCs w:val="18"/>
          <w:color w:val="auto"/>
          <w:highlight w:val="white"/>
        </w:rPr>
        <w:t>" included in the "Notes to the Condensed Consolidated Financial Statements" in this</w:t>
      </w:r>
      <w:r>
        <w:rPr>
          <w:rFonts w:ascii="Arial" w:cs="Arial" w:eastAsia="Arial" w:hAnsi="Arial"/>
          <w:sz w:val="18"/>
          <w:szCs w:val="18"/>
          <w:color w:val="auto"/>
        </w:rPr>
        <w:t xml:space="preserve"> Form 10-Q, for the calculation of the management fee amounts that were in excess of the amount due after the restatement.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Integration services represent fees paid by newly acquired companies to the Manager for integration services performed during the first year of ownership. Under the Integration Services Agreement ("ISA"), CGM provides services for new platform acquisitions to, amongst other things, assist the management at the acquired entities in establishing a corporate governance program, implement compliance and reporting requirements of the Sarbanes-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18"/>
          <w:szCs w:val="18"/>
          <w:color w:val="auto"/>
        </w:rPr>
        <w:t>Oxley Act of 2002, as amended, and align the acquired entity's policies and procedures with our other subsidiaries. Integration services fees are recorded as selling, general and administrative expense in the consolidated statement of operations. The amendment to the Management Service Agreement entered into in January 2025 eliminated the payment of integration services for future acquisitions.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 THP paid CGM $0.9 million in integration service fees in the quarter ended March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our Initial Public Offering, we issued Allocation Interests governed by our LLC agreement that entitled the holders (the "Holders") to receive distributions pursuant to a profit allocation formula upon the occurrence of certain events. The Holders are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Holders are accounted for as dividends declared on Allocation Interests and recorded in stockholders' equity once they are approved by our Board.</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therefore no profit allocation payment was due to the Holders. The negative amount will offset future profit allocation payments due to the Holders.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2024 Form 10-K/A.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$0.2 million and $0.4 million during the three months ended March 31, 2025 and March 31, 2024, respectively in inventory from the vendor.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$12.0 million and $10.6 million from this supplier during the three months ended March 31, 2025 and March 31,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2024. During the three months ended March 31, 2025, Lugano purchased approximately $1.9 million in inventory from the vendor.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2024 Form 10-K/A as filed with the SEC on December 8,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 Testing</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Each of our subsidiary businesses represents a reporting unit.</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The valuation approaches are subject to key judgments and assumptions that are sensitive to change such as judgments and assumptions about appropriate sales growth rates, operating margins, weighted average cost of capital, and comparable company market multiples. When developing these key judgments and assumptions, we consider economic, operational and market conditions that could impact the fair value of the reporting unit. Estimates are inherently uncertain and represent only management’s reasonable expectations regarding future developments. These estimates and the judgments and assumptions upon which the estimates are based will most likely differ from actual future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quantitive testing because we could not conclude that the fair value of the reporting unit significantly exceeded the carrying value based on qualitative factors alone. We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annual impairment testing at March 31, 2024, we performed a qualitative assessment of our reporting units. The results of the qualitative analysis indicated that it was more-likely-than-not that the fair value of each of our reporting units except Velocity exceeded their carrying value. Based on our analysis, we determined that the Velocity operating segment required quantitative testing because we could not conclude that the fair value of this reporting unit significantly exceeded the carrying value based on qualitative factors alone. We performed a quantitative test of Velocity and the results of the testing indicated that the fair value of Velocity did not exceed the carrying value, resulting in goodwill impairment expense of $8.2 million as of March 31, 2024, which represented the remaining balance of goodwill at Velocity.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 consists of a trade name with a carrying value of approximately $ 30.8 million. The results of the qualitative analysis of our reporting unit's indefinite-lived intangible asset, which we completed as of March 31, 2025, indicated that the fair value of the indefinite lived intangible asset exceeded its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color w:val="auto"/>
        </w:rPr>
        <w:t xml:space="preserve"> of the condensed consolidated financial statements for a discussion of 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market risk since December 31, 2024. For a further discussion of our exposure to market risk, refer to the section entitled "Quantitative and Qualitative Disclosures about Market Risk" that was disclosed in Part II, Item 7A of our Form 10-K/A.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evaluated the effectiveness of the Company’s disclosure controls and procedures as of the end of the period covered by this Form 10-Q. As previously disclosed in the 2024 Form 10-K/A, management identified material weaknesses in internal control over financial reporting. Because these material weaknesses had not been fully remediated as of March 31, 2025, management concluded that the Company’s disclosure controls and procedures were not effective as of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2025, there were no changes in the Company’s internal control over financial reporting that have materially affected, or are reasonably likely to materially affect, the Company’s internal control over financial reporting. The material weaknesses described in the 2024 Form 10-K/A were identified subsequent to the end of the quarter, and therefore no remediation activities had been designed or implemented as of March 31, 2025. Following the identification of the material weaknesses, management began developing a remediation plan, as described in the 2024 Form 10-K/A. These remediation activities were initiated after the quarter ended and accordingly are not reflected as changes in internal control over financial reporting for the quarter ended March 31, 2025.</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those legal proceedings associated with the Company’s business together with legal proceedings for the businesses discussed in the section entitled "Legal Proceedings" that was disclosed in Part I, Item 3 of the 2024 Form 10-K/A, as filed with the SEC on December 8,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factors disclosed in our 2024 Form 10-K/A for the fiscal year ended December 31, 2024 should be considered together with information included in this Quarterly Report on Form 10-Q for the quarter ended March 31, 2025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17"/>
          <w:szCs w:val="17"/>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000" w:type="dxa"/>
            <w:vAlign w:val="bottom"/>
            <w:gridSpan w:val="28"/>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Third Amended and Restated Trust Agreement of the Trust (incorporated by reference to Exhibit 3.1 of the Form 8-K filed on</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August 4, 2021 (File No. 001-34927)).</w:t>
              </w:r>
            </w:hyperlink>
          </w:p>
        </w:tc>
        <w:tc>
          <w:tcPr>
            <w:tcW w:w="6180" w:type="dxa"/>
            <w:vAlign w:val="bottom"/>
            <w:tcBorders>
              <w:top w:val="single" w:sz="8" w:color="0000FF"/>
            </w:tcBorders>
            <w:gridSpan w:val="24"/>
          </w:tcPr>
          <w:p>
            <w:pPr>
              <w:spacing w:after="0"/>
              <w:rPr>
                <w:sz w:val="12"/>
                <w:szCs w:val="12"/>
                <w:color w:val="auto"/>
              </w:rPr>
            </w:pPr>
          </w:p>
        </w:tc>
        <w:tc>
          <w:tcPr>
            <w:tcW w:w="10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First amendment to Third Amended and Restated Trust Agreement of the Trust (incorporated by reference to Exhibit 3.1 of</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the Form 8-K filed on September 3, 2024 (File No. 001-34926)).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3.3</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Sixth Amended and Restated Operating Agreement of the Company (incorporated by reference to Exhibit 3.2 of the Form 8-</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K filed on August 4, 2021 (File No. 001-34927)).</w:t>
              </w:r>
            </w:hyperlink>
          </w:p>
        </w:tc>
        <w:tc>
          <w:tcPr>
            <w:tcW w:w="5440" w:type="dxa"/>
            <w:vAlign w:val="bottom"/>
            <w:tcBorders>
              <w:top w:val="single" w:sz="8" w:color="0000FF"/>
            </w:tcBorders>
            <w:gridSpan w:val="22"/>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3">
              <w:r>
                <w:rPr>
                  <w:rFonts w:ascii="Arial" w:cs="Arial" w:eastAsia="Arial" w:hAnsi="Arial"/>
                  <w:sz w:val="16"/>
                  <w:szCs w:val="16"/>
                  <w:color w:val="0000FF"/>
                </w:rPr>
                <w:t>First Amendment to the Sixth Amended and Restated Operating Agreement of the Company (incorporated by reference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Exhibit 3.1 of the Form 8-K filed on February 14, 2022 (File No. 001-34927)).</w:t>
              </w:r>
            </w:hyperlink>
          </w:p>
        </w:tc>
        <w:tc>
          <w:tcPr>
            <w:tcW w:w="32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2">
              <w:r>
                <w:rPr>
                  <w:rFonts w:ascii="Arial" w:cs="Arial" w:eastAsia="Arial" w:hAnsi="Arial"/>
                  <w:sz w:val="16"/>
                  <w:szCs w:val="16"/>
                  <w:color w:val="0000FF"/>
                </w:rPr>
                <w:t>Second Amendment to the Sixth Amended and Restated Trust agreement of the Trust (incorporated by reference to Exhibit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3.</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Form 8-K filed on September 3, 2024 (File No. 001-34926)).</w:t>
              </w:r>
            </w:hyperlink>
          </w:p>
        </w:tc>
        <w:tc>
          <w:tcPr>
            <w:tcW w:w="3820" w:type="dxa"/>
            <w:vAlign w:val="bottom"/>
            <w:tcBorders>
              <w:top w:val="single" w:sz="8" w:color="0000FF"/>
            </w:tcBorders>
            <w:gridSpan w:val="19"/>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3.7</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 A</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Shares (incorporated by reference to Exhibit 3.1 of the Form 8-K filed on March 20, 2024 (File No. 001-34926)).</w:t>
              </w:r>
            </w:hyperlink>
          </w:p>
        </w:tc>
        <w:tc>
          <w:tcPr>
            <w:tcW w:w="280" w:type="dxa"/>
            <w:vAlign w:val="bottom"/>
            <w:gridSpan w:val="9"/>
          </w:tcPr>
          <w:p>
            <w:pPr>
              <w:spacing w:after="0"/>
              <w:rPr>
                <w:sz w:val="12"/>
                <w:szCs w:val="12"/>
                <w:color w:val="auto"/>
              </w:rPr>
            </w:pPr>
          </w:p>
        </w:tc>
      </w:tr>
      <w:tr>
        <w:trPr>
          <w:trHeight w:val="34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3.8</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5">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 Preferred Shares (incorporated by reference Exhibit 4.11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35">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3.9</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6">
              <w:r>
                <w:rPr>
                  <w:rFonts w:ascii="Arial" w:cs="Arial" w:eastAsia="Arial" w:hAnsi="Arial"/>
                  <w:sz w:val="16"/>
                  <w:szCs w:val="16"/>
                  <w:color w:val="0000FF"/>
                </w:rPr>
                <w:t>Compass Group Diversified Holdings LLC Trust Interest Designation of Series A Trust Preferred Interests (incorporated by</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reference to Exhibit 3.2 of the Form 8-K filed on June 28, 2017 (File No. 001-34927))</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3.10</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A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Interests (incorporated by reference to Exhibit 3.4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Trust Preferred Interests (incorporated by reference Exhibit 4.14 of the Form S-3 filed on September 4, 2024 (File No.</w:t>
              </w:r>
            </w:hyperlink>
          </w:p>
        </w:tc>
        <w:tc>
          <w:tcPr>
            <w:tcW w:w="280" w:type="dxa"/>
            <w:vAlign w:val="bottom"/>
            <w:gridSpan w:val="8"/>
          </w:tcPr>
          <w:p>
            <w:pPr>
              <w:jc w:val="right"/>
              <w:ind w:right="20"/>
              <w:spacing w:after="0" w:line="142" w:lineRule="exact"/>
              <w:rPr>
                <w:rFonts w:ascii="Arial" w:cs="Arial" w:eastAsia="Arial" w:hAnsi="Arial"/>
                <w:sz w:val="16"/>
                <w:szCs w:val="16"/>
                <w:color w:val="0000FF"/>
                <w:w w:val="74"/>
              </w:rPr>
            </w:pPr>
            <w:hyperlink r:id="rId137">
              <w:r>
                <w:rPr>
                  <w:rFonts w:ascii="Arial" w:cs="Arial" w:eastAsia="Arial" w:hAnsi="Arial"/>
                  <w:sz w:val="16"/>
                  <w:szCs w:val="16"/>
                  <w:color w:val="0000FF"/>
                  <w:w w:val="74"/>
                </w:rPr>
                <w:t>333-</w:t>
              </w:r>
            </w:hyperlink>
          </w:p>
        </w:tc>
        <w:tc>
          <w:tcPr>
            <w:tcW w:w="200" w:type="dxa"/>
            <w:vAlign w:val="bottom"/>
            <w:gridSpan w:val="5"/>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3.4 of the Form 8-K filed on August 4, 2021 (File No. 001-34927)).</w:t>
              </w:r>
            </w:hyperlink>
          </w:p>
        </w:tc>
        <w:tc>
          <w:tcPr>
            <w:tcW w:w="120" w:type="dxa"/>
            <w:vAlign w:val="bottom"/>
            <w:gridSpan w:val="2"/>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8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3.13</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 B</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Shares (incorporated by reference to Exhibit 3.2 of the Form 8-K filed on March 20, 2024 (File No. 001-34926)).</w:t>
              </w:r>
            </w:hyperlink>
          </w:p>
        </w:tc>
        <w:tc>
          <w:tcPr>
            <w:tcW w:w="280" w:type="dxa"/>
            <w:vAlign w:val="bottom"/>
            <w:gridSpan w:val="9"/>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8">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B Preferred Shares (incorporated by reference Exhibit 4.17 of the Form S-3 filed on September 4, 2024 (File No. 333-</w:t>
              </w:r>
            </w:hyperlink>
          </w:p>
        </w:tc>
        <w:tc>
          <w:tcPr>
            <w:tcW w:w="220" w:type="dxa"/>
            <w:vAlign w:val="bottom"/>
            <w:gridSpan w:val="6"/>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9">
              <w:r>
                <w:rPr>
                  <w:rFonts w:ascii="Arial" w:cs="Arial" w:eastAsia="Arial" w:hAnsi="Arial"/>
                  <w:sz w:val="16"/>
                  <w:szCs w:val="16"/>
                  <w:color w:val="0000FF"/>
                </w:rPr>
                <w:t>Trust Interest Designation of Compass Group Diversified Holdings LLC with respect to Series B Trust Preferred Interests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(incorporated by reference to Exhibit 3.2 of the Form 8-K filed on March 13, 2018 (File No. 001-34927)),</w:t>
              </w:r>
            </w:hyperlink>
          </w:p>
        </w:tc>
        <w:tc>
          <w:tcPr>
            <w:tcW w:w="1200" w:type="dxa"/>
            <w:vAlign w:val="bottom"/>
            <w:tcBorders>
              <w:top w:val="single" w:sz="8" w:color="0000FF"/>
            </w:tcBorders>
            <w:gridSpan w:val="5"/>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B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Interests (incorporated by reference to Exhibit 3.5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3.17</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40">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Trust Preferred Interests (incorporated by reference Exhibit 4.20 of the Form S-3 filed on September 4, 2024 (File No.</w:t>
              </w:r>
            </w:hyperlink>
          </w:p>
        </w:tc>
        <w:tc>
          <w:tcPr>
            <w:tcW w:w="480" w:type="dxa"/>
            <w:vAlign w:val="bottom"/>
            <w:gridSpan w:val="13"/>
          </w:tcPr>
          <w:p>
            <w:pPr>
              <w:jc w:val="right"/>
              <w:ind w:right="220"/>
              <w:spacing w:after="0" w:line="142" w:lineRule="exact"/>
              <w:rPr>
                <w:rFonts w:ascii="Arial" w:cs="Arial" w:eastAsia="Arial" w:hAnsi="Arial"/>
                <w:sz w:val="16"/>
                <w:szCs w:val="16"/>
                <w:color w:val="0000FF"/>
                <w:w w:val="74"/>
              </w:rPr>
            </w:pPr>
            <w:hyperlink r:id="rId140">
              <w:r>
                <w:rPr>
                  <w:rFonts w:ascii="Arial" w:cs="Arial" w:eastAsia="Arial" w:hAnsi="Arial"/>
                  <w:sz w:val="16"/>
                  <w:szCs w:val="16"/>
                  <w:color w:val="0000FF"/>
                  <w:w w:val="74"/>
                </w:rPr>
                <w:t>333-</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2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gridSpan w:val="5"/>
          </w:tcPr>
          <w:p>
            <w:pPr>
              <w:ind w:left="3300"/>
              <w:spacing w:after="0"/>
              <w:rPr>
                <w:sz w:val="20"/>
                <w:szCs w:val="20"/>
                <w:color w:val="auto"/>
              </w:rPr>
            </w:pPr>
            <w:r>
              <w:rPr>
                <w:rFonts w:ascii="Arial" w:cs="Arial" w:eastAsia="Arial" w:hAnsi="Arial"/>
                <w:sz w:val="16"/>
                <w:szCs w:val="16"/>
                <w:color w:val="auto"/>
              </w:rPr>
              <w:t>83</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2240" w:type="dxa"/>
            <w:vAlign w:val="bottom"/>
          </w:tcPr>
          <w:p>
            <w:pPr>
              <w:ind w:left="140"/>
              <w:spacing w:after="0"/>
              <w:rPr>
                <w:sz w:val="20"/>
                <w:szCs w:val="20"/>
                <w:color w:val="auto"/>
              </w:rPr>
            </w:pPr>
            <w:r>
              <w:rPr>
                <w:rFonts w:ascii="Arial" w:cs="Arial" w:eastAsia="Arial" w:hAnsi="Arial"/>
                <w:sz w:val="16"/>
                <w:szCs w:val="16"/>
                <w:color w:val="auto"/>
              </w:rPr>
              <w:t>3.18</w:t>
            </w:r>
          </w:p>
        </w:tc>
        <w:tc>
          <w:tcPr>
            <w:tcW w:w="9000" w:type="dxa"/>
            <w:vAlign w:val="bottom"/>
            <w:gridSpan w:val="28"/>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3.5 of the Form 8-K filed on August 4, 2021 (File No. 001-34927)).</w:t>
              </w:r>
            </w:hyperlink>
          </w:p>
        </w:tc>
        <w:tc>
          <w:tcPr>
            <w:tcW w:w="11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3.19</w:t>
            </w:r>
          </w:p>
        </w:tc>
        <w:tc>
          <w:tcPr>
            <w:tcW w:w="8680" w:type="dxa"/>
            <w:vAlign w:val="bottom"/>
            <w:tcBorders>
              <w:bottom w:val="single" w:sz="8" w:color="0000FF"/>
            </w:tcBorders>
            <w:gridSpan w:val="20"/>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 C</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2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Shares (incorporated by reference to Exhibit 3.3 of the Form 8-K filed on March 20, 2024 (File No. 001-34926)).</w:t>
              </w:r>
            </w:hyperlink>
          </w:p>
        </w:tc>
        <w:tc>
          <w:tcPr>
            <w:tcW w:w="2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3.20</w:t>
            </w:r>
          </w:p>
        </w:tc>
        <w:tc>
          <w:tcPr>
            <w:tcW w:w="9000" w:type="dxa"/>
            <w:vAlign w:val="bottom"/>
            <w:gridSpan w:val="28"/>
          </w:tcPr>
          <w:p>
            <w:pPr>
              <w:spacing w:after="0"/>
              <w:rPr>
                <w:rFonts w:ascii="Arial" w:cs="Arial" w:eastAsia="Arial" w:hAnsi="Arial"/>
                <w:sz w:val="16"/>
                <w:szCs w:val="16"/>
                <w:color w:val="0000FF"/>
              </w:rPr>
            </w:pPr>
            <w:hyperlink r:id="rId143">
              <w:r>
                <w:rPr>
                  <w:rFonts w:ascii="Arial" w:cs="Arial" w:eastAsia="Arial" w:hAnsi="Arial"/>
                  <w:sz w:val="16"/>
                  <w:szCs w:val="16"/>
                  <w:color w:val="0000FF"/>
                </w:rPr>
                <w:t>Second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C Preferred Shares (incorporated by reference Exhibit 4.23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43">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2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3.21</w:t>
            </w:r>
          </w:p>
        </w:tc>
        <w:tc>
          <w:tcPr>
            <w:tcW w:w="9000" w:type="dxa"/>
            <w:vAlign w:val="bottom"/>
            <w:gridSpan w:val="28"/>
          </w:tcPr>
          <w:p>
            <w:pPr>
              <w:spacing w:after="0"/>
              <w:rPr>
                <w:rFonts w:ascii="Arial" w:cs="Arial" w:eastAsia="Arial" w:hAnsi="Arial"/>
                <w:sz w:val="16"/>
                <w:szCs w:val="16"/>
                <w:color w:val="0000FF"/>
              </w:rPr>
            </w:pPr>
            <w:hyperlink r:id="rId144">
              <w:r>
                <w:rPr>
                  <w:rFonts w:ascii="Arial" w:cs="Arial" w:eastAsia="Arial" w:hAnsi="Arial"/>
                  <w:sz w:val="16"/>
                  <w:szCs w:val="16"/>
                  <w:color w:val="0000FF"/>
                </w:rPr>
                <w:t>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(incorporated by reference to Exhibit 3.2 of the Form 8-K filed on November 20, 2019 (File No. 001-34927)).</w:t>
              </w:r>
            </w:hyperlink>
          </w:p>
        </w:tc>
        <w:tc>
          <w:tcPr>
            <w:tcW w:w="9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3.22</w:t>
            </w:r>
          </w:p>
        </w:tc>
        <w:tc>
          <w:tcPr>
            <w:tcW w:w="9000" w:type="dxa"/>
            <w:vAlign w:val="bottom"/>
            <w:gridSpan w:val="28"/>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C Trust</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Preferred Interests (incorporated by reference to Exhibit 3.6 of the Form 8-K filed on March 20, 2024 (File No. 001-34926))</w:t>
              </w:r>
            </w:hyperlink>
          </w:p>
        </w:tc>
        <w:tc>
          <w:tcPr>
            <w:tcW w:w="100" w:type="dxa"/>
            <w:vAlign w:val="bottom"/>
            <w:tcBorders>
              <w:bottom w:val="single" w:sz="8" w:color="0000FF"/>
            </w:tcBorders>
            <w:gridSpan w:val="4"/>
          </w:tcPr>
          <w:p>
            <w:pPr>
              <w:jc w:val="right"/>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w:t>
              </w:r>
            </w:hyperlink>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3.23</w:t>
            </w:r>
          </w:p>
        </w:tc>
        <w:tc>
          <w:tcPr>
            <w:tcW w:w="9000" w:type="dxa"/>
            <w:vAlign w:val="bottom"/>
            <w:gridSpan w:val="28"/>
          </w:tcPr>
          <w:p>
            <w:pPr>
              <w:spacing w:after="0"/>
              <w:rPr>
                <w:rFonts w:ascii="Arial" w:cs="Arial" w:eastAsia="Arial" w:hAnsi="Arial"/>
                <w:sz w:val="16"/>
                <w:szCs w:val="16"/>
                <w:color w:val="0000FF"/>
              </w:rPr>
            </w:pPr>
            <w:hyperlink r:id="rId145">
              <w:r>
                <w:rPr>
                  <w:rFonts w:ascii="Arial" w:cs="Arial" w:eastAsia="Arial" w:hAnsi="Arial"/>
                  <w:sz w:val="16"/>
                  <w:szCs w:val="16"/>
                  <w:color w:val="0000FF"/>
                </w:rPr>
                <w:t>Second Amendment to Trust Interest Designation of Compass Group Diversified Holdings LLC with respect to Series C</w:t>
              </w:r>
            </w:hyperlink>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9000" w:type="dxa"/>
            <w:vAlign w:val="bottom"/>
            <w:gridSpan w:val="28"/>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Trust Preferred Interests (incorporated by reference Exhibit 4.26 of the Form S-3 filed on September 4, 2024 (File No. 333-</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2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10.1</w:t>
            </w:r>
          </w:p>
        </w:tc>
        <w:tc>
          <w:tcPr>
            <w:tcW w:w="9000" w:type="dxa"/>
            <w:vAlign w:val="bottom"/>
            <w:gridSpan w:val="28"/>
          </w:tcPr>
          <w:p>
            <w:pPr>
              <w:spacing w:after="0"/>
              <w:rPr>
                <w:rFonts w:ascii="Arial" w:cs="Arial" w:eastAsia="Arial" w:hAnsi="Arial"/>
                <w:sz w:val="16"/>
                <w:szCs w:val="16"/>
                <w:color w:val="0000FF"/>
              </w:rPr>
            </w:pPr>
            <w:hyperlink r:id="rId146">
              <w:r>
                <w:rPr>
                  <w:rFonts w:ascii="Arial" w:cs="Arial" w:eastAsia="Arial" w:hAnsi="Arial"/>
                  <w:sz w:val="16"/>
                  <w:szCs w:val="16"/>
                  <w:color w:val="0000FF"/>
                </w:rPr>
                <w:t>Seventh Amended and Restated Management Service Agreement by and between Compass Group Diversified Holdings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6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LLC, and Compass Group Management LLC, dated as of January 15, 2025 and originally effective as of May 16, 2006</w:t>
              </w:r>
            </w:hyperlink>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6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(incorporated by reference to Exhibit 10.1 of the Form 8-K filed on January 15, 2025 (File No. 001-34927))</w:t>
              </w:r>
            </w:hyperlink>
          </w:p>
        </w:tc>
        <w:tc>
          <w:tcPr>
            <w:tcW w:w="880" w:type="dxa"/>
            <w:vAlign w:val="bottom"/>
            <w:tcBorders>
              <w:top w:val="single" w:sz="8" w:color="0000FF"/>
            </w:tcBorders>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18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10.2</w:t>
            </w:r>
          </w:p>
        </w:tc>
        <w:tc>
          <w:tcPr>
            <w:tcW w:w="9000" w:type="dxa"/>
            <w:vAlign w:val="bottom"/>
            <w:gridSpan w:val="28"/>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First Supplemental Indenture, dated as of January 15, 2025, to the Indenture dated as of March 23, 2021 between</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160" w:type="dxa"/>
            <w:vAlign w:val="bottom"/>
            <w:tcBorders>
              <w:top w:val="single" w:sz="8" w:color="0000FF"/>
            </w:tcBorders>
            <w:gridSpan w:val="11"/>
          </w:tcPr>
          <w:p>
            <w:pPr>
              <w:spacing w:after="0" w:line="142" w:lineRule="exact"/>
              <w:rPr>
                <w:rFonts w:ascii="Arial" w:cs="Arial" w:eastAsia="Arial" w:hAnsi="Arial"/>
                <w:sz w:val="16"/>
                <w:szCs w:val="16"/>
                <w:color w:val="0000FF"/>
                <w:w w:val="99"/>
              </w:rPr>
            </w:pPr>
            <w:hyperlink r:id="rId147">
              <w:r>
                <w:rPr>
                  <w:rFonts w:ascii="Arial" w:cs="Arial" w:eastAsia="Arial" w:hAnsi="Arial"/>
                  <w:sz w:val="16"/>
                  <w:szCs w:val="16"/>
                  <w:color w:val="0000FF"/>
                  <w:w w:val="99"/>
                </w:rPr>
                <w:t>Compass Group Diversified Holdings LLC and U.S. Bank National Association (incorporated by reference to Exhibit</w:t>
              </w:r>
            </w:hyperlink>
          </w:p>
        </w:tc>
        <w:tc>
          <w:tcPr>
            <w:tcW w:w="840" w:type="dxa"/>
            <w:vAlign w:val="bottom"/>
            <w:gridSpan w:val="17"/>
          </w:tcPr>
          <w:p>
            <w:pPr>
              <w:jc w:val="right"/>
              <w:ind w:right="200"/>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10.2 of</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the Form 8-K filed on January 15, 2025 (File No. 000-34927)).</w:t>
              </w:r>
            </w:hyperlink>
          </w:p>
        </w:tc>
        <w:tc>
          <w:tcPr>
            <w:tcW w:w="43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10.3</w:t>
            </w:r>
          </w:p>
        </w:tc>
        <w:tc>
          <w:tcPr>
            <w:tcW w:w="9000" w:type="dxa"/>
            <w:vAlign w:val="bottom"/>
            <w:gridSpan w:val="28"/>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First Supplemental Indenture, dated as of January 15, 2025, to the Indenture dated as of November 17, 2021 between</w:t>
              </w:r>
            </w:hyperlink>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9000" w:type="dxa"/>
            <w:vAlign w:val="bottom"/>
            <w:gridSpan w:val="28"/>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Compass Group Diversified Holdings LLC and U.S. Bank National Association (incorporated by reference to Exhibit 10.3 of</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the Form 8-K filed on January 15, 2025 (File No. 000-34927)).</w:t>
              </w:r>
            </w:hyperlink>
          </w:p>
        </w:tc>
        <w:tc>
          <w:tcPr>
            <w:tcW w:w="43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2240" w:type="dxa"/>
            <w:vAlign w:val="bottom"/>
          </w:tcPr>
          <w:p>
            <w:pPr>
              <w:ind w:left="140"/>
              <w:spacing w:after="0"/>
              <w:rPr>
                <w:sz w:val="20"/>
                <w:szCs w:val="20"/>
                <w:color w:val="auto"/>
              </w:rPr>
            </w:pPr>
            <w:r>
              <w:rPr>
                <w:rFonts w:ascii="Arial" w:cs="Arial" w:eastAsia="Arial" w:hAnsi="Arial"/>
                <w:sz w:val="16"/>
                <w:szCs w:val="16"/>
                <w:color w:val="auto"/>
              </w:rPr>
              <w:t>10.4</w:t>
            </w:r>
          </w:p>
        </w:tc>
        <w:tc>
          <w:tcPr>
            <w:tcW w:w="8680" w:type="dxa"/>
            <w:vAlign w:val="bottom"/>
            <w:tcBorders>
              <w:bottom w:val="single" w:sz="8" w:color="0000FF"/>
            </w:tcBorders>
            <w:gridSpan w:val="20"/>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First Incremental Facility Amendment, dated January 9, 2025, by and among Compass Diversified Holdings LLC, Bank of</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9000" w:type="dxa"/>
            <w:vAlign w:val="bottom"/>
            <w:gridSpan w:val="28"/>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America, N.A., and the lenders party thereto (incorporated by reference to Exhibit 10.1 of the Form 8-K filed on January 10,</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2025 (File No. 001-34927).</w:t>
              </w:r>
            </w:hyperlink>
          </w:p>
        </w:tc>
        <w:tc>
          <w:tcPr>
            <w:tcW w:w="6880" w:type="dxa"/>
            <w:vAlign w:val="bottom"/>
            <w:tcBorders>
              <w:top w:val="single" w:sz="8" w:color="0000FF"/>
            </w:tcBorders>
            <w:gridSpan w:val="24"/>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2240" w:type="dxa"/>
            <w:vAlign w:val="bottom"/>
          </w:tcPr>
          <w:p>
            <w:pPr>
              <w:ind w:left="140"/>
              <w:spacing w:after="0"/>
              <w:rPr>
                <w:sz w:val="20"/>
                <w:szCs w:val="20"/>
                <w:color w:val="auto"/>
              </w:rPr>
            </w:pPr>
            <w:r>
              <w:rPr>
                <w:rFonts w:ascii="Arial" w:cs="Arial" w:eastAsia="Arial" w:hAnsi="Arial"/>
                <w:sz w:val="16"/>
                <w:szCs w:val="16"/>
                <w:color w:val="auto"/>
              </w:rPr>
              <w:t>31.1*</w:t>
            </w:r>
          </w:p>
        </w:tc>
        <w:tc>
          <w:tcPr>
            <w:tcW w:w="9000" w:type="dxa"/>
            <w:vAlign w:val="bottom"/>
            <w:gridSpan w:val="28"/>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31.2*</w:t>
            </w:r>
          </w:p>
        </w:tc>
        <w:tc>
          <w:tcPr>
            <w:tcW w:w="9000" w:type="dxa"/>
            <w:vAlign w:val="bottom"/>
            <w:gridSpan w:val="28"/>
          </w:tcPr>
          <w:p>
            <w:pPr>
              <w:spacing w:after="0"/>
              <w:rPr>
                <w:sz w:val="20"/>
                <w:szCs w:val="20"/>
                <w:color w:val="auto"/>
              </w:rPr>
            </w:pPr>
            <w:r>
              <w:rPr>
                <w:rFonts w:ascii="Arial" w:cs="Arial" w:eastAsia="Arial" w:hAnsi="Arial"/>
                <w:sz w:val="16"/>
                <w:szCs w:val="16"/>
                <w:color w:val="0000FF"/>
              </w:rPr>
              <w:t>Rule 13a-14(a)/15d-14(a) Rule 13a-14(a)/15d-14(a) Certification of Chief Financial Officer of Registrant</w:t>
            </w:r>
          </w:p>
        </w:tc>
        <w:tc>
          <w:tcPr>
            <w:tcW w:w="0" w:type="dxa"/>
            <w:vAlign w:val="bottom"/>
          </w:tcPr>
          <w:p>
            <w:pPr>
              <w:spacing w:after="0"/>
              <w:rPr>
                <w:sz w:val="1"/>
                <w:szCs w:val="1"/>
                <w:color w:val="auto"/>
              </w:rPr>
            </w:pPr>
          </w:p>
        </w:tc>
      </w:tr>
      <w:tr>
        <w:trPr>
          <w:trHeight w:val="20"/>
        </w:trPr>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24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vMerge w:val="continue"/>
          </w:tcPr>
          <w:p>
            <w:pPr>
              <w:spacing w:after="0"/>
              <w:rPr>
                <w:sz w:val="24"/>
                <w:szCs w:val="24"/>
                <w:color w:val="auto"/>
              </w:rPr>
            </w:pPr>
          </w:p>
        </w:tc>
        <w:tc>
          <w:tcPr>
            <w:tcW w:w="9000" w:type="dxa"/>
            <w:vAlign w:val="bottom"/>
            <w:gridSpan w:val="28"/>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 Section</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5820" w:type="dxa"/>
            <w:vAlign w:val="bottom"/>
            <w:tcBorders>
              <w:top w:val="single" w:sz="8" w:color="0000FF"/>
            </w:tcBorders>
            <w:gridSpan w:val="13"/>
          </w:tcPr>
          <w:p>
            <w:pPr>
              <w:spacing w:after="0"/>
              <w:rPr>
                <w:sz w:val="12"/>
                <w:szCs w:val="12"/>
                <w:color w:val="auto"/>
              </w:rPr>
            </w:pPr>
          </w:p>
        </w:tc>
        <w:tc>
          <w:tcPr>
            <w:tcW w:w="260" w:type="dxa"/>
            <w:vAlign w:val="bottom"/>
            <w:gridSpan w:val="10"/>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9000" w:type="dxa"/>
            <w:vAlign w:val="bottom"/>
            <w:gridSpan w:val="28"/>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 Section 906</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6400" w:type="dxa"/>
            <w:vAlign w:val="bottom"/>
            <w:tcBorders>
              <w:top w:val="single" w:sz="8" w:color="0000FF"/>
            </w:tcBorders>
            <w:gridSpan w:val="24"/>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240" w:type="dxa"/>
            <w:vAlign w:val="bottom"/>
          </w:tcPr>
          <w:p>
            <w:pPr>
              <w:ind w:left="20"/>
              <w:spacing w:after="0"/>
              <w:rPr>
                <w:sz w:val="20"/>
                <w:szCs w:val="20"/>
                <w:color w:val="auto"/>
              </w:rPr>
            </w:pPr>
            <w:r>
              <w:rPr>
                <w:rFonts w:ascii="Arial" w:cs="Arial" w:eastAsia="Arial" w:hAnsi="Arial"/>
                <w:sz w:val="16"/>
                <w:szCs w:val="16"/>
                <w:color w:val="auto"/>
              </w:rPr>
              <w:t>101.INS*</w:t>
            </w:r>
          </w:p>
        </w:tc>
        <w:tc>
          <w:tcPr>
            <w:tcW w:w="9000" w:type="dxa"/>
            <w:vAlign w:val="bottom"/>
            <w:gridSpan w:val="28"/>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9000" w:type="dxa"/>
            <w:vAlign w:val="bottom"/>
            <w:gridSpan w:val="28"/>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377"/>
        </w:trPr>
        <w:tc>
          <w:tcPr>
            <w:tcW w:w="2240" w:type="dxa"/>
            <w:vAlign w:val="bottom"/>
          </w:tcPr>
          <w:p>
            <w:pPr>
              <w:ind w:left="20"/>
              <w:spacing w:after="0"/>
              <w:rPr>
                <w:sz w:val="20"/>
                <w:szCs w:val="20"/>
                <w:color w:val="auto"/>
              </w:rPr>
            </w:pPr>
            <w:r>
              <w:rPr>
                <w:rFonts w:ascii="Arial" w:cs="Arial" w:eastAsia="Arial" w:hAnsi="Arial"/>
                <w:sz w:val="16"/>
                <w:szCs w:val="16"/>
                <w:color w:val="auto"/>
              </w:rPr>
              <w:t>101.SCH*</w:t>
            </w:r>
          </w:p>
        </w:tc>
        <w:tc>
          <w:tcPr>
            <w:tcW w:w="900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18"/>
        </w:trPr>
        <w:tc>
          <w:tcPr>
            <w:tcW w:w="2240" w:type="dxa"/>
            <w:vAlign w:val="bottom"/>
          </w:tcPr>
          <w:p>
            <w:pPr>
              <w:ind w:left="20"/>
              <w:spacing w:after="0"/>
              <w:rPr>
                <w:sz w:val="20"/>
                <w:szCs w:val="20"/>
                <w:color w:val="auto"/>
              </w:rPr>
            </w:pPr>
            <w:r>
              <w:rPr>
                <w:rFonts w:ascii="Arial" w:cs="Arial" w:eastAsia="Arial" w:hAnsi="Arial"/>
                <w:sz w:val="16"/>
                <w:szCs w:val="16"/>
                <w:color w:val="auto"/>
              </w:rPr>
              <w:t>101.CAL*</w:t>
            </w:r>
          </w:p>
        </w:tc>
        <w:tc>
          <w:tcPr>
            <w:tcW w:w="9000" w:type="dxa"/>
            <w:vAlign w:val="bottom"/>
            <w:gridSpan w:val="2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2240" w:type="dxa"/>
            <w:vAlign w:val="bottom"/>
          </w:tcPr>
          <w:p>
            <w:pPr>
              <w:ind w:left="20"/>
              <w:spacing w:after="0"/>
              <w:rPr>
                <w:sz w:val="20"/>
                <w:szCs w:val="20"/>
                <w:color w:val="auto"/>
              </w:rPr>
            </w:pPr>
            <w:r>
              <w:rPr>
                <w:rFonts w:ascii="Arial" w:cs="Arial" w:eastAsia="Arial" w:hAnsi="Arial"/>
                <w:sz w:val="16"/>
                <w:szCs w:val="16"/>
                <w:color w:val="auto"/>
              </w:rPr>
              <w:t>101.DEF*</w:t>
            </w:r>
          </w:p>
        </w:tc>
        <w:tc>
          <w:tcPr>
            <w:tcW w:w="9000" w:type="dxa"/>
            <w:vAlign w:val="bottom"/>
            <w:gridSpan w:val="2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2240" w:type="dxa"/>
            <w:vAlign w:val="bottom"/>
          </w:tcPr>
          <w:p>
            <w:pPr>
              <w:ind w:left="20"/>
              <w:spacing w:after="0"/>
              <w:rPr>
                <w:sz w:val="20"/>
                <w:szCs w:val="20"/>
                <w:color w:val="auto"/>
              </w:rPr>
            </w:pPr>
            <w:r>
              <w:rPr>
                <w:rFonts w:ascii="Arial" w:cs="Arial" w:eastAsia="Arial" w:hAnsi="Arial"/>
                <w:sz w:val="16"/>
                <w:szCs w:val="16"/>
                <w:color w:val="auto"/>
              </w:rPr>
              <w:t>101.LAB*</w:t>
            </w:r>
          </w:p>
        </w:tc>
        <w:tc>
          <w:tcPr>
            <w:tcW w:w="9000" w:type="dxa"/>
            <w:vAlign w:val="bottom"/>
            <w:gridSpan w:val="2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810"/>
        </w:trPr>
        <w:tc>
          <w:tcPr>
            <w:tcW w:w="2240" w:type="dxa"/>
            <w:vAlign w:val="bottom"/>
          </w:tcPr>
          <w:p>
            <w:pPr>
              <w:spacing w:after="0"/>
              <w:rPr>
                <w:sz w:val="24"/>
                <w:szCs w:val="24"/>
                <w:color w:val="auto"/>
              </w:rPr>
            </w:pPr>
          </w:p>
        </w:tc>
        <w:tc>
          <w:tcPr>
            <w:tcW w:w="4440" w:type="dxa"/>
            <w:vAlign w:val="bottom"/>
            <w:gridSpan w:val="5"/>
          </w:tcPr>
          <w:p>
            <w:pPr>
              <w:ind w:left="3300"/>
              <w:spacing w:after="0"/>
              <w:rPr>
                <w:sz w:val="20"/>
                <w:szCs w:val="20"/>
                <w:color w:val="auto"/>
              </w:rPr>
            </w:pPr>
            <w:r>
              <w:rPr>
                <w:rFonts w:ascii="Arial" w:cs="Arial" w:eastAsia="Arial" w:hAnsi="Arial"/>
                <w:sz w:val="16"/>
                <w:szCs w:val="16"/>
                <w:color w:val="auto"/>
              </w:rPr>
              <w:t>84</w:t>
            </w:r>
          </w:p>
        </w:tc>
        <w:tc>
          <w:tcPr>
            <w:tcW w:w="1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1500" w:space="720"/>
            <w:col w:w="8700"/>
          </w:cols>
          <w:pgMar w:left="340" w:top="1232" w:right="6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140" w:lineRule="exact"/>
        <w:rPr>
          <w:sz w:val="20"/>
          <w:szCs w:val="20"/>
          <w:color w:val="auto"/>
        </w:rPr>
      </w:pPr>
    </w:p>
    <w:p>
      <w:pPr>
        <w:sectPr>
          <w:pgSz w:w="11900" w:h="16838" w:orient="portrait"/>
          <w:cols w:equalWidth="0" w:num="2">
            <w:col w:w="1500" w:space="720"/>
            <w:col w:w="8700"/>
          </w:cols>
          <w:pgMar w:left="340" w:top="1232" w:right="639" w:bottom="1440" w:gutter="0" w:footer="0" w:header="0"/>
          <w:type w:val="continuous"/>
        </w:sectPr>
      </w:pPr>
    </w:p>
    <w:p>
      <w:pPr>
        <w:ind w:left="1400" w:hanging="1394"/>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8"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232" w:right="639" w:bottom="1440" w:gutter="0" w:footer="0" w:header="0"/>
          <w:type w:val="continuous"/>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Date: December 18, 2025</w:t>
            </w:r>
          </w:p>
        </w:tc>
        <w:tc>
          <w:tcPr>
            <w:tcW w:w="7160" w:type="dxa"/>
            <w:vAlign w:val="bottom"/>
            <w:gridSpan w:val="2"/>
          </w:tcPr>
          <w:p>
            <w:pPr>
              <w:ind w:left="1940"/>
              <w:spacing w:after="0"/>
              <w:rPr>
                <w:sz w:val="20"/>
                <w:szCs w:val="20"/>
                <w:color w:val="auto"/>
              </w:rPr>
            </w:pPr>
            <w:r>
              <w:rPr>
                <w:rFonts w:ascii="Arial" w:cs="Arial" w:eastAsia="Arial" w:hAnsi="Arial"/>
                <w:sz w:val="16"/>
                <w:szCs w:val="16"/>
                <w:color w:val="auto"/>
              </w:rPr>
              <w:t>COMPASS DIVERSIFIED HOLDINGS</w:t>
            </w:r>
          </w:p>
        </w:tc>
      </w:tr>
      <w:tr>
        <w:trPr>
          <w:trHeight w:val="481"/>
        </w:trPr>
        <w:tc>
          <w:tcPr>
            <w:tcW w:w="4020" w:type="dxa"/>
            <w:vAlign w:val="bottom"/>
          </w:tcPr>
          <w:p>
            <w:pPr>
              <w:spacing w:after="0"/>
              <w:rPr>
                <w:sz w:val="24"/>
                <w:szCs w:val="24"/>
                <w:color w:val="auto"/>
              </w:rPr>
            </w:pPr>
          </w:p>
        </w:tc>
        <w:tc>
          <w:tcPr>
            <w:tcW w:w="3000" w:type="dxa"/>
            <w:vAlign w:val="bottom"/>
          </w:tcPr>
          <w:p>
            <w:pPr>
              <w:ind w:left="19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r>
        <w:trPr>
          <w:trHeight w:val="215"/>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Date: December 18, 2025</w:t>
            </w:r>
          </w:p>
        </w:tc>
        <w:tc>
          <w:tcPr>
            <w:tcW w:w="7160" w:type="dxa"/>
            <w:vAlign w:val="bottom"/>
            <w:gridSpan w:val="2"/>
          </w:tcPr>
          <w:p>
            <w:pPr>
              <w:ind w:left="1940"/>
              <w:spacing w:after="0"/>
              <w:rPr>
                <w:sz w:val="20"/>
                <w:szCs w:val="20"/>
                <w:color w:val="auto"/>
              </w:rPr>
            </w:pPr>
            <w:r>
              <w:rPr>
                <w:rFonts w:ascii="Arial" w:cs="Arial" w:eastAsia="Arial" w:hAnsi="Arial"/>
                <w:sz w:val="16"/>
                <w:szCs w:val="16"/>
                <w:color w:val="auto"/>
              </w:rPr>
              <w:t>COMPASS GROUP DIVERSIFIED HOLDINGS LLC</w:t>
            </w:r>
          </w:p>
        </w:tc>
      </w:tr>
      <w:tr>
        <w:trPr>
          <w:trHeight w:val="481"/>
        </w:trPr>
        <w:tc>
          <w:tcPr>
            <w:tcW w:w="4020" w:type="dxa"/>
            <w:vAlign w:val="bottom"/>
          </w:tcPr>
          <w:p>
            <w:pPr>
              <w:spacing w:after="0"/>
              <w:rPr>
                <w:sz w:val="24"/>
                <w:szCs w:val="24"/>
                <w:color w:val="auto"/>
              </w:rPr>
            </w:pPr>
          </w:p>
        </w:tc>
        <w:tc>
          <w:tcPr>
            <w:tcW w:w="3000" w:type="dxa"/>
            <w:vAlign w:val="bottom"/>
          </w:tcPr>
          <w:p>
            <w:pPr>
              <w:ind w:left="19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bl>
    <w:p>
      <w:pPr>
        <w:ind w:left="7060"/>
        <w:spacing w:after="0" w:line="233" w:lineRule="auto"/>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3"/>
          </w:tcPr>
          <w:p>
            <w:pPr>
              <w:ind w:left="1660"/>
              <w:spacing w:after="0"/>
              <w:rPr>
                <w:sz w:val="20"/>
                <w:szCs w:val="20"/>
                <w:color w:val="auto"/>
              </w:rPr>
            </w:pPr>
            <w:r>
              <w:rPr>
                <w:rFonts w:ascii="Arial" w:cs="Arial" w:eastAsia="Arial" w:hAnsi="Arial"/>
                <w:sz w:val="17"/>
                <w:szCs w:val="17"/>
                <w:b w:val="1"/>
                <w:bCs w:val="1"/>
                <w:color w:val="auto"/>
              </w:rPr>
              <w:t>EXHIBIT INDEX</w:t>
            </w:r>
          </w:p>
        </w:tc>
      </w:tr>
      <w:tr>
        <w:trPr>
          <w:trHeight w:val="287"/>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80" w:type="dxa"/>
            <w:vAlign w:val="bottom"/>
            <w:gridSpan w:val="2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1">
              <w:r>
                <w:rPr>
                  <w:rFonts w:ascii="Arial" w:cs="Arial" w:eastAsia="Arial" w:hAnsi="Arial"/>
                  <w:sz w:val="16"/>
                  <w:szCs w:val="16"/>
                  <w:color w:val="0000FF"/>
                </w:rPr>
                <w:t>Third Amended and Restated Trust Agreement of the Trust (incorporated by reference to Exhibit 3.1 of the Form 8-K</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filed on August 4, 2021 (File No. 001-34927)).</w:t>
              </w:r>
            </w:hyperlink>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First amendment to Third Amended and Restated Trust Agreement of the Trust (incorporated by reference to Exhibit</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September 3, 2024 (File No. 001-34926)).</w:t>
              </w:r>
            </w:hyperlink>
          </w:p>
        </w:tc>
        <w:tc>
          <w:tcPr>
            <w:tcW w:w="3300" w:type="dxa"/>
            <w:vAlign w:val="bottom"/>
            <w:tcBorders>
              <w:top w:val="single" w:sz="8" w:color="0000FF"/>
            </w:tcBorders>
            <w:gridSpan w:val="13"/>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1">
              <w:r>
                <w:rPr>
                  <w:rFonts w:ascii="Arial" w:cs="Arial" w:eastAsia="Arial" w:hAnsi="Arial"/>
                  <w:sz w:val="16"/>
                  <w:szCs w:val="16"/>
                  <w:color w:val="0000FF"/>
                </w:rPr>
                <w:t>Sixth Amended and Restated Operating Agreement of the Company (incorporated by reference to Exhibit 3.2 of the</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3">
              <w:r>
                <w:rPr>
                  <w:rFonts w:ascii="Arial" w:cs="Arial" w:eastAsia="Arial" w:hAnsi="Arial"/>
                  <w:sz w:val="16"/>
                  <w:szCs w:val="16"/>
                  <w:color w:val="0000FF"/>
                </w:rPr>
                <w:t>First Amendment to the Sixth Amended and Restated Operating Agreement of the Company (incorporated by</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reference to Exhibit 3.1 of the Form 8-K filed on February 14, 2022 (File No. 001-34927)).</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2">
              <w:r>
                <w:rPr>
                  <w:rFonts w:ascii="Arial" w:cs="Arial" w:eastAsia="Arial" w:hAnsi="Arial"/>
                  <w:sz w:val="16"/>
                  <w:szCs w:val="16"/>
                  <w:color w:val="0000FF"/>
                </w:rPr>
                <w:t>Second Amendment to the Sixth Amended and Restated Trust agreement of the Trust (incorporated by reference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Exhibit 3.2 of the Form 8-K filed on September 3, 2024 (File No. 001-34926)).</w:t>
              </w:r>
            </w:hyperlink>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A Preferred Shares (incorporated by reference to Exhibit 3.1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3.8</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5">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Series A Preferred Shares (incorporated by reference Exhibit 4.11 of the Form S-3 filed on September 4, 2024 (File</w:t>
              </w:r>
            </w:hyperlink>
          </w:p>
        </w:tc>
        <w:tc>
          <w:tcPr>
            <w:tcW w:w="40" w:type="dxa"/>
            <w:vAlign w:val="bottom"/>
            <w:tcBorders>
              <w:bottom w:val="single" w:sz="8" w:color="0000FF"/>
            </w:tcBorders>
            <w:gridSpan w:val="2"/>
          </w:tcPr>
          <w:p>
            <w:pPr>
              <w:spacing w:after="0"/>
              <w:rPr>
                <w:sz w:val="12"/>
                <w:szCs w:val="12"/>
                <w:color w:val="auto"/>
              </w:rPr>
            </w:pPr>
          </w:p>
        </w:tc>
        <w:tc>
          <w:tcPr>
            <w:tcW w:w="300" w:type="dxa"/>
            <w:vAlign w:val="bottom"/>
            <w:tcBorders>
              <w:bottom w:val="single" w:sz="8" w:color="0000FF"/>
            </w:tcBorders>
            <w:gridSpan w:val="9"/>
          </w:tcPr>
          <w:p>
            <w:pPr>
              <w:jc w:val="right"/>
              <w:ind w:right="40"/>
              <w:spacing w:after="0" w:line="142" w:lineRule="exact"/>
              <w:rPr>
                <w:rFonts w:ascii="Arial" w:cs="Arial" w:eastAsia="Arial" w:hAnsi="Arial"/>
                <w:sz w:val="16"/>
                <w:szCs w:val="16"/>
                <w:color w:val="0000FF"/>
                <w:w w:val="96"/>
              </w:rPr>
            </w:pPr>
            <w:hyperlink r:id="rId135">
              <w:r>
                <w:rPr>
                  <w:rFonts w:ascii="Arial" w:cs="Arial" w:eastAsia="Arial" w:hAnsi="Arial"/>
                  <w:sz w:val="16"/>
                  <w:szCs w:val="16"/>
                  <w:color w:val="0000FF"/>
                  <w:w w:val="96"/>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35">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6">
              <w:r>
                <w:rPr>
                  <w:rFonts w:ascii="Arial" w:cs="Arial" w:eastAsia="Arial" w:hAnsi="Arial"/>
                  <w:sz w:val="16"/>
                  <w:szCs w:val="16"/>
                  <w:color w:val="0000FF"/>
                </w:rPr>
                <w:t>Compass Group Diversified Holdings LLC Trust Interest Designation of Series A Trust Preferred Interests (incorporated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by reference to Exhibit 3.2 of the Form 8-K filed on June 28, 2017 (File No. 001-34927))</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3.10</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Trust Preferred Interests (incorporated by reference to Exhibit 3.4 of the Form 8-K filed on March 20, 2024 (File No.</w:t>
              </w:r>
            </w:hyperlink>
          </w:p>
        </w:tc>
        <w:tc>
          <w:tcPr>
            <w:tcW w:w="120" w:type="dxa"/>
            <w:vAlign w:val="bottom"/>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34">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Trust Preferred Interests (incorporated by reference Exhibit 4.14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3.4 of the Form 8-K filed on August 4, 2021 (File No. 001-34927)).</w:t>
              </w:r>
            </w:hyperlink>
          </w:p>
        </w:tc>
        <w:tc>
          <w:tcPr>
            <w:tcW w:w="80" w:type="dxa"/>
            <w:vAlign w:val="bottom"/>
            <w:gridSpan w:val="4"/>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80" w:type="dxa"/>
            <w:vAlign w:val="bottom"/>
            <w:gridSpan w:val="1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B Preferred Shares (incorporated by reference to Exhibit 3.2 of the Form 8-K filed on March 20, 2024 (File No. 001-</w:t>
              </w:r>
            </w:hyperlink>
          </w:p>
        </w:tc>
        <w:tc>
          <w:tcPr>
            <w:tcW w:w="40" w:type="dxa"/>
            <w:vAlign w:val="bottom"/>
            <w:gridSpan w:val="2"/>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8">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Series B Preferred Shares (incorporated by reference Exhibit 4.17 of the Form S-3 filed on September 4, 2024 (File</w:t>
              </w:r>
            </w:hyperlink>
          </w:p>
        </w:tc>
        <w:tc>
          <w:tcPr>
            <w:tcW w:w="340" w:type="dxa"/>
            <w:vAlign w:val="bottom"/>
            <w:tcBorders>
              <w:bottom w:val="single" w:sz="8" w:color="0000FF"/>
            </w:tcBorders>
            <w:gridSpan w:val="11"/>
          </w:tcPr>
          <w:p>
            <w:pPr>
              <w:jc w:val="right"/>
              <w:ind w:right="40"/>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9">
              <w:r>
                <w:rPr>
                  <w:rFonts w:ascii="Arial" w:cs="Arial" w:eastAsia="Arial" w:hAnsi="Arial"/>
                  <w:sz w:val="16"/>
                  <w:szCs w:val="16"/>
                  <w:color w:val="0000FF"/>
                </w:rPr>
                <w:t>Trust Interest Designation of Compass Group Diversified Holdings LLC with respect to Series B Trust Preferred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Interests (incorporated by reference to Exhibit 3.2 of the Form 8-K filed on March 13, 2018 (File No. 001-34927)),</w:t>
              </w:r>
            </w:hyperlink>
          </w:p>
        </w:tc>
        <w:tc>
          <w:tcPr>
            <w:tcW w:w="140" w:type="dxa"/>
            <w:vAlign w:val="bottom"/>
            <w:tcBorders>
              <w:bottom w:val="single" w:sz="8" w:color="0000FF"/>
            </w:tcBorders>
          </w:tcPr>
          <w:p>
            <w:pPr>
              <w:spacing w:after="0"/>
              <w:rPr>
                <w:sz w:val="12"/>
                <w:szCs w:val="12"/>
                <w:color w:val="auto"/>
              </w:rPr>
            </w:pPr>
          </w:p>
        </w:tc>
        <w:tc>
          <w:tcPr>
            <w:tcW w:w="500" w:type="dxa"/>
            <w:vAlign w:val="bottom"/>
            <w:gridSpan w:val="12"/>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Trust Preferred Interests (incorporated by reference to Exhibit 3.5 of the Form 8-K filed on March 20, 2024 (File No.</w:t>
              </w:r>
            </w:hyperlink>
          </w:p>
        </w:tc>
        <w:tc>
          <w:tcPr>
            <w:tcW w:w="300" w:type="dxa"/>
            <w:vAlign w:val="bottom"/>
            <w:gridSpan w:val="9"/>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34">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40">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Trust Preferred Interests (incorporated by reference Exhibit 4.20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87" w:right="7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2300" w:type="dxa"/>
            <w:vAlign w:val="bottom"/>
          </w:tcPr>
          <w:p>
            <w:pPr>
              <w:ind w:left="120"/>
              <w:spacing w:after="0"/>
              <w:rPr>
                <w:sz w:val="20"/>
                <w:szCs w:val="20"/>
                <w:color w:val="auto"/>
              </w:rPr>
            </w:pPr>
            <w:r>
              <w:rPr>
                <w:rFonts w:ascii="Arial" w:cs="Arial" w:eastAsia="Arial" w:hAnsi="Arial"/>
                <w:sz w:val="16"/>
                <w:szCs w:val="16"/>
                <w:color w:val="auto"/>
              </w:rPr>
              <w:t>3.18</w:t>
            </w:r>
          </w:p>
        </w:tc>
        <w:tc>
          <w:tcPr>
            <w:tcW w:w="8580" w:type="dxa"/>
            <w:vAlign w:val="bottom"/>
            <w:gridSpan w:val="29"/>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3.5 of the 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3.19</w:t>
            </w:r>
          </w:p>
        </w:tc>
        <w:tc>
          <w:tcPr>
            <w:tcW w:w="8580" w:type="dxa"/>
            <w:vAlign w:val="bottom"/>
            <w:gridSpan w:val="29"/>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C Preferred Shares (incorporated by reference to Exhibit 3.3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3.20</w:t>
            </w:r>
          </w:p>
        </w:tc>
        <w:tc>
          <w:tcPr>
            <w:tcW w:w="8580" w:type="dxa"/>
            <w:vAlign w:val="bottom"/>
            <w:gridSpan w:val="29"/>
          </w:tcPr>
          <w:p>
            <w:pPr>
              <w:spacing w:after="0"/>
              <w:rPr>
                <w:rFonts w:ascii="Arial" w:cs="Arial" w:eastAsia="Arial" w:hAnsi="Arial"/>
                <w:sz w:val="16"/>
                <w:szCs w:val="16"/>
                <w:color w:val="0000FF"/>
              </w:rPr>
            </w:pPr>
            <w:hyperlink r:id="rId143">
              <w:r>
                <w:rPr>
                  <w:rFonts w:ascii="Arial" w:cs="Arial" w:eastAsia="Arial" w:hAnsi="Arial"/>
                  <w:sz w:val="16"/>
                  <w:szCs w:val="16"/>
                  <w:color w:val="0000FF"/>
                </w:rPr>
                <w:t>Second Amendment to Amended and Restated Share Designation of Compass Diversified Holdings with respect to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Series C Preferred Shares (incorporated by reference Exhibit 4.23 of the Form S-3 filed on September 4, 2024 (File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No. 333-281931)).</w:t>
              </w:r>
            </w:hyperlink>
          </w:p>
        </w:tc>
        <w:tc>
          <w:tcPr>
            <w:tcW w:w="69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3.21</w:t>
            </w:r>
          </w:p>
        </w:tc>
        <w:tc>
          <w:tcPr>
            <w:tcW w:w="7960" w:type="dxa"/>
            <w:vAlign w:val="bottom"/>
            <w:tcBorders>
              <w:bottom w:val="single" w:sz="8" w:color="0000FF"/>
            </w:tcBorders>
            <w:gridSpan w:val="11"/>
          </w:tcPr>
          <w:p>
            <w:pPr>
              <w:spacing w:after="0"/>
              <w:rPr>
                <w:rFonts w:ascii="Arial" w:cs="Arial" w:eastAsia="Arial" w:hAnsi="Arial"/>
                <w:sz w:val="16"/>
                <w:szCs w:val="16"/>
                <w:color w:val="0000FF"/>
              </w:rPr>
            </w:pPr>
            <w:hyperlink r:id="rId144">
              <w:r>
                <w:rPr>
                  <w:rFonts w:ascii="Arial" w:cs="Arial" w:eastAsia="Arial" w:hAnsi="Arial"/>
                  <w:sz w:val="16"/>
                  <w:szCs w:val="16"/>
                  <w:color w:val="0000FF"/>
                </w:rPr>
                <w:t>Trust Interest Designation of Compass Group Diversified Holdings LLC with respect to Series C Trust Preferred</w:t>
              </w:r>
            </w:hyperlink>
          </w:p>
        </w:tc>
        <w:tc>
          <w:tcPr>
            <w:tcW w:w="6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80" w:type="dxa"/>
            <w:vAlign w:val="bottom"/>
            <w:gridSpan w:val="29"/>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Interests (incorporated by reference to Exhibit 3.2 of the Form 8-K filed on November 20, 2019 (File No. 001-34927)).</w:t>
              </w:r>
            </w:hyperlink>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3.22</w:t>
            </w:r>
          </w:p>
        </w:tc>
        <w:tc>
          <w:tcPr>
            <w:tcW w:w="8380" w:type="dxa"/>
            <w:vAlign w:val="bottom"/>
            <w:tcBorders>
              <w:top w:val="single" w:sz="8" w:color="0000FF"/>
            </w:tcBorders>
            <w:gridSpan w:val="21"/>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Amendment to Trust Interest Designation of Compass Group Diversified Holdings LLC with respect to Series C</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3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Trust Preferred Interests (incorporated by reference to Exhibit 3.6 of the Form 8-K filed on March 20, 2024 (File No.</w:t>
              </w:r>
            </w:hyperlink>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134">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3.23</w:t>
            </w:r>
          </w:p>
        </w:tc>
        <w:tc>
          <w:tcPr>
            <w:tcW w:w="8580" w:type="dxa"/>
            <w:vAlign w:val="bottom"/>
            <w:gridSpan w:val="2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Second Amendment to Trust Interest Designation of Compass Group Diversified Holdings LLC with respect to Series C</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Trust Preferred Interests (incorporated by reference Exhibit 4.26 of the Form S-3 filed on September 4, 2024 (File No.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333-281931)).</w:t>
              </w:r>
            </w:hyperlink>
          </w:p>
        </w:tc>
        <w:tc>
          <w:tcPr>
            <w:tcW w:w="30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10.1</w:t>
            </w:r>
          </w:p>
        </w:tc>
        <w:tc>
          <w:tcPr>
            <w:tcW w:w="8580" w:type="dxa"/>
            <w:vAlign w:val="bottom"/>
            <w:gridSpan w:val="29"/>
          </w:tcPr>
          <w:p>
            <w:pPr>
              <w:spacing w:after="0"/>
              <w:rPr>
                <w:rFonts w:ascii="Arial" w:cs="Arial" w:eastAsia="Arial" w:hAnsi="Arial"/>
                <w:sz w:val="16"/>
                <w:szCs w:val="16"/>
                <w:color w:val="0000FF"/>
              </w:rPr>
            </w:pPr>
            <w:hyperlink r:id="rId146">
              <w:r>
                <w:rPr>
                  <w:rFonts w:ascii="Arial" w:cs="Arial" w:eastAsia="Arial" w:hAnsi="Arial"/>
                  <w:sz w:val="16"/>
                  <w:szCs w:val="16"/>
                  <w:color w:val="0000FF"/>
                </w:rPr>
                <w:t>Seventh Amended and Restated Management Service Agreement by and between Compass Group Diversified</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9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Holdings LLC, and Compass Group Management LLC, dated as of January 15, 2025 and originally effective as</w:t>
              </w:r>
            </w:hyperlink>
          </w:p>
        </w:tc>
        <w:tc>
          <w:tcPr>
            <w:tcW w:w="20" w:type="dxa"/>
            <w:vAlign w:val="bottom"/>
          </w:tcPr>
          <w:p>
            <w:pPr>
              <w:spacing w:after="0"/>
              <w:rPr>
                <w:sz w:val="12"/>
                <w:szCs w:val="12"/>
                <w:color w:val="auto"/>
              </w:rPr>
            </w:pPr>
          </w:p>
        </w:tc>
        <w:tc>
          <w:tcPr>
            <w:tcW w:w="580" w:type="dxa"/>
            <w:vAlign w:val="bottom"/>
            <w:gridSpan w:val="16"/>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of May</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16, 2006 (incorporated by reference to Exhibit 10.1 of the Form 8-K filed on January 15, 2025 (File No. 001-34927))</w:t>
              </w:r>
            </w:hyperlink>
          </w:p>
        </w:tc>
        <w:tc>
          <w:tcPr>
            <w:tcW w:w="2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300" w:type="dxa"/>
            <w:vAlign w:val="bottom"/>
          </w:tcPr>
          <w:p>
            <w:pPr>
              <w:ind w:left="120"/>
              <w:spacing w:after="0"/>
              <w:rPr>
                <w:sz w:val="20"/>
                <w:szCs w:val="20"/>
                <w:color w:val="auto"/>
              </w:rPr>
            </w:pPr>
            <w:r>
              <w:rPr>
                <w:rFonts w:ascii="Arial" w:cs="Arial" w:eastAsia="Arial" w:hAnsi="Arial"/>
                <w:sz w:val="16"/>
                <w:szCs w:val="16"/>
                <w:color w:val="auto"/>
              </w:rPr>
              <w:t>10.2</w:t>
            </w:r>
          </w:p>
        </w:tc>
        <w:tc>
          <w:tcPr>
            <w:tcW w:w="8580" w:type="dxa"/>
            <w:vAlign w:val="bottom"/>
            <w:gridSpan w:val="29"/>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First Supplemental Indenture, dated as of January 15, 2025, to the Indenture dated as of March 23, 2021 between</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160" w:type="dxa"/>
            <w:vAlign w:val="bottom"/>
            <w:tcBorders>
              <w:top w:val="single" w:sz="8" w:color="0000FF"/>
            </w:tcBorders>
            <w:gridSpan w:val="16"/>
          </w:tcPr>
          <w:p>
            <w:pPr>
              <w:spacing w:after="0" w:line="142" w:lineRule="exact"/>
              <w:rPr>
                <w:rFonts w:ascii="Arial" w:cs="Arial" w:eastAsia="Arial" w:hAnsi="Arial"/>
                <w:sz w:val="16"/>
                <w:szCs w:val="16"/>
                <w:color w:val="0000FF"/>
                <w:w w:val="99"/>
              </w:rPr>
            </w:pPr>
            <w:hyperlink r:id="rId147">
              <w:r>
                <w:rPr>
                  <w:rFonts w:ascii="Arial" w:cs="Arial" w:eastAsia="Arial" w:hAnsi="Arial"/>
                  <w:sz w:val="16"/>
                  <w:szCs w:val="16"/>
                  <w:color w:val="0000FF"/>
                  <w:w w:val="99"/>
                </w:rPr>
                <w:t>Compass Group Diversified Holdings LLC and U.S. Bank National Association (incorporated by reference to Exhibit</w:t>
              </w:r>
            </w:hyperlink>
          </w:p>
        </w:tc>
        <w:tc>
          <w:tcPr>
            <w:tcW w:w="30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Form 8-K filed on January 15, 2025 (File No. 000-34927)).</w:t>
              </w:r>
            </w:hyperlink>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00" w:type="dxa"/>
            <w:vAlign w:val="bottom"/>
          </w:tcPr>
          <w:p>
            <w:pPr>
              <w:ind w:left="120"/>
              <w:spacing w:after="0"/>
              <w:rPr>
                <w:sz w:val="20"/>
                <w:szCs w:val="20"/>
                <w:color w:val="auto"/>
              </w:rPr>
            </w:pPr>
            <w:r>
              <w:rPr>
                <w:rFonts w:ascii="Arial" w:cs="Arial" w:eastAsia="Arial" w:hAnsi="Arial"/>
                <w:sz w:val="16"/>
                <w:szCs w:val="16"/>
                <w:color w:val="auto"/>
              </w:rPr>
              <w:t>10.3</w:t>
            </w:r>
          </w:p>
        </w:tc>
        <w:tc>
          <w:tcPr>
            <w:tcW w:w="8580" w:type="dxa"/>
            <w:vAlign w:val="bottom"/>
            <w:gridSpan w:val="29"/>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First Supplemental Indenture, dated as of January 15, 2025, to the Indenture dated as of November 17, 2021 between</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4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Compass Group Diversified Holdings LLC and U.S. Bank National Association (incorporated by reference to Exhibit</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of the Form 8-K filed on January 15, 2025 (File No. 000-34927)).</w:t>
              </w:r>
            </w:hyperlink>
          </w:p>
        </w:tc>
        <w:tc>
          <w:tcPr>
            <w:tcW w:w="2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00" w:type="dxa"/>
            <w:vAlign w:val="bottom"/>
          </w:tcPr>
          <w:p>
            <w:pPr>
              <w:ind w:left="120"/>
              <w:spacing w:after="0"/>
              <w:rPr>
                <w:sz w:val="20"/>
                <w:szCs w:val="20"/>
                <w:color w:val="auto"/>
              </w:rPr>
            </w:pPr>
            <w:r>
              <w:rPr>
                <w:rFonts w:ascii="Arial" w:cs="Arial" w:eastAsia="Arial" w:hAnsi="Arial"/>
                <w:sz w:val="16"/>
                <w:szCs w:val="16"/>
                <w:color w:val="auto"/>
              </w:rPr>
              <w:t>10.4</w:t>
            </w:r>
          </w:p>
        </w:tc>
        <w:tc>
          <w:tcPr>
            <w:tcW w:w="8580" w:type="dxa"/>
            <w:vAlign w:val="bottom"/>
            <w:gridSpan w:val="29"/>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First Incremental Facility Amendment, dated January 9, 2025, by and among Compass Diversified Holdings LLC, Bank</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of America, N.A., and the lenders party thereto (incorporated by reference to Exhibit 10.1 of the Form 8-K filed on</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1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January 10, 2025 (File No. 001-34927).</w:t>
              </w:r>
            </w:hyperlink>
          </w:p>
        </w:tc>
        <w:tc>
          <w:tcPr>
            <w:tcW w:w="4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00" w:type="dxa"/>
            <w:vAlign w:val="bottom"/>
          </w:tcPr>
          <w:p>
            <w:pPr>
              <w:ind w:left="120"/>
              <w:spacing w:after="0"/>
              <w:rPr>
                <w:sz w:val="20"/>
                <w:szCs w:val="20"/>
                <w:color w:val="auto"/>
              </w:rPr>
            </w:pPr>
            <w:r>
              <w:rPr>
                <w:rFonts w:ascii="Arial" w:cs="Arial" w:eastAsia="Arial" w:hAnsi="Arial"/>
                <w:sz w:val="16"/>
                <w:szCs w:val="16"/>
                <w:color w:val="auto"/>
              </w:rPr>
              <w:t>31.1*</w:t>
            </w:r>
          </w:p>
        </w:tc>
        <w:tc>
          <w:tcPr>
            <w:tcW w:w="8580" w:type="dxa"/>
            <w:vAlign w:val="bottom"/>
            <w:gridSpan w:val="29"/>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345"/>
        </w:trPr>
        <w:tc>
          <w:tcPr>
            <w:tcW w:w="2300" w:type="dxa"/>
            <w:vAlign w:val="bottom"/>
          </w:tcPr>
          <w:p>
            <w:pPr>
              <w:ind w:left="120"/>
              <w:spacing w:after="0"/>
              <w:rPr>
                <w:sz w:val="20"/>
                <w:szCs w:val="20"/>
                <w:color w:val="auto"/>
              </w:rPr>
            </w:pPr>
            <w:r>
              <w:rPr>
                <w:rFonts w:ascii="Arial" w:cs="Arial" w:eastAsia="Arial" w:hAnsi="Arial"/>
                <w:sz w:val="16"/>
                <w:szCs w:val="16"/>
                <w:color w:val="auto"/>
              </w:rPr>
              <w:t>31.2*</w:t>
            </w:r>
          </w:p>
        </w:tc>
        <w:tc>
          <w:tcPr>
            <w:tcW w:w="556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Rule 13a-14(a)/15d-14(a) Certification of Chief Financial Officer of Registrant</w:t>
            </w:r>
          </w:p>
        </w:tc>
        <w:tc>
          <w:tcPr>
            <w:tcW w:w="3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3380" w:type="dxa"/>
            <w:vAlign w:val="bottom"/>
            <w:gridSpan w:val="6"/>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300" w:type="dxa"/>
            <w:vAlign w:val="bottom"/>
            <w:vMerge w:val="continue"/>
          </w:tcPr>
          <w:p>
            <w:pPr>
              <w:spacing w:after="0"/>
              <w:rPr>
                <w:sz w:val="24"/>
                <w:szCs w:val="24"/>
                <w:color w:val="auto"/>
              </w:rPr>
            </w:pPr>
          </w:p>
        </w:tc>
        <w:tc>
          <w:tcPr>
            <w:tcW w:w="8580" w:type="dxa"/>
            <w:vAlign w:val="bottom"/>
            <w:gridSpan w:val="29"/>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60" w:type="dxa"/>
            <w:vAlign w:val="bottom"/>
            <w:tcBorders>
              <w:top w:val="single" w:sz="8" w:color="0000FF"/>
            </w:tcBorders>
            <w:gridSpan w:val="8"/>
          </w:tcPr>
          <w:p>
            <w:pPr>
              <w:spacing w:after="0"/>
              <w:rPr>
                <w:sz w:val="12"/>
                <w:szCs w:val="12"/>
                <w:color w:val="auto"/>
              </w:rPr>
            </w:pPr>
          </w:p>
        </w:tc>
        <w:tc>
          <w:tcPr>
            <w:tcW w:w="54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3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8580" w:type="dxa"/>
            <w:vAlign w:val="bottom"/>
            <w:gridSpan w:val="29"/>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20" w:type="dxa"/>
            <w:vAlign w:val="bottom"/>
            <w:tcBorders>
              <w:top w:val="single" w:sz="8" w:color="0000FF"/>
            </w:tcBorders>
            <w:gridSpan w:val="7"/>
          </w:tcPr>
          <w:p>
            <w:pPr>
              <w:spacing w:after="0"/>
              <w:rPr>
                <w:sz w:val="12"/>
                <w:szCs w:val="12"/>
                <w:color w:val="auto"/>
              </w:rPr>
            </w:pPr>
          </w:p>
        </w:tc>
        <w:tc>
          <w:tcPr>
            <w:tcW w:w="58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300" w:type="dxa"/>
            <w:vAlign w:val="bottom"/>
          </w:tcPr>
          <w:p>
            <w:pPr>
              <w:spacing w:after="0"/>
              <w:rPr>
                <w:sz w:val="20"/>
                <w:szCs w:val="20"/>
                <w:color w:val="auto"/>
              </w:rPr>
            </w:pPr>
            <w:r>
              <w:rPr>
                <w:rFonts w:ascii="Arial" w:cs="Arial" w:eastAsia="Arial" w:hAnsi="Arial"/>
                <w:sz w:val="16"/>
                <w:szCs w:val="16"/>
                <w:color w:val="auto"/>
              </w:rPr>
              <w:t>101.INS*</w:t>
            </w:r>
          </w:p>
        </w:tc>
        <w:tc>
          <w:tcPr>
            <w:tcW w:w="8580" w:type="dxa"/>
            <w:vAlign w:val="bottom"/>
            <w:gridSpan w:val="29"/>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580" w:type="dxa"/>
            <w:vAlign w:val="bottom"/>
            <w:gridSpan w:val="29"/>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5"/>
        </w:trPr>
        <w:tc>
          <w:tcPr>
            <w:tcW w:w="2300" w:type="dxa"/>
            <w:vAlign w:val="bottom"/>
          </w:tcPr>
          <w:p>
            <w:pPr>
              <w:spacing w:after="0"/>
              <w:rPr>
                <w:sz w:val="20"/>
                <w:szCs w:val="20"/>
                <w:color w:val="auto"/>
              </w:rPr>
            </w:pPr>
            <w:r>
              <w:rPr>
                <w:rFonts w:ascii="Arial" w:cs="Arial" w:eastAsia="Arial" w:hAnsi="Arial"/>
                <w:sz w:val="16"/>
                <w:szCs w:val="16"/>
                <w:color w:val="auto"/>
              </w:rPr>
              <w:t>101.SCH*</w:t>
            </w:r>
          </w:p>
        </w:tc>
        <w:tc>
          <w:tcPr>
            <w:tcW w:w="8580" w:type="dxa"/>
            <w:vAlign w:val="bottom"/>
            <w:gridSpan w:val="29"/>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101.CAL*</w:t>
            </w:r>
          </w:p>
        </w:tc>
        <w:tc>
          <w:tcPr>
            <w:tcW w:w="8580" w:type="dxa"/>
            <w:vAlign w:val="bottom"/>
            <w:gridSpan w:val="2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101.DEF*</w:t>
            </w:r>
          </w:p>
        </w:tc>
        <w:tc>
          <w:tcPr>
            <w:tcW w:w="8580" w:type="dxa"/>
            <w:vAlign w:val="bottom"/>
            <w:gridSpan w:val="2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101.LAB*</w:t>
            </w:r>
          </w:p>
        </w:tc>
        <w:tc>
          <w:tcPr>
            <w:tcW w:w="8580" w:type="dxa"/>
            <w:vAlign w:val="bottom"/>
            <w:gridSpan w:val="2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022" w:right="71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1580" w:space="720"/>
            <w:col w:w="8260"/>
          </w:cols>
          <w:pgMar w:left="340" w:top="1030" w:right="99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200" w:lineRule="exact"/>
        <w:rPr>
          <w:sz w:val="20"/>
          <w:szCs w:val="20"/>
          <w:color w:val="auto"/>
        </w:rPr>
      </w:pPr>
    </w:p>
    <w:p>
      <w:pPr>
        <w:sectPr>
          <w:pgSz w:w="11900" w:h="16838" w:orient="portrait"/>
          <w:cols w:equalWidth="0" w:num="2">
            <w:col w:w="1580" w:space="720"/>
            <w:col w:w="8260"/>
          </w:cols>
          <w:pgMar w:left="340" w:top="1030" w:right="999" w:bottom="1440" w:gutter="0" w:footer="0" w:header="0"/>
          <w:type w:val="continuous"/>
        </w:sectPr>
      </w:pPr>
    </w:p>
    <w:p>
      <w:pPr>
        <w:spacing w:after="0" w:line="274" w:lineRule="exact"/>
        <w:rPr>
          <w:sz w:val="20"/>
          <w:szCs w:val="20"/>
          <w:color w:val="auto"/>
        </w:rPr>
      </w:pPr>
    </w:p>
    <w:p>
      <w:pPr>
        <w:ind w:left="1360" w:hanging="135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8" w:lineRule="exact"/>
        <w:rPr>
          <w:sz w:val="20"/>
          <w:szCs w:val="20"/>
          <w:color w:val="auto"/>
        </w:rPr>
      </w:pPr>
    </w:p>
    <w:p>
      <w:pPr>
        <w:jc w:val="both"/>
        <w:ind w:left="1360" w:hanging="1354"/>
        <w:spacing w:after="0" w:line="226" w:lineRule="auto"/>
        <w:tabs>
          <w:tab w:leader="none" w:pos="1360" w:val="left"/>
        </w:tabs>
        <w:numPr>
          <w:ilvl w:val="0"/>
          <w:numId w:val="35"/>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560"/>
          </w:cols>
          <w:pgMar w:left="340" w:top="1030" w:right="99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Elias J. Sabo, certify that:</w:t>
      </w:r>
    </w:p>
    <w:p>
      <w:pPr>
        <w:spacing w:after="0" w:line="237"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Group Diversified Holdings LLC (the “registrant”);</w:t>
      </w:r>
    </w:p>
    <w:p>
      <w:pPr>
        <w:spacing w:after="0" w:line="223"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7"/>
          <w:szCs w:val="17"/>
          <w:color w:val="auto"/>
        </w:rPr>
      </w:pPr>
    </w:p>
    <w:p>
      <w:pPr>
        <w:ind w:left="660" w:right="380" w:hanging="328"/>
        <w:spacing w:after="0" w:line="301"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980" w:right="40" w:hanging="324"/>
        <w:spacing w:after="0" w:line="274" w:lineRule="auto"/>
        <w:tabs>
          <w:tab w:leader="none" w:pos="9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980" w:right="80" w:hanging="324"/>
        <w:spacing w:after="0" w:line="266" w:lineRule="auto"/>
        <w:tabs>
          <w:tab w:leader="none" w:pos="9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7"/>
          <w:szCs w:val="17"/>
          <w:color w:val="auto"/>
        </w:rPr>
      </w:pPr>
    </w:p>
    <w:p>
      <w:pPr>
        <w:ind w:left="980" w:right="20" w:hanging="324"/>
        <w:spacing w:after="0" w:line="274" w:lineRule="auto"/>
        <w:tabs>
          <w:tab w:leader="none" w:pos="978"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jc w:val="both"/>
        <w:ind w:left="980" w:right="200" w:hanging="324"/>
        <w:spacing w:after="0" w:line="266" w:lineRule="auto"/>
        <w:tabs>
          <w:tab w:leader="none" w:pos="9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right="480" w:hanging="324"/>
        <w:spacing w:after="0" w:line="284" w:lineRule="auto"/>
        <w:tabs>
          <w:tab w:leader="none" w:pos="9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80" w:right="100" w:hanging="324"/>
        <w:spacing w:after="0" w:line="284" w:lineRule="auto"/>
        <w:tabs>
          <w:tab w:leader="none" w:pos="974"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December 18, 2025</w:t>
      </w:r>
    </w:p>
    <w:p>
      <w:pPr>
        <w:spacing w:after="0" w:line="12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27305</wp:posOffset>
            </wp:positionV>
            <wp:extent cx="2468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8"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Elias J. Sabo</w:t>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7"/>
          <w:szCs w:val="17"/>
          <w:i w:val="1"/>
          <w:iCs w:val="1"/>
          <w:color w:val="auto"/>
        </w:rPr>
        <w:t>Chief Executive Officer of</w:t>
      </w:r>
    </w:p>
    <w:p>
      <w:pPr>
        <w:ind w:left="732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ind w:left="73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Stephen Keller, certify that:</w:t>
      </w:r>
    </w:p>
    <w:p>
      <w:pPr>
        <w:spacing w:after="0" w:line="237" w:lineRule="exact"/>
        <w:rPr>
          <w:sz w:val="20"/>
          <w:szCs w:val="20"/>
          <w:color w:val="auto"/>
        </w:rPr>
      </w:pPr>
    </w:p>
    <w:p>
      <w:pPr>
        <w:ind w:left="660" w:right="80" w:hanging="328"/>
        <w:spacing w:after="0" w:line="28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58"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1300" w:right="180" w:hanging="320"/>
        <w:spacing w:after="0" w:line="274"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1300" w:right="40" w:hanging="320"/>
        <w:spacing w:after="0" w:line="266"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1300" w:right="80" w:hanging="320"/>
        <w:spacing w:after="0" w:line="266" w:lineRule="auto"/>
        <w:tabs>
          <w:tab w:leader="none" w:pos="1298"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1300" w:right="280" w:hanging="320"/>
        <w:spacing w:after="0" w:line="274"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1300" w:right="160" w:hanging="320"/>
        <w:spacing w:after="0" w:line="284"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300" w:right="380" w:hanging="320"/>
        <w:spacing w:after="0" w:line="301"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December 18, 2025</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Stephen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27305</wp:posOffset>
            </wp:positionV>
            <wp:extent cx="3000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Stephen Keller</w:t>
      </w:r>
    </w:p>
    <w:p>
      <w:pPr>
        <w:spacing w:after="0" w:line="17" w:lineRule="exact"/>
        <w:rPr>
          <w:sz w:val="20"/>
          <w:szCs w:val="20"/>
          <w:color w:val="auto"/>
        </w:rPr>
      </w:pPr>
    </w:p>
    <w:p>
      <w:pPr>
        <w:ind w:left="650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215" w:lineRule="auto"/>
        <w:rPr>
          <w:sz w:val="20"/>
          <w:szCs w:val="20"/>
          <w:color w:val="auto"/>
        </w:rPr>
      </w:pPr>
      <w:r>
        <w:rPr>
          <w:rFonts w:ascii="Arial" w:cs="Arial" w:eastAsia="Arial" w:hAnsi="Arial"/>
          <w:sz w:val="17"/>
          <w:szCs w:val="17"/>
          <w:i w:val="1"/>
          <w:iCs w:val="1"/>
          <w:color w:val="auto"/>
        </w:rPr>
        <w:t>Financial Officer of</w:t>
      </w:r>
    </w:p>
    <w:p>
      <w:pPr>
        <w:ind w:left="650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In connection with the Quarterly Report of COMPASS GROUP DIVERSIFIED HOLDINGS LLC on Form 10-Q for the period ended March 31, 2025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09" w:lineRule="exact"/>
        <w:rPr>
          <w:sz w:val="20"/>
          <w:szCs w:val="20"/>
          <w:color w:val="auto"/>
        </w:rPr>
      </w:pPr>
    </w:p>
    <w:p>
      <w:pPr>
        <w:ind w:left="560" w:hanging="309"/>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December 18, 2025</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Elias J. Sabo</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Elias J. Sabo</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foregoing certification is being furnished to accompany Compass Group Diversified Holdings LLC’s Quarterly Report on Form 10-Q for the quarterly period ended March 31, 2025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COMPASS DIVERSIFIED HOLDINGS and COMPASS GROUP DIVERSIFIED HOLDINGS LLC on Form 10-Q for the period ended March 31, 2025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98" w:lineRule="exact"/>
        <w:rPr>
          <w:sz w:val="20"/>
          <w:szCs w:val="20"/>
          <w:color w:val="auto"/>
        </w:rPr>
      </w:pPr>
    </w:p>
    <w:p>
      <w:pPr>
        <w:ind w:left="560" w:hanging="309"/>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Diversified Holdings and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December 18, 2025</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Keller</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Stephen Keller</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Regular Trustee, Compass Diversified Holdings and</w:t>
            </w:r>
          </w:p>
        </w:tc>
      </w:tr>
      <w:tr>
        <w:trPr>
          <w:trHeight w:val="184"/>
        </w:trPr>
        <w:tc>
          <w:tcPr>
            <w:tcW w:w="6940" w:type="dxa"/>
            <w:vAlign w:val="bottom"/>
          </w:tcPr>
          <w:p>
            <w:pPr>
              <w:spacing w:after="0"/>
              <w:rPr>
                <w:sz w:val="15"/>
                <w:szCs w:val="15"/>
                <w:color w:val="auto"/>
              </w:rPr>
            </w:pPr>
          </w:p>
        </w:tc>
        <w:tc>
          <w:tcPr>
            <w:tcW w:w="4220" w:type="dxa"/>
            <w:vAlign w:val="bottom"/>
          </w:tcPr>
          <w:p>
            <w:pPr>
              <w:ind w:left="20"/>
              <w:spacing w:after="0" w:line="183" w:lineRule="exact"/>
              <w:rPr>
                <w:sz w:val="20"/>
                <w:szCs w:val="20"/>
                <w:color w:val="auto"/>
              </w:rPr>
            </w:pPr>
            <w:r>
              <w:rPr>
                <w:rFonts w:ascii="Arial" w:cs="Arial" w:eastAsia="Arial" w:hAnsi="Arial"/>
                <w:sz w:val="18"/>
                <w:szCs w:val="18"/>
                <w:color w:val="auto"/>
              </w:rPr>
              <w:t>Chief Financial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Quarterly Report on Form 10-Q for the quarterly period ended March 31, 2025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361"/>
    </w:lvl>
  </w:abstractNum>
  <w:abstractNum w:abstractNumId="6">
    <w:nsid w:val="2D1D5AE9"/>
    <w:multiLevelType w:val="hybridMultilevel"/>
    <w:lvl w:ilvl="0">
      <w:lvlJc w:val="left"/>
      <w:lvlText w:val="\emdash "/>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Roman"/>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Letter"/>
      <w:start w:val="3"/>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lowerLetter"/>
      <w:start w:val="3"/>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31" Type="http://schemas.openxmlformats.org/officeDocument/2006/relationships/hyperlink" Target="https://www.sec.gov/ix?doc=/Archives/edgar/data/0001345126/000119312521235786/d57259d8k.htm" TargetMode="External"/><Relationship Id="rId132" Type="http://schemas.openxmlformats.org/officeDocument/2006/relationships/hyperlink" Target="https://www.sec.gov/ix?doc=/Archives/edgar/data/0001345126/000134512624000048/codi-20240831.htm" TargetMode="External"/><Relationship Id="rId133" Type="http://schemas.openxmlformats.org/officeDocument/2006/relationships/hyperlink" Target="https://www.sec.gov/ix?doc=/Archives/edgar/data/0001345126/000134512622000008/codi-20220210.htm" TargetMode="External"/><Relationship Id="rId134" Type="http://schemas.openxmlformats.org/officeDocument/2006/relationships/hyperlink" Target="https://www.sec.gov/ix?doc=/Archives/edgar/data/0001345126/000119312524072850/d800897d8k.htm" TargetMode="External"/><Relationship Id="rId135" Type="http://schemas.openxmlformats.org/officeDocument/2006/relationships/hyperlink" Target="https://www.sec.gov/Archives/edgar/data/1345126/000119312524213116/d878317dex411.htm" TargetMode="External"/><Relationship Id="rId136" Type="http://schemas.openxmlformats.org/officeDocument/2006/relationships/hyperlink" Target="https://www.sec.gov/Archives/edgar/data/1345122/000134512617000038/exhibit32.htm" TargetMode="External"/><Relationship Id="rId137" Type="http://schemas.openxmlformats.org/officeDocument/2006/relationships/hyperlink" Target="https://www.sec.gov/Archives/edgar/data/1345126/000119312524213116/d878317dex414.htm" TargetMode="External"/><Relationship Id="rId138" Type="http://schemas.openxmlformats.org/officeDocument/2006/relationships/hyperlink" Target="https://www.sec.gov/Archives/edgar/data/1345126/000119312524213116/d878317dex417.htm" TargetMode="External"/><Relationship Id="rId139" Type="http://schemas.openxmlformats.org/officeDocument/2006/relationships/hyperlink" Target="https://www.sec.gov/Archives/edgar/data/1345126/000119312518080755/d436474dex32.htm" TargetMode="External"/><Relationship Id="rId140" Type="http://schemas.openxmlformats.org/officeDocument/2006/relationships/hyperlink" Target="https://www.sec.gov/Archives/edgar/data/1345126/000119312524213116/d878317dex420.htm" TargetMode="External"/><Relationship Id="rId143" Type="http://schemas.openxmlformats.org/officeDocument/2006/relationships/hyperlink" Target="https://www.sec.gov/Archives/edgar/data/1345126/000119312524213116/d878317dex423.htm" TargetMode="External"/><Relationship Id="rId144" Type="http://schemas.openxmlformats.org/officeDocument/2006/relationships/hyperlink" Target="https://www.sec.gov/ix?doc=/Archives/edgar/data/0001345126/000119312519296560/d835497d8k.htm" TargetMode="External"/><Relationship Id="rId145" Type="http://schemas.openxmlformats.org/officeDocument/2006/relationships/hyperlink" Target="https://www.sec.gov/Archives/edgar/data/1345126/000119312524213116/d878317dex426.htm" TargetMode="External"/><Relationship Id="rId146" Type="http://schemas.openxmlformats.org/officeDocument/2006/relationships/hyperlink" Target="https://www.sec.gov/Archives/edgar/data/1345126/000134512625000008/ex101seventhamendedandrest.htm" TargetMode="External"/><Relationship Id="rId147" Type="http://schemas.openxmlformats.org/officeDocument/2006/relationships/hyperlink" Target="https://www.sec.gov/Archives/edgar/data/1345126/000134512625000008/ex102firstsupplementalinde.htm" TargetMode="External"/><Relationship Id="rId148" Type="http://schemas.openxmlformats.org/officeDocument/2006/relationships/hyperlink" Target="https://www.sec.gov/Archives/edgar/data/1345126/000134512625000008/ex103firstsupplementalinde.htm" TargetMode="External"/><Relationship Id="rId149" Type="http://schemas.openxmlformats.org/officeDocument/2006/relationships/hyperlink" Target="https://www.sec.gov/Archives/edgar/data/1345126/000134512625000006/exhibit101-incrementalcr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2025-12-18T15:26:44Z</dcterms:created>
  <dcterms:modified xsi:type="dcterms:W3CDTF">2025-12-18T15:26:44Z</dcterms:modified>
</cp:coreProperties>
</file>