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886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65870"/>
                    </a:xfrm>
                    <a:prstGeom prst="rect">
                      <a:avLst/>
                    </a:prstGeom>
                    <a:noFill/>
                  </pic:spPr>
                </pic:pic>
              </a:graphicData>
            </a:graphic>
          </wp:anchor>
        </w:drawing>
      </w:r>
    </w:p>
    <w:p>
      <w:pPr>
        <w:spacing w:after="0" w:line="1046"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ADW Capital Management, LLC</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6431 ALLISON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Compass Diversified Holdings</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CODI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4"/>
          <w:szCs w:val="24"/>
          <w:color w:val="auto"/>
        </w:rPr>
      </w:pPr>
      <w:r>
        <w:rPr>
          <w:sz w:val="24"/>
          <w:szCs w:val="24"/>
          <w:color w:val="auto"/>
        </w:rPr>
        <w:br w:type="column"/>
      </w:r>
    </w:p>
    <w:p>
      <w:pPr>
        <w:ind w:left="-5" w:right="800" w:firstLine="5"/>
        <w:spacing w:after="0" w:line="269"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5"/>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15"/>
        <w:spacing w:after="0"/>
        <w:tabs>
          <w:tab w:leader="none" w:pos="209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05" w:space="720"/>
            <w:col w:w="3355"/>
          </w:cols>
          <w:pgMar w:left="460" w:top="211" w:right="359" w:bottom="0" w:gutter="0" w:footer="0" w:header="0"/>
          <w:type w:val="continuous"/>
        </w:sectPr>
      </w:pP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8"/>
          </w:tcPr>
          <w:p>
            <w:pPr>
              <w:ind w:left="5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MIAMI BEACH  FL</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33141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gridSpan w:val="5"/>
          </w:tcPr>
          <w:p>
            <w:pPr>
              <w:ind w:left="36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5"/>
          </w:tcPr>
          <w:p>
            <w:pPr>
              <w:ind w:left="3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40" w:type="dxa"/>
            <w:vAlign w:val="bottom"/>
            <w:gridSpan w:val="4"/>
          </w:tcPr>
          <w:p>
            <w:pPr>
              <w:ind w:left="62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6"/>
          </w:tcPr>
          <w:p>
            <w:pPr>
              <w:ind w:left="6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3"/>
                <w:szCs w:val="13"/>
                <w:color w:val="auto"/>
              </w:rPr>
            </w:pPr>
          </w:p>
        </w:tc>
        <w:tc>
          <w:tcPr>
            <w:tcW w:w="148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5"/>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500"/>
              <w:spacing w:after="0" w:line="121" w:lineRule="exact"/>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99"/>
              </w:rPr>
              <w:t>Disposed Of (D) (Instr. 3, 4 and 5)</w:t>
            </w: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line="121"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ind w:left="500"/>
              <w:spacing w:after="0" w:line="121" w:lineRule="exact"/>
              <w:rPr>
                <w:sz w:val="20"/>
                <w:szCs w:val="20"/>
                <w:color w:val="auto"/>
              </w:rPr>
            </w:pPr>
            <w:r>
              <w:rPr>
                <w:rFonts w:ascii="Arial" w:cs="Arial" w:eastAsia="Arial" w:hAnsi="Arial"/>
                <w:sz w:val="11"/>
                <w:szCs w:val="11"/>
                <w:b w:val="1"/>
                <w:bCs w:val="1"/>
                <w:color w:val="auto"/>
              </w:rPr>
              <w:t>(Month/Day/Year)</w:t>
            </w:r>
          </w:p>
        </w:tc>
        <w:tc>
          <w:tcPr>
            <w:tcW w:w="50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Beneficially Owned  (D) or Indirect</w:t>
            </w:r>
          </w:p>
        </w:tc>
        <w:tc>
          <w:tcPr>
            <w:tcW w:w="11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5"/>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1280" w:type="dxa"/>
            <w:vAlign w:val="bottom"/>
            <w:gridSpan w:val="2"/>
          </w:tcPr>
          <w:p>
            <w:pPr>
              <w:ind w:left="420"/>
              <w:spacing w:after="0" w:line="121" w:lineRule="exact"/>
              <w:rPr>
                <w:sz w:val="20"/>
                <w:szCs w:val="20"/>
                <w:color w:val="auto"/>
              </w:rPr>
            </w:pPr>
            <w:r>
              <w:rPr>
                <w:rFonts w:ascii="Arial" w:cs="Arial" w:eastAsia="Arial" w:hAnsi="Arial"/>
                <w:sz w:val="11"/>
                <w:szCs w:val="11"/>
                <w:b w:val="1"/>
                <w:bCs w:val="1"/>
                <w:color w:val="auto"/>
              </w:rPr>
              <w:t>(I) (Instr. 4)</w:t>
            </w:r>
          </w:p>
        </w:tc>
        <w:tc>
          <w:tcPr>
            <w:tcW w:w="3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4)</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1"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jc w:val="center"/>
              <w:ind w:left="3"/>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0000FF"/>
              </w:rPr>
              <w:t>3,750,000</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420" w:type="dxa"/>
            <w:vAlign w:val="bottom"/>
            <w:gridSpan w:val="5"/>
            <w:vMerge w:val="continue"/>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2"/>
            <w:vMerge w:val="restart"/>
          </w:tcPr>
          <w:p>
            <w:pPr>
              <w:ind w:left="60"/>
              <w:spacing w:after="0" w:line="255" w:lineRule="exact"/>
              <w:rPr>
                <w:sz w:val="20"/>
                <w:szCs w:val="20"/>
                <w:color w:val="auto"/>
              </w:rPr>
            </w:pPr>
            <w:r>
              <w:rPr>
                <w:rFonts w:ascii="Times New Roman" w:cs="Times New Roman" w:eastAsia="Times New Roman" w:hAnsi="Times New Roman"/>
                <w:sz w:val="29"/>
                <w:szCs w:val="29"/>
                <w:color w:val="0000FF"/>
                <w:w w:val="93"/>
                <w:vertAlign w:val="subscript"/>
              </w:rPr>
              <w:t>Footnotes</w:t>
            </w:r>
            <w:r>
              <w:rPr>
                <w:rFonts w:ascii="Times New Roman" w:cs="Times New Roman" w:eastAsia="Times New Roman" w:hAnsi="Times New Roman"/>
                <w:sz w:val="10"/>
                <w:szCs w:val="10"/>
                <w:color w:val="008000"/>
                <w:w w:val="93"/>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80" w:type="dxa"/>
            <w:vAlign w:val="bottom"/>
            <w:gridSpan w:val="15"/>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gridSpan w:val="13"/>
          </w:tcPr>
          <w:p>
            <w:pPr>
              <w:ind w:left="6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restart"/>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400" w:type="dxa"/>
            <w:vAlign w:val="bottom"/>
            <w:gridSpan w:val="3"/>
          </w:tcPr>
          <w:p>
            <w:pPr>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Call Option</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1,000,000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ind w:left="700"/>
              <w:spacing w:after="0"/>
              <w:rPr>
                <w:sz w:val="20"/>
                <w:szCs w:val="20"/>
                <w:color w:val="auto"/>
              </w:rPr>
            </w:pPr>
            <w:r>
              <w:rPr>
                <w:rFonts w:ascii="Times New Roman" w:cs="Times New Roman" w:eastAsia="Times New Roman" w:hAnsi="Times New Roman"/>
                <w:sz w:val="10"/>
                <w:szCs w:val="10"/>
                <w:color w:val="008000"/>
                <w:w w:val="85"/>
              </w:rPr>
              <w:t>(1)</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ind w:left="28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60" w:type="dxa"/>
            <w:vAlign w:val="bottom"/>
          </w:tcPr>
          <w:p>
            <w:pPr>
              <w:spacing w:after="0"/>
              <w:rPr>
                <w:sz w:val="11"/>
                <w:szCs w:val="11"/>
                <w:color w:val="auto"/>
              </w:rPr>
            </w:pPr>
          </w:p>
        </w:tc>
        <w:tc>
          <w:tcPr>
            <w:tcW w:w="8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05/29/2026</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P</w:t>
            </w:r>
          </w:p>
        </w:tc>
        <w:tc>
          <w:tcPr>
            <w:tcW w:w="500" w:type="dxa"/>
            <w:vAlign w:val="bottom"/>
            <w:gridSpan w:val="4"/>
          </w:tcPr>
          <w:p>
            <w:pPr>
              <w:ind w:left="100"/>
              <w:spacing w:after="0" w:line="133" w:lineRule="exact"/>
              <w:rPr>
                <w:sz w:val="20"/>
                <w:szCs w:val="20"/>
                <w:color w:val="auto"/>
              </w:rPr>
            </w:pPr>
            <w:r>
              <w:rPr>
                <w:rFonts w:ascii="Times New Roman" w:cs="Times New Roman" w:eastAsia="Times New Roman" w:hAnsi="Times New Roman"/>
                <w:sz w:val="12"/>
                <w:szCs w:val="12"/>
                <w:color w:val="0000FF"/>
              </w:rPr>
              <w:t>10,000</w:t>
            </w:r>
          </w:p>
        </w:tc>
        <w:tc>
          <w:tcPr>
            <w:tcW w:w="500" w:type="dxa"/>
            <w:vAlign w:val="bottom"/>
          </w:tcPr>
          <w:p>
            <w:pPr>
              <w:spacing w:after="0"/>
              <w:rPr>
                <w:sz w:val="11"/>
                <w:szCs w:val="11"/>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0000FF"/>
              </w:rPr>
              <w:t>01/15/2027</w:t>
            </w:r>
          </w:p>
        </w:tc>
        <w:tc>
          <w:tcPr>
            <w:tcW w:w="5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3.66</w:t>
            </w:r>
          </w:p>
        </w:tc>
        <w:tc>
          <w:tcPr>
            <w:tcW w:w="78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40,000</w:t>
            </w:r>
          </w:p>
        </w:tc>
        <w:tc>
          <w:tcPr>
            <w:tcW w:w="500" w:type="dxa"/>
            <w:vAlign w:val="bottom"/>
          </w:tcPr>
          <w:p>
            <w:pPr>
              <w:ind w:left="38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Shares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(2)(3)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Call Option</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1,000,000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ind w:left="700"/>
              <w:spacing w:after="0"/>
              <w:rPr>
                <w:sz w:val="20"/>
                <w:szCs w:val="20"/>
                <w:color w:val="auto"/>
              </w:rPr>
            </w:pPr>
            <w:r>
              <w:rPr>
                <w:rFonts w:ascii="Times New Roman" w:cs="Times New Roman" w:eastAsia="Times New Roman" w:hAnsi="Times New Roman"/>
                <w:sz w:val="10"/>
                <w:szCs w:val="10"/>
                <w:color w:val="008000"/>
                <w:w w:val="85"/>
              </w:rPr>
              <w:t>(1)</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(Obligation</w:t>
            </w:r>
          </w:p>
        </w:tc>
        <w:tc>
          <w:tcPr>
            <w:tcW w:w="660" w:type="dxa"/>
            <w:vAlign w:val="bottom"/>
          </w:tcPr>
          <w:p>
            <w:pPr>
              <w:ind w:left="28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w:t>
            </w:r>
          </w:p>
        </w:tc>
        <w:tc>
          <w:tcPr>
            <w:tcW w:w="60" w:type="dxa"/>
            <w:vAlign w:val="bottom"/>
          </w:tcPr>
          <w:p>
            <w:pPr>
              <w:spacing w:after="0"/>
              <w:rPr>
                <w:sz w:val="11"/>
                <w:szCs w:val="11"/>
                <w:color w:val="auto"/>
              </w:rPr>
            </w:pPr>
          </w:p>
        </w:tc>
        <w:tc>
          <w:tcPr>
            <w:tcW w:w="8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05/29/2026</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10,000</w:t>
            </w: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0000FF"/>
              </w:rPr>
              <w:t>01/15/2027</w:t>
            </w:r>
          </w:p>
        </w:tc>
        <w:tc>
          <w:tcPr>
            <w:tcW w:w="5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0.74</w:t>
            </w:r>
          </w:p>
        </w:tc>
        <w:tc>
          <w:tcPr>
            <w:tcW w:w="78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0000FF"/>
              </w:rPr>
              <w:t>40,000</w:t>
            </w:r>
          </w:p>
        </w:tc>
        <w:tc>
          <w:tcPr>
            <w:tcW w:w="500" w:type="dxa"/>
            <w:vAlign w:val="bottom"/>
          </w:tcPr>
          <w:p>
            <w:pPr>
              <w:ind w:left="38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to Sell)</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Shares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(2)(3)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12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40" w:type="dxa"/>
            <w:vAlign w:val="bottom"/>
            <w:tcBorders>
              <w:top w:val="single" w:sz="8" w:color="2C2C2C"/>
            </w:tcBorders>
            <w:gridSpan w:val="7"/>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7"/>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ADW Capital Management, LLC</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2"/>
                <w:szCs w:val="12"/>
                <w:color w:val="auto"/>
              </w:rPr>
              <w:t>(Middle)</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6431 ALLISON ROAD</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FL</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33141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5"/>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ADW Capital Partners, L.P.</w:t>
              </w:r>
            </w:hyperlink>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2"/>
                <w:szCs w:val="12"/>
                <w:color w:val="auto"/>
              </w:rPr>
              <w:t>(Middle)</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6431 ALLISON ROAD</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FL</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33141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360" w:type="dxa"/>
            <w:vAlign w:val="bottom"/>
            <w:tcBorders>
              <w:bottom w:val="single" w:sz="8" w:color="2C2C2C"/>
            </w:tcBorders>
            <w:gridSpan w:val="4"/>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3"/>
          </w:tcPr>
          <w:p>
            <w:pPr>
              <w:spacing w:after="0" w:line="207"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Wyden Adam D</w:t>
              </w:r>
            </w:hyperlink>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2"/>
                <w:szCs w:val="12"/>
                <w:color w:val="auto"/>
              </w:rPr>
              <w:t>(Middle)</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-5504815</wp:posOffset>
            </wp:positionV>
            <wp:extent cx="27940" cy="1917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940" cy="191770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6431 ALLISON ROAD</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31" w:lineRule="exact"/>
        <w:rPr>
          <w:sz w:val="20"/>
          <w:szCs w:val="20"/>
          <w:color w:val="auto"/>
        </w:rPr>
      </w:pPr>
    </w:p>
    <w:p>
      <w:pPr>
        <w:ind w:left="10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MIAMI BEACH</w:t>
      </w:r>
      <w:r>
        <w:rPr>
          <w:sz w:val="20"/>
          <w:szCs w:val="20"/>
          <w:color w:val="auto"/>
        </w:rPr>
        <w:tab/>
      </w:r>
      <w:r>
        <w:rPr>
          <w:rFonts w:ascii="Times New Roman" w:cs="Times New Roman" w:eastAsia="Times New Roman" w:hAnsi="Times New Roman"/>
          <w:sz w:val="16"/>
          <w:szCs w:val="16"/>
          <w:color w:val="0000FF"/>
        </w:rPr>
        <w:t>FL</w:t>
      </w:r>
      <w:r>
        <w:rPr>
          <w:sz w:val="20"/>
          <w:szCs w:val="20"/>
          <w:color w:val="auto"/>
        </w:rPr>
        <w:tab/>
      </w:r>
      <w:r>
        <w:rPr>
          <w:rFonts w:ascii="Times New Roman" w:cs="Times New Roman" w:eastAsia="Times New Roman" w:hAnsi="Times New Roman"/>
          <w:sz w:val="15"/>
          <w:szCs w:val="15"/>
          <w:color w:val="0000FF"/>
        </w:rPr>
        <w:t>33141</w:t>
      </w:r>
    </w:p>
    <w:p>
      <w:pPr>
        <w:sectPr>
          <w:pgSz w:w="11900" w:h="16838" w:orient="portrait"/>
          <w:cols w:equalWidth="0" w:num="1">
            <w:col w:w="11080"/>
          </w:cols>
          <w:pgMar w:left="460" w:top="211" w:right="359" w:bottom="0" w:gutter="0" w:footer="0" w:header="0"/>
          <w:type w:val="continuous"/>
        </w:sectPr>
      </w:pPr>
    </w:p>
    <w:bookmarkStart w:id="1" w:name="page2"/>
    <w:bookmarkEnd w:id="1"/>
    <w:p>
      <w:pPr>
        <w:spacing w:after="0"/>
        <w:tabs>
          <w:tab w:leader="none" w:pos="1520" w:val="left"/>
          <w:tab w:leader="none" w:pos="292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290195</wp:posOffset>
            </wp:positionH>
            <wp:positionV relativeFrom="page">
              <wp:posOffset>88900</wp:posOffset>
            </wp:positionV>
            <wp:extent cx="2797175" cy="189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97175" cy="189865"/>
                    </a:xfrm>
                    <a:prstGeom prst="rect">
                      <a:avLst/>
                    </a:prstGeom>
                    <a:noFill/>
                  </pic:spPr>
                </pic:pic>
              </a:graphicData>
            </a:graphic>
          </wp:anchor>
        </w:drawing>
        <w:drawing>
          <wp:inline distT="0" distB="0" distL="0" distR="0">
            <wp:extent cx="40640" cy="189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0640" cy="189865"/>
                    </a:xfrm>
                    <a:prstGeom prst="rect">
                      <a:avLst/>
                    </a:prstGeom>
                    <a:noFill/>
                    <a:ln>
                      <a:noFill/>
                    </a:ln>
                  </pic:spPr>
                </pic:pic>
              </a:graphicData>
            </a:graphic>
          </wp:inline>
        </w:drawing>
      </w:r>
      <w:r>
        <w:rPr>
          <w:rFonts w:ascii="Arial" w:cs="Arial" w:eastAsia="Arial" w:hAnsi="Arial"/>
          <w:sz w:val="12"/>
          <w:szCs w:val="12"/>
          <w:color w:val="auto"/>
        </w:rPr>
        <w:t xml:space="preserve"> (City)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60" w:right="20" w:hanging="7"/>
        <w:spacing w:after="0" w:line="243" w:lineRule="auto"/>
        <w:tabs>
          <w:tab w:leader="none" w:pos="18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jointly filed by and on behalf of each of ADW Capital Partners, L.P., a Delaware limited partnership ("ADW Capital Partners"), ADW Capital Management, LLC, a Delaware limited liability company ("ADW Capital Management"), and Adam D. Wyden. ADW Capital Partners is the record and direct beneficial owner of the securities covered by this statement. ADW Capital Management is the general partner and investment manager of, and may be deemed to beneficially own securities owned by, ADW Capital Partners. Mr. Wyden is the sole manager of, and may be deemed to beneficially own securities owned by, ADW Capital Management.</w:t>
      </w:r>
    </w:p>
    <w:p>
      <w:pPr>
        <w:spacing w:after="0" w:line="22" w:lineRule="exact"/>
        <w:rPr>
          <w:rFonts w:ascii="Times New Roman" w:cs="Times New Roman" w:eastAsia="Times New Roman" w:hAnsi="Times New Roman"/>
          <w:sz w:val="12"/>
          <w:szCs w:val="12"/>
          <w:color w:val="008000"/>
        </w:rPr>
      </w:pPr>
    </w:p>
    <w:p>
      <w:pPr>
        <w:ind w:left="60" w:hanging="7"/>
        <w:spacing w:after="0" w:line="249" w:lineRule="auto"/>
        <w:tabs>
          <w:tab w:leader="none" w:pos="18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reporting person states that neither the filing of this statement nor anything herein shall be deemed an admission that such person is, for purposes of Section 16 of the Securities Exchange Act of 1934, as amended (the "Act"), or otherwise, the beneficial owner of any securities covered by this statement. Each reporting person disclaims beneficial ownership of the securities covered by this statement, except to the extent of the pecuniary interest of such person in such securities.</w:t>
      </w:r>
    </w:p>
    <w:p>
      <w:pPr>
        <w:spacing w:after="0" w:line="18" w:lineRule="exact"/>
        <w:rPr>
          <w:rFonts w:ascii="Times New Roman" w:cs="Times New Roman" w:eastAsia="Times New Roman" w:hAnsi="Times New Roman"/>
          <w:sz w:val="12"/>
          <w:szCs w:val="12"/>
          <w:color w:val="008000"/>
        </w:rPr>
      </w:pPr>
    </w:p>
    <w:p>
      <w:pPr>
        <w:ind w:left="60" w:right="140" w:hanging="7"/>
        <w:spacing w:after="0" w:line="249" w:lineRule="auto"/>
        <w:tabs>
          <w:tab w:leader="none" w:pos="18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reporting person, among others, may be deemed to be a member of a group with respect to Compass Diversified Holdings (the "Issuer"), or securities of the Issuer for purposes of Section 13(d) or 13(g) of the Act. Each reporting person declares that neither the filing of this statement nor anything herein shall be construed as an admission that such person is, for the purposes of Section 13(d) or 13(g) of the Act or any other purpose, a member of a group with respect to the Issuer or securities of the Issuer.</w:t>
      </w:r>
    </w:p>
    <w:p>
      <w:pPr>
        <w:spacing w:after="0" w:line="18" w:lineRule="exact"/>
        <w:rPr>
          <w:rFonts w:ascii="Times New Roman" w:cs="Times New Roman" w:eastAsia="Times New Roman" w:hAnsi="Times New Roman"/>
          <w:sz w:val="12"/>
          <w:szCs w:val="12"/>
          <w:color w:val="008000"/>
        </w:rPr>
      </w:pPr>
    </w:p>
    <w:p>
      <w:pPr>
        <w:ind w:left="180" w:hanging="127"/>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Freely exercisable.</w:t>
      </w:r>
    </w:p>
    <w:p>
      <w:pPr>
        <w:sectPr>
          <w:pgSz w:w="11900" w:h="16838" w:orient="portrait"/>
          <w:cols w:equalWidth="0" w:num="1">
            <w:col w:w="10920"/>
          </w:cols>
          <w:pgMar w:left="440" w:top="114" w:right="539" w:bottom="1440" w:gutter="0" w:footer="0" w:header="0"/>
        </w:sectPr>
      </w:pPr>
    </w:p>
    <w:p>
      <w:pPr>
        <w:spacing w:after="0" w:line="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ADW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12236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spacing w:after="0" w:line="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L.P., By: ADW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9277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2773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12801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5"/>
          <w:szCs w:val="15"/>
          <w:color w:val="0000FF"/>
        </w:rPr>
        <w:t>Partner, By: /s/ Adam D. Wyden,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-8890</wp:posOffset>
            </wp:positionV>
            <wp:extent cx="13227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Name: Adam D. Wyden,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12287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5581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ADW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-8255</wp:posOffset>
            </wp:positionV>
            <wp:extent cx="6781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1267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Adam D. Wyden, Name: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12598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D. Wyden, Title: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-15875</wp:posOffset>
            </wp:positionV>
            <wp:extent cx="12509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552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700" w:space="120"/>
            <w:col w:w="2100"/>
          </w:cols>
          <w:pgMar w:left="440" w:top="114" w:right="539" w:bottom="1440" w:gutter="0" w:footer="0" w:header="0"/>
          <w:type w:val="continuous"/>
        </w:sectPr>
      </w:pPr>
    </w:p>
    <w:p>
      <w:pPr>
        <w:ind w:left="6620"/>
        <w:spacing w:after="0" w:line="199" w:lineRule="auto"/>
        <w:rPr>
          <w:sz w:val="20"/>
          <w:szCs w:val="20"/>
          <w:color w:val="auto"/>
        </w:rPr>
      </w:pPr>
      <w:r>
        <w:rPr>
          <w:rFonts w:ascii="Times New Roman" w:cs="Times New Roman" w:eastAsia="Times New Roman" w:hAnsi="Times New Roman"/>
          <w:sz w:val="14"/>
          <w:szCs w:val="14"/>
          <w:color w:val="0000FF"/>
        </w:rPr>
        <w:t xml:space="preserve">ADAM D. WYDEN, /s/ Adam D. </w:t>
      </w:r>
      <w:r>
        <w:rPr>
          <w:rFonts w:ascii="Times New Roman" w:cs="Times New Roman" w:eastAsia="Times New Roman" w:hAnsi="Times New Roman"/>
          <w:sz w:val="27"/>
          <w:szCs w:val="27"/>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-25400</wp:posOffset>
            </wp:positionV>
            <wp:extent cx="13608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6"/>
          <w:szCs w:val="16"/>
          <w:color w:val="0000FF"/>
        </w:rPr>
        <w:t>Wyden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-19685</wp:posOffset>
            </wp:positionV>
            <wp:extent cx="2825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82575" cy="762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-80645</wp:posOffset>
            </wp:positionV>
            <wp:extent cx="4552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1"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60" w:right="3880" w:hanging="7"/>
        <w:spacing w:after="0" w:line="316" w:lineRule="auto"/>
        <w:tabs>
          <w:tab w:leader="none" w:pos="18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40" w:top="114"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745214" TargetMode="External"/><Relationship Id="rId14" Type="http://schemas.openxmlformats.org/officeDocument/2006/relationships/hyperlink" Target="http://www.sec.gov/cgi-bin/browse-edgar?action=getcompany&amp;CIK=0001345126" TargetMode="External"/><Relationship Id="rId16" Type="http://schemas.openxmlformats.org/officeDocument/2006/relationships/hyperlink" Target="http://www.sec.gov/cgi-bin/browse-edgar?action=getcompany&amp;CIK=0001511001" TargetMode="External"/><Relationship Id="rId17" Type="http://schemas.openxmlformats.org/officeDocument/2006/relationships/hyperlink" Target="http://www.sec.gov/cgi-bin/browse-edgar?action=getcompany&amp;CIK=0001745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2026-06-02T16:37:18Z</dcterms:created>
  <dcterms:modified xsi:type="dcterms:W3CDTF">2026-06-02T16:37:18Z</dcterms:modified>
</cp:coreProperties>
</file>