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525780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91440</wp:posOffset>
            </wp:positionV>
            <wp:extent cx="22885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9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Net availability under the 2021</w:t>
      </w:r>
    </w:p>
    <w:p>
      <w:pPr>
        <w:spacing w:after="0" w:line="23" w:lineRule="exact"/>
        <w:rPr>
          <w:sz w:val="24"/>
          <w:szCs w:val="24"/>
          <w:color w:val="auto"/>
        </w:rPr>
      </w:pPr>
    </w:p>
    <w:p>
      <w:pPr>
        <w:ind w:left="344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3659505</wp:posOffset>
            </wp:positionH>
            <wp:positionV relativeFrom="paragraph">
              <wp:posOffset>-13335</wp:posOffset>
            </wp:positionV>
            <wp:extent cx="1297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730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71755</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3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DIVERSIFIED HOLDINGS</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35" w:lineRule="exact"/>
        <w:rPr>
          <w:sz w:val="24"/>
          <w:szCs w:val="24"/>
          <w:color w:val="auto"/>
        </w:rPr>
      </w:pPr>
    </w:p>
    <w:tbl>
      <w:tblPr>
        <w:tblLayout w:type="fixed"/>
        <w:tblInd w:w="1440" w:type="dxa"/>
        <w:tblCellMar>
          <w:top w:w="0" w:type="dxa"/>
          <w:left w:w="0" w:type="dxa"/>
          <w:bottom w:w="0" w:type="dxa"/>
          <w:right w:w="0" w:type="dxa"/>
        </w:tblCellMar>
      </w:tblPr>
      <w:tr>
        <w:trPr>
          <w:trHeight w:val="189"/>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Delaware</w:t>
            </w:r>
          </w:p>
        </w:tc>
        <w:tc>
          <w:tcPr>
            <w:tcW w:w="3620" w:type="dxa"/>
            <w:vAlign w:val="bottom"/>
          </w:tcPr>
          <w:p>
            <w:pPr>
              <w:jc w:val="center"/>
              <w:ind w:right="28"/>
              <w:spacing w:after="0"/>
              <w:rPr>
                <w:sz w:val="20"/>
                <w:szCs w:val="20"/>
                <w:color w:val="auto"/>
              </w:rPr>
            </w:pPr>
            <w:r>
              <w:rPr>
                <w:rFonts w:ascii="Arial" w:cs="Arial" w:eastAsia="Arial" w:hAnsi="Arial"/>
                <w:sz w:val="14"/>
                <w:szCs w:val="14"/>
                <w:b w:val="1"/>
                <w:bCs w:val="1"/>
                <w:color w:val="auto"/>
              </w:rPr>
              <w:t>001-34927</w:t>
            </w:r>
          </w:p>
        </w:tc>
        <w:tc>
          <w:tcPr>
            <w:tcW w:w="2040" w:type="dxa"/>
            <w:vAlign w:val="bottom"/>
          </w:tcPr>
          <w:p>
            <w:pPr>
              <w:jc w:val="center"/>
              <w:ind w:left="448"/>
              <w:spacing w:after="0"/>
              <w:rPr>
                <w:sz w:val="20"/>
                <w:szCs w:val="20"/>
                <w:color w:val="auto"/>
              </w:rPr>
            </w:pPr>
            <w:r>
              <w:rPr>
                <w:rFonts w:ascii="Arial" w:cs="Arial" w:eastAsia="Arial" w:hAnsi="Arial"/>
                <w:sz w:val="14"/>
                <w:szCs w:val="14"/>
                <w:b w:val="1"/>
                <w:bCs w:val="1"/>
                <w:color w:val="auto"/>
              </w:rPr>
              <w:t>57-6218917</w:t>
            </w:r>
          </w:p>
        </w:tc>
      </w:tr>
      <w:tr>
        <w:trPr>
          <w:trHeight w:val="148"/>
        </w:trPr>
        <w:tc>
          <w:tcPr>
            <w:tcW w:w="2380" w:type="dxa"/>
            <w:vAlign w:val="bottom"/>
          </w:tcPr>
          <w:p>
            <w:pPr>
              <w:jc w:val="center"/>
              <w:ind w:right="26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362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44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incorporation or organization)</w:t>
            </w:r>
          </w:p>
        </w:tc>
        <w:tc>
          <w:tcPr>
            <w:tcW w:w="3620" w:type="dxa"/>
            <w:vAlign w:val="bottom"/>
          </w:tcPr>
          <w:p>
            <w:pPr>
              <w:jc w:val="center"/>
              <w:ind w:right="8"/>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448"/>
              <w:spacing w:after="0"/>
              <w:rPr>
                <w:sz w:val="20"/>
                <w:szCs w:val="20"/>
                <w:color w:val="auto"/>
              </w:rPr>
            </w:pPr>
            <w:r>
              <w:rPr>
                <w:rFonts w:ascii="Arial" w:cs="Arial" w:eastAsia="Arial" w:hAnsi="Arial"/>
                <w:sz w:val="14"/>
                <w:szCs w:val="14"/>
                <w:b w:val="1"/>
                <w:bCs w:val="1"/>
                <w:color w:val="auto"/>
              </w:rPr>
              <w:t>identification number)</w:t>
            </w:r>
          </w:p>
        </w:tc>
      </w:tr>
      <w:tr>
        <w:trPr>
          <w:trHeight w:val="93"/>
        </w:trPr>
        <w:tc>
          <w:tcPr>
            <w:tcW w:w="2380" w:type="dxa"/>
            <w:vAlign w:val="bottom"/>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r>
    </w:tbl>
    <w:p>
      <w:pPr>
        <w:spacing w:after="0" w:line="17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GROUP DIVERSIFIED HOLDINGS LLC</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35" w:lineRule="exact"/>
        <w:rPr>
          <w:sz w:val="24"/>
          <w:szCs w:val="24"/>
          <w:color w:val="auto"/>
        </w:rPr>
      </w:pPr>
    </w:p>
    <w:tbl>
      <w:tblPr>
        <w:tblLayout w:type="fixed"/>
        <w:tblInd w:w="1440" w:type="dxa"/>
        <w:tblCellMar>
          <w:top w:w="0" w:type="dxa"/>
          <w:left w:w="0" w:type="dxa"/>
          <w:bottom w:w="0" w:type="dxa"/>
          <w:right w:w="0" w:type="dxa"/>
        </w:tblCellMar>
      </w:tblPr>
      <w:tr>
        <w:trPr>
          <w:trHeight w:val="189"/>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Delaware</w:t>
            </w:r>
          </w:p>
        </w:tc>
        <w:tc>
          <w:tcPr>
            <w:tcW w:w="2700" w:type="dxa"/>
            <w:vAlign w:val="bottom"/>
          </w:tcPr>
          <w:p>
            <w:pPr>
              <w:jc w:val="center"/>
              <w:ind w:right="68"/>
              <w:spacing w:after="0"/>
              <w:rPr>
                <w:sz w:val="20"/>
                <w:szCs w:val="20"/>
                <w:color w:val="auto"/>
              </w:rPr>
            </w:pPr>
            <w:r>
              <w:rPr>
                <w:rFonts w:ascii="Arial" w:cs="Arial" w:eastAsia="Arial" w:hAnsi="Arial"/>
                <w:sz w:val="14"/>
                <w:szCs w:val="14"/>
                <w:b w:val="1"/>
                <w:bCs w:val="1"/>
                <w:color w:val="auto"/>
              </w:rPr>
              <w:t>001-34926</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20-3812051</w:t>
            </w:r>
          </w:p>
        </w:tc>
      </w:tr>
      <w:tr>
        <w:trPr>
          <w:trHeight w:val="148"/>
        </w:trPr>
        <w:tc>
          <w:tcPr>
            <w:tcW w:w="2860" w:type="dxa"/>
            <w:vAlign w:val="bottom"/>
          </w:tcPr>
          <w:p>
            <w:pPr>
              <w:jc w:val="center"/>
              <w:ind w:right="74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2700" w:type="dxa"/>
            <w:vAlign w:val="bottom"/>
          </w:tcPr>
          <w:p>
            <w:pPr>
              <w:jc w:val="center"/>
              <w:ind w:right="68"/>
              <w:spacing w:after="0" w:line="148"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88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incorporation or organization)</w:t>
            </w:r>
          </w:p>
        </w:tc>
        <w:tc>
          <w:tcPr>
            <w:tcW w:w="2700" w:type="dxa"/>
            <w:vAlign w:val="bottom"/>
          </w:tcPr>
          <w:p>
            <w:pPr>
              <w:jc w:val="center"/>
              <w:ind w:right="48"/>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identification number)</w:t>
            </w:r>
          </w:p>
        </w:tc>
      </w:tr>
    </w:tbl>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301 Riverside Avenue, Second Floor, Westport, CT 06880</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b w:val="1"/>
          <w:bCs w:val="1"/>
          <w:color w:val="auto"/>
        </w:rPr>
        <w:t>203</w:t>
      </w:r>
      <w:r>
        <w:rPr>
          <w:rFonts w:ascii="Arial" w:cs="Arial" w:eastAsia="Arial" w:hAnsi="Arial"/>
          <w:sz w:val="18"/>
          <w:szCs w:val="18"/>
          <w:color w:val="auto"/>
        </w:rPr>
        <w:t xml:space="preserve">) </w:t>
      </w:r>
      <w:r>
        <w:rPr>
          <w:rFonts w:ascii="Arial" w:cs="Arial" w:eastAsia="Arial" w:hAnsi="Arial"/>
          <w:sz w:val="16"/>
          <w:szCs w:val="16"/>
          <w:b w:val="1"/>
          <w:bCs w:val="1"/>
          <w:color w:val="auto"/>
        </w:rPr>
        <w:t>221-1703</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86360</wp:posOffset>
            </wp:positionV>
            <wp:extent cx="228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94" w:lineRule="exact"/>
        <w:rPr>
          <w:sz w:val="24"/>
          <w:szCs w:val="24"/>
          <w:color w:val="auto"/>
        </w:rPr>
      </w:pPr>
    </w:p>
    <w:tbl>
      <w:tblPr>
        <w:tblLayout w:type="fixed"/>
        <w:tblInd w:w="70" w:type="dxa"/>
        <w:tblCellMar>
          <w:top w:w="0" w:type="dxa"/>
          <w:left w:w="0" w:type="dxa"/>
          <w:bottom w:w="0" w:type="dxa"/>
          <w:right w:w="0" w:type="dxa"/>
        </w:tblCellMar>
      </w:tblPr>
      <w:tr>
        <w:trPr>
          <w:trHeight w:val="162"/>
        </w:trPr>
        <w:tc>
          <w:tcPr>
            <w:tcW w:w="5720" w:type="dxa"/>
            <w:vAlign w:val="bottom"/>
            <w:tcBorders>
              <w:top w:val="single" w:sz="8" w:color="auto"/>
              <w:left w:val="single" w:sz="8" w:color="auto"/>
            </w:tcBorders>
            <w:vMerge w:val="restart"/>
          </w:tcPr>
          <w:p>
            <w:pPr>
              <w:ind w:left="2300"/>
              <w:spacing w:after="0"/>
              <w:rPr>
                <w:sz w:val="20"/>
                <w:szCs w:val="20"/>
                <w:color w:val="auto"/>
              </w:rPr>
            </w:pPr>
            <w:r>
              <w:rPr>
                <w:rFonts w:ascii="Arial" w:cs="Arial" w:eastAsia="Arial" w:hAnsi="Arial"/>
                <w:sz w:val="14"/>
                <w:szCs w:val="14"/>
                <w:b w:val="1"/>
                <w:bCs w:val="1"/>
                <w:color w:val="auto"/>
              </w:rPr>
              <w:t>Title of Each Class</w:t>
            </w:r>
          </w:p>
        </w:tc>
        <w:tc>
          <w:tcPr>
            <w:tcW w:w="152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Trading</w:t>
            </w:r>
          </w:p>
        </w:tc>
        <w:tc>
          <w:tcPr>
            <w:tcW w:w="3900" w:type="dxa"/>
            <w:vAlign w:val="bottom"/>
            <w:tcBorders>
              <w:top w:val="single" w:sz="8" w:color="auto"/>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6"/>
        </w:trPr>
        <w:tc>
          <w:tcPr>
            <w:tcW w:w="5720" w:type="dxa"/>
            <w:vAlign w:val="bottom"/>
            <w:tcBorders>
              <w:left w:val="single" w:sz="8" w:color="auto"/>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Symbol(s)</w:t>
            </w:r>
          </w:p>
        </w:tc>
        <w:tc>
          <w:tcPr>
            <w:tcW w:w="39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CODI</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47"/>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A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A</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66"/>
        </w:trPr>
        <w:tc>
          <w:tcPr>
            <w:tcW w:w="5720" w:type="dxa"/>
            <w:vAlign w:val="bottom"/>
            <w:tcBorders>
              <w:left w:val="single" w:sz="8" w:color="auto"/>
              <w:bottom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B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B</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66"/>
        </w:trPr>
        <w:tc>
          <w:tcPr>
            <w:tcW w:w="5720" w:type="dxa"/>
            <w:vAlign w:val="bottom"/>
            <w:tcBorders>
              <w:left w:val="single" w:sz="8" w:color="auto"/>
              <w:bottom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C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C</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66"/>
        </w:trPr>
        <w:tc>
          <w:tcPr>
            <w:tcW w:w="5720" w:type="dxa"/>
            <w:vAlign w:val="bottom"/>
            <w:tcBorders>
              <w:left w:val="single" w:sz="8" w:color="auto"/>
              <w:bottom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42" w:lineRule="exact"/>
        <w:rPr>
          <w:sz w:val="24"/>
          <w:szCs w:val="24"/>
          <w:color w:val="auto"/>
        </w:rPr>
      </w:pPr>
    </w:p>
    <w:p>
      <w:pPr>
        <w:ind w:right="260"/>
        <w:spacing w:after="0" w:line="23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96" w:lineRule="exact"/>
        <w:tabs>
          <w:tab w:leader="none" w:pos="680" w:val="left"/>
          <w:tab w:leader="none" w:pos="136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38" w:lineRule="exact"/>
        <w:rPr>
          <w:sz w:val="24"/>
          <w:szCs w:val="24"/>
          <w:color w:val="auto"/>
        </w:rPr>
      </w:pPr>
    </w:p>
    <w:p>
      <w:pPr>
        <w:ind w:right="64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94" w:lineRule="exact"/>
        <w:rPr>
          <w:sz w:val="24"/>
          <w:szCs w:val="24"/>
          <w:color w:val="auto"/>
        </w:rPr>
      </w:pPr>
    </w:p>
    <w:p>
      <w:pPr>
        <w:ind w:right="1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904" w:right="379" w:bottom="1440" w:gutter="0" w:footer="0" w:header="0"/>
        </w:sectPr>
      </w:pPr>
    </w:p>
    <w:p>
      <w:pPr>
        <w:spacing w:after="0" w:line="30"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ectPr>
          <w:pgSz w:w="11900" w:h="16838" w:orient="portrait"/>
          <w:cols w:equalWidth="0" w:num="6">
            <w:col w:w="3080" w:space="720"/>
            <w:col w:w="60" w:space="440"/>
            <w:col w:w="1760" w:space="720"/>
            <w:col w:w="140" w:space="220"/>
            <w:col w:w="1540" w:space="720"/>
            <w:col w:w="1800"/>
          </w:cols>
          <w:pgMar w:left="320" w:top="904" w:right="379" w:bottom="1440" w:gutter="0" w:footer="0" w:header="0"/>
          <w:type w:val="continuous"/>
        </w:sectPr>
      </w:pPr>
    </w:p>
    <w:p>
      <w:pPr>
        <w:spacing w:after="0" w:line="42"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18" w:lineRule="exact"/>
        <w:rPr>
          <w:sz w:val="24"/>
          <w:szCs w:val="24"/>
          <w:color w:val="auto"/>
        </w:rPr>
      </w:pPr>
    </w:p>
    <w:p>
      <w:pPr>
        <w:sectPr>
          <w:pgSz w:w="11900" w:h="16838" w:orient="portrait"/>
          <w:cols w:equalWidth="0" w:num="4">
            <w:col w:w="3080" w:space="720"/>
            <w:col w:w="160" w:space="340"/>
            <w:col w:w="1760" w:space="720"/>
            <w:col w:w="4420"/>
          </w:cols>
          <w:pgMar w:left="320" w:top="904" w:right="379" w:bottom="1440" w:gutter="0" w:footer="0" w:header="0"/>
          <w:type w:val="continuous"/>
        </w:sectPr>
      </w:pPr>
    </w:p>
    <w:p>
      <w:pPr>
        <w:ind w:right="260"/>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tabs>
          <w:tab w:leader="none" w:pos="7360" w:val="left"/>
          <w:tab w:leader="none" w:pos="8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348" w:lineRule="exact"/>
        <w:rPr>
          <w:sz w:val="24"/>
          <w:szCs w:val="24"/>
          <w:color w:val="auto"/>
        </w:rPr>
      </w:pPr>
    </w:p>
    <w:p>
      <w:pPr>
        <w:ind w:left="2060"/>
        <w:spacing w:after="0"/>
        <w:rPr>
          <w:sz w:val="20"/>
          <w:szCs w:val="20"/>
          <w:color w:val="auto"/>
        </w:rPr>
      </w:pPr>
      <w:r>
        <w:rPr>
          <w:rFonts w:ascii="Arial" w:cs="Arial" w:eastAsia="Arial" w:hAnsi="Arial"/>
          <w:sz w:val="15"/>
          <w:szCs w:val="15"/>
          <w:color w:val="auto"/>
        </w:rPr>
        <w:t>As of July 28, 2021, there were 64,900,000 Trust common shares of Compass Diversified Holdings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115570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81280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5"/>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80" w:type="dxa"/>
            <w:vAlign w:val="bottom"/>
            <w:gridSpan w:val="11"/>
          </w:tcPr>
          <w:p>
            <w:pPr>
              <w:jc w:val="center"/>
              <w:ind w:right="2500"/>
              <w:spacing w:after="0"/>
              <w:rPr>
                <w:sz w:val="20"/>
                <w:szCs w:val="20"/>
                <w:color w:val="auto"/>
              </w:rPr>
            </w:pPr>
            <w:r>
              <w:rPr>
                <w:rFonts w:ascii="Arial" w:cs="Arial" w:eastAsia="Arial" w:hAnsi="Arial"/>
                <w:sz w:val="22"/>
                <w:szCs w:val="22"/>
                <w:b w:val="1"/>
                <w:bCs w:val="1"/>
                <w:color w:val="auto"/>
                <w:w w:val="97"/>
              </w:rPr>
              <w:t>COMPASS DIVERSIFIED HOLDINGS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80" w:type="dxa"/>
            <w:vAlign w:val="bottom"/>
            <w:gridSpan w:val="11"/>
          </w:tcPr>
          <w:p>
            <w:pPr>
              <w:jc w:val="center"/>
              <w:ind w:right="2500"/>
              <w:spacing w:after="0"/>
              <w:rPr>
                <w:sz w:val="20"/>
                <w:szCs w:val="20"/>
                <w:color w:val="auto"/>
              </w:rPr>
            </w:pPr>
            <w:r>
              <w:rPr>
                <w:rFonts w:ascii="Arial" w:cs="Arial" w:eastAsia="Arial" w:hAnsi="Arial"/>
                <w:sz w:val="20"/>
                <w:szCs w:val="20"/>
                <w:b w:val="1"/>
                <w:bCs w:val="1"/>
                <w:color w:val="auto"/>
                <w:w w:val="98"/>
              </w:rPr>
              <w:t>QUARTERLY REPORT ON FORM 10-Q</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80" w:type="dxa"/>
            <w:vAlign w:val="bottom"/>
            <w:gridSpan w:val="11"/>
          </w:tcPr>
          <w:p>
            <w:pPr>
              <w:jc w:val="center"/>
              <w:ind w:right="2520"/>
              <w:spacing w:after="0"/>
              <w:rPr>
                <w:sz w:val="20"/>
                <w:szCs w:val="20"/>
                <w:color w:val="auto"/>
              </w:rPr>
            </w:pPr>
            <w:r>
              <w:rPr>
                <w:rFonts w:ascii="Arial" w:cs="Arial" w:eastAsia="Arial" w:hAnsi="Arial"/>
                <w:sz w:val="20"/>
                <w:szCs w:val="20"/>
                <w:b w:val="1"/>
                <w:bCs w:val="1"/>
                <w:color w:val="auto"/>
                <w:w w:val="99"/>
              </w:rPr>
              <w:t>For the period ended June 30, 2021</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gridSpan w:val="10"/>
          </w:tcPr>
          <w:p>
            <w:pPr>
              <w:jc w:val="center"/>
              <w:ind w:right="328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8"/>
              </w:rPr>
              <w:t>Page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176"/>
        </w:trPr>
        <w:tc>
          <w:tcPr>
            <w:tcW w:w="10200" w:type="dxa"/>
            <w:vAlign w:val="bottom"/>
            <w:gridSpan w:val="18"/>
          </w:tcPr>
          <w:p>
            <w:pPr>
              <w:spacing w:after="0" w:line="136" w:lineRule="exact"/>
              <w:rPr>
                <w:rFonts w:ascii="Arial" w:cs="Arial" w:eastAsia="Arial" w:hAnsi="Arial"/>
                <w:sz w:val="15"/>
                <w:szCs w:val="15"/>
                <w:color w:val="0000FF"/>
              </w:rPr>
            </w:pPr>
            <w:hyperlink w:anchor="page3">
              <w:r>
                <w:rPr>
                  <w:rFonts w:ascii="Arial" w:cs="Arial" w:eastAsia="Arial" w:hAnsi="Arial"/>
                  <w:sz w:val="15"/>
                  <w:szCs w:val="15"/>
                  <w:color w:val="0000FF"/>
                </w:rPr>
                <w:t>FORWARD-LOOKING STATEMENTS</w:t>
              </w:r>
            </w:hyperlink>
          </w:p>
        </w:tc>
        <w:tc>
          <w:tcPr>
            <w:tcW w:w="540" w:type="dxa"/>
            <w:vAlign w:val="bottom"/>
            <w:gridSpan w:val="2"/>
          </w:tcPr>
          <w:p>
            <w:pPr>
              <w:jc w:val="center"/>
              <w:ind w:left="375"/>
              <w:spacing w:after="0" w:line="142" w:lineRule="exact"/>
              <w:rPr>
                <w:rFonts w:ascii="Arial" w:cs="Arial" w:eastAsia="Arial" w:hAnsi="Arial"/>
                <w:sz w:val="16"/>
                <w:szCs w:val="16"/>
                <w:color w:val="0000FF"/>
                <w:w w:val="89"/>
              </w:rPr>
            </w:pPr>
            <w:hyperlink w:anchor="page3">
              <w:r>
                <w:rPr>
                  <w:rFonts w:ascii="Arial" w:cs="Arial" w:eastAsia="Arial" w:hAnsi="Arial"/>
                  <w:sz w:val="16"/>
                  <w:szCs w:val="16"/>
                  <w:color w:val="0000FF"/>
                  <w:w w:val="89"/>
                </w:rPr>
                <w:t>4</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2880" w:type="dxa"/>
            <w:vAlign w:val="bottom"/>
            <w:tcBorders>
              <w:top w:val="single" w:sz="8" w:color="0000FF"/>
            </w:tcBorders>
            <w:gridSpan w:val="5"/>
          </w:tcPr>
          <w:p>
            <w:pPr>
              <w:spacing w:after="0"/>
              <w:rPr>
                <w:sz w:val="20"/>
                <w:szCs w:val="20"/>
                <w:color w:val="auto"/>
              </w:rPr>
            </w:pPr>
            <w:r>
              <w:rPr>
                <w:rFonts w:ascii="Arial" w:cs="Arial" w:eastAsia="Arial" w:hAnsi="Arial"/>
                <w:sz w:val="17"/>
                <w:szCs w:val="17"/>
                <w:b w:val="1"/>
                <w:bCs w:val="1"/>
                <w:color w:val="auto"/>
              </w:rPr>
              <w:t>PART I. FINANCIAL INFORMATION</w:t>
            </w:r>
          </w:p>
        </w:tc>
        <w:tc>
          <w:tcPr>
            <w:tcW w:w="732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660" w:type="dxa"/>
            <w:vAlign w:val="bottom"/>
            <w:gridSpan w:val="2"/>
          </w:tcPr>
          <w:p>
            <w:pPr>
              <w:spacing w:after="0" w:line="180" w:lineRule="exact"/>
              <w:rPr>
                <w:sz w:val="20"/>
                <w:szCs w:val="20"/>
                <w:color w:val="auto"/>
              </w:rPr>
            </w:pPr>
            <w:r>
              <w:rPr>
                <w:rFonts w:ascii="Arial" w:cs="Arial" w:eastAsia="Arial" w:hAnsi="Arial"/>
                <w:sz w:val="17"/>
                <w:szCs w:val="17"/>
                <w:color w:val="auto"/>
              </w:rPr>
              <w:t>ITEM 1.</w:t>
            </w:r>
          </w:p>
        </w:tc>
        <w:tc>
          <w:tcPr>
            <w:tcW w:w="8540" w:type="dxa"/>
            <w:vAlign w:val="bottom"/>
            <w:gridSpan w:val="16"/>
          </w:tcPr>
          <w:p>
            <w:pPr>
              <w:spacing w:after="0" w:line="180" w:lineRule="exact"/>
              <w:rPr>
                <w:rFonts w:ascii="Arial" w:cs="Arial" w:eastAsia="Arial" w:hAnsi="Arial"/>
                <w:sz w:val="17"/>
                <w:szCs w:val="17"/>
                <w:color w:val="0000FF"/>
              </w:rPr>
            </w:pPr>
            <w:hyperlink w:anchor="page5">
              <w:r>
                <w:rPr>
                  <w:rFonts w:ascii="Arial" w:cs="Arial" w:eastAsia="Arial" w:hAnsi="Arial"/>
                  <w:sz w:val="17"/>
                  <w:szCs w:val="17"/>
                  <w:color w:val="0000FF"/>
                </w:rPr>
                <w:t>FINANCIAL STATEMENTS (UNAUDITED)</w:t>
              </w:r>
            </w:hyperlink>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60" w:type="dxa"/>
            <w:vAlign w:val="bottom"/>
            <w:gridSpan w:val="8"/>
          </w:tcPr>
          <w:p>
            <w:pPr>
              <w:spacing w:after="0"/>
              <w:rPr>
                <w:rFonts w:ascii="Arial" w:cs="Arial" w:eastAsia="Arial" w:hAnsi="Arial"/>
                <w:sz w:val="17"/>
                <w:szCs w:val="17"/>
                <w:color w:val="0000FF"/>
                <w:w w:val="99"/>
              </w:rPr>
            </w:pPr>
            <w:hyperlink w:anchor="page6">
              <w:r>
                <w:rPr>
                  <w:rFonts w:ascii="Arial" w:cs="Arial" w:eastAsia="Arial" w:hAnsi="Arial"/>
                  <w:sz w:val="17"/>
                  <w:szCs w:val="17"/>
                  <w:color w:val="0000FF"/>
                  <w:w w:val="99"/>
                </w:rPr>
                <w:t>CONDENSED CONSOLIDATED BALANCE SHEETS</w:t>
              </w:r>
            </w:hyperlink>
          </w:p>
        </w:tc>
        <w:tc>
          <w:tcPr>
            <w:tcW w:w="4480" w:type="dxa"/>
            <w:vAlign w:val="bottom"/>
            <w:gridSpan w:val="8"/>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6</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00" w:type="dxa"/>
            <w:vAlign w:val="bottom"/>
            <w:gridSpan w:val="9"/>
          </w:tcPr>
          <w:p>
            <w:pPr>
              <w:spacing w:after="0"/>
              <w:rPr>
                <w:rFonts w:ascii="Arial" w:cs="Arial" w:eastAsia="Arial" w:hAnsi="Arial"/>
                <w:sz w:val="17"/>
                <w:szCs w:val="17"/>
                <w:color w:val="0000FF"/>
                <w:w w:val="99"/>
              </w:rPr>
            </w:pPr>
            <w:hyperlink w:anchor="page6">
              <w:r>
                <w:rPr>
                  <w:rFonts w:ascii="Arial" w:cs="Arial" w:eastAsia="Arial" w:hAnsi="Arial"/>
                  <w:sz w:val="17"/>
                  <w:szCs w:val="17"/>
                  <w:color w:val="0000FF"/>
                  <w:w w:val="99"/>
                </w:rPr>
                <w:t>CONDENSED CONSOLIDATED STATEMENTS OF OPERATIONS</w:t>
              </w:r>
            </w:hyperlink>
          </w:p>
        </w:tc>
        <w:tc>
          <w:tcPr>
            <w:tcW w:w="3440" w:type="dxa"/>
            <w:vAlign w:val="bottom"/>
            <w:gridSpan w:val="7"/>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7</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40" w:type="dxa"/>
            <w:vAlign w:val="bottom"/>
            <w:gridSpan w:val="14"/>
          </w:tcPr>
          <w:p>
            <w:pPr>
              <w:spacing w:after="0"/>
              <w:rPr>
                <w:rFonts w:ascii="Arial" w:cs="Arial" w:eastAsia="Arial" w:hAnsi="Arial"/>
                <w:sz w:val="17"/>
                <w:szCs w:val="17"/>
                <w:color w:val="0000FF"/>
                <w:w w:val="99"/>
              </w:rPr>
            </w:pPr>
            <w:hyperlink w:anchor="page7">
              <w:r>
                <w:rPr>
                  <w:rFonts w:ascii="Arial" w:cs="Arial" w:eastAsia="Arial" w:hAnsi="Arial"/>
                  <w:sz w:val="17"/>
                  <w:szCs w:val="17"/>
                  <w:color w:val="0000FF"/>
                  <w:w w:val="99"/>
                </w:rPr>
                <w:t>CONDENSED CONSOLIDATED STATEMENTS OF COMPREHENSIVE INCOME (LOSS)</w:t>
              </w:r>
            </w:hyperlink>
          </w:p>
        </w:tc>
        <w:tc>
          <w:tcPr>
            <w:tcW w:w="1700" w:type="dxa"/>
            <w:vAlign w:val="bottom"/>
            <w:gridSpan w:val="2"/>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7">
              <w:r>
                <w:rPr>
                  <w:rFonts w:ascii="Arial" w:cs="Arial" w:eastAsia="Arial" w:hAnsi="Arial"/>
                  <w:sz w:val="17"/>
                  <w:szCs w:val="17"/>
                  <w:color w:val="0000FF"/>
                  <w:w w:val="84"/>
                </w:rPr>
                <w:t>8</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gridSpan w:val="13"/>
          </w:tcPr>
          <w:p>
            <w:pPr>
              <w:spacing w:after="0"/>
              <w:rPr>
                <w:rFonts w:ascii="Arial" w:cs="Arial" w:eastAsia="Arial" w:hAnsi="Arial"/>
                <w:sz w:val="17"/>
                <w:szCs w:val="17"/>
                <w:color w:val="0000FF"/>
                <w:w w:val="99"/>
              </w:rPr>
            </w:pPr>
            <w:hyperlink w:anchor="page8">
              <w:r>
                <w:rPr>
                  <w:rFonts w:ascii="Arial" w:cs="Arial" w:eastAsia="Arial" w:hAnsi="Arial"/>
                  <w:sz w:val="17"/>
                  <w:szCs w:val="17"/>
                  <w:color w:val="0000FF"/>
                  <w:w w:val="99"/>
                </w:rPr>
                <w:t>CONDENSED CONSOLIDATED STATEMENTS OF STOCKHOLDERS' EQUITY</w:t>
              </w:r>
            </w:hyperlink>
          </w:p>
        </w:tc>
        <w:tc>
          <w:tcPr>
            <w:tcW w:w="720" w:type="dxa"/>
            <w:vAlign w:val="bottom"/>
          </w:tcPr>
          <w:p>
            <w:pPr>
              <w:spacing w:after="0"/>
              <w:rPr>
                <w:sz w:val="17"/>
                <w:szCs w:val="17"/>
                <w:color w:val="auto"/>
              </w:rPr>
            </w:pPr>
          </w:p>
        </w:tc>
        <w:tc>
          <w:tcPr>
            <w:tcW w:w="1700" w:type="dxa"/>
            <w:vAlign w:val="bottom"/>
            <w:gridSpan w:val="2"/>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8">
              <w:r>
                <w:rPr>
                  <w:rFonts w:ascii="Arial" w:cs="Arial" w:eastAsia="Arial" w:hAnsi="Arial"/>
                  <w:sz w:val="17"/>
                  <w:szCs w:val="17"/>
                  <w:color w:val="0000FF"/>
                  <w:w w:val="84"/>
                </w:rPr>
                <w:t>9</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20" w:type="dxa"/>
            <w:vAlign w:val="bottom"/>
            <w:tcBorders>
              <w:bottom w:val="single" w:sz="8" w:color="0000FF"/>
            </w:tcBorders>
            <w:gridSpan w:val="10"/>
          </w:tcPr>
          <w:p>
            <w:pPr>
              <w:spacing w:after="0"/>
              <w:rPr>
                <w:rFonts w:ascii="Arial" w:cs="Arial" w:eastAsia="Arial" w:hAnsi="Arial"/>
                <w:sz w:val="17"/>
                <w:szCs w:val="17"/>
                <w:color w:val="0000FF"/>
                <w:w w:val="99"/>
              </w:rPr>
            </w:pPr>
            <w:hyperlink w:anchor="page10">
              <w:r>
                <w:rPr>
                  <w:rFonts w:ascii="Arial" w:cs="Arial" w:eastAsia="Arial" w:hAnsi="Arial"/>
                  <w:sz w:val="17"/>
                  <w:szCs w:val="17"/>
                  <w:color w:val="0000FF"/>
                  <w:w w:val="99"/>
                </w:rPr>
                <w:t>CONDENSED CONSOLIDATED STATEMENTS OF CASH FLOWS</w:t>
              </w:r>
            </w:hyperlink>
          </w:p>
        </w:tc>
        <w:tc>
          <w:tcPr>
            <w:tcW w:w="1000" w:type="dxa"/>
            <w:vAlign w:val="bottom"/>
            <w:gridSpan w:val="3"/>
          </w:tcPr>
          <w:p>
            <w:pPr>
              <w:spacing w:after="0"/>
              <w:rPr>
                <w:sz w:val="17"/>
                <w:szCs w:val="17"/>
                <w:color w:val="auto"/>
              </w:rPr>
            </w:pPr>
          </w:p>
        </w:tc>
        <w:tc>
          <w:tcPr>
            <w:tcW w:w="242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10">
              <w:r>
                <w:rPr>
                  <w:rFonts w:ascii="Arial" w:cs="Arial" w:eastAsia="Arial" w:hAnsi="Arial"/>
                  <w:sz w:val="17"/>
                  <w:szCs w:val="17"/>
                  <w:color w:val="0000FF"/>
                  <w:w w:val="73"/>
                </w:rPr>
                <w:t>11</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40" w:type="dxa"/>
            <w:vAlign w:val="bottom"/>
            <w:gridSpan w:val="16"/>
          </w:tcPr>
          <w:p>
            <w:pPr>
              <w:spacing w:after="0"/>
              <w:rPr>
                <w:rFonts w:ascii="Arial" w:cs="Arial" w:eastAsia="Arial" w:hAnsi="Arial"/>
                <w:sz w:val="17"/>
                <w:szCs w:val="17"/>
                <w:color w:val="0000FF"/>
              </w:rPr>
            </w:pPr>
            <w:hyperlink w:anchor="page11">
              <w:r>
                <w:rPr>
                  <w:rFonts w:ascii="Arial" w:cs="Arial" w:eastAsia="Arial" w:hAnsi="Arial"/>
                  <w:sz w:val="17"/>
                  <w:szCs w:val="17"/>
                  <w:color w:val="0000FF"/>
                </w:rPr>
                <w:t>NOTES TO CONDENSED CONSOLIDATED FINANCIAL STATEMENTS</w:t>
              </w:r>
            </w:hyperlink>
          </w:p>
        </w:tc>
        <w:tc>
          <w:tcPr>
            <w:tcW w:w="540" w:type="dxa"/>
            <w:vAlign w:val="bottom"/>
            <w:gridSpan w:val="2"/>
          </w:tcPr>
          <w:p>
            <w:pPr>
              <w:jc w:val="center"/>
              <w:ind w:left="255"/>
              <w:spacing w:after="0"/>
              <w:rPr>
                <w:rFonts w:ascii="Arial" w:cs="Arial" w:eastAsia="Arial" w:hAnsi="Arial"/>
                <w:sz w:val="17"/>
                <w:szCs w:val="17"/>
                <w:color w:val="0000FF"/>
              </w:rPr>
            </w:pPr>
            <w:hyperlink w:anchor="page11">
              <w:r>
                <w:rPr>
                  <w:rFonts w:ascii="Arial" w:cs="Arial" w:eastAsia="Arial" w:hAnsi="Arial"/>
                  <w:sz w:val="17"/>
                  <w:szCs w:val="17"/>
                  <w:color w:val="0000FF"/>
                </w:rPr>
                <w:t>12</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60" w:type="dxa"/>
            <w:vAlign w:val="bottom"/>
            <w:gridSpan w:val="2"/>
          </w:tcPr>
          <w:p>
            <w:pPr>
              <w:spacing w:after="0"/>
              <w:rPr>
                <w:sz w:val="20"/>
                <w:szCs w:val="20"/>
                <w:color w:val="auto"/>
              </w:rPr>
            </w:pPr>
            <w:r>
              <w:rPr>
                <w:rFonts w:ascii="Arial" w:cs="Arial" w:eastAsia="Arial" w:hAnsi="Arial"/>
                <w:sz w:val="17"/>
                <w:szCs w:val="17"/>
                <w:color w:val="auto"/>
              </w:rPr>
              <w:t>ITEM 2.</w:t>
            </w:r>
          </w:p>
        </w:tc>
        <w:tc>
          <w:tcPr>
            <w:tcW w:w="7520" w:type="dxa"/>
            <w:vAlign w:val="bottom"/>
            <w:tcBorders>
              <w:bottom w:val="single" w:sz="8" w:color="0000FF"/>
            </w:tcBorders>
            <w:gridSpan w:val="15"/>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MANAGEMENT'S DISCUSSION AND ANALYSIS OF FINANCIAL CONDITION AND RESULTS OF</w:t>
              </w:r>
            </w:hyperlink>
          </w:p>
        </w:tc>
        <w:tc>
          <w:tcPr>
            <w:tcW w:w="1020" w:type="dxa"/>
            <w:vAlign w:val="bottom"/>
          </w:tcPr>
          <w:p>
            <w:pPr>
              <w:spacing w:after="0"/>
              <w:rPr>
                <w:sz w:val="24"/>
                <w:szCs w:val="24"/>
                <w:color w:val="auto"/>
              </w:rPr>
            </w:pPr>
          </w:p>
        </w:tc>
        <w:tc>
          <w:tcPr>
            <w:tcW w:w="540" w:type="dxa"/>
            <w:vAlign w:val="bottom"/>
            <w:gridSpan w:val="2"/>
            <w:vMerge w:val="restart"/>
          </w:tcPr>
          <w:p>
            <w:pPr>
              <w:jc w:val="center"/>
              <w:ind w:left="255"/>
              <w:spacing w:after="0"/>
              <w:rPr>
                <w:rFonts w:ascii="Arial" w:cs="Arial" w:eastAsia="Arial" w:hAnsi="Arial"/>
                <w:sz w:val="17"/>
                <w:szCs w:val="17"/>
                <w:color w:val="0000FF"/>
              </w:rPr>
            </w:pPr>
            <w:hyperlink w:anchor="page36">
              <w:r>
                <w:rPr>
                  <w:rFonts w:ascii="Arial" w:cs="Arial" w:eastAsia="Arial" w:hAnsi="Arial"/>
                  <w:sz w:val="17"/>
                  <w:szCs w:val="17"/>
                  <w:color w:val="0000FF"/>
                </w:rPr>
                <w:t>37</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gridSpan w:val="2"/>
            <w:vMerge w:val="restart"/>
          </w:tcPr>
          <w:p>
            <w:pPr>
              <w:spacing w:after="0" w:line="142" w:lineRule="exact"/>
              <w:rPr>
                <w:rFonts w:ascii="Arial" w:cs="Arial" w:eastAsia="Arial" w:hAnsi="Arial"/>
                <w:sz w:val="16"/>
                <w:szCs w:val="16"/>
                <w:color w:val="0000FF"/>
              </w:rPr>
            </w:pPr>
            <w:hyperlink w:anchor="page36">
              <w:r>
                <w:rPr>
                  <w:rFonts w:ascii="Arial" w:cs="Arial" w:eastAsia="Arial" w:hAnsi="Arial"/>
                  <w:sz w:val="16"/>
                  <w:szCs w:val="16"/>
                  <w:color w:val="0000FF"/>
                </w:rPr>
                <w:t>OPERATIONS</w:t>
              </w:r>
            </w:hyperlink>
          </w:p>
        </w:tc>
        <w:tc>
          <w:tcPr>
            <w:tcW w:w="7420" w:type="dxa"/>
            <w:vAlign w:val="bottom"/>
            <w:gridSpan w:val="14"/>
            <w:vMerge w:val="restart"/>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tcBorders>
              <w:bottom w:val="single" w:sz="8" w:color="0000FF"/>
            </w:tcBorders>
            <w:gridSpan w:val="2"/>
            <w:vMerge w:val="continue"/>
          </w:tcPr>
          <w:p>
            <w:pPr>
              <w:spacing w:after="0"/>
              <w:rPr>
                <w:sz w:val="5"/>
                <w:szCs w:val="5"/>
                <w:color w:val="auto"/>
              </w:rPr>
            </w:pPr>
          </w:p>
        </w:tc>
        <w:tc>
          <w:tcPr>
            <w:tcW w:w="7420" w:type="dxa"/>
            <w:vAlign w:val="bottom"/>
            <w:gridSpan w:val="14"/>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60" w:type="dxa"/>
            <w:vAlign w:val="bottom"/>
            <w:gridSpan w:val="2"/>
          </w:tcPr>
          <w:p>
            <w:pPr>
              <w:spacing w:after="0"/>
              <w:rPr>
                <w:sz w:val="20"/>
                <w:szCs w:val="20"/>
                <w:color w:val="auto"/>
              </w:rPr>
            </w:pPr>
            <w:r>
              <w:rPr>
                <w:rFonts w:ascii="Arial" w:cs="Arial" w:eastAsia="Arial" w:hAnsi="Arial"/>
                <w:sz w:val="17"/>
                <w:szCs w:val="17"/>
                <w:color w:val="auto"/>
              </w:rPr>
              <w:t>ITEM 3.</w:t>
            </w:r>
          </w:p>
        </w:tc>
        <w:tc>
          <w:tcPr>
            <w:tcW w:w="5880" w:type="dxa"/>
            <w:vAlign w:val="bottom"/>
            <w:tcBorders>
              <w:bottom w:val="single" w:sz="8" w:color="0000FF"/>
            </w:tcBorders>
            <w:gridSpan w:val="12"/>
          </w:tcPr>
          <w:p>
            <w:pPr>
              <w:spacing w:after="0"/>
              <w:rPr>
                <w:rFonts w:ascii="Arial" w:cs="Arial" w:eastAsia="Arial" w:hAnsi="Arial"/>
                <w:sz w:val="17"/>
                <w:szCs w:val="17"/>
                <w:color w:val="0000FF"/>
                <w:w w:val="99"/>
              </w:rPr>
            </w:pPr>
            <w:hyperlink w:anchor="page68">
              <w:r>
                <w:rPr>
                  <w:rFonts w:ascii="Arial" w:cs="Arial" w:eastAsia="Arial" w:hAnsi="Arial"/>
                  <w:sz w:val="17"/>
                  <w:szCs w:val="17"/>
                  <w:color w:val="0000FF"/>
                  <w:w w:val="99"/>
                </w:rPr>
                <w:t>QUANTITATIVE AND QUALITATIVE DISCLOSURES ABOUT MARKET RISK</w:t>
              </w:r>
            </w:hyperlink>
          </w:p>
        </w:tc>
        <w:tc>
          <w:tcPr>
            <w:tcW w:w="266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68">
              <w:r>
                <w:rPr>
                  <w:rFonts w:ascii="Arial" w:cs="Arial" w:eastAsia="Arial" w:hAnsi="Arial"/>
                  <w:sz w:val="17"/>
                  <w:szCs w:val="17"/>
                  <w:color w:val="0000FF"/>
                  <w:w w:val="73"/>
                </w:rPr>
                <w:t>68</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sz w:val="20"/>
                <w:szCs w:val="20"/>
                <w:color w:val="auto"/>
              </w:rPr>
            </w:pPr>
            <w:r>
              <w:rPr>
                <w:rFonts w:ascii="Arial" w:cs="Arial" w:eastAsia="Arial" w:hAnsi="Arial"/>
                <w:sz w:val="17"/>
                <w:szCs w:val="17"/>
                <w:color w:val="auto"/>
              </w:rPr>
              <w:t>ITEM 4.</w:t>
            </w:r>
          </w:p>
        </w:tc>
        <w:tc>
          <w:tcPr>
            <w:tcW w:w="2620" w:type="dxa"/>
            <w:vAlign w:val="bottom"/>
            <w:tcBorders>
              <w:bottom w:val="single" w:sz="8" w:color="0000FF"/>
            </w:tcBorders>
            <w:gridSpan w:val="6"/>
          </w:tcPr>
          <w:p>
            <w:pPr>
              <w:spacing w:after="0"/>
              <w:rPr>
                <w:rFonts w:ascii="Arial" w:cs="Arial" w:eastAsia="Arial" w:hAnsi="Arial"/>
                <w:sz w:val="17"/>
                <w:szCs w:val="17"/>
                <w:color w:val="0000FF"/>
              </w:rPr>
            </w:pPr>
            <w:hyperlink w:anchor="page68">
              <w:r>
                <w:rPr>
                  <w:rFonts w:ascii="Arial" w:cs="Arial" w:eastAsia="Arial" w:hAnsi="Arial"/>
                  <w:sz w:val="17"/>
                  <w:szCs w:val="17"/>
                  <w:color w:val="0000FF"/>
                </w:rPr>
                <w:t>CONTROLS AND PROCEDURES</w:t>
              </w:r>
            </w:hyperlink>
          </w:p>
        </w:tc>
        <w:tc>
          <w:tcPr>
            <w:tcW w:w="5920" w:type="dxa"/>
            <w:vAlign w:val="bottom"/>
            <w:gridSpan w:val="10"/>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68">
              <w:r>
                <w:rPr>
                  <w:rFonts w:ascii="Arial" w:cs="Arial" w:eastAsia="Arial" w:hAnsi="Arial"/>
                  <w:sz w:val="17"/>
                  <w:szCs w:val="17"/>
                  <w:color w:val="0000FF"/>
                  <w:w w:val="73"/>
                </w:rPr>
                <w:t>68</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10200" w:type="dxa"/>
            <w:vAlign w:val="bottom"/>
            <w:gridSpan w:val="18"/>
          </w:tcPr>
          <w:p>
            <w:pPr>
              <w:spacing w:after="0"/>
              <w:rPr>
                <w:sz w:val="20"/>
                <w:szCs w:val="20"/>
                <w:color w:val="auto"/>
              </w:rPr>
            </w:pPr>
            <w:r>
              <w:rPr>
                <w:rFonts w:ascii="Arial" w:cs="Arial" w:eastAsia="Arial" w:hAnsi="Arial"/>
                <w:sz w:val="17"/>
                <w:szCs w:val="17"/>
                <w:b w:val="1"/>
                <w:bCs w:val="1"/>
                <w:color w:val="auto"/>
              </w:rPr>
              <w:t>PART II. OTHER INFORMATION</w:t>
            </w:r>
          </w:p>
        </w:tc>
        <w:tc>
          <w:tcPr>
            <w:tcW w:w="46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69">
              <w:r>
                <w:rPr>
                  <w:rFonts w:ascii="Arial" w:cs="Arial" w:eastAsia="Arial" w:hAnsi="Arial"/>
                  <w:sz w:val="17"/>
                  <w:szCs w:val="17"/>
                  <w:color w:val="0000FF"/>
                  <w:w w:val="73"/>
                </w:rPr>
                <w:t>70</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60" w:type="dxa"/>
            <w:vAlign w:val="bottom"/>
            <w:gridSpan w:val="2"/>
          </w:tcPr>
          <w:p>
            <w:pPr>
              <w:spacing w:after="0"/>
              <w:rPr>
                <w:sz w:val="20"/>
                <w:szCs w:val="20"/>
                <w:color w:val="auto"/>
              </w:rPr>
            </w:pPr>
            <w:r>
              <w:rPr>
                <w:rFonts w:ascii="Arial" w:cs="Arial" w:eastAsia="Arial" w:hAnsi="Arial"/>
                <w:sz w:val="17"/>
                <w:szCs w:val="17"/>
                <w:color w:val="auto"/>
              </w:rPr>
              <w:t>ITEM 1.</w:t>
            </w:r>
          </w:p>
        </w:tc>
        <w:tc>
          <w:tcPr>
            <w:tcW w:w="8540" w:type="dxa"/>
            <w:vAlign w:val="bottom"/>
            <w:gridSpan w:val="16"/>
          </w:tcPr>
          <w:p>
            <w:pPr>
              <w:spacing w:after="0"/>
              <w:rPr>
                <w:rFonts w:ascii="Arial" w:cs="Arial" w:eastAsia="Arial" w:hAnsi="Arial"/>
                <w:sz w:val="17"/>
                <w:szCs w:val="17"/>
                <w:color w:val="0000FF"/>
              </w:rPr>
            </w:pPr>
            <w:hyperlink w:anchor="page70">
              <w:r>
                <w:rPr>
                  <w:rFonts w:ascii="Arial" w:cs="Arial" w:eastAsia="Arial" w:hAnsi="Arial"/>
                  <w:sz w:val="17"/>
                  <w:szCs w:val="17"/>
                  <w:color w:val="0000FF"/>
                </w:rPr>
                <w:t>LEGAL PROCEEDINGS</w:t>
              </w:r>
            </w:hyperlink>
          </w:p>
        </w:tc>
        <w:tc>
          <w:tcPr>
            <w:tcW w:w="540" w:type="dxa"/>
            <w:vAlign w:val="bottom"/>
            <w:gridSpan w:val="2"/>
          </w:tcPr>
          <w:p>
            <w:pPr>
              <w:jc w:val="center"/>
              <w:ind w:left="255"/>
              <w:spacing w:after="0"/>
              <w:rPr>
                <w:rFonts w:ascii="Arial" w:cs="Arial" w:eastAsia="Arial" w:hAnsi="Arial"/>
                <w:sz w:val="17"/>
                <w:szCs w:val="17"/>
                <w:color w:val="0000FF"/>
              </w:rPr>
            </w:pPr>
            <w:hyperlink w:anchor="page70">
              <w:r>
                <w:rPr>
                  <w:rFonts w:ascii="Arial" w:cs="Arial" w:eastAsia="Arial" w:hAnsi="Arial"/>
                  <w:sz w:val="17"/>
                  <w:szCs w:val="17"/>
                  <w:color w:val="0000FF"/>
                </w:rPr>
                <w:t>70</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1260" w:type="dxa"/>
            <w:vAlign w:val="bottom"/>
            <w:tcBorders>
              <w:top w:val="single" w:sz="8" w:color="0000FF"/>
              <w:bottom w:val="single" w:sz="8" w:color="0000FF"/>
            </w:tcBorders>
            <w:gridSpan w:val="4"/>
          </w:tcPr>
          <w:p>
            <w:pPr>
              <w:spacing w:after="0"/>
              <w:rPr>
                <w:rFonts w:ascii="Arial" w:cs="Arial" w:eastAsia="Arial" w:hAnsi="Arial"/>
                <w:sz w:val="17"/>
                <w:szCs w:val="17"/>
                <w:color w:val="0000FF"/>
                <w:w w:val="98"/>
              </w:rPr>
            </w:pPr>
            <w:hyperlink w:anchor="page70">
              <w:r>
                <w:rPr>
                  <w:rFonts w:ascii="Arial" w:cs="Arial" w:eastAsia="Arial" w:hAnsi="Arial"/>
                  <w:sz w:val="17"/>
                  <w:szCs w:val="17"/>
                  <w:color w:val="0000FF"/>
                  <w:w w:val="98"/>
                </w:rPr>
                <w:t>RISK FACTORS</w:t>
              </w:r>
            </w:hyperlink>
          </w:p>
        </w:tc>
        <w:tc>
          <w:tcPr>
            <w:tcW w:w="600" w:type="dxa"/>
            <w:vAlign w:val="bottom"/>
            <w:tcBorders>
              <w:top w:val="single" w:sz="8" w:color="0000FF"/>
            </w:tcBorders>
          </w:tcPr>
          <w:p>
            <w:pPr>
              <w:spacing w:after="0"/>
              <w:rPr>
                <w:sz w:val="21"/>
                <w:szCs w:val="21"/>
                <w:color w:val="auto"/>
              </w:rPr>
            </w:pPr>
          </w:p>
        </w:tc>
        <w:tc>
          <w:tcPr>
            <w:tcW w:w="6680" w:type="dxa"/>
            <w:vAlign w:val="bottom"/>
            <w:gridSpan w:val="11"/>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7"/>
                <w:szCs w:val="17"/>
                <w:color w:val="0000FF"/>
                <w:w w:val="73"/>
              </w:rPr>
            </w:pPr>
            <w:hyperlink w:anchor="page70">
              <w:r>
                <w:rPr>
                  <w:rFonts w:ascii="Arial" w:cs="Arial" w:eastAsia="Arial" w:hAnsi="Arial"/>
                  <w:sz w:val="17"/>
                  <w:szCs w:val="17"/>
                  <w:color w:val="0000FF"/>
                  <w:w w:val="73"/>
                </w:rPr>
                <w:t>70</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sz w:val="20"/>
                <w:szCs w:val="20"/>
                <w:color w:val="auto"/>
              </w:rPr>
            </w:pPr>
            <w:r>
              <w:rPr>
                <w:rFonts w:ascii="Arial" w:cs="Arial" w:eastAsia="Arial" w:hAnsi="Arial"/>
                <w:sz w:val="17"/>
                <w:szCs w:val="17"/>
                <w:color w:val="auto"/>
              </w:rPr>
              <w:t>ITEM 6.</w:t>
            </w:r>
          </w:p>
        </w:tc>
        <w:tc>
          <w:tcPr>
            <w:tcW w:w="8540" w:type="dxa"/>
            <w:vAlign w:val="bottom"/>
            <w:gridSpan w:val="16"/>
          </w:tcPr>
          <w:p>
            <w:pPr>
              <w:spacing w:after="0"/>
              <w:rPr>
                <w:rFonts w:ascii="Arial" w:cs="Arial" w:eastAsia="Arial" w:hAnsi="Arial"/>
                <w:sz w:val="17"/>
                <w:szCs w:val="17"/>
                <w:color w:val="0000FF"/>
              </w:rPr>
            </w:pPr>
            <w:hyperlink w:anchor="page70">
              <w:r>
                <w:rPr>
                  <w:rFonts w:ascii="Arial" w:cs="Arial" w:eastAsia="Arial" w:hAnsi="Arial"/>
                  <w:sz w:val="17"/>
                  <w:szCs w:val="17"/>
                  <w:color w:val="0000FF"/>
                </w:rPr>
                <w:t>EXHIBITS</w:t>
              </w:r>
            </w:hyperlink>
          </w:p>
        </w:tc>
        <w:tc>
          <w:tcPr>
            <w:tcW w:w="540" w:type="dxa"/>
            <w:vAlign w:val="bottom"/>
            <w:gridSpan w:val="2"/>
          </w:tcPr>
          <w:p>
            <w:pPr>
              <w:jc w:val="center"/>
              <w:ind w:left="255"/>
              <w:spacing w:after="0"/>
              <w:rPr>
                <w:rFonts w:ascii="Arial" w:cs="Arial" w:eastAsia="Arial" w:hAnsi="Arial"/>
                <w:sz w:val="17"/>
                <w:szCs w:val="17"/>
                <w:color w:val="0000FF"/>
              </w:rPr>
            </w:pPr>
            <w:hyperlink w:anchor="page70">
              <w:r>
                <w:rPr>
                  <w:rFonts w:ascii="Arial" w:cs="Arial" w:eastAsia="Arial" w:hAnsi="Arial"/>
                  <w:sz w:val="17"/>
                  <w:szCs w:val="17"/>
                  <w:color w:val="0000FF"/>
                </w:rPr>
                <w:t>71</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rFonts w:ascii="Arial" w:cs="Arial" w:eastAsia="Arial" w:hAnsi="Arial"/>
                <w:sz w:val="17"/>
                <w:szCs w:val="17"/>
                <w:color w:val="0000FF"/>
              </w:rPr>
            </w:pPr>
            <w:hyperlink w:anchor="page71">
              <w:r>
                <w:rPr>
                  <w:rFonts w:ascii="Arial" w:cs="Arial" w:eastAsia="Arial" w:hAnsi="Arial"/>
                  <w:sz w:val="17"/>
                  <w:szCs w:val="17"/>
                  <w:color w:val="0000FF"/>
                </w:rPr>
                <w:t>SIGNATURES</w:t>
              </w:r>
            </w:hyperlink>
          </w:p>
        </w:tc>
        <w:tc>
          <w:tcPr>
            <w:tcW w:w="7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Borders>
              <w:top w:val="single" w:sz="8" w:color="0000FF"/>
            </w:tcBorders>
          </w:tcPr>
          <w:p>
            <w:pPr>
              <w:jc w:val="center"/>
              <w:spacing w:after="0"/>
              <w:rPr>
                <w:rFonts w:ascii="Arial" w:cs="Arial" w:eastAsia="Arial" w:hAnsi="Arial"/>
                <w:sz w:val="17"/>
                <w:szCs w:val="17"/>
                <w:color w:val="0000FF"/>
                <w:w w:val="73"/>
              </w:rPr>
            </w:pPr>
            <w:hyperlink w:anchor="page71">
              <w:r>
                <w:rPr>
                  <w:rFonts w:ascii="Arial" w:cs="Arial" w:eastAsia="Arial" w:hAnsi="Arial"/>
                  <w:sz w:val="17"/>
                  <w:szCs w:val="17"/>
                  <w:color w:val="0000FF"/>
                  <w:w w:val="73"/>
                </w:rPr>
                <w:t>72</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TO READER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In reading this Quarterly Report on Form 10-Q, references to:</w:t>
      </w:r>
    </w:p>
    <w:p>
      <w:pPr>
        <w:spacing w:after="0" w:line="7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and "Holdings" refer to Compass Diversified Holdings;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 to Compass Group Diversified Holdings LLC;</w:t>
      </w:r>
    </w:p>
    <w:p>
      <w:pPr>
        <w:spacing w:after="0" w:line="76" w:lineRule="exact"/>
        <w:rPr>
          <w:rFonts w:ascii="Arial" w:cs="Arial" w:eastAsia="Arial" w:hAnsi="Arial"/>
          <w:sz w:val="18"/>
          <w:szCs w:val="18"/>
          <w:color w:val="auto"/>
        </w:rPr>
      </w:pPr>
    </w:p>
    <w:p>
      <w:pPr>
        <w:ind w:left="660" w:righ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"businesses," "operating segments," "subsidiaries" and "reporting units" refer to, collectively, the businesses controlled by the Company;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"Manager" refer to Compass Group Management LLC ("CGM");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Agreement" refer to the Second Amended and Restated Trust Agreement of the Trust dated as of December 6, 2016;</w:t>
      </w:r>
    </w:p>
    <w:p>
      <w:pPr>
        <w:spacing w:after="0" w:line="76" w:lineRule="exact"/>
        <w:rPr>
          <w:rFonts w:ascii="Arial" w:cs="Arial" w:eastAsia="Arial" w:hAnsi="Arial"/>
          <w:sz w:val="18"/>
          <w:szCs w:val="18"/>
          <w:color w:val="auto"/>
        </w:rPr>
      </w:pPr>
    </w:p>
    <w:p>
      <w:pPr>
        <w:ind w:left="660" w:right="24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"2021 Credit Facility" refer to the second amended and restated credit agreement entered into on March 23, 2021 among the Company, the Lenders from time to time party thereto (the "Lenders"), Bank of America, N.A., as Administrative Agent, Swing Line Lender and L/C Issuer (the "agent") and other agents party thereto;</w:t>
      </w:r>
    </w:p>
    <w:p>
      <w:pPr>
        <w:spacing w:after="0" w:line="53"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"2021 Revolving Credit Facility" refers to the $600 million in revolving loans, swing line loans and letters of credit provided by the 2021 Credit Facility that matures in 2026;</w:t>
      </w:r>
    </w:p>
    <w:p>
      <w:pPr>
        <w:spacing w:after="0" w:line="6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Credit Facility" refer to the amended and restated credit agreement entered into on April 18, 2018 among the Company, the Lenders from time to time party thereto (the "Lenders"), Bank of America, N.A., as Administrative Agent, Swing Line Lender and L/C Issuer (the "agent") and other agents party thereto, as further amended;</w:t>
      </w:r>
    </w:p>
    <w:p>
      <w:pPr>
        <w:spacing w:after="0" w:line="5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Revolving Credit Facility" refers to the $600 million in revolving loans, swing line loans and letters of credit provided by the 2018 Credit Facility;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Term Loan" refer to the $500 million term loan provided by the 2018 Credit Facility;</w:t>
      </w:r>
    </w:p>
    <w:p>
      <w:pPr>
        <w:spacing w:after="0" w:line="90"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Agreement" refer to the fifth amended and restated operating agreement of the Company dated as of December 6, 2016;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 to the Trust, the Company and the businesses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contains both historical and forward-looking statements. We may, in some cases, use words such as "project," "predict," "believe," "anticipate," "plan," "expect," "estimate," "intend," "should," "would," "could," "potentially," "may," or other words that convey uncertainty of future events or outcomes to identify these forward-looking statements. All statements other than statements of historical or current fact are “forward-looking statements” for purposes of federal and state securities laws. Forward looking statements include, among other things, (i) statements as to our future performance or liquidity, such as expectations for our results of operation, net income, adjusted EBITDA, and ability to make quarterly distributions and (ii) our plans, strategies and objectives for future operations, including our planned capital expenditures and potential tax reclassification. Forward -looking statements in this Quarterly Report on Form 10-Q are subject to a number of risks and uncertainties, such as those disclosed or incorporated by reference in our filings with the SEC, including, but not limited to, those described under the section entitled “Risk Factors” in our Annual Report on Form 10-K for the year ended December 31, 2020 filed with the United States Securities and Exchange Commission (“SEC”) on February 24, 2021, as such factors may be updated from time to time in our filings with the SEC. Many of these risks and uncertainties are beyond our control. Important factors that could cause our actual results, performance and achievements to differ materially from those estimates or projections contained in our forward-looking statements include, among other things:</w:t>
      </w:r>
    </w:p>
    <w:p>
      <w:pPr>
        <w:spacing w:after="0" w:line="156" w:lineRule="exact"/>
        <w:rPr>
          <w:sz w:val="20"/>
          <w:szCs w:val="20"/>
          <w:color w:val="auto"/>
        </w:rPr>
      </w:pPr>
    </w:p>
    <w:p>
      <w:pPr>
        <w:jc w:val="both"/>
        <w:ind w:left="500" w:hanging="330"/>
        <w:spacing w:after="0" w:line="256"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adverse impact on the U.S. and global economy, including the markets in which we operate, of the novel coronavirus, which causes the Coronavirus disease 2019 (COVID-19) global pandemic, and the impact in the near, medium and long-term on our business, results of operations, financial position, liquidity or cash flows;</w:t>
      </w:r>
    </w:p>
    <w:p>
      <w:pPr>
        <w:spacing w:after="0" w:line="39" w:lineRule="exact"/>
        <w:rPr>
          <w:rFonts w:ascii="Arial" w:cs="Arial" w:eastAsia="Arial" w:hAnsi="Arial"/>
          <w:sz w:val="18"/>
          <w:szCs w:val="18"/>
          <w:color w:val="auto"/>
        </w:rPr>
      </w:pPr>
    </w:p>
    <w:p>
      <w:pPr>
        <w:ind w:left="500" w:hanging="330"/>
        <w:spacing w:after="0" w:line="261"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and delays in integrating, or business disruptions following, acquisitions or an inability to fully realize cost savings and other benefit related thereto;</w:t>
      </w:r>
    </w:p>
    <w:p>
      <w:pPr>
        <w:spacing w:after="0" w:line="35"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operate our businesses on a combined basis, and to effectively integrate and improve future acquisitions;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remove CGM and CGM’s right to resign;</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organizational structure, which may limit our ability to meet our dividend and distribution policy;</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and comply with the terms of our indebtedness;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cash flow available for distribution and reinvestment and our ability to make distributions in the future to our shareholders;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the management fee and profit allocation if and when due;</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and finance future acquisitions;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acquisition and management strategies;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legal and regulatory environment in which our businesses operate;</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in the industries in which our businesses operate;</w:t>
      </w:r>
    </w:p>
    <w:p>
      <w:pPr>
        <w:spacing w:after="0" w:line="63" w:lineRule="exact"/>
        <w:rPr>
          <w:rFonts w:ascii="Arial" w:cs="Arial" w:eastAsia="Arial" w:hAnsi="Arial"/>
          <w:sz w:val="18"/>
          <w:szCs w:val="18"/>
          <w:color w:val="auto"/>
        </w:rPr>
      </w:pPr>
    </w:p>
    <w:p>
      <w:pPr>
        <w:ind w:left="500" w:hanging="330"/>
        <w:spacing w:after="0" w:line="250"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political or business conditions or economic, political or demographic trends in the United States and other countries in which we have a presence, including changes in interest rates and inflation;</w:t>
      </w:r>
    </w:p>
    <w:p>
      <w:pPr>
        <w:spacing w:after="0" w:line="14" w:lineRule="exact"/>
        <w:rPr>
          <w:rFonts w:ascii="Arial" w:cs="Arial" w:eastAsia="Arial" w:hAnsi="Arial"/>
          <w:sz w:val="18"/>
          <w:szCs w:val="18"/>
          <w:color w:val="auto"/>
        </w:rPr>
      </w:pPr>
    </w:p>
    <w:p>
      <w:pPr>
        <w:ind w:left="500" w:right="20" w:hanging="330"/>
        <w:spacing w:after="0" w:line="211"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associated with possible disruption in operations or the economy generally due to terrorism or natural disaster or social, civil or political unrest;</w:t>
      </w:r>
    </w:p>
    <w:p>
      <w:pPr>
        <w:spacing w:after="0" w:line="27"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risks affecting the business or operations of our businesses;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and CGM’s ability to retain or replace qualified employees of our businesses and CGM;</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potential tax reclassifications of the Trust;</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effects of legal and administrative proceedings, settlements, investigations and claims;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extraordinary or force majeure events affecting the business or operations of our businesses.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light of these risks, uncertainties and assumptions, you should not place undue reliance on any forward-looking statements. The forward-looking events discussed in this Quarterly Report on Form 10-Q may not occur. These forward-looking statements are made as of the date of this Quarterly Report on Form 10-Q. We undertake no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spacing w:after="0" w:line="261" w:lineRule="auto"/>
        <w:rPr>
          <w:sz w:val="20"/>
          <w:szCs w:val="20"/>
          <w:color w:val="auto"/>
        </w:rPr>
      </w:pPr>
      <w:r>
        <w:rPr>
          <w:rFonts w:ascii="Arial" w:cs="Arial" w:eastAsia="Arial" w:hAnsi="Arial"/>
          <w:sz w:val="18"/>
          <w:szCs w:val="18"/>
          <w:color w:val="auto"/>
        </w:rPr>
        <w:t>obligation to publicly update or revise any forward-looking statements to reflect subsequent events or circumstances,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9"/>
              </w:rPr>
              <w:t>June 30,</w:t>
            </w:r>
          </w:p>
        </w:tc>
        <w:tc>
          <w:tcPr>
            <w:tcW w:w="240" w:type="dxa"/>
            <w:vAlign w:val="bottom"/>
          </w:tcPr>
          <w:p>
            <w:pPr>
              <w:spacing w:after="0"/>
              <w:rPr>
                <w:sz w:val="14"/>
                <w:szCs w:val="14"/>
                <w:color w:val="auto"/>
              </w:rPr>
            </w:pPr>
          </w:p>
        </w:tc>
        <w:tc>
          <w:tcPr>
            <w:tcW w:w="1480" w:type="dxa"/>
            <w:vAlign w:val="bottom"/>
          </w:tcPr>
          <w:p>
            <w:pPr>
              <w:jc w:val="right"/>
              <w:ind w:right="306"/>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7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06"/>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26"/>
              <w:spacing w:after="0"/>
              <w:rPr>
                <w:sz w:val="20"/>
                <w:szCs w:val="20"/>
                <w:color w:val="auto"/>
              </w:rPr>
            </w:pPr>
            <w:r>
              <w:rPr>
                <w:rFonts w:ascii="Arial" w:cs="Arial" w:eastAsia="Arial" w:hAnsi="Arial"/>
                <w:sz w:val="15"/>
                <w:szCs w:val="15"/>
                <w:b w:val="1"/>
                <w:bCs w:val="1"/>
                <w:color w:val="auto"/>
              </w:rPr>
              <w:t>2020</w:t>
            </w: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110,166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70,744</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Accounts receivable, net</w:t>
            </w:r>
          </w:p>
        </w:tc>
        <w:tc>
          <w:tcPr>
            <w:tcW w:w="28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231,369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232,507</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Inventories, net</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387,262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363,373</w:t>
            </w:r>
          </w:p>
        </w:tc>
      </w:tr>
      <w:tr>
        <w:trPr>
          <w:trHeight w:val="19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43,803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41,743</w:t>
            </w:r>
          </w:p>
        </w:tc>
      </w:tr>
      <w:tr>
        <w:trPr>
          <w:trHeight w:val="201"/>
        </w:trPr>
        <w:tc>
          <w:tcPr>
            <w:tcW w:w="77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current assets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772,600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708,367</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Property, plant and equipment, net</w:t>
            </w:r>
          </w:p>
        </w:tc>
        <w:tc>
          <w:tcPr>
            <w:tcW w:w="28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176,228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172,669</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786,251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766,003</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28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802,198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837,165</w:t>
            </w:r>
          </w:p>
        </w:tc>
      </w:tr>
      <w:tr>
        <w:trPr>
          <w:trHeight w:val="207"/>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123,870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114,314</w:t>
            </w:r>
          </w:p>
        </w:tc>
      </w:tr>
      <w:tr>
        <w:trPr>
          <w:trHeight w:val="191"/>
        </w:trPr>
        <w:tc>
          <w:tcPr>
            <w:tcW w:w="7720" w:type="dxa"/>
            <w:vAlign w:val="bottom"/>
          </w:tcPr>
          <w:p>
            <w:pPr>
              <w:ind w:left="20"/>
              <w:spacing w:after="0"/>
              <w:rPr>
                <w:sz w:val="20"/>
                <w:szCs w:val="20"/>
                <w:color w:val="auto"/>
              </w:rPr>
            </w:pPr>
            <w:r>
              <w:rPr>
                <w:rFonts w:ascii="Arial" w:cs="Arial" w:eastAsia="Arial" w:hAnsi="Arial"/>
                <w:sz w:val="15"/>
                <w:szCs w:val="15"/>
                <w:b w:val="1"/>
                <w:bCs w:val="1"/>
                <w:color w:val="auto"/>
              </w:rPr>
              <w:t>Total assets</w:t>
            </w:r>
          </w:p>
        </w:tc>
        <w:tc>
          <w:tcPr>
            <w:tcW w:w="2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2,661,147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2,598,518</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8"/>
        </w:trPr>
        <w:tc>
          <w:tcPr>
            <w:tcW w:w="7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199"/>
        </w:trPr>
        <w:tc>
          <w:tcPr>
            <w:tcW w:w="7720" w:type="dxa"/>
            <w:vAlign w:val="bottom"/>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Accounts payable</w:t>
            </w:r>
          </w:p>
        </w:tc>
        <w:tc>
          <w:tcPr>
            <w:tcW w:w="280" w:type="dxa"/>
            <w:vAlign w:val="bottom"/>
          </w:tcPr>
          <w:p>
            <w:pPr>
              <w:jc w:val="right"/>
              <w:ind w:right="106"/>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90,375</w:t>
            </w:r>
          </w:p>
        </w:tc>
        <w:tc>
          <w:tcPr>
            <w:tcW w:w="100" w:type="dxa"/>
            <w:vAlign w:val="bottom"/>
          </w:tcPr>
          <w:p>
            <w:pPr>
              <w:spacing w:after="0"/>
              <w:rPr>
                <w:sz w:val="17"/>
                <w:szCs w:val="17"/>
                <w:color w:val="auto"/>
              </w:rPr>
            </w:pPr>
          </w:p>
        </w:tc>
        <w:tc>
          <w:tcPr>
            <w:tcW w:w="240" w:type="dxa"/>
            <w:vAlign w:val="bottom"/>
          </w:tcPr>
          <w:p>
            <w:pPr>
              <w:jc w:val="right"/>
              <w:ind w:right="66"/>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101,671</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expenses</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177,959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152,127</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Due to related party</w:t>
            </w:r>
          </w:p>
        </w:tc>
        <w:tc>
          <w:tcPr>
            <w:tcW w:w="28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11,299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10,238</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33,514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30,679</w:t>
            </w:r>
          </w:p>
        </w:tc>
      </w:tr>
      <w:tr>
        <w:trPr>
          <w:trHeight w:val="191"/>
        </w:trPr>
        <w:tc>
          <w:tcPr>
            <w:tcW w:w="7720" w:type="dxa"/>
            <w:vAlign w:val="bottom"/>
          </w:tcPr>
          <w:p>
            <w:pPr>
              <w:ind w:left="360"/>
              <w:spacing w:after="0"/>
              <w:rPr>
                <w:sz w:val="20"/>
                <w:szCs w:val="20"/>
                <w:color w:val="auto"/>
              </w:rPr>
            </w:pPr>
            <w:r>
              <w:rPr>
                <w:rFonts w:ascii="Arial" w:cs="Arial" w:eastAsia="Arial" w:hAnsi="Arial"/>
                <w:sz w:val="15"/>
                <w:szCs w:val="15"/>
                <w:color w:val="auto"/>
              </w:rPr>
              <w:t>Total current liabilities</w:t>
            </w:r>
          </w:p>
        </w:tc>
        <w:tc>
          <w:tcPr>
            <w:tcW w:w="280" w:type="dxa"/>
            <w:vAlign w:val="bottom"/>
          </w:tcPr>
          <w:p>
            <w:pPr>
              <w:spacing w:after="0"/>
              <w:rPr>
                <w:sz w:val="16"/>
                <w:szCs w:val="16"/>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313,147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294,715</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85,509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83,541</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Long-term debt</w:t>
            </w:r>
          </w:p>
        </w:tc>
        <w:tc>
          <w:tcPr>
            <w:tcW w:w="28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988,349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899,460</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101,145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100,654</w:t>
            </w:r>
          </w:p>
        </w:tc>
      </w:tr>
      <w:tr>
        <w:trPr>
          <w:trHeight w:val="191"/>
        </w:trPr>
        <w:tc>
          <w:tcPr>
            <w:tcW w:w="7720" w:type="dxa"/>
            <w:vAlign w:val="bottom"/>
          </w:tcPr>
          <w:p>
            <w:pPr>
              <w:ind w:left="20"/>
              <w:spacing w:after="0"/>
              <w:rPr>
                <w:sz w:val="20"/>
                <w:szCs w:val="20"/>
                <w:color w:val="auto"/>
              </w:rPr>
            </w:pPr>
            <w:r>
              <w:rPr>
                <w:rFonts w:ascii="Arial" w:cs="Arial" w:eastAsia="Arial" w:hAnsi="Arial"/>
                <w:sz w:val="15"/>
                <w:szCs w:val="15"/>
                <w:b w:val="1"/>
                <w:bCs w:val="1"/>
                <w:color w:val="auto"/>
              </w:rPr>
              <w:t>Total liabilities</w:t>
            </w:r>
          </w:p>
        </w:tc>
        <w:tc>
          <w:tcPr>
            <w:tcW w:w="280" w:type="dxa"/>
            <w:vAlign w:val="bottom"/>
          </w:tcPr>
          <w:p>
            <w:pPr>
              <w:spacing w:after="0"/>
              <w:rPr>
                <w:sz w:val="16"/>
                <w:szCs w:val="16"/>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1,488,150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1,378,370</w:t>
            </w:r>
          </w:p>
        </w:tc>
      </w:tr>
      <w:tr>
        <w:trPr>
          <w:trHeight w:val="113"/>
        </w:trPr>
        <w:tc>
          <w:tcPr>
            <w:tcW w:w="7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Commitments and contingencies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13"/>
        </w:trPr>
        <w:tc>
          <w:tcPr>
            <w:tcW w:w="77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r>
      <w:tr>
        <w:trPr>
          <w:trHeight w:val="199"/>
        </w:trPr>
        <w:tc>
          <w:tcPr>
            <w:tcW w:w="772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66"/>
        </w:trPr>
        <w:tc>
          <w:tcPr>
            <w:tcW w:w="772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Trust preferred shares, 50,000 authorized; 12,600 shares issued and outstanding at June 30, 2021 and December</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31, 2020</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63"/>
        </w:trPr>
        <w:tc>
          <w:tcPr>
            <w:tcW w:w="7720" w:type="dxa"/>
            <w:vAlign w:val="bottom"/>
          </w:tcPr>
          <w:p>
            <w:pPr>
              <w:ind w:left="20"/>
              <w:spacing w:after="0" w:line="163" w:lineRule="exact"/>
              <w:rPr>
                <w:sz w:val="20"/>
                <w:szCs w:val="20"/>
                <w:color w:val="auto"/>
              </w:rPr>
            </w:pPr>
            <w:r>
              <w:rPr>
                <w:rFonts w:ascii="Arial" w:cs="Arial" w:eastAsia="Arial" w:hAnsi="Arial"/>
                <w:sz w:val="15"/>
                <w:szCs w:val="15"/>
                <w:color w:val="auto"/>
              </w:rPr>
              <w:t>Series A preferred shares, no par value; 4,000 shares issued and outstanding at June 30, 2021 and December</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5"/>
                <w:szCs w:val="15"/>
                <w:color w:val="auto"/>
              </w:rPr>
              <w:t>31, 2020</w:t>
            </w:r>
          </w:p>
        </w:tc>
        <w:tc>
          <w:tcPr>
            <w:tcW w:w="280" w:type="dxa"/>
            <w:vAlign w:val="bottom"/>
          </w:tcPr>
          <w:p>
            <w:pPr>
              <w:spacing w:after="0"/>
              <w:rPr>
                <w:sz w:val="15"/>
                <w:szCs w:val="15"/>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96,417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96,417</w:t>
            </w:r>
          </w:p>
        </w:tc>
      </w:tr>
      <w:tr>
        <w:trPr>
          <w:trHeight w:val="168"/>
        </w:trPr>
        <w:tc>
          <w:tcPr>
            <w:tcW w:w="7720" w:type="dxa"/>
            <w:vAlign w:val="bottom"/>
            <w:shd w:val="clear" w:color="auto" w:fill="CCEEFF"/>
          </w:tcPr>
          <w:p>
            <w:pPr>
              <w:ind w:left="20"/>
              <w:spacing w:after="0" w:line="168" w:lineRule="exact"/>
              <w:rPr>
                <w:sz w:val="20"/>
                <w:szCs w:val="20"/>
                <w:color w:val="auto"/>
              </w:rPr>
            </w:pPr>
            <w:r>
              <w:rPr>
                <w:rFonts w:ascii="Arial" w:cs="Arial" w:eastAsia="Arial" w:hAnsi="Arial"/>
                <w:sz w:val="15"/>
                <w:szCs w:val="15"/>
                <w:color w:val="auto"/>
              </w:rPr>
              <w:t>Series B preferred shares, no par value; 4,000 shares issued and outstanding at June 30, 2021 and December</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31, 2020</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96,504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96,504</w:t>
            </w:r>
          </w:p>
        </w:tc>
      </w:tr>
      <w:tr>
        <w:trPr>
          <w:trHeight w:val="163"/>
        </w:trPr>
        <w:tc>
          <w:tcPr>
            <w:tcW w:w="7720" w:type="dxa"/>
            <w:vAlign w:val="bottom"/>
          </w:tcPr>
          <w:p>
            <w:pPr>
              <w:ind w:left="20"/>
              <w:spacing w:after="0" w:line="163" w:lineRule="exact"/>
              <w:rPr>
                <w:sz w:val="20"/>
                <w:szCs w:val="20"/>
                <w:color w:val="auto"/>
              </w:rPr>
            </w:pPr>
            <w:r>
              <w:rPr>
                <w:rFonts w:ascii="Arial" w:cs="Arial" w:eastAsia="Arial" w:hAnsi="Arial"/>
                <w:sz w:val="15"/>
                <w:szCs w:val="15"/>
                <w:color w:val="auto"/>
              </w:rPr>
              <w:t>Series C preferred shares, no par value; 4,600 shares issued and outstanding at June 30, 2021 and December</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5"/>
                <w:szCs w:val="15"/>
                <w:color w:val="auto"/>
              </w:rPr>
              <w:t>31, 2020</w:t>
            </w:r>
          </w:p>
        </w:tc>
        <w:tc>
          <w:tcPr>
            <w:tcW w:w="280" w:type="dxa"/>
            <w:vAlign w:val="bottom"/>
          </w:tcPr>
          <w:p>
            <w:pPr>
              <w:spacing w:after="0"/>
              <w:rPr>
                <w:sz w:val="15"/>
                <w:szCs w:val="15"/>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110,997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110,997</w:t>
            </w:r>
          </w:p>
        </w:tc>
      </w:tr>
      <w:tr>
        <w:trPr>
          <w:trHeight w:val="168"/>
        </w:trPr>
        <w:tc>
          <w:tcPr>
            <w:tcW w:w="7720" w:type="dxa"/>
            <w:vAlign w:val="bottom"/>
            <w:shd w:val="clear" w:color="auto" w:fill="CCEEFF"/>
          </w:tcPr>
          <w:p>
            <w:pPr>
              <w:ind w:left="20"/>
              <w:spacing w:after="0" w:line="168" w:lineRule="exact"/>
              <w:rPr>
                <w:sz w:val="20"/>
                <w:szCs w:val="20"/>
                <w:color w:val="auto"/>
              </w:rPr>
            </w:pPr>
            <w:r>
              <w:rPr>
                <w:rFonts w:ascii="Arial" w:cs="Arial" w:eastAsia="Arial" w:hAnsi="Arial"/>
                <w:sz w:val="15"/>
                <w:szCs w:val="15"/>
                <w:color w:val="auto"/>
              </w:rPr>
              <w:t>Trust common shares, no par value, 500,000 authorized; 64,900 shares issued and outstanding at June 30, 2021</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and December 31, 2020</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1,008,564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1,008,564</w:t>
            </w:r>
          </w:p>
        </w:tc>
      </w:tr>
      <w:tr>
        <w:trPr>
          <w:trHeight w:val="198"/>
        </w:trPr>
        <w:tc>
          <w:tcPr>
            <w:tcW w:w="7720" w:type="dxa"/>
            <w:vAlign w:val="bottom"/>
          </w:tcPr>
          <w:p>
            <w:pPr>
              <w:ind w:left="20"/>
              <w:spacing w:after="0"/>
              <w:rPr>
                <w:sz w:val="20"/>
                <w:szCs w:val="20"/>
                <w:color w:val="auto"/>
              </w:rPr>
            </w:pPr>
            <w:r>
              <w:rPr>
                <w:rFonts w:ascii="Arial" w:cs="Arial" w:eastAsia="Arial" w:hAnsi="Arial"/>
                <w:sz w:val="15"/>
                <w:szCs w:val="15"/>
                <w:color w:val="auto"/>
              </w:rPr>
              <w:t>Accumulated other comprehensive income (loss)</w:t>
            </w:r>
          </w:p>
        </w:tc>
        <w:tc>
          <w:tcPr>
            <w:tcW w:w="280" w:type="dxa"/>
            <w:vAlign w:val="bottom"/>
          </w:tcPr>
          <w:p>
            <w:pPr>
              <w:spacing w:after="0"/>
              <w:rPr>
                <w:sz w:val="17"/>
                <w:szCs w:val="17"/>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(1,456)</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deficit</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(270,671)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(211,002)</w:t>
            </w:r>
          </w:p>
        </w:tc>
      </w:tr>
      <w:tr>
        <w:trPr>
          <w:trHeight w:val="191"/>
        </w:trPr>
        <w:tc>
          <w:tcPr>
            <w:tcW w:w="7720" w:type="dxa"/>
            <w:vAlign w:val="bottom"/>
          </w:tcPr>
          <w:p>
            <w:pPr>
              <w:ind w:left="360"/>
              <w:spacing w:after="0"/>
              <w:rPr>
                <w:sz w:val="20"/>
                <w:szCs w:val="20"/>
                <w:color w:val="auto"/>
              </w:rPr>
            </w:pPr>
            <w:r>
              <w:rPr>
                <w:rFonts w:ascii="Arial" w:cs="Arial" w:eastAsia="Arial" w:hAnsi="Arial"/>
                <w:sz w:val="15"/>
                <w:szCs w:val="15"/>
                <w:color w:val="auto"/>
              </w:rPr>
              <w:t>Total stockholders’ equity attributable to Holdings</w:t>
            </w:r>
          </w:p>
        </w:tc>
        <w:tc>
          <w:tcPr>
            <w:tcW w:w="280" w:type="dxa"/>
            <w:vAlign w:val="bottom"/>
          </w:tcPr>
          <w:p>
            <w:pPr>
              <w:spacing w:after="0"/>
              <w:rPr>
                <w:sz w:val="16"/>
                <w:szCs w:val="16"/>
                <w:color w:val="auto"/>
              </w:rPr>
            </w:pPr>
          </w:p>
        </w:tc>
        <w:tc>
          <w:tcPr>
            <w:tcW w:w="1420" w:type="dxa"/>
            <w:vAlign w:val="bottom"/>
          </w:tcPr>
          <w:p>
            <w:pPr>
              <w:jc w:val="right"/>
              <w:ind w:right="6"/>
              <w:spacing w:after="0"/>
              <w:rPr>
                <w:sz w:val="20"/>
                <w:szCs w:val="20"/>
                <w:color w:val="auto"/>
              </w:rPr>
            </w:pPr>
            <w:r>
              <w:rPr>
                <w:rFonts w:ascii="Arial" w:cs="Arial" w:eastAsia="Arial" w:hAnsi="Arial"/>
                <w:sz w:val="15"/>
                <w:szCs w:val="15"/>
                <w:color w:val="auto"/>
              </w:rPr>
              <w:t>1,041,861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1,100,024</w:t>
            </w: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131,136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120,124</w:t>
            </w:r>
          </w:p>
        </w:tc>
      </w:tr>
      <w:tr>
        <w:trPr>
          <w:trHeight w:val="191"/>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stockholders’ equity</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1,172,997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1,220,148</w:t>
            </w:r>
          </w:p>
        </w:tc>
      </w:tr>
      <w:tr>
        <w:trPr>
          <w:trHeight w:val="221"/>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2,661,147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2,598,518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b w:val="1"/>
          <w:bCs w:val="1"/>
          <w:color w:val="auto"/>
        </w:rPr>
        <w:t>COMPASS DIVERSIFIED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2300" w:type="dxa"/>
            <w:vAlign w:val="bottom"/>
            <w:gridSpan w:val="4"/>
          </w:tcPr>
          <w:p>
            <w:pPr>
              <w:jc w:val="right"/>
              <w:ind w:right="584"/>
              <w:spacing w:after="0"/>
              <w:rPr>
                <w:sz w:val="20"/>
                <w:szCs w:val="20"/>
                <w:color w:val="auto"/>
              </w:rPr>
            </w:pPr>
            <w:r>
              <w:rPr>
                <w:rFonts w:ascii="Arial" w:cs="Arial" w:eastAsia="Arial" w:hAnsi="Arial"/>
                <w:sz w:val="15"/>
                <w:szCs w:val="15"/>
                <w:b w:val="1"/>
                <w:bCs w:val="1"/>
                <w:color w:val="auto"/>
              </w:rPr>
              <w:t>Six months ended</w:t>
            </w:r>
          </w:p>
        </w:tc>
      </w:tr>
      <w:tr>
        <w:trPr>
          <w:trHeight w:val="202"/>
        </w:trPr>
        <w:tc>
          <w:tcPr>
            <w:tcW w:w="5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487,438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333,627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949,034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667,076</w:t>
            </w:r>
          </w:p>
        </w:tc>
      </w:tr>
      <w:tr>
        <w:trPr>
          <w:trHeight w:val="198"/>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294,683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216,224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569,430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430,185</w:t>
            </w:r>
          </w:p>
        </w:tc>
      </w:tr>
      <w:tr>
        <w:trPr>
          <w:trHeight w:val="200"/>
        </w:trPr>
        <w:tc>
          <w:tcPr>
            <w:tcW w:w="5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Gross profit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192,755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117,403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379,604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236,891</w:t>
            </w:r>
          </w:p>
        </w:tc>
      </w:tr>
      <w:tr>
        <w:trPr>
          <w:trHeight w:val="198"/>
        </w:trPr>
        <w:tc>
          <w:tcPr>
            <w:tcW w:w="592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5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Selling, general and administrative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114,022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84,014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224,990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167,814</w:t>
            </w:r>
          </w:p>
        </w:tc>
      </w:tr>
      <w:tr>
        <w:trPr>
          <w:trHeight w:val="198"/>
        </w:trPr>
        <w:tc>
          <w:tcPr>
            <w:tcW w:w="5920" w:type="dxa"/>
            <w:vAlign w:val="bottom"/>
          </w:tcPr>
          <w:p>
            <w:pPr>
              <w:ind w:left="340"/>
              <w:spacing w:after="0"/>
              <w:rPr>
                <w:sz w:val="20"/>
                <w:szCs w:val="20"/>
                <w:color w:val="auto"/>
              </w:rPr>
            </w:pPr>
            <w:r>
              <w:rPr>
                <w:rFonts w:ascii="Arial" w:cs="Arial" w:eastAsia="Arial" w:hAnsi="Arial"/>
                <w:sz w:val="15"/>
                <w:szCs w:val="15"/>
                <w:color w:val="auto"/>
              </w:rPr>
              <w:t>Management fees</w:t>
            </w:r>
          </w:p>
        </w:tc>
        <w:tc>
          <w:tcPr>
            <w:tcW w:w="28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11,308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5,157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22,356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13,777</w:t>
            </w:r>
          </w:p>
        </w:tc>
      </w:tr>
      <w:tr>
        <w:trPr>
          <w:trHeight w:val="207"/>
        </w:trPr>
        <w:tc>
          <w:tcPr>
            <w:tcW w:w="5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expense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18,847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14,779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37,446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28,284</w:t>
            </w:r>
          </w:p>
        </w:tc>
      </w:tr>
      <w:tr>
        <w:trPr>
          <w:trHeight w:val="192"/>
        </w:trPr>
        <w:tc>
          <w:tcPr>
            <w:tcW w:w="5920" w:type="dxa"/>
            <w:vAlign w:val="bottom"/>
          </w:tcPr>
          <w:p>
            <w:pPr>
              <w:ind w:left="20"/>
              <w:spacing w:after="0"/>
              <w:rPr>
                <w:sz w:val="20"/>
                <w:szCs w:val="20"/>
                <w:color w:val="auto"/>
              </w:rPr>
            </w:pPr>
            <w:r>
              <w:rPr>
                <w:rFonts w:ascii="Arial" w:cs="Arial" w:eastAsia="Arial" w:hAnsi="Arial"/>
                <w:sz w:val="15"/>
                <w:szCs w:val="15"/>
                <w:b w:val="1"/>
                <w:bCs w:val="1"/>
                <w:color w:val="auto"/>
              </w:rPr>
              <w:t>Operating income</w:t>
            </w:r>
          </w:p>
        </w:tc>
        <w:tc>
          <w:tcPr>
            <w:tcW w:w="2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48,578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13,453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94,812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27,016</w:t>
            </w:r>
          </w:p>
        </w:tc>
      </w:tr>
      <w:tr>
        <w:trPr>
          <w:trHeight w:val="207"/>
        </w:trPr>
        <w:tc>
          <w:tcPr>
            <w:tcW w:w="5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5920" w:type="dxa"/>
            <w:vAlign w:val="bottom"/>
          </w:tcPr>
          <w:p>
            <w:pPr>
              <w:ind w:left="340"/>
              <w:spacing w:after="0"/>
              <w:rPr>
                <w:sz w:val="20"/>
                <w:szCs w:val="20"/>
                <w:color w:val="auto"/>
              </w:rPr>
            </w:pPr>
            <w:r>
              <w:rPr>
                <w:rFonts w:ascii="Arial" w:cs="Arial" w:eastAsia="Arial" w:hAnsi="Arial"/>
                <w:sz w:val="15"/>
                <w:szCs w:val="15"/>
                <w:color w:val="auto"/>
              </w:rPr>
              <w:t>Interest expense, net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(14,947)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(11,174)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(28,752)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(19,771)</w:t>
            </w:r>
          </w:p>
        </w:tc>
      </w:tr>
      <w:tr>
        <w:trPr>
          <w:trHeight w:val="207"/>
        </w:trPr>
        <w:tc>
          <w:tcPr>
            <w:tcW w:w="5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of debt issuance costs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(1,135)</w:t>
            </w:r>
          </w:p>
        </w:tc>
      </w:tr>
      <w:tr>
        <w:trPr>
          <w:trHeight w:val="198"/>
        </w:trPr>
        <w:tc>
          <w:tcPr>
            <w:tcW w:w="5920" w:type="dxa"/>
            <w:vAlign w:val="bottom"/>
          </w:tcPr>
          <w:p>
            <w:pPr>
              <w:ind w:left="340"/>
              <w:spacing w:after="0"/>
              <w:rPr>
                <w:sz w:val="20"/>
                <w:szCs w:val="20"/>
                <w:color w:val="auto"/>
              </w:rPr>
            </w:pPr>
            <w:r>
              <w:rPr>
                <w:rFonts w:ascii="Arial" w:cs="Arial" w:eastAsia="Arial" w:hAnsi="Arial"/>
                <w:sz w:val="15"/>
                <w:szCs w:val="15"/>
                <w:color w:val="auto"/>
              </w:rPr>
              <w:t>Loss on debt extinguishment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(33,305)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(33,305)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income (expense), net</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(1,725)</w:t>
            </w:r>
          </w:p>
        </w:tc>
      </w:tr>
      <w:tr>
        <w:trPr>
          <w:trHeight w:val="192"/>
        </w:trPr>
        <w:tc>
          <w:tcPr>
            <w:tcW w:w="5920" w:type="dxa"/>
            <w:vAlign w:val="bottom"/>
          </w:tcPr>
          <w:p>
            <w:pPr>
              <w:ind w:left="20"/>
              <w:spacing w:after="0"/>
              <w:rPr>
                <w:sz w:val="20"/>
                <w:szCs w:val="20"/>
                <w:color w:val="auto"/>
              </w:rPr>
            </w:pPr>
            <w:r>
              <w:rPr>
                <w:rFonts w:ascii="Arial" w:cs="Arial" w:eastAsia="Arial" w:hAnsi="Arial"/>
                <w:sz w:val="15"/>
                <w:szCs w:val="15"/>
                <w:b w:val="1"/>
                <w:bCs w:val="1"/>
                <w:color w:val="auto"/>
              </w:rPr>
              <w:t>Income (loss) before income taxes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28,457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4,385</w:t>
            </w:r>
          </w:p>
        </w:tc>
      </w:tr>
      <w:tr>
        <w:trPr>
          <w:trHeight w:val="207"/>
        </w:trPr>
        <w:tc>
          <w:tcPr>
            <w:tcW w:w="5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Provision for income taxes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10,192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6,649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17,712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6,871</w:t>
            </w:r>
          </w:p>
        </w:tc>
      </w:tr>
      <w:tr>
        <w:trPr>
          <w:trHeight w:val="192"/>
        </w:trPr>
        <w:tc>
          <w:tcPr>
            <w:tcW w:w="5920" w:type="dxa"/>
            <w:vAlign w:val="bottom"/>
          </w:tcPr>
          <w:p>
            <w:pPr>
              <w:ind w:left="20"/>
              <w:spacing w:after="0"/>
              <w:rPr>
                <w:sz w:val="20"/>
                <w:szCs w:val="20"/>
                <w:color w:val="auto"/>
              </w:rPr>
            </w:pPr>
            <w:r>
              <w:rPr>
                <w:rFonts w:ascii="Arial" w:cs="Arial" w:eastAsia="Arial" w:hAnsi="Arial"/>
                <w:sz w:val="15"/>
                <w:szCs w:val="15"/>
                <w:b w:val="1"/>
                <w:bCs w:val="1"/>
                <w:color w:val="auto"/>
              </w:rPr>
              <w:t>Net income (loss)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(11,251)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(7,366)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10,745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(2,486)</w:t>
            </w:r>
          </w:p>
        </w:tc>
      </w:tr>
      <w:tr>
        <w:trPr>
          <w:trHeight w:val="206"/>
        </w:trPr>
        <w:tc>
          <w:tcPr>
            <w:tcW w:w="5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Less: Net income attributable to noncontrolling interest</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3,379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6,381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2,286</w:t>
            </w:r>
          </w:p>
        </w:tc>
      </w:tr>
      <w:tr>
        <w:trPr>
          <w:trHeight w:val="169"/>
        </w:trPr>
        <w:tc>
          <w:tcPr>
            <w:tcW w:w="592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Net income (loss) attributable to Holdings</w:t>
            </w:r>
          </w:p>
        </w:tc>
        <w:tc>
          <w:tcPr>
            <w:tcW w:w="28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(14,630)</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(8,437)</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04"/>
              <w:spacing w:after="0" w:line="169" w:lineRule="exact"/>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rPr>
              <w:t>4,364</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(4,772)</w:t>
            </w:r>
          </w:p>
        </w:tc>
      </w:tr>
      <w:tr>
        <w:trPr>
          <w:trHeight w:val="21"/>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9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17"/>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Basic income (loss) per common share attributable to Holdings (refer to Note I)</w:t>
            </w:r>
          </w:p>
        </w:tc>
        <w:tc>
          <w:tcPr>
            <w:tcW w:w="2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(0.50)</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13"/>
        </w:trPr>
        <w:tc>
          <w:tcPr>
            <w:tcW w:w="5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27"/>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Basic weighted average number of shares of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64,900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62,844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64,900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61,364</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27"/>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distributions declared per Trust common share (refer to Note I)</w:t>
            </w:r>
          </w:p>
        </w:tc>
        <w:tc>
          <w:tcPr>
            <w:tcW w:w="2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0.36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0.72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0.72</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8"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2260" w:type="dxa"/>
            <w:vAlign w:val="bottom"/>
            <w:gridSpan w:val="4"/>
          </w:tcPr>
          <w:p>
            <w:pPr>
              <w:jc w:val="right"/>
              <w:ind w:right="564"/>
              <w:spacing w:after="0"/>
              <w:rPr>
                <w:sz w:val="20"/>
                <w:szCs w:val="20"/>
                <w:color w:val="auto"/>
              </w:rPr>
            </w:pPr>
            <w:r>
              <w:rPr>
                <w:rFonts w:ascii="Arial" w:cs="Arial" w:eastAsia="Arial" w:hAnsi="Arial"/>
                <w:sz w:val="15"/>
                <w:szCs w:val="15"/>
                <w:b w:val="1"/>
                <w:bCs w:val="1"/>
                <w:color w:val="auto"/>
              </w:rPr>
              <w:t>Six months ended</w:t>
            </w:r>
          </w:p>
        </w:tc>
      </w:tr>
      <w:tr>
        <w:trPr>
          <w:trHeight w:val="202"/>
        </w:trPr>
        <w:tc>
          <w:tcPr>
            <w:tcW w:w="6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June 30,</w:t>
            </w:r>
          </w:p>
        </w:tc>
        <w:tc>
          <w:tcPr>
            <w:tcW w:w="860" w:type="dxa"/>
            <w:vAlign w:val="bottom"/>
            <w:tcBorders>
              <w:bottom w:val="single" w:sz="8" w:color="auto"/>
            </w:tcBorders>
          </w:tcPr>
          <w:p>
            <w:pPr>
              <w:spacing w:after="0"/>
              <w:rPr>
                <w:sz w:val="17"/>
                <w:szCs w:val="17"/>
                <w:color w:val="auto"/>
              </w:rPr>
            </w:pPr>
          </w:p>
        </w:tc>
      </w:tr>
      <w:tr>
        <w:trPr>
          <w:trHeight w:val="196"/>
        </w:trPr>
        <w:tc>
          <w:tcPr>
            <w:tcW w:w="60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r>
      <w:tr>
        <w:trPr>
          <w:trHeight w:val="34"/>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(11,251)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(7,366)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10,745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(2,486)</w:t>
            </w:r>
          </w:p>
        </w:tc>
      </w:tr>
      <w:tr>
        <w:trPr>
          <w:trHeight w:val="178"/>
        </w:trPr>
        <w:tc>
          <w:tcPr>
            <w:tcW w:w="606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7"/>
        </w:trPr>
        <w:tc>
          <w:tcPr>
            <w:tcW w:w="60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Foreign currency translation adjustments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(1,951)</w:t>
            </w:r>
          </w:p>
        </w:tc>
      </w:tr>
      <w:tr>
        <w:trPr>
          <w:trHeight w:val="198"/>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Pension benefit liability, net</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901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w:t>
            </w:r>
          </w:p>
        </w:tc>
      </w:tr>
      <w:tr>
        <w:trPr>
          <w:trHeight w:val="200"/>
        </w:trPr>
        <w:tc>
          <w:tcPr>
            <w:tcW w:w="60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comprehensive income (loss)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1,024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1,506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(1,595)</w:t>
            </w:r>
          </w:p>
        </w:tc>
      </w:tr>
      <w:tr>
        <w:trPr>
          <w:trHeight w:val="192"/>
        </w:trPr>
        <w:tc>
          <w:tcPr>
            <w:tcW w:w="6060" w:type="dxa"/>
            <w:vAlign w:val="bottom"/>
          </w:tcPr>
          <w:p>
            <w:pPr>
              <w:ind w:left="20"/>
              <w:spacing w:after="0"/>
              <w:rPr>
                <w:sz w:val="20"/>
                <w:szCs w:val="20"/>
                <w:color w:val="auto"/>
              </w:rPr>
            </w:pPr>
            <w:r>
              <w:rPr>
                <w:rFonts w:ascii="Arial" w:cs="Arial" w:eastAsia="Arial" w:hAnsi="Arial"/>
                <w:sz w:val="15"/>
                <w:szCs w:val="15"/>
                <w:color w:val="auto"/>
              </w:rPr>
              <w:t>Total comprehensive income (loss), net of tax</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(10,227)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(7,437)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12,251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(4,081)</w:t>
            </w:r>
          </w:p>
        </w:tc>
      </w:tr>
      <w:tr>
        <w:trPr>
          <w:trHeight w:val="207"/>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Net income attributable to noncontrolling interests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3,379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6,381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2,286</w:t>
            </w:r>
          </w:p>
        </w:tc>
      </w:tr>
      <w:tr>
        <w:trPr>
          <w:trHeight w:val="198"/>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Other comprehensive income (loss) attributable to noncontrolling interests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r>
      <w:tr>
        <w:trPr>
          <w:trHeight w:val="22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 (loss) attributable to Holdings, net of tax</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(13,629)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(8,503)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5,844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(6,345)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200" w:type="dxa"/>
            <w:vAlign w:val="bottom"/>
            <w:gridSpan w:val="6"/>
          </w:tcPr>
          <w:p>
            <w:pPr>
              <w:ind w:left="320"/>
              <w:spacing w:after="0"/>
              <w:rPr>
                <w:sz w:val="20"/>
                <w:szCs w:val="20"/>
                <w:color w:val="auto"/>
              </w:rPr>
            </w:pPr>
            <w:r>
              <w:rPr>
                <w:rFonts w:ascii="Arial" w:cs="Arial" w:eastAsia="Arial" w:hAnsi="Arial"/>
                <w:sz w:val="13"/>
                <w:szCs w:val="13"/>
                <w:b w:val="1"/>
                <w:bCs w:val="1"/>
                <w:color w:val="auto"/>
              </w:rPr>
              <w:t>Trust Preferred Shares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rPr>
              <w:t>Trust</w:t>
            </w:r>
          </w:p>
        </w:tc>
        <w:tc>
          <w:tcPr>
            <w:tcW w:w="9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2"/>
                <w:szCs w:val="2"/>
                <w:color w:val="auto"/>
              </w:rPr>
            </w:pPr>
          </w:p>
        </w:tc>
        <w:tc>
          <w:tcPr>
            <w:tcW w:w="10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2"/>
                <w:szCs w:val="2"/>
                <w:color w:val="auto"/>
              </w:rPr>
            </w:pPr>
          </w:p>
        </w:tc>
        <w:tc>
          <w:tcPr>
            <w:tcW w:w="940" w:type="dxa"/>
            <w:vAlign w:val="bottom"/>
            <w:gridSpan w:val="2"/>
            <w:vMerge w:val="restart"/>
          </w:tcPr>
          <w:p>
            <w:pPr>
              <w:jc w:val="center"/>
              <w:ind w:right="160"/>
              <w:spacing w:after="0" w:line="135"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2"/>
                <w:szCs w:val="2"/>
                <w:color w:val="auto"/>
              </w:rPr>
            </w:pPr>
          </w:p>
        </w:tc>
        <w:tc>
          <w:tcPr>
            <w:tcW w:w="72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rPr>
              <w:t>Non-</w:t>
            </w:r>
          </w:p>
        </w:tc>
        <w:tc>
          <w:tcPr>
            <w:tcW w:w="200" w:type="dxa"/>
            <w:vAlign w:val="bottom"/>
          </w:tcPr>
          <w:p>
            <w:pPr>
              <w:spacing w:after="0"/>
              <w:rPr>
                <w:sz w:val="2"/>
                <w:szCs w:val="2"/>
                <w:color w:val="auto"/>
              </w:rPr>
            </w:pPr>
          </w:p>
        </w:tc>
        <w:tc>
          <w:tcPr>
            <w:tcW w:w="800" w:type="dxa"/>
            <w:vAlign w:val="bottom"/>
            <w:vMerge w:val="restart"/>
          </w:tcPr>
          <w:p>
            <w:pPr>
              <w:jc w:val="center"/>
              <w:ind w:right="110"/>
              <w:spacing w:after="0" w:line="13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88"/>
        </w:trPr>
        <w:tc>
          <w:tcPr>
            <w:tcW w:w="2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Series A</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Series B</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Series C</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Common</w:t>
            </w:r>
          </w:p>
        </w:tc>
        <w:tc>
          <w:tcPr>
            <w:tcW w:w="980" w:type="dxa"/>
            <w:vAlign w:val="bottom"/>
            <w:gridSpan w:val="3"/>
            <w:vMerge w:val="continue"/>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Attributable</w:t>
            </w:r>
          </w:p>
        </w:tc>
        <w:tc>
          <w:tcPr>
            <w:tcW w:w="8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Controlling</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4"/>
        </w:trPr>
        <w:tc>
          <w:tcPr>
            <w:tcW w:w="23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11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Income (Loss)</w:t>
            </w:r>
          </w:p>
        </w:tc>
        <w:tc>
          <w:tcPr>
            <w:tcW w:w="8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to Holdings</w:t>
            </w:r>
          </w:p>
        </w:tc>
        <w:tc>
          <w:tcPr>
            <w:tcW w:w="12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5"/>
                <w:szCs w:val="15"/>
                <w:color w:val="auto"/>
              </w:rPr>
            </w:pPr>
          </w:p>
        </w:tc>
        <w:tc>
          <w:tcPr>
            <w:tcW w:w="800" w:type="dxa"/>
            <w:vAlign w:val="bottom"/>
          </w:tcPr>
          <w:p>
            <w:pPr>
              <w:jc w:val="center"/>
              <w:ind w:right="11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April 1, 2020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$ 96,504</w:t>
            </w: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6"/>
              </w:rPr>
              <w:t>$ 110,997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924,680</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(141,866)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1,081,275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53,808</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1,135,083</w:t>
            </w:r>
          </w:p>
        </w:tc>
        <w:tc>
          <w:tcPr>
            <w:tcW w:w="0" w:type="dxa"/>
            <w:vAlign w:val="bottom"/>
          </w:tcPr>
          <w:p>
            <w:pPr>
              <w:spacing w:after="0"/>
              <w:rPr>
                <w:sz w:val="1"/>
                <w:szCs w:val="1"/>
                <w:color w:val="auto"/>
              </w:rPr>
            </w:pPr>
          </w:p>
        </w:tc>
      </w:tr>
      <w:tr>
        <w:trPr>
          <w:trHeight w:val="189"/>
        </w:trPr>
        <w:tc>
          <w:tcPr>
            <w:tcW w:w="23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(7,366)</w:t>
            </w: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 net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53"/>
        </w:trPr>
        <w:tc>
          <w:tcPr>
            <w:tcW w:w="2340" w:type="dxa"/>
            <w:vAlign w:val="bottom"/>
          </w:tcPr>
          <w:p>
            <w:pPr>
              <w:ind w:left="20"/>
              <w:spacing w:after="0" w:line="153" w:lineRule="exact"/>
              <w:rPr>
                <w:sz w:val="20"/>
                <w:szCs w:val="20"/>
                <w:color w:val="auto"/>
              </w:rPr>
            </w:pPr>
            <w:r>
              <w:rPr>
                <w:rFonts w:ascii="Arial" w:cs="Arial" w:eastAsia="Arial" w:hAnsi="Arial"/>
                <w:sz w:val="14"/>
                <w:szCs w:val="14"/>
                <w:color w:val="auto"/>
              </w:rPr>
              <w:t>Issuance of trust common shares,</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vMerge w:val="restart"/>
          </w:tcPr>
          <w:p>
            <w:pPr>
              <w:jc w:val="right"/>
              <w:ind w:right="11"/>
              <w:spacing w:after="0"/>
              <w:rPr>
                <w:sz w:val="20"/>
                <w:szCs w:val="20"/>
                <w:color w:val="auto"/>
              </w:rPr>
            </w:pPr>
            <w:r>
              <w:rPr>
                <w:rFonts w:ascii="Arial" w:cs="Arial" w:eastAsia="Arial" w:hAnsi="Arial"/>
                <w:sz w:val="14"/>
                <w:szCs w:val="14"/>
                <w:color w:val="auto"/>
              </w:rPr>
              <w:t>83,908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83,908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83,908</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4"/>
                <w:szCs w:val="14"/>
                <w:color w:val="auto"/>
              </w:rPr>
              <w:t>net of offering costs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Option activity attributable to</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1,890</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shareholders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20"/>
              <w:spacing w:after="0" w:line="153" w:lineRule="exact"/>
              <w:rPr>
                <w:sz w:val="20"/>
                <w:szCs w:val="20"/>
                <w:color w:val="auto"/>
              </w:rPr>
            </w:pPr>
            <w:r>
              <w:rPr>
                <w:rFonts w:ascii="Arial" w:cs="Arial" w:eastAsia="Arial" w:hAnsi="Arial"/>
                <w:sz w:val="14"/>
                <w:szCs w:val="14"/>
                <w:color w:val="auto"/>
              </w:rPr>
              <w:t>Effect of subsidiary stock option</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4"/>
                <w:szCs w:val="14"/>
                <w:color w:val="auto"/>
              </w:rPr>
              <w:t>exercise</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89"/>
        </w:trPr>
        <w:tc>
          <w:tcPr>
            <w:tcW w:w="2340" w:type="dxa"/>
            <w:vAlign w:val="bottom"/>
          </w:tcPr>
          <w:p>
            <w:pPr>
              <w:ind w:left="20"/>
              <w:spacing w:after="0"/>
              <w:rPr>
                <w:sz w:val="20"/>
                <w:szCs w:val="20"/>
                <w:color w:val="auto"/>
              </w:rPr>
            </w:pPr>
            <w:r>
              <w:rPr>
                <w:rFonts w:ascii="Arial" w:cs="Arial" w:eastAsia="Arial" w:hAnsi="Arial"/>
                <w:sz w:val="14"/>
                <w:szCs w:val="14"/>
                <w:color w:val="auto"/>
              </w:rPr>
              <w:t>Acquisition of Marucci Sports</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11,127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11,127</w:t>
            </w:r>
          </w:p>
        </w:tc>
        <w:tc>
          <w:tcPr>
            <w:tcW w:w="0" w:type="dxa"/>
            <w:vAlign w:val="bottom"/>
          </w:tcPr>
          <w:p>
            <w:pPr>
              <w:spacing w:after="0"/>
              <w:rPr>
                <w:sz w:val="1"/>
                <w:szCs w:val="1"/>
                <w:color w:val="auto"/>
              </w:rPr>
            </w:pPr>
          </w:p>
        </w:tc>
      </w:tr>
      <w:tr>
        <w:trPr>
          <w:trHeight w:val="153"/>
        </w:trPr>
        <w:tc>
          <w:tcPr>
            <w:tcW w:w="23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Trust Common</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Trust Preferred</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(6,045)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(6,045)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(6,045)</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4"/>
                <w:szCs w:val="14"/>
                <w:color w:val="auto"/>
              </w:rPr>
              <w:t>Shares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June 30, 2020</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$ 96,504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6"/>
              </w:rPr>
              <w:t>$ 110,997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1,008,588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(177,912)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1,129,066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1,196,882</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 April 1, 2021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$ 96,504</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6"/>
              </w:rPr>
              <w:t>$ 110,997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1,008,564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(226,631)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1,084,877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125,967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1,210,844</w:t>
            </w:r>
          </w:p>
        </w:tc>
        <w:tc>
          <w:tcPr>
            <w:tcW w:w="0" w:type="dxa"/>
            <w:vAlign w:val="bottom"/>
          </w:tcPr>
          <w:p>
            <w:pPr>
              <w:spacing w:after="0"/>
              <w:rPr>
                <w:sz w:val="1"/>
                <w:szCs w:val="1"/>
                <w:color w:val="auto"/>
              </w:rPr>
            </w:pPr>
          </w:p>
        </w:tc>
      </w:tr>
      <w:tr>
        <w:trPr>
          <w:trHeight w:val="189"/>
        </w:trPr>
        <w:tc>
          <w:tcPr>
            <w:tcW w:w="23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(11,251)</w:t>
            </w: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income, net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1,024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153"/>
        </w:trPr>
        <w:tc>
          <w:tcPr>
            <w:tcW w:w="2340" w:type="dxa"/>
            <w:vAlign w:val="bottom"/>
          </w:tcPr>
          <w:p>
            <w:pPr>
              <w:ind w:left="20"/>
              <w:spacing w:after="0" w:line="153" w:lineRule="exact"/>
              <w:rPr>
                <w:sz w:val="20"/>
                <w:szCs w:val="20"/>
                <w:color w:val="auto"/>
              </w:rPr>
            </w:pPr>
            <w:r>
              <w:rPr>
                <w:rFonts w:ascii="Arial" w:cs="Arial" w:eastAsia="Arial" w:hAnsi="Arial"/>
                <w:sz w:val="14"/>
                <w:szCs w:val="14"/>
                <w:color w:val="auto"/>
              </w:rPr>
              <w:t>Option activity attributable to</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2,847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2,847</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4"/>
                <w:szCs w:val="14"/>
                <w:color w:val="auto"/>
              </w:rPr>
              <w:t>noncontrolling shareholders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Effect of subsidiary stock option</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40" w:type="dxa"/>
            <w:vAlign w:val="bottom"/>
          </w:tcPr>
          <w:p>
            <w:pPr>
              <w:ind w:left="20"/>
              <w:spacing w:after="0"/>
              <w:rPr>
                <w:sz w:val="20"/>
                <w:szCs w:val="20"/>
                <w:color w:val="auto"/>
              </w:rPr>
            </w:pPr>
            <w:r>
              <w:rPr>
                <w:rFonts w:ascii="Arial" w:cs="Arial" w:eastAsia="Arial" w:hAnsi="Arial"/>
                <w:sz w:val="14"/>
                <w:szCs w:val="14"/>
                <w:color w:val="auto"/>
              </w:rPr>
              <w:t>Purchase of noncontrolling interest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153"/>
        </w:trPr>
        <w:tc>
          <w:tcPr>
            <w:tcW w:w="23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Trust Common</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Trust Preferred</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(6,046)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(6,046)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(6,046)</w:t>
            </w:r>
          </w:p>
        </w:tc>
        <w:tc>
          <w:tcPr>
            <w:tcW w:w="0" w:type="dxa"/>
            <w:vAlign w:val="bottom"/>
          </w:tcPr>
          <w:p>
            <w:pPr>
              <w:spacing w:after="0"/>
              <w:rPr>
                <w:sz w:val="1"/>
                <w:szCs w:val="1"/>
                <w:color w:val="auto"/>
              </w:rPr>
            </w:pPr>
          </w:p>
        </w:tc>
      </w:tr>
      <w:tr>
        <w:trPr>
          <w:trHeight w:val="171"/>
        </w:trPr>
        <w:tc>
          <w:tcPr>
            <w:tcW w:w="2340" w:type="dxa"/>
            <w:vAlign w:val="bottom"/>
          </w:tcPr>
          <w:p>
            <w:pPr>
              <w:ind w:left="20"/>
              <w:spacing w:after="0"/>
              <w:rPr>
                <w:sz w:val="20"/>
                <w:szCs w:val="20"/>
                <w:color w:val="auto"/>
              </w:rPr>
            </w:pPr>
            <w:r>
              <w:rPr>
                <w:rFonts w:ascii="Arial" w:cs="Arial" w:eastAsia="Arial" w:hAnsi="Arial"/>
                <w:sz w:val="14"/>
                <w:szCs w:val="14"/>
                <w:color w:val="auto"/>
              </w:rPr>
              <w:t>Shares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June 30, 2021</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$ 96,504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6"/>
              </w:rPr>
              <w:t>$ 110,997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1,008,564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(270,671)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1,041,861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131,136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1,172,997</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92075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720" w:top="886" w:right="7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5"/>
        </w:trPr>
        <w:tc>
          <w:tcPr>
            <w:tcW w:w="21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200" w:type="dxa"/>
            <w:vAlign w:val="bottom"/>
            <w:gridSpan w:val="6"/>
          </w:tcPr>
          <w:p>
            <w:pPr>
              <w:ind w:left="320"/>
              <w:spacing w:after="0"/>
              <w:rPr>
                <w:sz w:val="20"/>
                <w:szCs w:val="20"/>
                <w:color w:val="auto"/>
              </w:rPr>
            </w:pPr>
            <w:r>
              <w:rPr>
                <w:rFonts w:ascii="Arial" w:cs="Arial" w:eastAsia="Arial" w:hAnsi="Arial"/>
                <w:sz w:val="13"/>
                <w:szCs w:val="13"/>
                <w:b w:val="1"/>
                <w:bCs w:val="1"/>
                <w:color w:val="auto"/>
              </w:rPr>
              <w:t>Trust Preferred Shares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1040" w:type="dxa"/>
            <w:vAlign w:val="bottom"/>
            <w:gridSpan w:val="3"/>
          </w:tcPr>
          <w:p>
            <w:pPr>
              <w:ind w:left="40"/>
              <w:spacing w:after="0"/>
              <w:rPr>
                <w:sz w:val="20"/>
                <w:szCs w:val="20"/>
                <w:color w:val="auto"/>
              </w:rPr>
            </w:pPr>
            <w:r>
              <w:rPr>
                <w:rFonts w:ascii="Arial" w:cs="Arial" w:eastAsia="Arial" w:hAnsi="Arial"/>
                <w:sz w:val="13"/>
                <w:szCs w:val="13"/>
                <w:b w:val="1"/>
                <w:bCs w:val="1"/>
                <w:color w:val="auto"/>
              </w:rPr>
              <w:t>Stockholders'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rPr>
              <w:t>Trust</w:t>
            </w:r>
          </w:p>
        </w:tc>
        <w:tc>
          <w:tcPr>
            <w:tcW w:w="9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2"/>
                <w:szCs w:val="2"/>
                <w:color w:val="auto"/>
              </w:rPr>
            </w:pPr>
          </w:p>
        </w:tc>
        <w:tc>
          <w:tcPr>
            <w:tcW w:w="1040" w:type="dxa"/>
            <w:vAlign w:val="bottom"/>
            <w:gridSpan w:val="2"/>
            <w:vMerge w:val="restart"/>
          </w:tcPr>
          <w:p>
            <w:pPr>
              <w:jc w:val="center"/>
              <w:ind w:right="160"/>
              <w:spacing w:after="0" w:line="13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2"/>
                <w:szCs w:val="2"/>
                <w:color w:val="auto"/>
              </w:rPr>
            </w:pPr>
          </w:p>
        </w:tc>
        <w:tc>
          <w:tcPr>
            <w:tcW w:w="9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2"/>
                <w:szCs w:val="2"/>
                <w:color w:val="auto"/>
              </w:rPr>
            </w:pPr>
          </w:p>
        </w:tc>
        <w:tc>
          <w:tcPr>
            <w:tcW w:w="7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rPr>
              <w:t>Non-</w:t>
            </w:r>
          </w:p>
        </w:tc>
        <w:tc>
          <w:tcPr>
            <w:tcW w:w="200" w:type="dxa"/>
            <w:vAlign w:val="bottom"/>
          </w:tcPr>
          <w:p>
            <w:pPr>
              <w:spacing w:after="0"/>
              <w:rPr>
                <w:sz w:val="2"/>
                <w:szCs w:val="2"/>
                <w:color w:val="auto"/>
              </w:rPr>
            </w:pPr>
          </w:p>
        </w:tc>
        <w:tc>
          <w:tcPr>
            <w:tcW w:w="800" w:type="dxa"/>
            <w:vAlign w:val="bottom"/>
            <w:vMerge w:val="restart"/>
          </w:tcPr>
          <w:p>
            <w:pPr>
              <w:jc w:val="center"/>
              <w:ind w:right="13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8"/>
        </w:trPr>
        <w:tc>
          <w:tcPr>
            <w:tcW w:w="2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Series A</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Series B</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Series C</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Common</w:t>
            </w:r>
          </w:p>
        </w:tc>
        <w:tc>
          <w:tcPr>
            <w:tcW w:w="980" w:type="dxa"/>
            <w:vAlign w:val="bottom"/>
            <w:gridSpan w:val="3"/>
            <w:vMerge w:val="continue"/>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Attributable</w:t>
            </w:r>
          </w:p>
        </w:tc>
        <w:tc>
          <w:tcPr>
            <w:tcW w:w="8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Controlling</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11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to Holdings</w:t>
            </w:r>
          </w:p>
        </w:tc>
        <w:tc>
          <w:tcPr>
            <w:tcW w:w="10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5"/>
                <w:szCs w:val="15"/>
                <w:color w:val="auto"/>
              </w:rPr>
            </w:pPr>
          </w:p>
        </w:tc>
        <w:tc>
          <w:tcPr>
            <w:tcW w:w="800" w:type="dxa"/>
            <w:vAlign w:val="bottom"/>
          </w:tcPr>
          <w:p>
            <w:pPr>
              <w:jc w:val="center"/>
              <w:ind w:right="13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January 1, 2020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$ 96,504</w:t>
            </w: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6"/>
              </w:rPr>
              <w:t>$ 110,997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924,680</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(109,338)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1,115,327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50,548</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1,165,875</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(2,486)</w:t>
            </w: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 net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line="153" w:lineRule="exact"/>
              <w:rPr>
                <w:sz w:val="20"/>
                <w:szCs w:val="20"/>
                <w:color w:val="auto"/>
              </w:rPr>
            </w:pPr>
            <w:r>
              <w:rPr>
                <w:rFonts w:ascii="Arial" w:cs="Arial" w:eastAsia="Arial" w:hAnsi="Arial"/>
                <w:sz w:val="14"/>
                <w:szCs w:val="14"/>
                <w:color w:val="auto"/>
              </w:rPr>
              <w:t>Issuance of trust common</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vMerge w:val="restart"/>
          </w:tcPr>
          <w:p>
            <w:pPr>
              <w:jc w:val="right"/>
              <w:ind w:right="11"/>
              <w:spacing w:after="0"/>
              <w:rPr>
                <w:sz w:val="20"/>
                <w:szCs w:val="20"/>
                <w:color w:val="auto"/>
              </w:rPr>
            </w:pPr>
            <w:r>
              <w:rPr>
                <w:rFonts w:ascii="Arial" w:cs="Arial" w:eastAsia="Arial" w:hAnsi="Arial"/>
                <w:sz w:val="14"/>
                <w:szCs w:val="14"/>
                <w:color w:val="auto"/>
              </w:rPr>
              <w:t>83,908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83,908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83,908</w:t>
            </w:r>
          </w:p>
        </w:tc>
        <w:tc>
          <w:tcPr>
            <w:tcW w:w="0" w:type="dxa"/>
            <w:vAlign w:val="bottom"/>
          </w:tcPr>
          <w:p>
            <w:pPr>
              <w:spacing w:after="0"/>
              <w:rPr>
                <w:sz w:val="1"/>
                <w:szCs w:val="1"/>
                <w:color w:val="auto"/>
              </w:rPr>
            </w:pPr>
          </w:p>
        </w:tc>
      </w:tr>
      <w:tr>
        <w:trPr>
          <w:trHeight w:val="171"/>
        </w:trPr>
        <w:tc>
          <w:tcPr>
            <w:tcW w:w="2120" w:type="dxa"/>
            <w:vAlign w:val="bottom"/>
          </w:tcPr>
          <w:p>
            <w:pPr>
              <w:ind w:left="20"/>
              <w:spacing w:after="0"/>
              <w:rPr>
                <w:sz w:val="20"/>
                <w:szCs w:val="20"/>
                <w:color w:val="auto"/>
              </w:rPr>
            </w:pPr>
            <w:r>
              <w:rPr>
                <w:rFonts w:ascii="Arial" w:cs="Arial" w:eastAsia="Arial" w:hAnsi="Arial"/>
                <w:sz w:val="14"/>
                <w:szCs w:val="14"/>
                <w:color w:val="auto"/>
              </w:rPr>
              <w:t>shares, net of offering costs</w:t>
            </w: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Option activity attributable to</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shareholders</w:t>
            </w:r>
          </w:p>
        </w:tc>
        <w:tc>
          <w:tcPr>
            <w:tcW w:w="7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line="153" w:lineRule="exact"/>
              <w:rPr>
                <w:sz w:val="20"/>
                <w:szCs w:val="20"/>
                <w:color w:val="auto"/>
              </w:rPr>
            </w:pPr>
            <w:r>
              <w:rPr>
                <w:rFonts w:ascii="Arial" w:cs="Arial" w:eastAsia="Arial" w:hAnsi="Arial"/>
                <w:sz w:val="14"/>
                <w:szCs w:val="14"/>
                <w:color w:val="auto"/>
              </w:rPr>
              <w:t>Effect of subsidiary stock option</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253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71"/>
        </w:trPr>
        <w:tc>
          <w:tcPr>
            <w:tcW w:w="2120" w:type="dxa"/>
            <w:vAlign w:val="bottom"/>
          </w:tcPr>
          <w:p>
            <w:pPr>
              <w:ind w:left="20"/>
              <w:spacing w:after="0"/>
              <w:rPr>
                <w:sz w:val="20"/>
                <w:szCs w:val="20"/>
                <w:color w:val="auto"/>
              </w:rPr>
            </w:pPr>
            <w:r>
              <w:rPr>
                <w:rFonts w:ascii="Arial" w:cs="Arial" w:eastAsia="Arial" w:hAnsi="Arial"/>
                <w:sz w:val="14"/>
                <w:szCs w:val="14"/>
                <w:color w:val="auto"/>
              </w:rPr>
              <w:t>exercise</w:t>
            </w: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Purchase of noncontrolling</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7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Arial" w:cs="Arial" w:eastAsia="Arial" w:hAnsi="Arial"/>
                <w:sz w:val="14"/>
                <w:szCs w:val="14"/>
                <w:color w:val="auto"/>
              </w:rPr>
              <w:t>Acquisition of Marucci Sports</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11,127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11,127</w:t>
            </w: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Allocation</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7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(43,128)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(43,128)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(43,128)</w:t>
            </w:r>
          </w:p>
        </w:tc>
        <w:tc>
          <w:tcPr>
            <w:tcW w:w="0" w:type="dxa"/>
            <w:vAlign w:val="bottom"/>
          </w:tcPr>
          <w:p>
            <w:pPr>
              <w:spacing w:after="0"/>
              <w:rPr>
                <w:sz w:val="1"/>
                <w:szCs w:val="1"/>
                <w:color w:val="auto"/>
              </w:rPr>
            </w:pPr>
          </w:p>
        </w:tc>
      </w:tr>
      <w:tr>
        <w:trPr>
          <w:trHeight w:val="171"/>
        </w:trPr>
        <w:tc>
          <w:tcPr>
            <w:tcW w:w="212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(11,587)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(11,587)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(11,587)</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7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Balance — June 30, 2020</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$ 96,417</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$ 96,504</w:t>
            </w:r>
          </w:p>
        </w:tc>
        <w:tc>
          <w:tcPr>
            <w:tcW w:w="8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6"/>
              </w:rPr>
              <w:t>$ 110,997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1,008,588</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(177,912)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(5,528)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1,129,066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67,816</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1,196,882</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 January 1, 2021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$ 96,504</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6"/>
              </w:rPr>
              <w:t>$ 110,997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1,008,564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(211,002)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1,100,024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120,124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1,220,148</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10,745</w:t>
            </w: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Total comprehensive income,</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7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line="153" w:lineRule="exact"/>
              <w:rPr>
                <w:sz w:val="20"/>
                <w:szCs w:val="20"/>
                <w:color w:val="auto"/>
              </w:rPr>
            </w:pPr>
            <w:r>
              <w:rPr>
                <w:rFonts w:ascii="Arial" w:cs="Arial" w:eastAsia="Arial" w:hAnsi="Arial"/>
                <w:sz w:val="14"/>
                <w:szCs w:val="14"/>
                <w:color w:val="auto"/>
              </w:rPr>
              <w:t>Option activity attributable to</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5,618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5,618</w:t>
            </w:r>
          </w:p>
        </w:tc>
        <w:tc>
          <w:tcPr>
            <w:tcW w:w="0" w:type="dxa"/>
            <w:vAlign w:val="bottom"/>
          </w:tcPr>
          <w:p>
            <w:pPr>
              <w:spacing w:after="0"/>
              <w:rPr>
                <w:sz w:val="1"/>
                <w:szCs w:val="1"/>
                <w:color w:val="auto"/>
              </w:rPr>
            </w:pPr>
          </w:p>
        </w:tc>
      </w:tr>
      <w:tr>
        <w:trPr>
          <w:trHeight w:val="171"/>
        </w:trPr>
        <w:tc>
          <w:tcPr>
            <w:tcW w:w="2120" w:type="dxa"/>
            <w:vAlign w:val="bottom"/>
          </w:tcPr>
          <w:p>
            <w:pPr>
              <w:ind w:left="20"/>
              <w:spacing w:after="0"/>
              <w:rPr>
                <w:sz w:val="20"/>
                <w:szCs w:val="20"/>
                <w:color w:val="auto"/>
              </w:rPr>
            </w:pPr>
            <w:r>
              <w:rPr>
                <w:rFonts w:ascii="Arial" w:cs="Arial" w:eastAsia="Arial" w:hAnsi="Arial"/>
                <w:sz w:val="14"/>
                <w:szCs w:val="14"/>
                <w:color w:val="auto"/>
              </w:rPr>
              <w:t>noncontrolling shareholders</w:t>
            </w: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Effect of subsidiary stock option</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w:t>
            </w:r>
          </w:p>
        </w:tc>
        <w:tc>
          <w:tcPr>
            <w:tcW w:w="7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line="153" w:lineRule="exact"/>
              <w:rPr>
                <w:sz w:val="20"/>
                <w:szCs w:val="20"/>
                <w:color w:val="auto"/>
              </w:rPr>
            </w:pPr>
            <w:r>
              <w:rPr>
                <w:rFonts w:ascii="Arial" w:cs="Arial" w:eastAsia="Arial" w:hAnsi="Arial"/>
                <w:sz w:val="14"/>
                <w:szCs w:val="14"/>
                <w:color w:val="auto"/>
              </w:rPr>
              <w:t>Purchase of noncontrolling</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(1,372)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171"/>
        </w:trPr>
        <w:tc>
          <w:tcPr>
            <w:tcW w:w="2120" w:type="dxa"/>
            <w:vAlign w:val="bottom"/>
          </w:tcPr>
          <w:p>
            <w:pPr>
              <w:ind w:left="20"/>
              <w:spacing w:after="0"/>
              <w:rPr>
                <w:sz w:val="20"/>
                <w:szCs w:val="20"/>
                <w:color w:val="auto"/>
              </w:rPr>
            </w:pPr>
            <w:r>
              <w:rPr>
                <w:rFonts w:ascii="Arial" w:cs="Arial" w:eastAsia="Arial" w:hAnsi="Arial"/>
                <w:sz w:val="14"/>
                <w:szCs w:val="14"/>
                <w:color w:val="auto"/>
              </w:rPr>
              <w:t>interest</w:t>
            </w: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Allocation</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(5,214)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(5,214)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(5,214)</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7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(46,728)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(46,728)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(46,728)</w:t>
            </w:r>
          </w:p>
        </w:tc>
        <w:tc>
          <w:tcPr>
            <w:tcW w:w="0" w:type="dxa"/>
            <w:vAlign w:val="bottom"/>
          </w:tcPr>
          <w:p>
            <w:pPr>
              <w:spacing w:after="0"/>
              <w:rPr>
                <w:sz w:val="1"/>
                <w:szCs w:val="1"/>
                <w:color w:val="auto"/>
              </w:rPr>
            </w:pPr>
          </w:p>
        </w:tc>
      </w:tr>
      <w:tr>
        <w:trPr>
          <w:trHeight w:val="171"/>
        </w:trPr>
        <w:tc>
          <w:tcPr>
            <w:tcW w:w="212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(12,091)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(12,091)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(12,091)</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70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Balance — June 30, 2021</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$ 96,417</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$ 96,504</w:t>
            </w:r>
          </w:p>
        </w:tc>
        <w:tc>
          <w:tcPr>
            <w:tcW w:w="8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6"/>
              </w:rPr>
              <w:t>$ 110,997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1,008,564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(270,671)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1,041,861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131,136</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1,172,997</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92075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820" w:top="1149" w:right="8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p>
      <w:pPr>
        <w:ind w:left="8320"/>
        <w:spacing w:after="0"/>
        <w:rPr>
          <w:sz w:val="20"/>
          <w:szCs w:val="20"/>
          <w:color w:val="auto"/>
        </w:rPr>
      </w:pPr>
      <w:r>
        <w:rPr>
          <w:rFonts w:ascii="Arial" w:cs="Arial" w:eastAsia="Arial" w:hAnsi="Arial"/>
          <w:sz w:val="15"/>
          <w:szCs w:val="15"/>
          <w:b w:val="1"/>
          <w:bCs w:val="1"/>
          <w:color w:val="auto"/>
        </w:rPr>
        <w:t>Six months ended June 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r>
      <w:tr>
        <w:trPr>
          <w:trHeight w:val="183"/>
        </w:trPr>
        <w:tc>
          <w:tcPr>
            <w:tcW w:w="76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8"/>
        </w:trPr>
        <w:tc>
          <w:tcPr>
            <w:tcW w:w="7660" w:type="dxa"/>
            <w:vAlign w:val="bottom"/>
          </w:tcPr>
          <w:p>
            <w:pPr>
              <w:ind w:left="140"/>
              <w:spacing w:after="0"/>
              <w:rPr>
                <w:sz w:val="20"/>
                <w:szCs w:val="20"/>
                <w:color w:val="auto"/>
              </w:rPr>
            </w:pPr>
            <w:r>
              <w:rPr>
                <w:rFonts w:ascii="Arial" w:cs="Arial" w:eastAsia="Arial" w:hAnsi="Arial"/>
                <w:sz w:val="15"/>
                <w:szCs w:val="15"/>
                <w:color w:val="auto"/>
              </w:rPr>
              <w:t>Net income (loss)</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10,745</w:t>
            </w:r>
          </w:p>
        </w:tc>
        <w:tc>
          <w:tcPr>
            <w:tcW w:w="12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(2,486)</w:t>
            </w:r>
          </w:p>
        </w:tc>
      </w:tr>
      <w:tr>
        <w:trPr>
          <w:trHeight w:val="207"/>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(loss) to net cash provided by (used in) operating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7660" w:type="dxa"/>
            <w:vAlign w:val="bottom"/>
          </w:tcPr>
          <w:p>
            <w:pPr>
              <w:ind w:left="460"/>
              <w:spacing w:after="0"/>
              <w:rPr>
                <w:sz w:val="20"/>
                <w:szCs w:val="20"/>
                <w:color w:val="auto"/>
              </w:rPr>
            </w:pPr>
            <w:r>
              <w:rPr>
                <w:rFonts w:ascii="Arial" w:cs="Arial" w:eastAsia="Arial" w:hAnsi="Arial"/>
                <w:sz w:val="15"/>
                <w:szCs w:val="15"/>
                <w:color w:val="auto"/>
              </w:rPr>
              <w:t>Depreciation expense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19,433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16,902</w:t>
            </w:r>
          </w:p>
        </w:tc>
      </w:tr>
      <w:tr>
        <w:trPr>
          <w:trHeight w:val="207"/>
        </w:trPr>
        <w:tc>
          <w:tcPr>
            <w:tcW w:w="7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Amortization expense</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37,446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31,284</w:t>
            </w:r>
          </w:p>
        </w:tc>
      </w:tr>
      <w:tr>
        <w:trPr>
          <w:trHeight w:val="198"/>
        </w:trPr>
        <w:tc>
          <w:tcPr>
            <w:tcW w:w="7660" w:type="dxa"/>
            <w:vAlign w:val="bottom"/>
          </w:tcPr>
          <w:p>
            <w:pPr>
              <w:ind w:left="460"/>
              <w:spacing w:after="0"/>
              <w:rPr>
                <w:sz w:val="20"/>
                <w:szCs w:val="20"/>
                <w:color w:val="auto"/>
              </w:rPr>
            </w:pPr>
            <w:r>
              <w:rPr>
                <w:rFonts w:ascii="Arial" w:cs="Arial" w:eastAsia="Arial" w:hAnsi="Arial"/>
                <w:sz w:val="15"/>
                <w:szCs w:val="15"/>
                <w:color w:val="auto"/>
              </w:rPr>
              <w:t>Amortization of debt issuance costs and premium</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1,079</w:t>
            </w:r>
          </w:p>
        </w:tc>
      </w:tr>
      <w:tr>
        <w:trPr>
          <w:trHeight w:val="207"/>
        </w:trPr>
        <w:tc>
          <w:tcPr>
            <w:tcW w:w="7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Loss on debt extinguishment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33,305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198"/>
        </w:trPr>
        <w:tc>
          <w:tcPr>
            <w:tcW w:w="7660" w:type="dxa"/>
            <w:vAlign w:val="bottom"/>
          </w:tcPr>
          <w:p>
            <w:pPr>
              <w:ind w:left="460"/>
              <w:spacing w:after="0"/>
              <w:rPr>
                <w:sz w:val="20"/>
                <w:szCs w:val="20"/>
                <w:color w:val="auto"/>
              </w:rPr>
            </w:pPr>
            <w:r>
              <w:rPr>
                <w:rFonts w:ascii="Arial" w:cs="Arial" w:eastAsia="Arial" w:hAnsi="Arial"/>
                <w:sz w:val="15"/>
                <w:szCs w:val="15"/>
                <w:color w:val="auto"/>
              </w:rPr>
              <w:t>Noncontrolling stockholder stock based compensation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5,618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3,945</w:t>
            </w:r>
          </w:p>
        </w:tc>
      </w:tr>
      <w:tr>
        <w:trPr>
          <w:trHeight w:val="207"/>
        </w:trPr>
        <w:tc>
          <w:tcPr>
            <w:tcW w:w="7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Provision for receivable and inventory reserves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2,519</w:t>
            </w:r>
          </w:p>
        </w:tc>
      </w:tr>
      <w:tr>
        <w:trPr>
          <w:trHeight w:val="198"/>
        </w:trPr>
        <w:tc>
          <w:tcPr>
            <w:tcW w:w="7660" w:type="dxa"/>
            <w:vAlign w:val="bottom"/>
          </w:tcPr>
          <w:p>
            <w:pPr>
              <w:ind w:left="460"/>
              <w:spacing w:after="0"/>
              <w:rPr>
                <w:sz w:val="20"/>
                <w:szCs w:val="20"/>
                <w:color w:val="auto"/>
              </w:rPr>
            </w:pPr>
            <w:r>
              <w:rPr>
                <w:rFonts w:ascii="Arial" w:cs="Arial" w:eastAsia="Arial" w:hAnsi="Arial"/>
                <w:sz w:val="15"/>
                <w:szCs w:val="15"/>
                <w:color w:val="auto"/>
              </w:rPr>
              <w:t>Deferred taxes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1,715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(5,933)</w:t>
            </w:r>
          </w:p>
        </w:tc>
      </w:tr>
      <w:tr>
        <w:trPr>
          <w:trHeight w:val="207"/>
        </w:trPr>
        <w:tc>
          <w:tcPr>
            <w:tcW w:w="7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Other</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1,155</w:t>
            </w:r>
          </w:p>
        </w:tc>
      </w:tr>
      <w:tr>
        <w:trPr>
          <w:trHeight w:val="198"/>
        </w:trPr>
        <w:tc>
          <w:tcPr>
            <w:tcW w:w="7660" w:type="dxa"/>
            <w:vAlign w:val="bottom"/>
          </w:tcPr>
          <w:p>
            <w:pPr>
              <w:ind w:left="140"/>
              <w:spacing w:after="0"/>
              <w:rPr>
                <w:sz w:val="20"/>
                <w:szCs w:val="20"/>
                <w:color w:val="auto"/>
              </w:rPr>
            </w:pPr>
            <w:r>
              <w:rPr>
                <w:rFonts w:ascii="Arial" w:cs="Arial" w:eastAsia="Arial" w:hAnsi="Arial"/>
                <w:sz w:val="15"/>
                <w:szCs w:val="15"/>
                <w:color w:val="auto"/>
              </w:rPr>
              <w:t>Changes in operating assets and liabilities, net of acquisitions: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7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Accounts receivable</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8,780</w:t>
            </w:r>
          </w:p>
        </w:tc>
      </w:tr>
      <w:tr>
        <w:trPr>
          <w:trHeight w:val="198"/>
        </w:trPr>
        <w:tc>
          <w:tcPr>
            <w:tcW w:w="7660" w:type="dxa"/>
            <w:vAlign w:val="bottom"/>
          </w:tcPr>
          <w:p>
            <w:pPr>
              <w:ind w:left="460"/>
              <w:spacing w:after="0"/>
              <w:rPr>
                <w:sz w:val="20"/>
                <w:szCs w:val="20"/>
                <w:color w:val="auto"/>
              </w:rPr>
            </w:pPr>
            <w:r>
              <w:rPr>
                <w:rFonts w:ascii="Arial" w:cs="Arial" w:eastAsia="Arial" w:hAnsi="Arial"/>
                <w:sz w:val="15"/>
                <w:szCs w:val="15"/>
                <w:color w:val="auto"/>
              </w:rPr>
              <w:t>Inventories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(24,082)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11,236</w:t>
            </w:r>
          </w:p>
        </w:tc>
      </w:tr>
      <w:tr>
        <w:trPr>
          <w:trHeight w:val="207"/>
        </w:trPr>
        <w:tc>
          <w:tcPr>
            <w:tcW w:w="76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Other current and non-current assets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1,991</w:t>
            </w:r>
          </w:p>
        </w:tc>
      </w:tr>
      <w:tr>
        <w:trPr>
          <w:trHeight w:val="198"/>
        </w:trPr>
        <w:tc>
          <w:tcPr>
            <w:tcW w:w="766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Accounts payable and accrued expenses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19,935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17,858</w:t>
            </w:r>
          </w:p>
        </w:tc>
      </w:tr>
      <w:tr>
        <w:trPr>
          <w:trHeight w:val="200"/>
        </w:trPr>
        <w:tc>
          <w:tcPr>
            <w:tcW w:w="76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Cash provided by operating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109,434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88,330</w:t>
            </w:r>
          </w:p>
        </w:tc>
      </w:tr>
      <w:tr>
        <w:trPr>
          <w:trHeight w:val="202"/>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Acquisitions, net of cash acquired</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(34,163)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(200,720)</w:t>
            </w:r>
          </w:p>
        </w:tc>
      </w:tr>
      <w:tr>
        <w:trPr>
          <w:trHeight w:val="198"/>
        </w:trPr>
        <w:tc>
          <w:tcPr>
            <w:tcW w:w="7660" w:type="dxa"/>
            <w:vAlign w:val="bottom"/>
          </w:tcPr>
          <w:p>
            <w:pPr>
              <w:ind w:left="140"/>
              <w:spacing w:after="0"/>
              <w:rPr>
                <w:sz w:val="20"/>
                <w:szCs w:val="20"/>
                <w:color w:val="auto"/>
              </w:rPr>
            </w:pPr>
            <w:r>
              <w:rPr>
                <w:rFonts w:ascii="Arial" w:cs="Arial" w:eastAsia="Arial" w:hAnsi="Arial"/>
                <w:sz w:val="15"/>
                <w:szCs w:val="15"/>
                <w:color w:val="auto"/>
              </w:rPr>
              <w:t>Purchases of property and equipment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(17,847)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(12,168)</w:t>
            </w:r>
          </w:p>
        </w:tc>
      </w:tr>
      <w:tr>
        <w:trPr>
          <w:trHeight w:val="207"/>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investing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w:t>
            </w:r>
          </w:p>
        </w:tc>
      </w:tr>
      <w:tr>
        <w:trPr>
          <w:trHeight w:val="192"/>
        </w:trPr>
        <w:tc>
          <w:tcPr>
            <w:tcW w:w="7660" w:type="dxa"/>
            <w:vAlign w:val="bottom"/>
          </w:tcPr>
          <w:p>
            <w:pPr>
              <w:ind w:left="660"/>
              <w:spacing w:after="0"/>
              <w:rPr>
                <w:sz w:val="20"/>
                <w:szCs w:val="20"/>
                <w:color w:val="auto"/>
              </w:rPr>
            </w:pPr>
            <w:r>
              <w:rPr>
                <w:rFonts w:ascii="Arial" w:cs="Arial" w:eastAsia="Arial" w:hAnsi="Arial"/>
                <w:sz w:val="15"/>
                <w:szCs w:val="15"/>
                <w:color w:val="auto"/>
              </w:rPr>
              <w:t>Cash used in investing activities</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(52,696)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(212,990)</w:t>
            </w:r>
          </w:p>
        </w:tc>
      </w:tr>
      <w:tr>
        <w:trPr>
          <w:trHeight w:val="207"/>
        </w:trPr>
        <w:tc>
          <w:tcPr>
            <w:tcW w:w="76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7660" w:type="dxa"/>
            <w:vAlign w:val="bottom"/>
          </w:tcPr>
          <w:p>
            <w:pPr>
              <w:ind w:left="140"/>
              <w:spacing w:after="0"/>
              <w:rPr>
                <w:sz w:val="20"/>
                <w:szCs w:val="20"/>
                <w:color w:val="auto"/>
              </w:rPr>
            </w:pPr>
            <w:r>
              <w:rPr>
                <w:rFonts w:ascii="Arial" w:cs="Arial" w:eastAsia="Arial" w:hAnsi="Arial"/>
                <w:sz w:val="15"/>
                <w:szCs w:val="15"/>
                <w:color w:val="auto"/>
              </w:rPr>
              <w:t>Proceeds from issuance of Trust common shares, net</w:t>
            </w:r>
          </w:p>
        </w:tc>
        <w:tc>
          <w:tcPr>
            <w:tcW w:w="36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83,908</w:t>
            </w:r>
          </w:p>
        </w:tc>
      </w:tr>
      <w:tr>
        <w:trPr>
          <w:trHeight w:val="207"/>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Borrowings under credit facility</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179,000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200,000</w:t>
            </w:r>
          </w:p>
        </w:tc>
      </w:tr>
      <w:tr>
        <w:trPr>
          <w:trHeight w:val="198"/>
        </w:trPr>
        <w:tc>
          <w:tcPr>
            <w:tcW w:w="7660" w:type="dxa"/>
            <w:vAlign w:val="bottom"/>
          </w:tcPr>
          <w:p>
            <w:pPr>
              <w:ind w:left="140"/>
              <w:spacing w:after="0"/>
              <w:rPr>
                <w:sz w:val="20"/>
                <w:szCs w:val="20"/>
                <w:color w:val="auto"/>
              </w:rPr>
            </w:pPr>
            <w:r>
              <w:rPr>
                <w:rFonts w:ascii="Arial" w:cs="Arial" w:eastAsia="Arial" w:hAnsi="Arial"/>
                <w:sz w:val="15"/>
                <w:szCs w:val="15"/>
                <w:color w:val="auto"/>
              </w:rPr>
              <w:t>Repayments under credit facility</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(486,000)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(200,000)</w:t>
            </w:r>
          </w:p>
        </w:tc>
      </w:tr>
      <w:tr>
        <w:trPr>
          <w:trHeight w:val="207"/>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issuance of Senior Notes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202,000</w:t>
            </w:r>
          </w:p>
        </w:tc>
      </w:tr>
      <w:tr>
        <w:trPr>
          <w:trHeight w:val="198"/>
        </w:trPr>
        <w:tc>
          <w:tcPr>
            <w:tcW w:w="7660" w:type="dxa"/>
            <w:vAlign w:val="bottom"/>
          </w:tcPr>
          <w:p>
            <w:pPr>
              <w:ind w:left="140"/>
              <w:spacing w:after="0"/>
              <w:rPr>
                <w:sz w:val="20"/>
                <w:szCs w:val="20"/>
                <w:color w:val="auto"/>
              </w:rPr>
            </w:pPr>
            <w:r>
              <w:rPr>
                <w:rFonts w:ascii="Arial" w:cs="Arial" w:eastAsia="Arial" w:hAnsi="Arial"/>
                <w:sz w:val="15"/>
                <w:szCs w:val="15"/>
                <w:color w:val="auto"/>
              </w:rPr>
              <w:t>Redemption of Senior Notes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(627,688)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07"/>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paid - common shares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(46,728)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(43,128)</w:t>
            </w:r>
          </w:p>
        </w:tc>
      </w:tr>
      <w:tr>
        <w:trPr>
          <w:trHeight w:val="198"/>
        </w:trPr>
        <w:tc>
          <w:tcPr>
            <w:tcW w:w="7660" w:type="dxa"/>
            <w:vAlign w:val="bottom"/>
          </w:tcPr>
          <w:p>
            <w:pPr>
              <w:ind w:left="140"/>
              <w:spacing w:after="0"/>
              <w:rPr>
                <w:sz w:val="20"/>
                <w:szCs w:val="20"/>
                <w:color w:val="auto"/>
              </w:rPr>
            </w:pPr>
            <w:r>
              <w:rPr>
                <w:rFonts w:ascii="Arial" w:cs="Arial" w:eastAsia="Arial" w:hAnsi="Arial"/>
                <w:sz w:val="15"/>
                <w:szCs w:val="15"/>
                <w:color w:val="auto"/>
              </w:rPr>
              <w:t>Distributions paid - preferred shares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(12,091)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(11,587)</w:t>
            </w:r>
          </w:p>
        </w:tc>
      </w:tr>
      <w:tr>
        <w:trPr>
          <w:trHeight w:val="207"/>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paid - allocation interests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(9,087)</w:t>
            </w:r>
          </w:p>
        </w:tc>
      </w:tr>
      <w:tr>
        <w:trPr>
          <w:trHeight w:val="198"/>
        </w:trPr>
        <w:tc>
          <w:tcPr>
            <w:tcW w:w="7660" w:type="dxa"/>
            <w:vAlign w:val="bottom"/>
          </w:tcPr>
          <w:p>
            <w:pPr>
              <w:ind w:left="140"/>
              <w:spacing w:after="0"/>
              <w:rPr>
                <w:sz w:val="20"/>
                <w:szCs w:val="20"/>
                <w:color w:val="auto"/>
              </w:rPr>
            </w:pPr>
            <w:r>
              <w:rPr>
                <w:rFonts w:ascii="Arial" w:cs="Arial" w:eastAsia="Arial" w:hAnsi="Arial"/>
                <w:sz w:val="15"/>
                <w:szCs w:val="15"/>
                <w:color w:val="auto"/>
              </w:rPr>
              <w:t>Net proceeds provided by noncontrolling shareholders - acquisition</w:t>
            </w:r>
          </w:p>
        </w:tc>
        <w:tc>
          <w:tcPr>
            <w:tcW w:w="36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11,127</w:t>
            </w:r>
          </w:p>
        </w:tc>
      </w:tr>
      <w:tr>
        <w:trPr>
          <w:trHeight w:val="207"/>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proceeds provided by noncontrolling shareholders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253</w:t>
            </w:r>
          </w:p>
        </w:tc>
      </w:tr>
      <w:tr>
        <w:trPr>
          <w:trHeight w:val="198"/>
        </w:trPr>
        <w:tc>
          <w:tcPr>
            <w:tcW w:w="7660" w:type="dxa"/>
            <w:vAlign w:val="bottom"/>
          </w:tcPr>
          <w:p>
            <w:pPr>
              <w:ind w:left="140"/>
              <w:spacing w:after="0"/>
              <w:rPr>
                <w:sz w:val="20"/>
                <w:szCs w:val="20"/>
                <w:color w:val="auto"/>
              </w:rPr>
            </w:pPr>
            <w:r>
              <w:rPr>
                <w:rFonts w:ascii="Arial" w:cs="Arial" w:eastAsia="Arial" w:hAnsi="Arial"/>
                <w:sz w:val="15"/>
                <w:szCs w:val="15"/>
                <w:color w:val="auto"/>
              </w:rPr>
              <w:t>Purchase of noncontrolling interest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(1,372)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(343)</w:t>
            </w:r>
          </w:p>
        </w:tc>
      </w:tr>
      <w:tr>
        <w:trPr>
          <w:trHeight w:val="207"/>
        </w:trPr>
        <w:tc>
          <w:tcPr>
            <w:tcW w:w="7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Debt issuance costs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(17,389)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(3,180)</w:t>
            </w:r>
          </w:p>
        </w:tc>
      </w:tr>
      <w:tr>
        <w:trPr>
          <w:trHeight w:val="198"/>
        </w:trPr>
        <w:tc>
          <w:tcPr>
            <w:tcW w:w="76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632</w:t>
            </w:r>
          </w:p>
        </w:tc>
      </w:tr>
      <w:tr>
        <w:trPr>
          <w:trHeight w:val="200"/>
        </w:trPr>
        <w:tc>
          <w:tcPr>
            <w:tcW w:w="76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Net cash (used in) provided by financing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(17,324)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230,595</w:t>
            </w:r>
          </w:p>
        </w:tc>
      </w:tr>
      <w:tr>
        <w:trPr>
          <w:trHeight w:val="192"/>
        </w:trPr>
        <w:tc>
          <w:tcPr>
            <w:tcW w:w="7660" w:type="dxa"/>
            <w:vAlign w:val="bottom"/>
          </w:tcPr>
          <w:p>
            <w:pPr>
              <w:ind w:left="140"/>
              <w:spacing w:after="0"/>
              <w:rPr>
                <w:sz w:val="20"/>
                <w:szCs w:val="20"/>
                <w:color w:val="auto"/>
              </w:rPr>
            </w:pPr>
            <w:r>
              <w:rPr>
                <w:rFonts w:ascii="Arial" w:cs="Arial" w:eastAsia="Arial" w:hAnsi="Arial"/>
                <w:sz w:val="15"/>
                <w:szCs w:val="15"/>
                <w:color w:val="auto"/>
              </w:rPr>
              <w:t>Foreign currency impact on cash</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(1,021)</w:t>
            </w:r>
          </w:p>
        </w:tc>
      </w:tr>
      <w:tr>
        <w:trPr>
          <w:trHeight w:val="206"/>
        </w:trPr>
        <w:tc>
          <w:tcPr>
            <w:tcW w:w="76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Net increase in cash and cash equivalents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39,422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104,914</w:t>
            </w:r>
          </w:p>
        </w:tc>
      </w:tr>
      <w:tr>
        <w:trPr>
          <w:trHeight w:val="198"/>
        </w:trPr>
        <w:tc>
          <w:tcPr>
            <w:tcW w:w="76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Cash and cash equivalents — beginning of period</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70,744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100,314</w:t>
            </w:r>
          </w:p>
        </w:tc>
      </w:tr>
      <w:tr>
        <w:trPr>
          <w:trHeight w:val="221"/>
        </w:trPr>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Cash and cash equivalents — end of period</w:t>
            </w: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110,166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205,228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92075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886" w:right="4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2021</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Presentation and Principles of Consolidation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a Delaware statutory trust (the "Trust" or "Holdings") and Compass Group Diversified Holdings LLC, a Delaware limited liability company (the "Company"), were formed to acquire and manage a group of small and middle-market businesses headquartered in North America. In accordance with the second amended and restated Trust Agreement, dated as of December 6, 2016 (as amended and restated, the "Trust Agreement"), the Trust is sole owner of 100% of the Trust Interests (as defined in the Company’s fifth amended and restated operating agreement, dated as of December 6, 2016 (as amended and restated, the "LLC Agreement")) of the Company and, pursuant to the LLC Agreement, the Company has, outstanding, the identical number of Trust Interests as the number of outstanding shares of the Trust. The Company is the operating entity with a board of directors and other corporate governance responsibilities, similar to that of a Delaware corporation.</w:t>
      </w:r>
    </w:p>
    <w:p>
      <w:pPr>
        <w:spacing w:after="0" w:line="151" w:lineRule="exact"/>
        <w:rPr>
          <w:sz w:val="20"/>
          <w:szCs w:val="20"/>
          <w:color w:val="auto"/>
        </w:rPr>
      </w:pPr>
    </w:p>
    <w:p>
      <w:pPr>
        <w:jc w:val="both"/>
        <w:spacing w:after="0" w:line="252" w:lineRule="auto"/>
        <w:rPr>
          <w:rFonts w:ascii="Arial" w:cs="Arial" w:eastAsia="Arial" w:hAnsi="Arial"/>
          <w:sz w:val="18"/>
          <w:szCs w:val="18"/>
          <w:color w:val="0000FF"/>
        </w:rPr>
      </w:pPr>
      <w:r>
        <w:rPr>
          <w:rFonts w:ascii="Arial" w:cs="Arial" w:eastAsia="Arial" w:hAnsi="Arial"/>
          <w:sz w:val="18"/>
          <w:szCs w:val="18"/>
          <w:color w:val="auto"/>
        </w:rPr>
        <w:t xml:space="preserve">The Company is a controlling owner of ten businesses, or reportable operating segments, at June 30, 2021. The segments are as follows: 5.11 Acquisition Corp. ("5.11"), Boa Holdings Inc. ("BOA"), The Ergo Baby Carrier, Inc. ("Ergobaby"), Liberty Safe and Security Products, Inc. ("Liberty Safe" or "Liberty"), Marucci Sports, LLC ("Marucci Sports" or "Marucci"), Velocity Outdoor, Inc. (formerly Crosman Corp.) ("Velocity Outdoor" or "Velocity"), Compass AC Holdings, Inc. ("ACI" or "Advanced Circuits"), AMT Acquisition Corporation ("Arnold"), FFI Compass, </w:t>
      </w:r>
      <w:hyperlink w:anchor="page18">
        <w:r>
          <w:rPr>
            <w:rFonts w:ascii="Arial" w:cs="Arial" w:eastAsia="Arial" w:hAnsi="Arial"/>
            <w:sz w:val="18"/>
            <w:szCs w:val="18"/>
            <w:color w:val="auto"/>
          </w:rPr>
          <w:t xml:space="preserve">Inc. ("Altor Solutions" or "Altor") (formerly "Foam Fabricators"), and The Sterno Group, LLC ("Sterno"). Refer to </w:t>
        </w:r>
        <w:r>
          <w:rPr>
            <w:rFonts w:ascii="Arial" w:cs="Arial" w:eastAsia="Arial" w:hAnsi="Arial"/>
            <w:sz w:val="18"/>
            <w:szCs w:val="18"/>
            <w:u w:val="single" w:color="auto"/>
            <w:color w:val="0000FF"/>
          </w:rPr>
          <w:t>Note D - "Operating Segment</w:t>
        </w:r>
      </w:hyperlink>
      <w:r>
        <w:rPr>
          <w:rFonts w:ascii="Arial" w:cs="Arial" w:eastAsia="Arial" w:hAnsi="Arial"/>
          <w:sz w:val="18"/>
          <w:szCs w:val="18"/>
          <w:color w:val="auto"/>
        </w:rPr>
        <w:t xml:space="preserve"> </w:t>
      </w:r>
      <w:hyperlink w:anchor="page18">
        <w:r>
          <w:rPr>
            <w:rFonts w:ascii="Arial" w:cs="Arial" w:eastAsia="Arial" w:hAnsi="Arial"/>
            <w:sz w:val="18"/>
            <w:szCs w:val="18"/>
            <w:u w:val="single" w:color="auto"/>
            <w:color w:val="0000FF"/>
          </w:rPr>
          <w:t>Data"</w:t>
        </w:r>
        <w:r>
          <w:rPr>
            <w:rFonts w:ascii="Arial" w:cs="Arial" w:eastAsia="Arial" w:hAnsi="Arial"/>
            <w:sz w:val="18"/>
            <w:szCs w:val="18"/>
            <w:color w:val="0000FF"/>
          </w:rPr>
          <w:t xml:space="preserve"> </w:t>
        </w:r>
        <w:r>
          <w:rPr>
            <w:rFonts w:ascii="Arial" w:cs="Arial" w:eastAsia="Arial" w:hAnsi="Arial"/>
            <w:sz w:val="18"/>
            <w:szCs w:val="18"/>
            <w:color w:val="000000"/>
          </w:rPr>
          <w:t>for further discussion of the operating segments. Compass Group Management LLC, a Delaware limited liability company ("CGM" or</w:t>
        </w:r>
      </w:hyperlink>
      <w:r>
        <w:rPr>
          <w:rFonts w:ascii="Arial" w:cs="Arial" w:eastAsia="Arial" w:hAnsi="Arial"/>
          <w:sz w:val="18"/>
          <w:szCs w:val="18"/>
          <w:color w:val="0000FF"/>
        </w:rPr>
        <w:t xml:space="preserve"> </w:t>
      </w:r>
      <w:r>
        <w:rPr>
          <w:rFonts w:ascii="Arial" w:cs="Arial" w:eastAsia="Arial" w:hAnsi="Arial"/>
          <w:sz w:val="18"/>
          <w:szCs w:val="18"/>
          <w:color w:val="000000"/>
        </w:rPr>
        <w:t>the "Manager"), manages the day to day operations of the Company and oversees the management and operations of our businesses pursuant to a Management Services Agreement ("MSA").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condensed consolidated financial statements for the three and six month periods ended June 30, 2021 and June 30, 2020 are unaudited, and in the opinion of management, contain all adjustments necessary for a fair presentation of the condensed consolidated financial statements. Such adjustments consist solely of normal recurring items. Interim results are not necessarily indicative of results for a full year or any subsequent interim period. The condensed consolidated financial statements and notes are prepared in accordance with accounting principles generally accepted in the United States of America ("U.S. GAAP" or "GAAP") and presented as permitted by Form 10-Q and do not contain certain information included in the annual consolidated financial statements and accompanying notes of the Company. These interim condensed consolidated financial statements should be read in conjunction with the consolidated financial statements and accompanying notes included in the Company’s Annual Report on Form 10-K for the year ended December 31,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condensed consolidated financial statements include the accounts of Holdings and all majority owned subsidiaries. All significant intercompany transactions and balances have been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quarters produce the highest net sales during our fiscal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This guidance removes certain exceptions related to the approach for intraperiod tax allocation, the methodology for calculating income taxes in an interim period, and the recognition of deferred tax liabilities for outside basis differences. This guidance also clarifies and simplifies other areas of ASC 740. The guidance was effective for fiscal years and interim periods beginning after December 15, 2020 and early adoption is permitted. The adoption of this guidance on January 1, 2021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B —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Marucci Sports, LLC</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20, 2020, pursuant to an Agreement and Plan of Merger entered into on March 6, 2020, the Company, through a wholly-owned subsidiary, Wheelhouse Holdings Inc., a Delaware corporation (“Buyer”) and Wheelhouse Holdings Merger Sub LLC, a Delaware limited liability company and a wholly owned Subsidiary of Buyer (“Merger Sub”), completed a merger (the “Transaction”) with Marucci Sports, LLC, a Delaware limited liability company (“Marucci”). Upon the completion of the Transaction, Marucci became a wholly owned subsidiary of Buyer and an indirect subsidiary of the Company. Headquartered in Baton Rouge, Louisiana, Marucci is a leading manufacturer and distributor of baseball and softball equipment. Founded in 2009, Marucci has a product portfolio that includes wood and metal bats, apparel and accessories, batting and fielding gloves and bags and protective gear.</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made loans to, and purchased a 92.2% equity interest in, Marucci. The purchase price, including proceeds from noncontrolling shareholders and net of transaction costs, was $198.9 million. Marucci management and certain existing shareholders invested in the Transaction along with the Company, representing 7.8% initial noncontrolling interest on both a primary and fully diluted basis. The fair value of the noncontrolling interest was determined based on the enterprise value of the acquired entity multiplied by the ratio of the number of shares acquired by the minority holders to total shares. The transaction was accounted for as a business combination. CGM acted as an advisor to the Company in the acquisition and will continue to provide integration services during the first year of the Company's ownership of Marucci. CGM will receive integration service fees of $2.0 million payable quarterly over a twelve month period as services are rendered which payments began in the quarter ended September 30, 2020. The Company incurred $2.0 million of transaction costs in conjunction with the Marucci acquisition, which was included in selling, general and administrative expense in the consolidated statements of operations during the second quarter of 2020.</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results of operations of Marucci have been included in the consolidated results of operations since the date of acquisition. Marucci's results of operations are reported as a separate operating segment as a branded consumer business. The table below provides the recording of assets acquired and liabilities assumed as of the date of acquisition.</w:t>
      </w:r>
    </w:p>
    <w:p>
      <w:pPr>
        <w:spacing w:after="0" w:line="250"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7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right"/>
              <w:ind w:right="204"/>
              <w:spacing w:after="0" w:line="162" w:lineRule="exact"/>
              <w:rPr>
                <w:sz w:val="20"/>
                <w:szCs w:val="20"/>
                <w:color w:val="auto"/>
              </w:rPr>
            </w:pPr>
            <w:r>
              <w:rPr>
                <w:rFonts w:ascii="Arial" w:cs="Arial" w:eastAsia="Arial" w:hAnsi="Arial"/>
                <w:sz w:val="15"/>
                <w:szCs w:val="15"/>
                <w:b w:val="1"/>
                <w:bCs w:val="1"/>
                <w:color w:val="auto"/>
              </w:rPr>
              <w:t>Final Purchase Price</w:t>
            </w:r>
          </w:p>
        </w:tc>
      </w:tr>
      <w:tr>
        <w:trPr>
          <w:trHeight w:val="203"/>
        </w:trPr>
        <w:tc>
          <w:tcPr>
            <w:tcW w:w="746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880" w:type="dxa"/>
            <w:vAlign w:val="bottom"/>
          </w:tcPr>
          <w:p>
            <w:pPr>
              <w:jc w:val="right"/>
              <w:ind w:right="584"/>
              <w:spacing w:after="0"/>
              <w:rPr>
                <w:sz w:val="20"/>
                <w:szCs w:val="20"/>
                <w:color w:val="auto"/>
              </w:rPr>
            </w:pPr>
            <w:r>
              <w:rPr>
                <w:rFonts w:ascii="Arial" w:cs="Arial" w:eastAsia="Arial" w:hAnsi="Arial"/>
                <w:sz w:val="15"/>
                <w:szCs w:val="15"/>
                <w:b w:val="1"/>
                <w:bCs w:val="1"/>
                <w:color w:val="auto"/>
              </w:rPr>
              <w:t>Allocation</w:t>
            </w:r>
          </w:p>
        </w:tc>
      </w:tr>
      <w:tr>
        <w:trPr>
          <w:trHeight w:val="196"/>
        </w:trPr>
        <w:tc>
          <w:tcPr>
            <w:tcW w:w="716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Assets</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r>
      <w:tr>
        <w:trPr>
          <w:trHeight w:val="203"/>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Cash</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2,730</w:t>
            </w:r>
          </w:p>
        </w:tc>
      </w:tr>
      <w:tr>
        <w:trPr>
          <w:trHeight w:val="203"/>
        </w:trPr>
        <w:tc>
          <w:tcPr>
            <w:tcW w:w="7460" w:type="dxa"/>
            <w:vAlign w:val="bottom"/>
            <w:gridSpan w:val="3"/>
          </w:tcPr>
          <w:p>
            <w:pPr>
              <w:spacing w:after="0" w:line="202" w:lineRule="exact"/>
              <w:rPr>
                <w:sz w:val="20"/>
                <w:szCs w:val="20"/>
                <w:color w:val="auto"/>
              </w:rPr>
            </w:pPr>
            <w:r>
              <w:rPr>
                <w:rFonts w:ascii="Arial" w:cs="Arial" w:eastAsia="Arial" w:hAnsi="Arial"/>
                <w:sz w:val="15"/>
                <w:szCs w:val="15"/>
                <w:color w:val="auto"/>
              </w:rPr>
              <w:t xml:space="preserve">Accounts Receivable </w:t>
            </w:r>
            <w:r>
              <w:rPr>
                <w:rFonts w:ascii="Arial" w:cs="Arial" w:eastAsia="Arial" w:hAnsi="Arial"/>
                <w:sz w:val="23"/>
                <w:szCs w:val="23"/>
                <w:b w:val="1"/>
                <w:bCs w:val="1"/>
                <w:color w:val="auto"/>
                <w:vertAlign w:val="superscript"/>
              </w:rPr>
              <w:t>(1)</w:t>
            </w:r>
          </w:p>
        </w:tc>
        <w:tc>
          <w:tcPr>
            <w:tcW w:w="1880" w:type="dxa"/>
            <w:vAlign w:val="bottom"/>
          </w:tcPr>
          <w:p>
            <w:pPr>
              <w:jc w:val="right"/>
              <w:spacing w:after="0"/>
              <w:rPr>
                <w:sz w:val="20"/>
                <w:szCs w:val="20"/>
                <w:color w:val="auto"/>
              </w:rPr>
            </w:pPr>
            <w:r>
              <w:rPr>
                <w:rFonts w:ascii="Arial" w:cs="Arial" w:eastAsia="Arial" w:hAnsi="Arial"/>
                <w:sz w:val="15"/>
                <w:szCs w:val="15"/>
                <w:color w:val="auto"/>
              </w:rPr>
              <w:t>11,471</w:t>
            </w:r>
          </w:p>
        </w:tc>
      </w:tr>
      <w:tr>
        <w:trPr>
          <w:trHeight w:val="203"/>
        </w:trPr>
        <w:tc>
          <w:tcPr>
            <w:tcW w:w="7460" w:type="dxa"/>
            <w:vAlign w:val="bottom"/>
            <w:gridSpan w:val="3"/>
            <w:shd w:val="clear" w:color="auto" w:fill="CCEEFF"/>
          </w:tcPr>
          <w:p>
            <w:pPr>
              <w:spacing w:after="0" w:line="202" w:lineRule="exact"/>
              <w:rPr>
                <w:sz w:val="20"/>
                <w:szCs w:val="20"/>
                <w:color w:val="auto"/>
              </w:rPr>
            </w:pPr>
            <w:r>
              <w:rPr>
                <w:rFonts w:ascii="Arial" w:cs="Arial" w:eastAsia="Arial" w:hAnsi="Arial"/>
                <w:sz w:val="15"/>
                <w:szCs w:val="15"/>
                <w:color w:val="auto"/>
              </w:rPr>
              <w:t xml:space="preserve">Inventory </w:t>
            </w:r>
            <w:r>
              <w:rPr>
                <w:rFonts w:ascii="Arial" w:cs="Arial" w:eastAsia="Arial" w:hAnsi="Arial"/>
                <w:sz w:val="23"/>
                <w:szCs w:val="23"/>
                <w:b w:val="1"/>
                <w:bCs w:val="1"/>
                <w:color w:val="auto"/>
                <w:vertAlign w:val="superscript"/>
              </w:rPr>
              <w:t>(2)</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14,481</w:t>
            </w:r>
          </w:p>
        </w:tc>
      </w:tr>
      <w:tr>
        <w:trPr>
          <w:trHeight w:val="203"/>
        </w:trPr>
        <w:tc>
          <w:tcPr>
            <w:tcW w:w="7460" w:type="dxa"/>
            <w:vAlign w:val="bottom"/>
            <w:gridSpan w:val="3"/>
          </w:tcPr>
          <w:p>
            <w:pPr>
              <w:spacing w:after="0" w:line="202" w:lineRule="exact"/>
              <w:rPr>
                <w:sz w:val="20"/>
                <w:szCs w:val="20"/>
                <w:color w:val="auto"/>
              </w:rPr>
            </w:pPr>
            <w:r>
              <w:rPr>
                <w:rFonts w:ascii="Arial" w:cs="Arial" w:eastAsia="Arial" w:hAnsi="Arial"/>
                <w:sz w:val="15"/>
                <w:szCs w:val="15"/>
                <w:color w:val="auto"/>
              </w:rPr>
              <w:t xml:space="preserve">Property, plant and equipment </w:t>
            </w:r>
            <w:r>
              <w:rPr>
                <w:rFonts w:ascii="Arial" w:cs="Arial" w:eastAsia="Arial" w:hAnsi="Arial"/>
                <w:sz w:val="23"/>
                <w:szCs w:val="23"/>
                <w:b w:val="1"/>
                <w:bCs w:val="1"/>
                <w:color w:val="auto"/>
                <w:vertAlign w:val="superscript"/>
              </w:rPr>
              <w:t>(3)</w:t>
            </w:r>
          </w:p>
        </w:tc>
        <w:tc>
          <w:tcPr>
            <w:tcW w:w="1880" w:type="dxa"/>
            <w:vAlign w:val="bottom"/>
          </w:tcPr>
          <w:p>
            <w:pPr>
              <w:jc w:val="right"/>
              <w:spacing w:after="0"/>
              <w:rPr>
                <w:sz w:val="20"/>
                <w:szCs w:val="20"/>
                <w:color w:val="auto"/>
              </w:rPr>
            </w:pPr>
            <w:r>
              <w:rPr>
                <w:rFonts w:ascii="Arial" w:cs="Arial" w:eastAsia="Arial" w:hAnsi="Arial"/>
                <w:sz w:val="15"/>
                <w:szCs w:val="15"/>
                <w:color w:val="auto"/>
              </w:rPr>
              <w:t>10,307</w:t>
            </w:r>
          </w:p>
        </w:tc>
      </w:tr>
      <w:tr>
        <w:trPr>
          <w:trHeight w:val="203"/>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Intangible assets</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100,211</w:t>
            </w:r>
          </w:p>
        </w:tc>
      </w:tr>
      <w:tr>
        <w:trPr>
          <w:trHeight w:val="198"/>
        </w:trPr>
        <w:tc>
          <w:tcPr>
            <w:tcW w:w="7460" w:type="dxa"/>
            <w:vAlign w:val="bottom"/>
            <w:gridSpan w:val="3"/>
          </w:tcPr>
          <w:p>
            <w:pPr>
              <w:spacing w:after="0"/>
              <w:rPr>
                <w:sz w:val="20"/>
                <w:szCs w:val="20"/>
                <w:color w:val="auto"/>
              </w:rPr>
            </w:pPr>
            <w:r>
              <w:rPr>
                <w:rFonts w:ascii="Arial" w:cs="Arial" w:eastAsia="Arial" w:hAnsi="Arial"/>
                <w:sz w:val="15"/>
                <w:szCs w:val="15"/>
                <w:color w:val="auto"/>
              </w:rPr>
              <w:t>Goodwill</w:t>
            </w:r>
          </w:p>
        </w:tc>
        <w:tc>
          <w:tcPr>
            <w:tcW w:w="1880" w:type="dxa"/>
            <w:vAlign w:val="bottom"/>
          </w:tcPr>
          <w:p>
            <w:pPr>
              <w:jc w:val="right"/>
              <w:spacing w:after="0"/>
              <w:rPr>
                <w:sz w:val="20"/>
                <w:szCs w:val="20"/>
                <w:color w:val="auto"/>
              </w:rPr>
            </w:pPr>
            <w:r>
              <w:rPr>
                <w:rFonts w:ascii="Arial" w:cs="Arial" w:eastAsia="Arial" w:hAnsi="Arial"/>
                <w:sz w:val="15"/>
                <w:szCs w:val="15"/>
                <w:color w:val="auto"/>
              </w:rPr>
              <w:t>68,170</w:t>
            </w:r>
          </w:p>
        </w:tc>
      </w:tr>
      <w:tr>
        <w:trPr>
          <w:trHeight w:val="207"/>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Other current and noncurrent assets</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2,208</w:t>
            </w:r>
          </w:p>
        </w:tc>
      </w:tr>
      <w:tr>
        <w:trPr>
          <w:trHeight w:val="192"/>
        </w:trPr>
        <w:tc>
          <w:tcPr>
            <w:tcW w:w="7260" w:type="dxa"/>
            <w:vAlign w:val="bottom"/>
            <w:gridSpan w:val="2"/>
          </w:tcPr>
          <w:p>
            <w:pPr>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209,578</w:t>
            </w:r>
          </w:p>
        </w:tc>
      </w:tr>
      <w:tr>
        <w:trPr>
          <w:trHeight w:val="274"/>
        </w:trPr>
        <w:tc>
          <w:tcPr>
            <w:tcW w:w="7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02"/>
        </w:trPr>
        <w:tc>
          <w:tcPr>
            <w:tcW w:w="7460" w:type="dxa"/>
            <w:vAlign w:val="bottom"/>
            <w:gridSpan w:val="3"/>
          </w:tcPr>
          <w:p>
            <w:pPr>
              <w:spacing w:after="0"/>
              <w:rPr>
                <w:sz w:val="20"/>
                <w:szCs w:val="20"/>
                <w:color w:val="auto"/>
              </w:rPr>
            </w:pPr>
            <w:r>
              <w:rPr>
                <w:rFonts w:ascii="Arial" w:cs="Arial" w:eastAsia="Arial" w:hAnsi="Arial"/>
                <w:sz w:val="15"/>
                <w:szCs w:val="15"/>
                <w:b w:val="1"/>
                <w:bCs w:val="1"/>
                <w:color w:val="auto"/>
              </w:rPr>
              <w:t>Liabilities and noncontrolling interest</w:t>
            </w:r>
          </w:p>
        </w:tc>
        <w:tc>
          <w:tcPr>
            <w:tcW w:w="1880" w:type="dxa"/>
            <w:vAlign w:val="bottom"/>
          </w:tcPr>
          <w:p>
            <w:pPr>
              <w:spacing w:after="0"/>
              <w:rPr>
                <w:sz w:val="17"/>
                <w:szCs w:val="17"/>
                <w:color w:val="auto"/>
              </w:rPr>
            </w:pPr>
          </w:p>
        </w:tc>
      </w:tr>
      <w:tr>
        <w:trPr>
          <w:trHeight w:val="203"/>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6,501</w:t>
            </w:r>
          </w:p>
        </w:tc>
      </w:tr>
      <w:tr>
        <w:trPr>
          <w:trHeight w:val="198"/>
        </w:trPr>
        <w:tc>
          <w:tcPr>
            <w:tcW w:w="7460" w:type="dxa"/>
            <w:vAlign w:val="bottom"/>
            <w:gridSpan w:val="3"/>
          </w:tcPr>
          <w:p>
            <w:pPr>
              <w:spacing w:after="0"/>
              <w:rPr>
                <w:sz w:val="20"/>
                <w:szCs w:val="20"/>
                <w:color w:val="auto"/>
              </w:rPr>
            </w:pPr>
            <w:r>
              <w:rPr>
                <w:rFonts w:ascii="Arial" w:cs="Arial" w:eastAsia="Arial" w:hAnsi="Arial"/>
                <w:sz w:val="15"/>
                <w:szCs w:val="15"/>
                <w:color w:val="auto"/>
              </w:rPr>
              <w:t>Other liabilities</w:t>
            </w:r>
          </w:p>
        </w:tc>
        <w:tc>
          <w:tcPr>
            <w:tcW w:w="1880" w:type="dxa"/>
            <w:vAlign w:val="bottom"/>
          </w:tcPr>
          <w:p>
            <w:pPr>
              <w:jc w:val="right"/>
              <w:spacing w:after="0"/>
              <w:rPr>
                <w:sz w:val="20"/>
                <w:szCs w:val="20"/>
                <w:color w:val="auto"/>
              </w:rPr>
            </w:pPr>
            <w:r>
              <w:rPr>
                <w:rFonts w:ascii="Arial" w:cs="Arial" w:eastAsia="Arial" w:hAnsi="Arial"/>
                <w:sz w:val="15"/>
                <w:szCs w:val="15"/>
                <w:color w:val="auto"/>
              </w:rPr>
              <w:t>43,058</w:t>
            </w:r>
          </w:p>
        </w:tc>
      </w:tr>
      <w:tr>
        <w:trPr>
          <w:trHeight w:val="207"/>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Deferred tax liabilities</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1,161</w:t>
            </w:r>
          </w:p>
        </w:tc>
      </w:tr>
      <w:tr>
        <w:trPr>
          <w:trHeight w:val="198"/>
        </w:trPr>
        <w:tc>
          <w:tcPr>
            <w:tcW w:w="7460" w:type="dxa"/>
            <w:vAlign w:val="bottom"/>
            <w:gridSpan w:val="3"/>
          </w:tcPr>
          <w:p>
            <w:pPr>
              <w:spacing w:after="0"/>
              <w:rPr>
                <w:sz w:val="20"/>
                <w:szCs w:val="20"/>
                <w:color w:val="auto"/>
              </w:rPr>
            </w:pPr>
            <w:r>
              <w:rPr>
                <w:rFonts w:ascii="Arial" w:cs="Arial" w:eastAsia="Arial" w:hAnsi="Arial"/>
                <w:sz w:val="15"/>
                <w:szCs w:val="15"/>
                <w:color w:val="auto"/>
              </w:rPr>
              <w:t>Noncontrolling interest</w:t>
            </w:r>
          </w:p>
        </w:tc>
        <w:tc>
          <w:tcPr>
            <w:tcW w:w="1880" w:type="dxa"/>
            <w:vAlign w:val="bottom"/>
          </w:tcPr>
          <w:p>
            <w:pPr>
              <w:jc w:val="right"/>
              <w:spacing w:after="0"/>
              <w:rPr>
                <w:sz w:val="20"/>
                <w:szCs w:val="20"/>
                <w:color w:val="auto"/>
              </w:rPr>
            </w:pPr>
            <w:r>
              <w:rPr>
                <w:rFonts w:ascii="Arial" w:cs="Arial" w:eastAsia="Arial" w:hAnsi="Arial"/>
                <w:sz w:val="15"/>
                <w:szCs w:val="15"/>
                <w:color w:val="auto"/>
              </w:rPr>
              <w:t>11,127</w:t>
            </w:r>
          </w:p>
        </w:tc>
      </w:tr>
      <w:tr>
        <w:trPr>
          <w:trHeight w:val="200"/>
        </w:trPr>
        <w:tc>
          <w:tcPr>
            <w:tcW w:w="7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 liabilities and noncontrolling interest</w:t>
            </w:r>
          </w:p>
        </w:tc>
        <w:tc>
          <w:tcPr>
            <w:tcW w:w="20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61,847</w:t>
            </w:r>
          </w:p>
        </w:tc>
      </w:tr>
      <w:tr>
        <w:trPr>
          <w:trHeight w:val="270"/>
        </w:trPr>
        <w:tc>
          <w:tcPr>
            <w:tcW w:w="7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03"/>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assets acquired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147,731</w:t>
            </w:r>
          </w:p>
        </w:tc>
      </w:tr>
      <w:tr>
        <w:trPr>
          <w:trHeight w:val="198"/>
        </w:trPr>
        <w:tc>
          <w:tcPr>
            <w:tcW w:w="7460" w:type="dxa"/>
            <w:vAlign w:val="bottom"/>
            <w:gridSpan w:val="3"/>
          </w:tcPr>
          <w:p>
            <w:pPr>
              <w:spacing w:after="0"/>
              <w:rPr>
                <w:sz w:val="20"/>
                <w:szCs w:val="20"/>
                <w:color w:val="auto"/>
              </w:rPr>
            </w:pPr>
            <w:r>
              <w:rPr>
                <w:rFonts w:ascii="Arial" w:cs="Arial" w:eastAsia="Arial" w:hAnsi="Arial"/>
                <w:sz w:val="15"/>
                <w:szCs w:val="15"/>
                <w:color w:val="auto"/>
              </w:rPr>
              <w:t>Noncontrolling interest</w:t>
            </w:r>
          </w:p>
        </w:tc>
        <w:tc>
          <w:tcPr>
            <w:tcW w:w="1880" w:type="dxa"/>
            <w:vAlign w:val="bottom"/>
          </w:tcPr>
          <w:p>
            <w:pPr>
              <w:jc w:val="right"/>
              <w:spacing w:after="0"/>
              <w:rPr>
                <w:sz w:val="20"/>
                <w:szCs w:val="20"/>
                <w:color w:val="auto"/>
              </w:rPr>
            </w:pPr>
            <w:r>
              <w:rPr>
                <w:rFonts w:ascii="Arial" w:cs="Arial" w:eastAsia="Arial" w:hAnsi="Arial"/>
                <w:sz w:val="15"/>
                <w:szCs w:val="15"/>
                <w:color w:val="auto"/>
              </w:rPr>
              <w:t>11,127</w:t>
            </w:r>
          </w:p>
        </w:tc>
      </w:tr>
      <w:tr>
        <w:trPr>
          <w:trHeight w:val="203"/>
        </w:trPr>
        <w:tc>
          <w:tcPr>
            <w:tcW w:w="7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Intercompany loans</w:t>
            </w:r>
          </w:p>
        </w:tc>
        <w:tc>
          <w:tcPr>
            <w:tcW w:w="20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42,100</w:t>
            </w:r>
          </w:p>
        </w:tc>
      </w:tr>
      <w:tr>
        <w:trPr>
          <w:trHeight w:val="196"/>
        </w:trPr>
        <w:tc>
          <w:tcPr>
            <w:tcW w:w="7460" w:type="dxa"/>
            <w:vAlign w:val="bottom"/>
            <w:gridSpan w:val="3"/>
          </w:tcPr>
          <w:p>
            <w:pPr>
              <w:ind w:left="7280"/>
              <w:spacing w:after="0"/>
              <w:rPr>
                <w:sz w:val="20"/>
                <w:szCs w:val="20"/>
                <w:color w:val="auto"/>
              </w:rPr>
            </w:pPr>
            <w:r>
              <w:rPr>
                <w:rFonts w:ascii="Arial" w:cs="Arial" w:eastAsia="Arial" w:hAnsi="Arial"/>
                <w:sz w:val="15"/>
                <w:szCs w:val="15"/>
                <w:color w:val="auto"/>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200,958</w:t>
            </w:r>
          </w:p>
        </w:tc>
      </w:tr>
      <w:tr>
        <w:trPr>
          <w:trHeight w:val="25"/>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88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3" w:name="page14"/>
    <w:bookmarkEnd w:id="13"/>
    <w:tbl>
      <w:tblPr>
        <w:tblLayout w:type="fixed"/>
        <w:tblInd w:w="960" w:type="dxa"/>
        <w:tblCellMar>
          <w:top w:w="0" w:type="dxa"/>
          <w:left w:w="0" w:type="dxa"/>
          <w:bottom w:w="0" w:type="dxa"/>
          <w:right w:w="0" w:type="dxa"/>
        </w:tblCellMar>
      </w:tblPr>
      <w:tr>
        <w:trPr>
          <w:trHeight w:val="206"/>
        </w:trPr>
        <w:tc>
          <w:tcPr>
            <w:tcW w:w="7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Acquisition consideration</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r>
      <w:tr>
        <w:trPr>
          <w:trHeight w:val="200"/>
        </w:trPr>
        <w:tc>
          <w:tcPr>
            <w:tcW w:w="7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Purchase price</w:t>
            </w:r>
          </w:p>
        </w:tc>
        <w:tc>
          <w:tcPr>
            <w:tcW w:w="780" w:type="dxa"/>
            <w:vAlign w:val="bottom"/>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200,000</w:t>
            </w:r>
          </w:p>
        </w:tc>
      </w:tr>
      <w:tr>
        <w:trPr>
          <w:trHeight w:val="198"/>
        </w:trPr>
        <w:tc>
          <w:tcPr>
            <w:tcW w:w="7260" w:type="dxa"/>
            <w:vAlign w:val="bottom"/>
            <w:gridSpan w:val="2"/>
          </w:tcPr>
          <w:p>
            <w:pPr>
              <w:spacing w:after="0"/>
              <w:rPr>
                <w:sz w:val="20"/>
                <w:szCs w:val="20"/>
                <w:color w:val="auto"/>
              </w:rPr>
            </w:pPr>
            <w:r>
              <w:rPr>
                <w:rFonts w:ascii="Arial" w:cs="Arial" w:eastAsia="Arial" w:hAnsi="Arial"/>
                <w:sz w:val="15"/>
                <w:szCs w:val="15"/>
                <w:color w:val="auto"/>
              </w:rPr>
              <w:t>Cash acquired</w:t>
            </w:r>
          </w:p>
        </w:tc>
        <w:tc>
          <w:tcPr>
            <w:tcW w:w="7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2,730</w:t>
            </w:r>
          </w:p>
        </w:tc>
      </w:tr>
      <w:tr>
        <w:trPr>
          <w:trHeight w:val="207"/>
        </w:trPr>
        <w:tc>
          <w:tcPr>
            <w:tcW w:w="7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working capital adjustment</w:t>
            </w: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w:t>
            </w:r>
          </w:p>
        </w:tc>
      </w:tr>
      <w:tr>
        <w:trPr>
          <w:trHeight w:val="198"/>
        </w:trPr>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Other adjustments</w:t>
            </w: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(2,500)</w:t>
            </w:r>
          </w:p>
        </w:tc>
      </w:tr>
      <w:tr>
        <w:trPr>
          <w:trHeight w:val="200"/>
        </w:trPr>
        <w:tc>
          <w:tcPr>
            <w:tcW w:w="7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purchase consideration</w:t>
            </w:r>
          </w:p>
        </w:tc>
        <w:tc>
          <w:tcPr>
            <w:tcW w:w="780" w:type="dxa"/>
            <w:vAlign w:val="bottom"/>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200,958</w:t>
            </w:r>
          </w:p>
        </w:tc>
      </w:tr>
      <w:tr>
        <w:trPr>
          <w:trHeight w:val="199"/>
        </w:trPr>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Less: Transaction costs</w:t>
            </w: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2,042</w:t>
            </w:r>
          </w:p>
        </w:tc>
      </w:tr>
      <w:tr>
        <w:trPr>
          <w:trHeight w:val="225"/>
        </w:trPr>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purchase price</w:t>
            </w:r>
          </w:p>
        </w:tc>
        <w:tc>
          <w:tcPr>
            <w:tcW w:w="780" w:type="dxa"/>
            <w:vAlign w:val="bottom"/>
            <w:tcBorders>
              <w:bottom w:val="single" w:sz="8" w:color="auto"/>
            </w:tcBorders>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198,916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right="20" w:firstLine="8"/>
        <w:spacing w:after="0" w:line="278" w:lineRule="auto"/>
        <w:tabs>
          <w:tab w:leader="none" w:pos="275"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Includes $12.7 million in gross contractual accounts receivable, of which $1.2 million is not expected to be collected. The fair value of accounts receivable approximates book value acquired.</w:t>
      </w:r>
    </w:p>
    <w:p>
      <w:pPr>
        <w:spacing w:after="0" w:line="127" w:lineRule="exact"/>
        <w:rPr>
          <w:rFonts w:ascii="Arial" w:cs="Arial" w:eastAsia="Arial" w:hAnsi="Arial"/>
          <w:sz w:val="16"/>
          <w:szCs w:val="16"/>
          <w:b w:val="1"/>
          <w:bCs w:val="1"/>
          <w:color w:val="auto"/>
        </w:rPr>
      </w:pPr>
    </w:p>
    <w:p>
      <w:pPr>
        <w:ind w:firstLine="8"/>
        <w:spacing w:after="0" w:line="260" w:lineRule="auto"/>
        <w:tabs>
          <w:tab w:leader="none" w:pos="256"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Includes $4.3 million in inventory basis step-up, which will be charged to cost of goods sold. $3.0 million was amortized to cost of goods sold in the second quarter of 2020, and $1.3 million was charged to cost of goods sold in the third quarter of 2020.</w:t>
      </w:r>
    </w:p>
    <w:p>
      <w:pPr>
        <w:spacing w:after="0" w:line="141" w:lineRule="exact"/>
        <w:rPr>
          <w:rFonts w:ascii="Arial" w:cs="Arial" w:eastAsia="Arial" w:hAnsi="Arial"/>
          <w:sz w:val="16"/>
          <w:szCs w:val="16"/>
          <w:b w:val="1"/>
          <w:bCs w:val="1"/>
          <w:color w:val="auto"/>
        </w:rPr>
      </w:pPr>
    </w:p>
    <w:p>
      <w:pPr>
        <w:ind w:right="700" w:firstLine="8"/>
        <w:spacing w:after="0" w:line="260" w:lineRule="auto"/>
        <w:tabs>
          <w:tab w:leader="none" w:pos="243"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Includes $2.5 million of property, plant and equipment basis step-up. The fair value of property, plant and equipment will be depreciated over the remaining useful lives of the assets.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allocation of the purchase price presented above is based on management's estimate of the fair values using valuation techniques including the income, cost and market approach. In estimating the fair value of the acquired assets and assumed liabilities, the fair value estimates are based on, but not limited to, expected future revenue and cash flows, expected future growth rates and estimated discount rates. Current and noncurrent assets and current and other liabilities are valued at historical carrying values. Property, plant and equipment is valued through a purchase price appraisal and will be depreciated on a straight-line basis over the respective remaining useful lives of the assets. Goodwill is calculated as the excess of the consideration transferred over the fair value of the identifiable net assets acquired and represents the future economic benefits expected to arise from other intangible assets acquired that do not qualify for separate recognition, including assembled workforce and non-contractual relationships, as well as expected future synergies. The goodwill of $68.2 million reflects the strategic fit of Marucci in the Company's branded consumer business and is expected to be deductible for income tax purposes.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recorded related to the Marucci acquisition are as follows (in thousands):</w:t>
      </w:r>
    </w:p>
    <w:p>
      <w:pPr>
        <w:spacing w:after="0" w:line="94" w:lineRule="exact"/>
        <w:rPr>
          <w:sz w:val="20"/>
          <w:szCs w:val="20"/>
          <w:color w:val="auto"/>
        </w:rPr>
      </w:pPr>
    </w:p>
    <w:tbl>
      <w:tblPr>
        <w:tblLayout w:type="fixed"/>
        <w:tblInd w:w="1420" w:type="dxa"/>
        <w:tblCellMar>
          <w:top w:w="0" w:type="dxa"/>
          <w:left w:w="0" w:type="dxa"/>
          <w:bottom w:w="0" w:type="dxa"/>
          <w:right w:w="0" w:type="dxa"/>
        </w:tblCellMar>
      </w:tblPr>
      <w:tr>
        <w:trPr>
          <w:trHeight w:val="172"/>
        </w:trPr>
        <w:tc>
          <w:tcPr>
            <w:tcW w:w="1620" w:type="dxa"/>
            <w:vAlign w:val="bottom"/>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Intangible Assets</w:t>
            </w:r>
          </w:p>
        </w:tc>
        <w:tc>
          <w:tcPr>
            <w:tcW w:w="180" w:type="dxa"/>
            <w:vAlign w:val="bottom"/>
            <w:vMerge w:val="restart"/>
          </w:tcPr>
          <w:p>
            <w:pPr>
              <w:spacing w:after="0"/>
              <w:rPr>
                <w:sz w:val="15"/>
                <w:szCs w:val="15"/>
                <w:color w:val="auto"/>
              </w:rPr>
            </w:pPr>
          </w:p>
        </w:tc>
        <w:tc>
          <w:tcPr>
            <w:tcW w:w="460" w:type="dxa"/>
            <w:vAlign w:val="bottom"/>
            <w:vMerge w:val="restart"/>
          </w:tcPr>
          <w:p>
            <w:pPr>
              <w:spacing w:after="0"/>
              <w:rPr>
                <w:sz w:val="15"/>
                <w:szCs w:val="15"/>
                <w:color w:val="auto"/>
              </w:rPr>
            </w:pPr>
          </w:p>
        </w:tc>
        <w:tc>
          <w:tcPr>
            <w:tcW w:w="1740" w:type="dxa"/>
            <w:vAlign w:val="bottom"/>
            <w:vMerge w:val="restart"/>
          </w:tcPr>
          <w:p>
            <w:pPr>
              <w:jc w:val="right"/>
              <w:ind w:right="744"/>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Estimated Useful</w:t>
            </w:r>
          </w:p>
        </w:tc>
        <w:tc>
          <w:tcPr>
            <w:tcW w:w="0" w:type="dxa"/>
            <w:vAlign w:val="bottom"/>
          </w:tcPr>
          <w:p>
            <w:pPr>
              <w:spacing w:after="0"/>
              <w:rPr>
                <w:sz w:val="1"/>
                <w:szCs w:val="1"/>
                <w:color w:val="auto"/>
              </w:rPr>
            </w:pPr>
          </w:p>
        </w:tc>
      </w:tr>
      <w:tr>
        <w:trPr>
          <w:trHeight w:val="202"/>
        </w:trPr>
        <w:tc>
          <w:tcPr>
            <w:tcW w:w="16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Life</w:t>
            </w:r>
          </w:p>
        </w:tc>
        <w:tc>
          <w:tcPr>
            <w:tcW w:w="0" w:type="dxa"/>
            <w:vAlign w:val="bottom"/>
          </w:tcPr>
          <w:p>
            <w:pPr>
              <w:spacing w:after="0"/>
              <w:rPr>
                <w:sz w:val="1"/>
                <w:szCs w:val="1"/>
                <w:color w:val="auto"/>
              </w:rPr>
            </w:pPr>
          </w:p>
        </w:tc>
      </w:tr>
      <w:tr>
        <w:trPr>
          <w:trHeight w:val="196"/>
        </w:trPr>
        <w:tc>
          <w:tcPr>
            <w:tcW w:w="1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Tradename</w:t>
            </w:r>
          </w:p>
        </w:tc>
        <w:tc>
          <w:tcPr>
            <w:tcW w:w="354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84,891</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199"/>
        </w:trPr>
        <w:tc>
          <w:tcPr>
            <w:tcW w:w="162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11,120</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2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3540" w:type="dxa"/>
            <w:vAlign w:val="bottom"/>
            <w:gridSpan w:val="3"/>
          </w:tcPr>
          <w:p>
            <w:pPr>
              <w:jc w:val="right"/>
              <w:ind w:right="360"/>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100,211</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tradename was valued at $84.9 million using a multi-period excess earnings methodology. The customer relationships intangible asset was valued at $11.1 million using the distributor method, a variation of the multi-period excess earnings methodology, in which an asset is valuable to the extent it enables its owners to earn a return in excess of the required returns on the other assets utilized in the business. The technology was valued at $4.2 million using a relief from royalty method.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Boa Technology, Inc.</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16, 2020, the Company, through its newly formed acquisition subsidiaries, BOA Holdings Inc., a Delaware corporation (“BOA Holdings”) and BOA Parent Inc., a Delaware corporation (“BOA Buyer”) and a wholly-owned subsidiary of BOA Holdings, acquired Boa Technology Inc. ("BOA"), and its subsidiaries pursuant to an Agreement and Plan of Merger (the “Agreement and Plan of Merger”) by and among BOA Buyer, Reel Holding Corp., a Delaware corporation (“Reel”) and the sole stockholder of Boa Technology, Inc., BOA Merger Sub Inc., a Delaware corporation and a wholly-owned subsidiary of BOA Buyer (“Merger Sub”) and Shareholder Representative Services LLC (in its capacity as the representative of the stockholders of Reel) entered into an Agreement and Plan of Merger (the “Merger Agreement”) with Reel Holding Corp., a Delaware corporation (“BOA”) and the sole stockholder of Boa Technology, Inc., BOA Merger Sub Inc., a Delaware corporation and a wholly-owned subsidiary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14" w:name="page15"/>
    <w:bookmarkEnd w:id="14"/>
    <w:p>
      <w:pPr>
        <w:jc w:val="both"/>
        <w:spacing w:after="0" w:line="253" w:lineRule="auto"/>
        <w:rPr>
          <w:sz w:val="20"/>
          <w:szCs w:val="20"/>
          <w:color w:val="auto"/>
        </w:rPr>
      </w:pPr>
      <w:r>
        <w:rPr>
          <w:rFonts w:ascii="Arial" w:cs="Arial" w:eastAsia="Arial" w:hAnsi="Arial"/>
          <w:sz w:val="18"/>
          <w:szCs w:val="18"/>
          <w:color w:val="auto"/>
        </w:rPr>
        <w:t>of BOA Buyer (“Merger Sub”), and Shareholder Representative Services LLC (in its capacity as the representative of the stockholders of BOA). Pursuant to the Merger Agreement, Merger Sub was merged with and into BOA (the “Merger”) such that the separate existence of Merger Sub ceased, and BOA survived the Merger as a wholly-owned subsidiary of BOA Buyer. BOA, creators of the award-winning BOA® Fit System featured in performance footwear, action sports, outdoor and medical products worldwide, was founded in 2001 and is headquartered in Denver, Colorado.</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made loans to, and purchased an 82% equity interest in, BOA. The purchase price, including proceeds from noncontrolling shareholders and net of transaction costs, was $454.3 million. BOA management and certain existing shareholders invested in the transaction along with the Company, representing 18% initial noncontrolling interest on both a primary and fully diluted basis. The fair value of the noncontrolling interest was determined based on the enterprise value of the acquired entity multiplied by the ratio of the number of shares acquired by the minority holders to total shares. The transaction was accounted for as a business combination. CGM acted as an advisor to the Company in the acquisition and will continue to provide integration services during the first year of the Company's ownership of BOA. CGM will receive integration service fees of $4.4 million payable quarterly over a twelve month period as services are rendered which payments began in the quarter ended December 31, 2020. The Company incurred $2.5 million of transaction costs in conjunction with the BOA acquisition, which was included in selling, general and administrative expense in the consolidated statements of operations during the fourth quarter of 2020. The Company funded the acquisition with cash on hand and a $300 million draw on its 2018 Revolving Credit Facility.</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results of operations of BOA have been included in the consolidated results of operations since the date of acquisition. BOA's results of operations are reported as a separate operating segment as a branded consumer business. The table below provides the recording of assets acquired and liabilities assumed as of the date of acquisition.</w:t>
      </w:r>
    </w:p>
    <w:p>
      <w:pPr>
        <w:spacing w:after="0" w:line="304"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7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right"/>
              <w:ind w:right="224"/>
              <w:spacing w:after="0" w:line="162" w:lineRule="exact"/>
              <w:rPr>
                <w:sz w:val="20"/>
                <w:szCs w:val="20"/>
                <w:color w:val="auto"/>
              </w:rPr>
            </w:pPr>
            <w:r>
              <w:rPr>
                <w:rFonts w:ascii="Arial" w:cs="Arial" w:eastAsia="Arial" w:hAnsi="Arial"/>
                <w:sz w:val="15"/>
                <w:szCs w:val="15"/>
                <w:b w:val="1"/>
                <w:bCs w:val="1"/>
                <w:color w:val="auto"/>
              </w:rPr>
              <w:t>Final Purchase Price</w:t>
            </w:r>
          </w:p>
        </w:tc>
      </w:tr>
      <w:tr>
        <w:trPr>
          <w:trHeight w:val="20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Allocation</w:t>
            </w:r>
          </w:p>
        </w:tc>
      </w:tr>
      <w:tr>
        <w:trPr>
          <w:trHeight w:val="192"/>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Assets:</w:t>
            </w: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0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7,677</w:t>
            </w:r>
          </w:p>
        </w:tc>
      </w:tr>
      <w:tr>
        <w:trPr>
          <w:trHeight w:val="203"/>
        </w:trPr>
        <w:tc>
          <w:tcPr>
            <w:tcW w:w="726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 xml:space="preserve">Accounts receivable </w:t>
            </w:r>
            <w:r>
              <w:rPr>
                <w:rFonts w:ascii="Arial" w:cs="Arial" w:eastAsia="Arial" w:hAnsi="Arial"/>
                <w:sz w:val="19"/>
                <w:szCs w:val="19"/>
                <w:b w:val="1"/>
                <w:bCs w:val="1"/>
                <w:color w:val="auto"/>
                <w:vertAlign w:val="superscript"/>
              </w:rPr>
              <w:t>(1)</w:t>
            </w:r>
          </w:p>
        </w:tc>
        <w:tc>
          <w:tcPr>
            <w:tcW w:w="2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2,065</w:t>
            </w:r>
          </w:p>
        </w:tc>
      </w:tr>
      <w:tr>
        <w:trPr>
          <w:trHeight w:val="203"/>
        </w:trPr>
        <w:tc>
          <w:tcPr>
            <w:tcW w:w="726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 xml:space="preserve">Inventory </w:t>
            </w:r>
            <w:r>
              <w:rPr>
                <w:rFonts w:ascii="Arial" w:cs="Arial" w:eastAsia="Arial" w:hAnsi="Arial"/>
                <w:sz w:val="19"/>
                <w:szCs w:val="19"/>
                <w:b w:val="1"/>
                <w:bCs w:val="1"/>
                <w:color w:val="auto"/>
                <w:vertAlign w:val="superscript"/>
              </w:rPr>
              <w:t>(2)</w:t>
            </w: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6,178</w:t>
            </w:r>
          </w:p>
        </w:tc>
      </w:tr>
      <w:tr>
        <w:trPr>
          <w:trHeight w:val="203"/>
        </w:trPr>
        <w:tc>
          <w:tcPr>
            <w:tcW w:w="726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 xml:space="preserve">Property, plant and equipment </w:t>
            </w:r>
            <w:r>
              <w:rPr>
                <w:rFonts w:ascii="Arial" w:cs="Arial" w:eastAsia="Arial" w:hAnsi="Arial"/>
                <w:sz w:val="19"/>
                <w:szCs w:val="19"/>
                <w:b w:val="1"/>
                <w:bCs w:val="1"/>
                <w:color w:val="auto"/>
                <w:vertAlign w:val="superscript"/>
              </w:rPr>
              <w:t>(3)</w:t>
            </w:r>
          </w:p>
        </w:tc>
        <w:tc>
          <w:tcPr>
            <w:tcW w:w="2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15,431</w:t>
            </w:r>
          </w:p>
        </w:tc>
      </w:tr>
      <w:tr>
        <w:trPr>
          <w:trHeight w:val="20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Intangible assets</w:t>
            </w: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234,000</w:t>
            </w:r>
          </w:p>
        </w:tc>
      </w:tr>
      <w:tr>
        <w:trPr>
          <w:trHeight w:val="198"/>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254,153</w:t>
            </w:r>
          </w:p>
        </w:tc>
      </w:tr>
      <w:tr>
        <w:trPr>
          <w:trHeight w:val="20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current and noncurrent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12,554</w:t>
            </w:r>
          </w:p>
        </w:tc>
      </w:tr>
      <w:tr>
        <w:trPr>
          <w:trHeight w:val="192"/>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Total assets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532,058</w:t>
            </w:r>
          </w:p>
        </w:tc>
      </w:tr>
      <w:tr>
        <w:trPr>
          <w:trHeight w:val="477"/>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Liabilities and noncontrolling interest:</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7"/>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14,008</w:t>
            </w:r>
          </w:p>
        </w:tc>
      </w:tr>
      <w:tr>
        <w:trPr>
          <w:trHeight w:val="198"/>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2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130,587</w:t>
            </w:r>
          </w:p>
        </w:tc>
      </w:tr>
      <w:tr>
        <w:trPr>
          <w:trHeight w:val="207"/>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Deferred tax liabilities</w:t>
            </w: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49,969</w:t>
            </w:r>
          </w:p>
        </w:tc>
      </w:tr>
      <w:tr>
        <w:trPr>
          <w:trHeight w:val="198"/>
        </w:trPr>
        <w:tc>
          <w:tcPr>
            <w:tcW w:w="72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Noncontrolling interest</w:t>
            </w: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61,534</w:t>
            </w:r>
          </w:p>
        </w:tc>
      </w:tr>
      <w:tr>
        <w:trPr>
          <w:trHeight w:val="20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liabilities and noncontrolling interest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256,098</w:t>
            </w:r>
          </w:p>
        </w:tc>
      </w:tr>
      <w:tr>
        <w:trPr>
          <w:trHeight w:val="270"/>
        </w:trPr>
        <w:tc>
          <w:tcPr>
            <w:tcW w:w="7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0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assets acquired</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275,960</w:t>
            </w:r>
          </w:p>
        </w:tc>
      </w:tr>
      <w:tr>
        <w:trPr>
          <w:trHeight w:val="198"/>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Noncontrolling interest</w:t>
            </w:r>
          </w:p>
        </w:tc>
        <w:tc>
          <w:tcPr>
            <w:tcW w:w="2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61,534</w:t>
            </w:r>
          </w:p>
        </w:tc>
      </w:tr>
      <w:tr>
        <w:trPr>
          <w:trHeight w:val="20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Intercompany loans to business</w:t>
            </w:r>
          </w:p>
        </w:tc>
        <w:tc>
          <w:tcPr>
            <w:tcW w:w="20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119,349</w:t>
            </w:r>
          </w:p>
        </w:tc>
      </w:tr>
      <w:tr>
        <w:trPr>
          <w:trHeight w:val="196"/>
        </w:trPr>
        <w:tc>
          <w:tcPr>
            <w:tcW w:w="7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456,843</w:t>
            </w:r>
          </w:p>
        </w:tc>
      </w:tr>
      <w:tr>
        <w:trPr>
          <w:trHeight w:val="24"/>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5" w:name="page16"/>
    <w:bookmarkEnd w:id="15"/>
    <w:tbl>
      <w:tblPr>
        <w:tblLayout w:type="fixed"/>
        <w:tblInd w:w="920" w:type="dxa"/>
        <w:tblCellMar>
          <w:top w:w="0" w:type="dxa"/>
          <w:left w:w="0" w:type="dxa"/>
          <w:bottom w:w="0" w:type="dxa"/>
          <w:right w:w="0" w:type="dxa"/>
        </w:tblCellMar>
      </w:tblPr>
      <w:tr>
        <w:trPr>
          <w:trHeight w:val="206"/>
        </w:trPr>
        <w:tc>
          <w:tcPr>
            <w:tcW w:w="7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Acquisition consideration</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r>
      <w:tr>
        <w:trPr>
          <w:trHeight w:val="200"/>
        </w:trPr>
        <w:tc>
          <w:tcPr>
            <w:tcW w:w="7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Purchase price</w:t>
            </w:r>
          </w:p>
        </w:tc>
        <w:tc>
          <w:tcPr>
            <w:tcW w:w="780" w:type="dxa"/>
            <w:vAlign w:val="bottom"/>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454,000</w:t>
            </w:r>
          </w:p>
        </w:tc>
      </w:tr>
      <w:tr>
        <w:trPr>
          <w:trHeight w:val="198"/>
        </w:trPr>
        <w:tc>
          <w:tcPr>
            <w:tcW w:w="7340" w:type="dxa"/>
            <w:vAlign w:val="bottom"/>
            <w:gridSpan w:val="2"/>
          </w:tcPr>
          <w:p>
            <w:pPr>
              <w:spacing w:after="0"/>
              <w:rPr>
                <w:sz w:val="20"/>
                <w:szCs w:val="20"/>
                <w:color w:val="auto"/>
              </w:rPr>
            </w:pPr>
            <w:r>
              <w:rPr>
                <w:rFonts w:ascii="Arial" w:cs="Arial" w:eastAsia="Arial" w:hAnsi="Arial"/>
                <w:sz w:val="15"/>
                <w:szCs w:val="15"/>
                <w:color w:val="auto"/>
              </w:rPr>
              <w:t>Cash acquired</w:t>
            </w:r>
          </w:p>
        </w:tc>
        <w:tc>
          <w:tcPr>
            <w:tcW w:w="7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7,677</w:t>
            </w:r>
          </w:p>
        </w:tc>
      </w:tr>
      <w:tr>
        <w:trPr>
          <w:trHeight w:val="207"/>
        </w:trPr>
        <w:tc>
          <w:tcPr>
            <w:tcW w:w="7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working capital adjustment</w:t>
            </w: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w:t>
            </w:r>
          </w:p>
        </w:tc>
      </w:tr>
      <w:tr>
        <w:trPr>
          <w:trHeight w:val="198"/>
        </w:trPr>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Other adjustments</w:t>
            </w: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(2,864)</w:t>
            </w:r>
          </w:p>
        </w:tc>
      </w:tr>
      <w:tr>
        <w:trPr>
          <w:trHeight w:val="200"/>
        </w:trPr>
        <w:tc>
          <w:tcPr>
            <w:tcW w:w="7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purchase consideration</w:t>
            </w:r>
          </w:p>
        </w:tc>
        <w:tc>
          <w:tcPr>
            <w:tcW w:w="780" w:type="dxa"/>
            <w:vAlign w:val="bottom"/>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456,843</w:t>
            </w:r>
          </w:p>
        </w:tc>
      </w:tr>
      <w:tr>
        <w:trPr>
          <w:trHeight w:val="198"/>
        </w:trPr>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Less: Transaction costs</w:t>
            </w: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2,517</w:t>
            </w:r>
          </w:p>
        </w:tc>
      </w:tr>
      <w:tr>
        <w:trPr>
          <w:trHeight w:val="225"/>
        </w:trPr>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purchase price</w:t>
            </w:r>
          </w:p>
        </w:tc>
        <w:tc>
          <w:tcPr>
            <w:tcW w:w="780" w:type="dxa"/>
            <w:vAlign w:val="bottom"/>
            <w:tcBorders>
              <w:bottom w:val="single" w:sz="8" w:color="auto"/>
            </w:tcBorders>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454,326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20" w:firstLine="8"/>
        <w:spacing w:after="0" w:line="278" w:lineRule="auto"/>
        <w:tabs>
          <w:tab w:leader="none" w:pos="275"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Includes $2.1 million in gross contractual accounts receivable, of which $0.06 million is not expected to be collected. The fair value of accounts receivable approximates book value acquired.</w:t>
      </w:r>
    </w:p>
    <w:p>
      <w:pPr>
        <w:spacing w:after="0" w:line="127" w:lineRule="exact"/>
        <w:rPr>
          <w:rFonts w:ascii="Arial" w:cs="Arial" w:eastAsia="Arial" w:hAnsi="Arial"/>
          <w:sz w:val="16"/>
          <w:szCs w:val="16"/>
          <w:b w:val="1"/>
          <w:bCs w:val="1"/>
          <w:color w:val="auto"/>
        </w:rPr>
      </w:pPr>
    </w:p>
    <w:p>
      <w:pPr>
        <w:ind w:left="260" w:hanging="252"/>
        <w:spacing w:after="0"/>
        <w:tabs>
          <w:tab w:leader="none" w:pos="2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Includes $1.5 million in inventory basis step-up, which was charged to cost of goods sold in the fourth quarter of 2020.</w:t>
      </w:r>
    </w:p>
    <w:p>
      <w:pPr>
        <w:spacing w:after="0" w:line="167" w:lineRule="exact"/>
        <w:rPr>
          <w:rFonts w:ascii="Arial" w:cs="Arial" w:eastAsia="Arial" w:hAnsi="Arial"/>
          <w:sz w:val="16"/>
          <w:szCs w:val="16"/>
          <w:b w:val="1"/>
          <w:bCs w:val="1"/>
          <w:color w:val="auto"/>
        </w:rPr>
      </w:pPr>
    </w:p>
    <w:p>
      <w:pPr>
        <w:ind w:right="700" w:firstLine="8"/>
        <w:spacing w:after="0" w:line="260" w:lineRule="auto"/>
        <w:tabs>
          <w:tab w:leader="none" w:pos="243"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Includes $6.5 million of property, plant and equipment basis step-up. The fair value of property, plant and equipment will be depreciated over the remaining useful lives of the assets.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allocation of the purchase price presented above is based on management's estimate of the fair values using valuation techniques including the income, cost and market approach. In estimating the fair value of the acquired assets and assumed liabilities, the fair value estimates are based on, but not limited to, expected future revenue and cash flows, expected future growth rates and estimated discount rates. Current and noncurrent assets and current and other liabilities are valued at historical carrying values. Property, plant and equipment is valued through a purchase price appraisal and will be depreciated on a straight-line basis over the respective remaining useful lives of the assets. Goodwill is calculated as the excess of the consideration transferred over the fair value of the identifiable net assets acquired and represents the future economic benefits expected to arise from other intangible assets acquired that do not qualify for separate recognition, including assembled workforce and non-contractual relationships, as well as expected future synergies. The goodwill of $254.2 million reflects the strategic fit of BOA in the Company's branded consumer business and is not expected to be deductible for income tax purposes.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recorded related to the BOA acquisition are as follows (in thousands):</w:t>
      </w:r>
    </w:p>
    <w:p>
      <w:pPr>
        <w:spacing w:after="0" w:line="256" w:lineRule="exact"/>
        <w:rPr>
          <w:sz w:val="20"/>
          <w:szCs w:val="20"/>
          <w:color w:val="auto"/>
        </w:rPr>
      </w:pPr>
    </w:p>
    <w:tbl>
      <w:tblPr>
        <w:tblLayout w:type="fixed"/>
        <w:tblInd w:w="1340" w:type="dxa"/>
        <w:tblCellMar>
          <w:top w:w="0" w:type="dxa"/>
          <w:left w:w="0" w:type="dxa"/>
          <w:bottom w:w="0" w:type="dxa"/>
          <w:right w:w="0" w:type="dxa"/>
        </w:tblCellMar>
      </w:tblPr>
      <w:tr>
        <w:trPr>
          <w:trHeight w:val="172"/>
        </w:trPr>
        <w:tc>
          <w:tcPr>
            <w:tcW w:w="47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Intangible Assets</w:t>
            </w:r>
          </w:p>
        </w:tc>
        <w:tc>
          <w:tcPr>
            <w:tcW w:w="420" w:type="dxa"/>
            <w:vAlign w:val="bottom"/>
          </w:tcPr>
          <w:p>
            <w:pPr>
              <w:spacing w:after="0"/>
              <w:rPr>
                <w:sz w:val="15"/>
                <w:szCs w:val="15"/>
                <w:color w:val="auto"/>
              </w:rPr>
            </w:pPr>
          </w:p>
        </w:tc>
        <w:tc>
          <w:tcPr>
            <w:tcW w:w="1760" w:type="dxa"/>
            <w:vAlign w:val="bottom"/>
            <w:vMerge w:val="restart"/>
          </w:tcPr>
          <w:p>
            <w:pPr>
              <w:jc w:val="right"/>
              <w:ind w:right="644"/>
              <w:spacing w:after="0"/>
              <w:rPr>
                <w:sz w:val="20"/>
                <w:szCs w:val="20"/>
                <w:color w:val="auto"/>
              </w:rPr>
            </w:pPr>
            <w:r>
              <w:rPr>
                <w:rFonts w:ascii="Arial" w:cs="Arial" w:eastAsia="Arial" w:hAnsi="Arial"/>
                <w:sz w:val="15"/>
                <w:szCs w:val="15"/>
                <w:b w:val="1"/>
                <w:bCs w:val="1"/>
                <w:color w:val="auto"/>
              </w:rPr>
              <w:t>Fair Value</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Estimated Useful</w:t>
            </w:r>
          </w:p>
        </w:tc>
        <w:tc>
          <w:tcPr>
            <w:tcW w:w="0" w:type="dxa"/>
            <w:vAlign w:val="bottom"/>
          </w:tcPr>
          <w:p>
            <w:pPr>
              <w:spacing w:after="0"/>
              <w:rPr>
                <w:sz w:val="1"/>
                <w:szCs w:val="1"/>
                <w:color w:val="auto"/>
              </w:rPr>
            </w:pPr>
          </w:p>
        </w:tc>
      </w:tr>
      <w:tr>
        <w:trPr>
          <w:trHeight w:val="202"/>
        </w:trPr>
        <w:tc>
          <w:tcPr>
            <w:tcW w:w="47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Lives</w:t>
            </w:r>
          </w:p>
        </w:tc>
        <w:tc>
          <w:tcPr>
            <w:tcW w:w="0" w:type="dxa"/>
            <w:vAlign w:val="bottom"/>
          </w:tcPr>
          <w:p>
            <w:pPr>
              <w:spacing w:after="0"/>
              <w:rPr>
                <w:sz w:val="1"/>
                <w:szCs w:val="1"/>
                <w:color w:val="auto"/>
              </w:rPr>
            </w:pPr>
          </w:p>
        </w:tc>
      </w:tr>
      <w:tr>
        <w:trPr>
          <w:trHeight w:val="34"/>
        </w:trPr>
        <w:tc>
          <w:tcPr>
            <w:tcW w:w="45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70,200</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10 - 12 years</w:t>
            </w:r>
          </w:p>
        </w:tc>
        <w:tc>
          <w:tcPr>
            <w:tcW w:w="0" w:type="dxa"/>
            <w:vAlign w:val="bottom"/>
          </w:tcPr>
          <w:p>
            <w:pPr>
              <w:spacing w:after="0"/>
              <w:rPr>
                <w:sz w:val="1"/>
                <w:szCs w:val="1"/>
                <w:color w:val="auto"/>
              </w:rPr>
            </w:pPr>
          </w:p>
        </w:tc>
      </w:tr>
      <w:tr>
        <w:trPr>
          <w:trHeight w:val="198"/>
        </w:trPr>
        <w:tc>
          <w:tcPr>
            <w:tcW w:w="4760" w:type="dxa"/>
            <w:vAlign w:val="bottom"/>
            <w:gridSpan w:val="2"/>
          </w:tcPr>
          <w:p>
            <w:pPr>
              <w:ind w:left="20"/>
              <w:spacing w:after="0"/>
              <w:rPr>
                <w:sz w:val="20"/>
                <w:szCs w:val="20"/>
                <w:color w:val="auto"/>
              </w:rPr>
            </w:pPr>
            <w:r>
              <w:rPr>
                <w:rFonts w:ascii="Arial" w:cs="Arial" w:eastAsia="Arial" w:hAnsi="Arial"/>
                <w:sz w:val="15"/>
                <w:szCs w:val="15"/>
                <w:color w:val="auto"/>
              </w:rPr>
              <w:t>Tradename</w:t>
            </w:r>
          </w:p>
        </w:tc>
        <w:tc>
          <w:tcPr>
            <w:tcW w:w="4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84,300</w:t>
            </w:r>
          </w:p>
        </w:tc>
        <w:tc>
          <w:tcPr>
            <w:tcW w:w="2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20 years</w:t>
            </w:r>
          </w:p>
        </w:tc>
        <w:tc>
          <w:tcPr>
            <w:tcW w:w="0" w:type="dxa"/>
            <w:vAlign w:val="bottom"/>
          </w:tcPr>
          <w:p>
            <w:pPr>
              <w:spacing w:after="0"/>
              <w:rPr>
                <w:sz w:val="1"/>
                <w:szCs w:val="1"/>
                <w:color w:val="auto"/>
              </w:rPr>
            </w:pPr>
          </w:p>
        </w:tc>
      </w:tr>
      <w:tr>
        <w:trPr>
          <w:trHeight w:val="207"/>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4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73,000</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203"/>
        </w:trPr>
        <w:tc>
          <w:tcPr>
            <w:tcW w:w="476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5"/>
                <w:szCs w:val="15"/>
                <w:color w:val="auto"/>
              </w:rPr>
              <w:t xml:space="preserve">In-process Research &amp; Development </w:t>
            </w:r>
            <w:r>
              <w:rPr>
                <w:rFonts w:ascii="Arial" w:cs="Arial" w:eastAsia="Arial" w:hAnsi="Arial"/>
                <w:sz w:val="23"/>
                <w:szCs w:val="23"/>
                <w:b w:val="1"/>
                <w:bCs w:val="1"/>
                <w:color w:val="auto"/>
                <w:vertAlign w:val="superscript"/>
              </w:rPr>
              <w:t>(1)</w:t>
            </w:r>
          </w:p>
        </w:tc>
        <w:tc>
          <w:tcPr>
            <w:tcW w:w="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6,500</w:t>
            </w:r>
          </w:p>
        </w:tc>
        <w:tc>
          <w:tcPr>
            <w:tcW w:w="2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234,000</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firstLine="8"/>
        <w:spacing w:after="0" w:line="260" w:lineRule="auto"/>
        <w:tabs>
          <w:tab w:leader="none" w:pos="243"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In-process research and development is considered indefinite lived until the underlying technology becomes viable, at which point the intangible asset will be amortized over the expected useful life.</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technology was considered the primary intangible asset in the acquisition and was valued at $70.2 million using a multi-period excess earnings methodology with an assumed obsolescence factor. The tradename was valued at $84.3 million using a relief-from-royalty method. The customer relationships, which represent BOA's relationship with brand partners, were valued at $73.0 million using the distributor method, a variation of the multi-period excess earnings methodology, in which an asset is valuable to the extent it enables its owners to earn a return in excess of the required returns on the other assets utilized in the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unaudited pro forma data for the three months and six months ended June 30, 2020 gives effect to the acquisitions of Marucci and BOA, as described above, as if the acquisitions had been completed as of January 1, 2020. The pro forma data gives effect to historical operating results with adjustments to interest expense, amortization and depreciation expense, management fees and related tax effects. The information is provided for illustrative purposes only and is not necessarily indicative of the operating results that would have occurred if the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6" w:name="page17"/>
    <w:bookmarkEnd w:id="16"/>
    <w:p>
      <w:pPr>
        <w:jc w:val="both"/>
        <w:spacing w:after="0" w:line="261" w:lineRule="auto"/>
        <w:rPr>
          <w:sz w:val="20"/>
          <w:szCs w:val="20"/>
          <w:color w:val="auto"/>
        </w:rPr>
      </w:pPr>
      <w:r>
        <w:rPr>
          <w:rFonts w:ascii="Arial" w:cs="Arial" w:eastAsia="Arial" w:hAnsi="Arial"/>
          <w:sz w:val="18"/>
          <w:szCs w:val="18"/>
          <w:color w:val="auto"/>
        </w:rPr>
        <w:t>transaction had been consummated on the date indicated, nor is it necessarily indicative of future operating results of the consolidated companies, and should not be construed as representing results for any future period.</w:t>
      </w:r>
    </w:p>
    <w:p>
      <w:pPr>
        <w:spacing w:after="0" w:line="98" w:lineRule="exact"/>
        <w:rPr>
          <w:sz w:val="20"/>
          <w:szCs w:val="20"/>
          <w:color w:val="auto"/>
        </w:rPr>
      </w:pPr>
    </w:p>
    <w:tbl>
      <w:tblPr>
        <w:tblLayout w:type="fixed"/>
        <w:tblInd w:w="600" w:type="dxa"/>
        <w:tblCellMar>
          <w:top w:w="0" w:type="dxa"/>
          <w:left w:w="0" w:type="dxa"/>
          <w:bottom w:w="0" w:type="dxa"/>
          <w:right w:w="0" w:type="dxa"/>
        </w:tblCellMar>
      </w:tblPr>
      <w:tr>
        <w:trPr>
          <w:trHeight w:val="208"/>
        </w:trPr>
        <w:tc>
          <w:tcPr>
            <w:tcW w:w="5840" w:type="dxa"/>
            <w:vAlign w:val="bottom"/>
          </w:tcPr>
          <w:p>
            <w:pPr>
              <w:spacing w:after="0"/>
              <w:rPr>
                <w:sz w:val="18"/>
                <w:szCs w:val="18"/>
                <w:color w:val="auto"/>
              </w:rPr>
            </w:pPr>
          </w:p>
        </w:tc>
        <w:tc>
          <w:tcPr>
            <w:tcW w:w="21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rPr>
              <w:t>Three months ended</w:t>
            </w:r>
          </w:p>
        </w:tc>
        <w:tc>
          <w:tcPr>
            <w:tcW w:w="2040" w:type="dxa"/>
            <w:vAlign w:val="bottom"/>
            <w:tcBorders>
              <w:top w:val="single" w:sz="8" w:color="auto"/>
            </w:tcBorders>
          </w:tcPr>
          <w:p>
            <w:pPr>
              <w:jc w:val="right"/>
              <w:ind w:right="280"/>
              <w:spacing w:after="0"/>
              <w:rPr>
                <w:sz w:val="20"/>
                <w:szCs w:val="20"/>
                <w:color w:val="auto"/>
              </w:rPr>
            </w:pPr>
            <w:r>
              <w:rPr>
                <w:rFonts w:ascii="Arial" w:cs="Arial" w:eastAsia="Arial" w:hAnsi="Arial"/>
                <w:sz w:val="15"/>
                <w:szCs w:val="15"/>
                <w:b w:val="1"/>
                <w:bCs w:val="1"/>
                <w:color w:val="auto"/>
              </w:rPr>
              <w:t>Six months ended</w:t>
            </w:r>
          </w:p>
        </w:tc>
      </w:tr>
      <w:tr>
        <w:trPr>
          <w:trHeight w:val="210"/>
        </w:trPr>
        <w:tc>
          <w:tcPr>
            <w:tcW w:w="58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1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rPr>
              <w:t>June 30, 2020</w:t>
            </w:r>
          </w:p>
        </w:tc>
        <w:tc>
          <w:tcPr>
            <w:tcW w:w="2040" w:type="dxa"/>
            <w:vAlign w:val="bottom"/>
          </w:tcPr>
          <w:p>
            <w:pPr>
              <w:jc w:val="right"/>
              <w:ind w:right="440"/>
              <w:spacing w:after="0"/>
              <w:rPr>
                <w:sz w:val="20"/>
                <w:szCs w:val="20"/>
                <w:color w:val="auto"/>
              </w:rPr>
            </w:pPr>
            <w:r>
              <w:rPr>
                <w:rFonts w:ascii="Arial" w:cs="Arial" w:eastAsia="Arial" w:hAnsi="Arial"/>
                <w:sz w:val="15"/>
                <w:szCs w:val="15"/>
                <w:b w:val="1"/>
                <w:bCs w:val="1"/>
                <w:color w:val="auto"/>
              </w:rPr>
              <w:t>June 30, 2020</w:t>
            </w:r>
          </w:p>
        </w:tc>
      </w:tr>
      <w:tr>
        <w:trPr>
          <w:trHeight w:val="209"/>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358,416</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740,609</w:t>
            </w:r>
          </w:p>
        </w:tc>
      </w:tr>
      <w:tr>
        <w:trPr>
          <w:trHeight w:val="213"/>
        </w:trPr>
        <w:tc>
          <w:tcPr>
            <w:tcW w:w="58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060" w:type="dxa"/>
            <w:vAlign w:val="bottom"/>
          </w:tcPr>
          <w:p>
            <w:pPr>
              <w:jc w:val="right"/>
              <w:spacing w:after="0"/>
              <w:rPr>
                <w:sz w:val="20"/>
                <w:szCs w:val="20"/>
                <w:color w:val="auto"/>
              </w:rPr>
            </w:pPr>
            <w:r>
              <w:rPr>
                <w:rFonts w:ascii="Arial" w:cs="Arial" w:eastAsia="Arial" w:hAnsi="Arial"/>
                <w:sz w:val="16"/>
                <w:szCs w:val="16"/>
                <w:color w:val="auto"/>
              </w:rPr>
              <w:t>131,695</w:t>
            </w:r>
          </w:p>
        </w:tc>
        <w:tc>
          <w:tcPr>
            <w:tcW w:w="1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278,925</w:t>
            </w: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28,061</w:t>
            </w:r>
          </w:p>
        </w:tc>
      </w:tr>
      <w:tr>
        <w:trPr>
          <w:trHeight w:val="213"/>
        </w:trPr>
        <w:tc>
          <w:tcPr>
            <w:tcW w:w="5840" w:type="dxa"/>
            <w:vAlign w:val="bottom"/>
          </w:tcPr>
          <w:p>
            <w:pPr>
              <w:ind w:left="20"/>
              <w:spacing w:after="0"/>
              <w:rPr>
                <w:sz w:val="20"/>
                <w:szCs w:val="20"/>
                <w:color w:val="auto"/>
              </w:rPr>
            </w:pPr>
            <w:r>
              <w:rPr>
                <w:rFonts w:ascii="Arial" w:cs="Arial" w:eastAsia="Arial" w:hAnsi="Arial"/>
                <w:sz w:val="15"/>
                <w:szCs w:val="15"/>
                <w:color w:val="auto"/>
              </w:rPr>
              <w:t>Net loss from continuing operations</w:t>
            </w:r>
          </w:p>
        </w:tc>
        <w:tc>
          <w:tcPr>
            <w:tcW w:w="2060" w:type="dxa"/>
            <w:vAlign w:val="bottom"/>
          </w:tcPr>
          <w:p>
            <w:pPr>
              <w:jc w:val="right"/>
              <w:spacing w:after="0"/>
              <w:rPr>
                <w:sz w:val="20"/>
                <w:szCs w:val="20"/>
                <w:color w:val="auto"/>
              </w:rPr>
            </w:pPr>
            <w:r>
              <w:rPr>
                <w:rFonts w:ascii="Arial" w:cs="Arial" w:eastAsia="Arial" w:hAnsi="Arial"/>
                <w:sz w:val="16"/>
                <w:szCs w:val="16"/>
                <w:color w:val="auto"/>
              </w:rPr>
              <w:t>(12,921)</w:t>
            </w:r>
          </w:p>
        </w:tc>
        <w:tc>
          <w:tcPr>
            <w:tcW w:w="1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(10,631)</w:t>
            </w: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from continuing operations attributable to Holdings</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(13,510)</w:t>
            </w:r>
          </w:p>
        </w:tc>
      </w:tr>
      <w:tr>
        <w:trPr>
          <w:trHeight w:val="210"/>
        </w:trPr>
        <w:tc>
          <w:tcPr>
            <w:tcW w:w="5840" w:type="dxa"/>
            <w:vAlign w:val="bottom"/>
          </w:tcPr>
          <w:p>
            <w:pPr>
              <w:ind w:left="20"/>
              <w:spacing w:after="0"/>
              <w:rPr>
                <w:sz w:val="20"/>
                <w:szCs w:val="20"/>
                <w:color w:val="auto"/>
              </w:rPr>
            </w:pPr>
            <w:r>
              <w:rPr>
                <w:rFonts w:ascii="Arial" w:cs="Arial" w:eastAsia="Arial" w:hAnsi="Arial"/>
                <w:sz w:val="15"/>
                <w:szCs w:val="15"/>
                <w:color w:val="auto"/>
              </w:rPr>
              <w:t>Basic and fully diluted net loss per share attributable to Holdings</w:t>
            </w:r>
          </w:p>
        </w:tc>
        <w:tc>
          <w:tcPr>
            <w:tcW w:w="2060" w:type="dxa"/>
            <w:vAlign w:val="bottom"/>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(0.65)</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Arnold</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 2021, Arnold acquired Ramco Electric Motors, Inc. ("Ramco"), a manufacturer of stators, rotors and full electric motors, for a purchase price of approximately $34.3 million. The acquisition and related transaction costs were funded through an additional equity investment in Arnold by the Company of $ 35.5 million. Ramco was founded in 1987 and is based in Greenville, Ohio. Ramco supplies their custom electric motor solutions for general industrial, aerospace and defense, and oil and gas end-markets. Ramco’s complementary product portfolio will allow Arnold to be able to offer more comprehensive, turnkey solutions to their customers. The excess purchase price over net assets acquired has been recorded as goodwill of $22.3 million on a preliminary basis at June 30,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Altor Solutions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July 1, 2020, Altor Solutions acquired substantially all of the assets of Polyfoam Corp. ("Polyfoam"), a Massachusetts-based manufacturer of protective and temperature-sensitive packaging solutions for the medical, pharmaceutical, grocery and food industries, among others. Founded in 1974, Polyfoam operates two manufacturing facilities producing highly engineered foam and injection-molded plastic solutions across a variety of end-markets. The acquisition complements Altor Solutions' current operating footprint and provides access to a new customer base and product offerings, including Polyfoam's significant end-market exposure to cold chain (including seafood boxes, insulated shipping containers and grocery delivery totes). The purchase price was approximately $12.8 million and includes a potential earnout of $1.4 million if Polyfoam achieves certain financial metrics.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September 2020, Altor Solutions invested $3.6 million in Rational Packaging, LLC, a designer and manufacturer of recyclable, paperboard-based structural packaging components. The investment will be accounted for as an equity method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Revenue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recognizes revenue in accordance with the provisions of Revenue from Contracts with Customers, or ASC 606. Revenue is recognized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Disaggregated Revenue - </w:t>
      </w:r>
      <w:r>
        <w:rPr>
          <w:rFonts w:ascii="Arial" w:cs="Arial" w:eastAsia="Arial" w:hAnsi="Arial"/>
          <w:sz w:val="18"/>
          <w:szCs w:val="18"/>
          <w:color w:val="auto"/>
        </w:rPr>
        <w:t>The Company disaggregates revenue by strategic business unit and by geography for each strategic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 which are categories that depict how the nature, amount and uncertainty of revenue and cash flows are affected by economic factors. This disaggregation also represents how the Company evaluates its financial performance, as well as how the Company communicates its financial performance to the investors and other users of its financial statements. Each strategic business unit represents the Company’s reportable segments and offers different products and services.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7" w:name="page18"/>
    <w:bookmarkEnd w:id="17"/>
    <w:p>
      <w:pPr>
        <w:jc w:val="both"/>
        <w:spacing w:after="0" w:line="261" w:lineRule="auto"/>
        <w:rPr>
          <w:sz w:val="20"/>
          <w:szCs w:val="20"/>
          <w:color w:val="auto"/>
        </w:rPr>
      </w:pPr>
      <w:r>
        <w:rPr>
          <w:rFonts w:ascii="Arial" w:cs="Arial" w:eastAsia="Arial" w:hAnsi="Arial"/>
          <w:sz w:val="18"/>
          <w:szCs w:val="18"/>
          <w:color w:val="auto"/>
        </w:rPr>
        <w:t>The following tables provide disaggregation of revenue by reportable segment geography for the three and six months ended June 30, 2021 and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Three months ended June 30,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5.11</w:t>
            </w: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BOA</w:t>
            </w:r>
          </w:p>
        </w:tc>
        <w:tc>
          <w:tcPr>
            <w:tcW w:w="12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Ergo</w:t>
            </w:r>
          </w:p>
        </w:tc>
        <w:tc>
          <w:tcPr>
            <w:tcW w:w="12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Liberty</w:t>
            </w:r>
          </w:p>
        </w:tc>
        <w:tc>
          <w:tcPr>
            <w:tcW w:w="1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Marucci</w:t>
            </w:r>
          </w:p>
        </w:tc>
        <w:tc>
          <w:tcPr>
            <w:tcW w:w="12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Velocity</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ACI</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Altor</w:t>
            </w: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Arnold</w:t>
            </w:r>
          </w:p>
        </w:tc>
        <w:tc>
          <w:tcPr>
            <w:tcW w:w="12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Sterno</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Total</w:t>
            </w:r>
          </w:p>
        </w:tc>
      </w:tr>
      <w:tr>
        <w:trPr>
          <w:trHeight w:val="188"/>
        </w:trPr>
        <w:tc>
          <w:tcPr>
            <w:tcW w:w="1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United States   $</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14,736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32,808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56,304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22,465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85,428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393,540</w:t>
            </w:r>
          </w:p>
        </w:tc>
      </w:tr>
      <w:tr>
        <w:trPr>
          <w:trHeight w:val="182"/>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Canada</w:t>
            </w:r>
          </w:p>
        </w:tc>
        <w:tc>
          <w:tcPr>
            <w:tcW w:w="660" w:type="dxa"/>
            <w:vAlign w:val="bottom"/>
          </w:tcPr>
          <w:p>
            <w:pPr>
              <w:jc w:val="right"/>
              <w:spacing w:after="0"/>
              <w:rPr>
                <w:sz w:val="20"/>
                <w:szCs w:val="20"/>
                <w:color w:val="auto"/>
              </w:rPr>
            </w:pPr>
            <w:r>
              <w:rPr>
                <w:rFonts w:ascii="Arial" w:cs="Arial" w:eastAsia="Arial" w:hAnsi="Arial"/>
                <w:sz w:val="13"/>
                <w:szCs w:val="13"/>
                <w:color w:val="auto"/>
              </w:rPr>
              <w:t>2,764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640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2,901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3,259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11,365</w:t>
            </w:r>
          </w:p>
        </w:tc>
      </w:tr>
      <w:tr>
        <w:trPr>
          <w:trHeight w:val="196"/>
        </w:trPr>
        <w:tc>
          <w:tcPr>
            <w:tcW w:w="1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42,803</w:t>
            </w:r>
          </w:p>
        </w:tc>
      </w:tr>
      <w:tr>
        <w:trPr>
          <w:trHeight w:val="182"/>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Asia Pacific</w:t>
            </w:r>
          </w:p>
        </w:tc>
        <w:tc>
          <w:tcPr>
            <w:tcW w:w="660" w:type="dxa"/>
            <w:vAlign w:val="bottom"/>
          </w:tcPr>
          <w:p>
            <w:pPr>
              <w:jc w:val="right"/>
              <w:spacing w:after="0"/>
              <w:rPr>
                <w:sz w:val="20"/>
                <w:szCs w:val="20"/>
                <w:color w:val="auto"/>
              </w:rPr>
            </w:pPr>
            <w:r>
              <w:rPr>
                <w:rFonts w:ascii="Arial" w:cs="Arial" w:eastAsia="Arial" w:hAnsi="Arial"/>
                <w:sz w:val="13"/>
                <w:szCs w:val="13"/>
                <w:color w:val="auto"/>
              </w:rPr>
              <w:t>4,068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11,976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8,159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26,855</w:t>
            </w:r>
          </w:p>
        </w:tc>
      </w:tr>
      <w:tr>
        <w:trPr>
          <w:trHeight w:val="155"/>
        </w:trPr>
        <w:tc>
          <w:tcPr>
            <w:tcW w:w="1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0"/>
        </w:trPr>
        <w:tc>
          <w:tcPr>
            <w:tcW w:w="1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international</w:t>
            </w: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1,089</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12,875</w:t>
            </w:r>
          </w:p>
        </w:tc>
      </w:tr>
      <w:tr>
        <w:trPr>
          <w:trHeight w:val="183"/>
        </w:trPr>
        <w:tc>
          <w:tcPr>
            <w:tcW w:w="12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110,033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44,085</w:t>
            </w:r>
          </w:p>
        </w:tc>
        <w:tc>
          <w:tcPr>
            <w:tcW w:w="1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26,956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33,448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24,640</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63,358</w:t>
            </w:r>
          </w:p>
        </w:tc>
        <w:tc>
          <w:tcPr>
            <w:tcW w:w="12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3"/>
              <w:spacing w:after="0"/>
              <w:rPr>
                <w:sz w:val="20"/>
                <w:szCs w:val="20"/>
                <w:color w:val="auto"/>
              </w:rPr>
            </w:pPr>
            <w:r>
              <w:rPr>
                <w:rFonts w:ascii="Arial" w:cs="Arial" w:eastAsia="Arial" w:hAnsi="Arial"/>
                <w:sz w:val="13"/>
                <w:szCs w:val="13"/>
                <w:color w:val="auto"/>
              </w:rPr>
              <w:t>22,465</w:t>
            </w:r>
          </w:p>
        </w:tc>
        <w:tc>
          <w:tcPr>
            <w:tcW w:w="100" w:type="dxa"/>
            <w:vAlign w:val="bottom"/>
          </w:tcPr>
          <w:p>
            <w:pPr>
              <w:spacing w:after="0"/>
              <w:rPr>
                <w:sz w:val="15"/>
                <w:szCs w:val="15"/>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40,640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32,556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89,257</w:t>
            </w:r>
          </w:p>
        </w:tc>
        <w:tc>
          <w:tcPr>
            <w:tcW w:w="12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487,438</w:t>
            </w:r>
          </w:p>
        </w:tc>
      </w:tr>
      <w:tr>
        <w:trPr>
          <w:trHeight w:val="27"/>
        </w:trPr>
        <w:tc>
          <w:tcPr>
            <w:tcW w:w="10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240030</wp:posOffset>
            </wp:positionV>
            <wp:extent cx="70980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Three months ended June 30, 2020</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4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5.11</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Ergo</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Liberty</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Marucci</w:t>
            </w: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Velocity</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Altor</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Arnold</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Sterno</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83"/>
        </w:trPr>
        <w:tc>
          <w:tcPr>
            <w:tcW w:w="1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70,677</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23,467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41,900</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20,873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15,293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73,913</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281,214</w:t>
            </w:r>
          </w:p>
        </w:tc>
      </w:tr>
      <w:tr>
        <w:trPr>
          <w:trHeight w:val="189"/>
        </w:trPr>
        <w:tc>
          <w:tcPr>
            <w:tcW w:w="1460" w:type="dxa"/>
            <w:vAlign w:val="bottom"/>
          </w:tcPr>
          <w:p>
            <w:pPr>
              <w:ind w:left="20"/>
              <w:spacing w:after="0"/>
              <w:rPr>
                <w:sz w:val="20"/>
                <w:szCs w:val="20"/>
                <w:color w:val="auto"/>
              </w:rPr>
            </w:pPr>
            <w:r>
              <w:rPr>
                <w:rFonts w:ascii="Arial" w:cs="Arial" w:eastAsia="Arial" w:hAnsi="Arial"/>
                <w:sz w:val="14"/>
                <w:szCs w:val="14"/>
                <w:color w:val="auto"/>
              </w:rPr>
              <w:t>Canada</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9,887</w:t>
            </w:r>
          </w:p>
        </w:tc>
      </w:tr>
      <w:tr>
        <w:trPr>
          <w:trHeight w:val="189"/>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23,282</w:t>
            </w:r>
          </w:p>
        </w:tc>
      </w:tr>
      <w:tr>
        <w:trPr>
          <w:trHeight w:val="189"/>
        </w:trPr>
        <w:tc>
          <w:tcPr>
            <w:tcW w:w="146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10,435</w:t>
            </w:r>
          </w:p>
        </w:tc>
      </w:tr>
      <w:tr>
        <w:trPr>
          <w:trHeight w:val="189"/>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international</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8,809</w:t>
            </w:r>
          </w:p>
        </w:tc>
      </w:tr>
      <w:tr>
        <w:trPr>
          <w:trHeight w:val="183"/>
        </w:trPr>
        <w:tc>
          <w:tcPr>
            <w:tcW w:w="14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87,635</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20,044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24,453</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5,256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47,221</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22,956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24,429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24,270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77,363</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333,627</w:t>
            </w:r>
          </w:p>
        </w:tc>
      </w:tr>
      <w:tr>
        <w:trPr>
          <w:trHeight w:val="20"/>
        </w:trPr>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Six months ended June 30,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5.11</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BOA</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Ergo</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Liberty</w:t>
            </w: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Marucci</w:t>
            </w:r>
          </w:p>
        </w:tc>
        <w:tc>
          <w:tcPr>
            <w:tcW w:w="12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Velocity</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ACI</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Altor</w:t>
            </w: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Arnold</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Sterno</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Total</w:t>
            </w:r>
          </w:p>
        </w:tc>
      </w:tr>
      <w:tr>
        <w:trPr>
          <w:trHeight w:val="188"/>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United States   $</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172,247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114,573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44,027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43,456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159,453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771,863</w:t>
            </w:r>
          </w:p>
        </w:tc>
      </w:tr>
      <w:tr>
        <w:trPr>
          <w:trHeight w:val="182"/>
        </w:trPr>
        <w:tc>
          <w:tcPr>
            <w:tcW w:w="1180" w:type="dxa"/>
            <w:vAlign w:val="bottom"/>
            <w:gridSpan w:val="2"/>
          </w:tcPr>
          <w:p>
            <w:pPr>
              <w:ind w:left="20"/>
              <w:spacing w:after="0"/>
              <w:rPr>
                <w:sz w:val="20"/>
                <w:szCs w:val="20"/>
                <w:color w:val="auto"/>
              </w:rPr>
            </w:pPr>
            <w:r>
              <w:rPr>
                <w:rFonts w:ascii="Arial" w:cs="Arial" w:eastAsia="Arial" w:hAnsi="Arial"/>
                <w:sz w:val="13"/>
                <w:szCs w:val="13"/>
                <w:color w:val="auto"/>
              </w:rPr>
              <w:t>Canada</w:t>
            </w:r>
          </w:p>
        </w:tc>
        <w:tc>
          <w:tcPr>
            <w:tcW w:w="640" w:type="dxa"/>
            <w:vAlign w:val="bottom"/>
          </w:tcPr>
          <w:p>
            <w:pPr>
              <w:jc w:val="right"/>
              <w:spacing w:after="0"/>
              <w:rPr>
                <w:sz w:val="20"/>
                <w:szCs w:val="20"/>
                <w:color w:val="auto"/>
              </w:rPr>
            </w:pPr>
            <w:r>
              <w:rPr>
                <w:rFonts w:ascii="Arial" w:cs="Arial" w:eastAsia="Arial" w:hAnsi="Arial"/>
                <w:sz w:val="13"/>
                <w:szCs w:val="13"/>
                <w:color w:val="auto"/>
              </w:rPr>
              <w:t>5,318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1,862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6,124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6,259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22,514</w:t>
            </w:r>
          </w:p>
        </w:tc>
      </w:tr>
      <w:tr>
        <w:trPr>
          <w:trHeight w:val="196"/>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82,310</w:t>
            </w:r>
          </w:p>
        </w:tc>
      </w:tr>
      <w:tr>
        <w:trPr>
          <w:trHeight w:val="182"/>
        </w:trPr>
        <w:tc>
          <w:tcPr>
            <w:tcW w:w="1180" w:type="dxa"/>
            <w:vAlign w:val="bottom"/>
            <w:gridSpan w:val="2"/>
          </w:tcPr>
          <w:p>
            <w:pPr>
              <w:ind w:left="20"/>
              <w:spacing w:after="0"/>
              <w:rPr>
                <w:sz w:val="20"/>
                <w:szCs w:val="20"/>
                <w:color w:val="auto"/>
              </w:rPr>
            </w:pPr>
            <w:r>
              <w:rPr>
                <w:rFonts w:ascii="Arial" w:cs="Arial" w:eastAsia="Arial" w:hAnsi="Arial"/>
                <w:sz w:val="13"/>
                <w:szCs w:val="13"/>
                <w:color w:val="auto"/>
              </w:rPr>
              <w:t>Asia Pacific</w:t>
            </w:r>
          </w:p>
        </w:tc>
        <w:tc>
          <w:tcPr>
            <w:tcW w:w="640" w:type="dxa"/>
            <w:vAlign w:val="bottom"/>
          </w:tcPr>
          <w:p>
            <w:pPr>
              <w:jc w:val="right"/>
              <w:spacing w:after="0"/>
              <w:rPr>
                <w:sz w:val="20"/>
                <w:szCs w:val="20"/>
                <w:color w:val="auto"/>
              </w:rPr>
            </w:pPr>
            <w:r>
              <w:rPr>
                <w:rFonts w:ascii="Arial" w:cs="Arial" w:eastAsia="Arial" w:hAnsi="Arial"/>
                <w:sz w:val="13"/>
                <w:szCs w:val="13"/>
                <w:color w:val="auto"/>
              </w:rPr>
              <w:t>7,881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20,704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13,420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781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3,244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46,423</w:t>
            </w:r>
          </w:p>
        </w:tc>
      </w:tr>
      <w:tr>
        <w:trPr>
          <w:trHeight w:val="155"/>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0"/>
        </w:trPr>
        <w:tc>
          <w:tcPr>
            <w:tcW w:w="1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international</w:t>
            </w: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10,823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2,432</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10,933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1,256</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25,924</w:t>
            </w:r>
          </w:p>
        </w:tc>
      </w:tr>
      <w:tr>
        <w:trPr>
          <w:trHeight w:val="183"/>
        </w:trPr>
        <w:tc>
          <w:tcPr>
            <w:tcW w:w="118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209,910</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80,537</w:t>
            </w:r>
          </w:p>
        </w:tc>
        <w:tc>
          <w:tcPr>
            <w:tcW w:w="100" w:type="dxa"/>
            <w:vAlign w:val="bottom"/>
          </w:tcPr>
          <w:p>
            <w:pPr>
              <w:spacing w:after="0"/>
              <w:rPr>
                <w:sz w:val="15"/>
                <w:szCs w:val="15"/>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49,284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64,926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61,288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128,990</w:t>
            </w:r>
          </w:p>
        </w:tc>
        <w:tc>
          <w:tcPr>
            <w:tcW w:w="12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3"/>
              <w:spacing w:after="0"/>
              <w:rPr>
                <w:sz w:val="20"/>
                <w:szCs w:val="20"/>
                <w:color w:val="auto"/>
              </w:rPr>
            </w:pPr>
            <w:r>
              <w:rPr>
                <w:rFonts w:ascii="Arial" w:cs="Arial" w:eastAsia="Arial" w:hAnsi="Arial"/>
                <w:sz w:val="13"/>
                <w:szCs w:val="13"/>
                <w:color w:val="auto"/>
              </w:rPr>
              <w:t>44,027</w:t>
            </w:r>
          </w:p>
        </w:tc>
        <w:tc>
          <w:tcPr>
            <w:tcW w:w="100" w:type="dxa"/>
            <w:vAlign w:val="bottom"/>
          </w:tcPr>
          <w:p>
            <w:pPr>
              <w:spacing w:after="0"/>
              <w:rPr>
                <w:sz w:val="15"/>
                <w:szCs w:val="15"/>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78,460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65,041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166,571</w:t>
            </w:r>
          </w:p>
        </w:tc>
        <w:tc>
          <w:tcPr>
            <w:tcW w:w="12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949,034</w:t>
            </w:r>
          </w:p>
        </w:tc>
      </w:tr>
      <w:tr>
        <w:trPr>
          <w:trHeight w:val="27"/>
        </w:trPr>
        <w:tc>
          <w:tcPr>
            <w:tcW w:w="10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Six months ended June 30, 2020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5.11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Ergo</w:t>
            </w: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Liberty</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Marucci</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Velocity</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Altor</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Arnold</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Sterno</w:t>
            </w: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83"/>
        </w:trPr>
        <w:tc>
          <w:tcPr>
            <w:tcW w:w="1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143,104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48,123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67,779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44,652</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44,460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33,856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153,928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554,295</w:t>
            </w:r>
          </w:p>
        </w:tc>
      </w:tr>
      <w:tr>
        <w:trPr>
          <w:trHeight w:val="189"/>
        </w:trPr>
        <w:tc>
          <w:tcPr>
            <w:tcW w:w="1480" w:type="dxa"/>
            <w:vAlign w:val="bottom"/>
          </w:tcPr>
          <w:p>
            <w:pPr>
              <w:ind w:left="20"/>
              <w:spacing w:after="0"/>
              <w:rPr>
                <w:sz w:val="20"/>
                <w:szCs w:val="20"/>
                <w:color w:val="auto"/>
              </w:rPr>
            </w:pPr>
            <w:r>
              <w:rPr>
                <w:rFonts w:ascii="Arial" w:cs="Arial" w:eastAsia="Arial" w:hAnsi="Arial"/>
                <w:sz w:val="14"/>
                <w:szCs w:val="14"/>
                <w:color w:val="auto"/>
              </w:rPr>
              <w:t>Canada</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3,265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4,772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6,071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17,369</w:t>
            </w:r>
          </w:p>
        </w:tc>
      </w:tr>
      <w:tr>
        <w:trPr>
          <w:trHeight w:val="189"/>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45,460</w:t>
            </w:r>
          </w:p>
        </w:tc>
      </w:tr>
      <w:tr>
        <w:trPr>
          <w:trHeight w:val="189"/>
        </w:trPr>
        <w:tc>
          <w:tcPr>
            <w:tcW w:w="14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7,393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21,518</w:t>
            </w:r>
          </w:p>
        </w:tc>
      </w:tr>
      <w:tr>
        <w:trPr>
          <w:trHeight w:val="189"/>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international</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28,434</w:t>
            </w:r>
          </w:p>
        </w:tc>
      </w:tr>
      <w:tr>
        <w:trPr>
          <w:trHeight w:val="183"/>
        </w:trPr>
        <w:tc>
          <w:tcPr>
            <w:tcW w:w="14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183,416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39,693</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49,413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5,256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77,611</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44,652</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52,812</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53,828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160,395</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667,076</w:t>
            </w:r>
          </w:p>
        </w:tc>
      </w:tr>
      <w:tr>
        <w:trPr>
          <w:trHeight w:val="20"/>
        </w:trPr>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Operating Segment Data</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June 30, 2021, the Company had ten reportable operating segments. Each operating segment represents a platform acquisition. The Company’s operating segments are strategic business units that offer different products and services. They are managed separately because each business requires different technology and marketing strategies. A description of each of the reportable segments and the types of products and services from which each segment derives its revenues is as follows: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left="340" w:hanging="331"/>
        <w:spacing w:after="0" w:line="25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5.11</w:t>
      </w:r>
      <w:r>
        <w:rPr>
          <w:rFonts w:ascii="Arial" w:cs="Arial" w:eastAsia="Arial" w:hAnsi="Arial"/>
          <w:sz w:val="18"/>
          <w:szCs w:val="18"/>
          <w:color w:val="auto"/>
        </w:rPr>
        <w:t xml:space="preserve"> is a leading provider of purpose-built technical apparel and gear for law enforcement, firefighters, EMS, and military special 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Irvine, California, 5.11 operates sales offices and distribution centers globally, and 5.11 products are widely distributed in uniform stores, military exchanges, outdoor retail stores, its own retail stores and on 511tactical.com.</w:t>
      </w:r>
    </w:p>
    <w:p>
      <w:pPr>
        <w:spacing w:after="0" w:line="154" w:lineRule="exact"/>
        <w:rPr>
          <w:rFonts w:ascii="Arial" w:cs="Arial" w:eastAsia="Arial" w:hAnsi="Arial"/>
          <w:sz w:val="18"/>
          <w:szCs w:val="18"/>
          <w:color w:val="auto"/>
        </w:rPr>
      </w:pPr>
    </w:p>
    <w:p>
      <w:pPr>
        <w:jc w:val="both"/>
        <w:ind w:left="340" w:hanging="331"/>
        <w:spacing w:after="0" w:line="25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BOA,</w:t>
      </w:r>
      <w:r>
        <w:rPr>
          <w:rFonts w:ascii="Arial" w:cs="Arial" w:eastAsia="Arial" w:hAnsi="Arial"/>
          <w:sz w:val="18"/>
          <w:szCs w:val="18"/>
          <w:color w:val="auto"/>
        </w:rPr>
        <w:t xml:space="preserve"> creator of the revolutionary, award-winning, patented BOA Fit System, partners with market-leading brands to make the best gear even better. Delivering fit solutions purpose-built for performance, the BOA Fit System is featured in footwear across snow sports, cycling, hiking/trekking, golf, running, court sports, workwear as well as headwear and medical bracing. The system consists of three integral parts: a micro-adjustable dial, high-tensile lightweight laces, and low friction lace guides creating a superior alternative to laces, buckles, Velcro, and other traditional closure mechanisms. Each unique BOA configuration is engineered for fast, effortless, precision fit, and is backed by The BOA Lifetime Guarantee. BOA is headquartered in Denver, Colorado and has offices in Austria, Greater China, South Korea, and Japan.</w:t>
      </w:r>
    </w:p>
    <w:p>
      <w:pPr>
        <w:spacing w:after="0" w:line="152" w:lineRule="exact"/>
        <w:rPr>
          <w:rFonts w:ascii="Arial" w:cs="Arial" w:eastAsia="Arial" w:hAnsi="Arial"/>
          <w:sz w:val="18"/>
          <w:szCs w:val="18"/>
          <w:color w:val="auto"/>
        </w:rPr>
      </w:pPr>
    </w:p>
    <w:p>
      <w:pPr>
        <w:jc w:val="both"/>
        <w:ind w:left="340" w:hanging="331"/>
        <w:spacing w:after="0" w:line="254"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Ergobaby</w:t>
      </w:r>
      <w:r>
        <w:rPr>
          <w:rFonts w:ascii="Arial" w:cs="Arial" w:eastAsia="Arial" w:hAnsi="Arial"/>
          <w:sz w:val="18"/>
          <w:szCs w:val="18"/>
          <w:color w:val="auto"/>
        </w:rPr>
        <w:t xml:space="preserve"> is a designer, marketer and distributor of wearable baby carriers and accessories, blankets and swaddlers, nursing pillows, strollers and related products. Ergobaby primarily sells its Ergobaby and Baby Tula branded products through brick-and-mortar retailers, national chain stores, online retailers, its own websites and distributors and derives more than 50% of its sales from outside of the United States. Ergobaby is headquartered in Los Angeles, California.</w:t>
      </w:r>
    </w:p>
    <w:p>
      <w:pPr>
        <w:spacing w:after="0" w:line="149" w:lineRule="exact"/>
        <w:rPr>
          <w:rFonts w:ascii="Arial" w:cs="Arial" w:eastAsia="Arial" w:hAnsi="Arial"/>
          <w:sz w:val="18"/>
          <w:szCs w:val="18"/>
          <w:color w:val="auto"/>
        </w:rPr>
      </w:pPr>
    </w:p>
    <w:p>
      <w:pPr>
        <w:jc w:val="both"/>
        <w:ind w:left="340" w:hanging="331"/>
        <w:spacing w:after="0" w:line="256"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Liberty Safe</w:t>
      </w:r>
      <w:r>
        <w:rPr>
          <w:rFonts w:ascii="Arial" w:cs="Arial" w:eastAsia="Arial" w:hAnsi="Arial"/>
          <w:sz w:val="18"/>
          <w:szCs w:val="18"/>
          <w:color w:val="auto"/>
        </w:rPr>
        <w:t xml:space="preserve"> is a designer, manufacturer and marketer of premium home, gun and office safes in North America. From its over 300,000 square foot manufacturing facility, Liberty produces a wide range of home and gun safe models in a broad assortment of sizes, features and styles. Liberty is headquartered in Payson, Utah.</w:t>
      </w:r>
    </w:p>
    <w:p>
      <w:pPr>
        <w:spacing w:after="0" w:line="147" w:lineRule="exact"/>
        <w:rPr>
          <w:rFonts w:ascii="Arial" w:cs="Arial" w:eastAsia="Arial" w:hAnsi="Arial"/>
          <w:sz w:val="18"/>
          <w:szCs w:val="18"/>
          <w:color w:val="auto"/>
        </w:rPr>
      </w:pPr>
    </w:p>
    <w:p>
      <w:pPr>
        <w:jc w:val="both"/>
        <w:ind w:left="340" w:hanging="331"/>
        <w:spacing w:after="0" w:line="254"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Marucci Sports</w:t>
      </w:r>
      <w:r>
        <w:rPr>
          <w:rFonts w:ascii="Arial" w:cs="Arial" w:eastAsia="Arial" w:hAnsi="Arial"/>
          <w:sz w:val="18"/>
          <w:szCs w:val="18"/>
          <w:color w:val="auto"/>
        </w:rPr>
        <w:t xml:space="preserve"> is a leading designer, manufacturer, and marketer of premium wood and metal baseball bats, fielding gloves, batting gloves, bags, protective gear, sunglasses, on and off-field apparel, and other baseball and softball equipment used by professional and amateur athletes. Marucci also develops and licenses franchises for sports training facilities. Marucci is headquartered in Baton Rouge, Louisiana.</w:t>
      </w:r>
    </w:p>
    <w:p>
      <w:pPr>
        <w:spacing w:after="0" w:line="149" w:lineRule="exact"/>
        <w:rPr>
          <w:rFonts w:ascii="Arial" w:cs="Arial" w:eastAsia="Arial" w:hAnsi="Arial"/>
          <w:sz w:val="18"/>
          <w:szCs w:val="18"/>
          <w:color w:val="auto"/>
        </w:rPr>
      </w:pPr>
    </w:p>
    <w:p>
      <w:pPr>
        <w:jc w:val="both"/>
        <w:ind w:left="340" w:hanging="331"/>
        <w:spacing w:after="0" w:line="254"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is a leading designer, manufacturer, and marketer of airguns, archery products, laser aiming devices and related accessories. Velocity Outdoor offers its products under the highly recognizable Crosman, Benjamin, Ravin, LaserMax and CenterPoint brands that are available through national retail chains, mass merchants, dealer and distributor networks. Velocity Outdoor is headquartered in Bloomfield, New York.</w:t>
      </w:r>
    </w:p>
    <w:p>
      <w:pPr>
        <w:spacing w:after="0" w:line="149" w:lineRule="exact"/>
        <w:rPr>
          <w:rFonts w:ascii="Arial" w:cs="Arial" w:eastAsia="Arial" w:hAnsi="Arial"/>
          <w:sz w:val="18"/>
          <w:szCs w:val="18"/>
          <w:color w:val="auto"/>
        </w:rPr>
      </w:pPr>
    </w:p>
    <w:p>
      <w:pPr>
        <w:jc w:val="both"/>
        <w:ind w:left="340" w:hanging="331"/>
        <w:spacing w:after="0" w:line="256" w:lineRule="auto"/>
        <w:tabs>
          <w:tab w:leader="none" w:pos="332" w:val="left"/>
        </w:tabs>
        <w:numPr>
          <w:ilvl w:val="0"/>
          <w:numId w:val="8"/>
        </w:numPr>
        <w:rPr>
          <w:rFonts w:ascii="Arial" w:cs="Arial" w:eastAsia="Arial" w:hAnsi="Arial"/>
          <w:sz w:val="17"/>
          <w:szCs w:val="17"/>
          <w:color w:val="auto"/>
        </w:rPr>
      </w:pPr>
      <w:r>
        <w:rPr>
          <w:rFonts w:ascii="Arial" w:cs="Arial" w:eastAsia="Arial" w:hAnsi="Arial"/>
          <w:sz w:val="18"/>
          <w:szCs w:val="18"/>
          <w:u w:val="single" w:color="auto"/>
          <w:color w:val="auto"/>
        </w:rPr>
        <w:t>Advanced Circuits</w:t>
      </w:r>
      <w:r>
        <w:rPr>
          <w:rFonts w:ascii="Arial" w:cs="Arial" w:eastAsia="Arial" w:hAnsi="Arial"/>
          <w:sz w:val="18"/>
          <w:szCs w:val="18"/>
          <w:color w:val="auto"/>
        </w:rPr>
        <w:t xml:space="preserve"> is an electronic components manufacturing company that provides small-run, quick-turn and volume production rigid printed circuit boards. ACI manufactures and delivers custom printed circuit boards to customers primarily in North America. ACI is headquartered in Aurora, Colorado.</w:t>
      </w:r>
    </w:p>
    <w:p>
      <w:pPr>
        <w:spacing w:after="0" w:line="147" w:lineRule="exact"/>
        <w:rPr>
          <w:rFonts w:ascii="Arial" w:cs="Arial" w:eastAsia="Arial" w:hAnsi="Arial"/>
          <w:sz w:val="17"/>
          <w:szCs w:val="17"/>
          <w:color w:val="auto"/>
        </w:rPr>
      </w:pPr>
    </w:p>
    <w:p>
      <w:pPr>
        <w:jc w:val="both"/>
        <w:ind w:left="340" w:hanging="331"/>
        <w:spacing w:after="0" w:line="25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Altor Solutions</w:t>
      </w:r>
      <w:r>
        <w:rPr>
          <w:rFonts w:ascii="Arial" w:cs="Arial" w:eastAsia="Arial" w:hAnsi="Arial"/>
          <w:sz w:val="18"/>
          <w:szCs w:val="18"/>
          <w:color w:val="auto"/>
        </w:rPr>
        <w:t xml:space="preserve"> is a designer and manufacturer of custom molded protective foam solutions and original equipment manufacturer components made from expanded polystyrene and expanded polypropylene. Altor provides products to a variety of end markets, including appliances and electronics, pharmaceuticals, health and wellness, automotive, building and other products. In July 2020, Altor acquired the assets of Polyfoam, a Massachusetts-based manufacturer of protective and temperature-sensitive packaging solutions for the medical, pharmaceutical, grocery and food industries, among others. Altor is headquartered in Scottsdale, Arizona and operates 14 molding and fabricating facilities across North America subsequent to the acquisition of Polyfoam.</w:t>
      </w:r>
    </w:p>
    <w:p>
      <w:pPr>
        <w:spacing w:after="0" w:line="154" w:lineRule="exact"/>
        <w:rPr>
          <w:rFonts w:ascii="Arial" w:cs="Arial" w:eastAsia="Arial" w:hAnsi="Arial"/>
          <w:sz w:val="18"/>
          <w:szCs w:val="18"/>
          <w:color w:val="auto"/>
        </w:rPr>
      </w:pPr>
    </w:p>
    <w:p>
      <w:pPr>
        <w:jc w:val="both"/>
        <w:ind w:left="340" w:hanging="331"/>
        <w:spacing w:after="0" w:line="25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is a global manufacturer of engineered magnetic solutions for a wide range of specialty applications and end-markets, including aerospace and defense, general industrial, motorsport/automotive, oil and gas, medical, energy, reprographics and advertising specialties. Arnold produces high performance permanent magnets (PMAG), precision foil products (Precision Thin Metals or "PTM"), turnkey electric motors ("Ramco") and flexible magnets (Flexmag™) that are mission critical in motors, generators, sensors and other systems and components. Based on its long-term relationships, Arnold has built a diverse and blue-chip customer base totaling more than 2,000 clients worldwide. Arnold is headquartered in Rochester, New York.</w:t>
      </w:r>
    </w:p>
    <w:p>
      <w:pPr>
        <w:spacing w:after="0" w:line="153" w:lineRule="exact"/>
        <w:rPr>
          <w:rFonts w:ascii="Arial" w:cs="Arial" w:eastAsia="Arial" w:hAnsi="Arial"/>
          <w:sz w:val="18"/>
          <w:szCs w:val="18"/>
          <w:color w:val="auto"/>
        </w:rPr>
      </w:pPr>
    </w:p>
    <w:p>
      <w:pPr>
        <w:jc w:val="both"/>
        <w:ind w:left="340" w:right="20" w:hanging="331"/>
        <w:spacing w:after="0" w:line="256" w:lineRule="auto"/>
        <w:tabs>
          <w:tab w:leader="none" w:pos="33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Sterno</w:t>
      </w:r>
      <w:r>
        <w:rPr>
          <w:rFonts w:ascii="Arial" w:cs="Arial" w:eastAsia="Arial" w:hAnsi="Arial"/>
          <w:sz w:val="18"/>
          <w:szCs w:val="18"/>
          <w:color w:val="auto"/>
        </w:rPr>
        <w:t xml:space="preserve"> is a manufacturer and marketer of portable food warming systems, creative indoor and outdoor lighting, and home fragrance solutions for the foodservice industry and consumer markets. Sterno offers a broad range of wick and gel chafing systems, butane stoves and accessories, liquid and traditional wax candles, catering</w:t>
      </w:r>
    </w:p>
    <w:p>
      <w:pPr>
        <w:spacing w:after="0" w:line="200" w:lineRule="exact"/>
        <w:rPr>
          <w:sz w:val="20"/>
          <w:szCs w:val="20"/>
          <w:color w:val="auto"/>
        </w:rPr>
      </w:pPr>
    </w:p>
    <w:p>
      <w:pPr>
        <w:spacing w:after="0" w:line="31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92075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70" w:right="339" w:bottom="1440" w:gutter="0" w:footer="0" w:header="0"/>
        </w:sectPr>
      </w:pPr>
    </w:p>
    <w:bookmarkStart w:id="19" w:name="page20"/>
    <w:bookmarkEnd w:id="19"/>
    <w:p>
      <w:pPr>
        <w:jc w:val="both"/>
        <w:ind w:left="420"/>
        <w:spacing w:after="0" w:line="256" w:lineRule="auto"/>
        <w:rPr>
          <w:sz w:val="20"/>
          <w:szCs w:val="20"/>
          <w:color w:val="auto"/>
        </w:rPr>
      </w:pPr>
      <w:r>
        <w:rPr>
          <w:rFonts w:ascii="Arial" w:cs="Arial" w:eastAsia="Arial" w:hAnsi="Arial"/>
          <w:sz w:val="18"/>
          <w:szCs w:val="18"/>
          <w:color w:val="auto"/>
        </w:rPr>
        <w:t>equipment and lamps through Sterno Products, flameless candles and outdoor lighting products through Sterno Home, and scented wax cubes and warmer products used for home decor and fragrance systems through Rimports. Sterno is headquartered in Corona, California.</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tabular information that follows shows data for each of the operating segments reconciled to amounts reflected in the consolidated financial statements. The results of operations of each of the operating segments are included in consolidated operating results as of their date of acquisition. There were no significant inter-segment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Segments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400" w:type="dxa"/>
            <w:vAlign w:val="bottom"/>
          </w:tcPr>
          <w:p>
            <w:pPr>
              <w:spacing w:after="0"/>
              <w:rPr>
                <w:sz w:val="20"/>
                <w:szCs w:val="20"/>
                <w:color w:val="auto"/>
              </w:rPr>
            </w:pPr>
            <w:r>
              <w:rPr>
                <w:rFonts w:ascii="Arial" w:cs="Arial" w:eastAsia="Arial" w:hAnsi="Arial"/>
                <w:sz w:val="15"/>
                <w:szCs w:val="15"/>
                <w:b w:val="1"/>
                <w:bCs w:val="1"/>
                <w:color w:val="auto"/>
              </w:rPr>
              <w:t>Net Revenues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gridSpan w:val="7"/>
          </w:tcPr>
          <w:p>
            <w:pPr>
              <w:ind w:left="140"/>
              <w:spacing w:after="0"/>
              <w:rPr>
                <w:sz w:val="20"/>
                <w:szCs w:val="20"/>
                <w:color w:val="auto"/>
              </w:rPr>
            </w:pPr>
            <w:r>
              <w:rPr>
                <w:rFonts w:ascii="Arial" w:cs="Arial" w:eastAsia="Arial" w:hAnsi="Arial"/>
                <w:sz w:val="15"/>
                <w:szCs w:val="15"/>
                <w:b w:val="1"/>
                <w:bCs w:val="1"/>
                <w:color w:val="auto"/>
              </w:rPr>
              <w:t>Three months ended June 30,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4"/>
          </w:tcPr>
          <w:p>
            <w:pPr>
              <w:jc w:val="right"/>
              <w:ind w:right="299"/>
              <w:spacing w:after="0"/>
              <w:rPr>
                <w:sz w:val="20"/>
                <w:szCs w:val="20"/>
                <w:color w:val="auto"/>
              </w:rPr>
            </w:pPr>
            <w:r>
              <w:rPr>
                <w:rFonts w:ascii="Arial" w:cs="Arial" w:eastAsia="Arial" w:hAnsi="Arial"/>
                <w:sz w:val="15"/>
                <w:szCs w:val="15"/>
                <w:b w:val="1"/>
                <w:bCs w:val="1"/>
                <w:color w:val="auto"/>
              </w:rPr>
              <w:t>Six months ended June 30,</w:t>
            </w:r>
          </w:p>
        </w:tc>
      </w:tr>
      <w:tr>
        <w:trPr>
          <w:trHeight w:val="200"/>
        </w:trPr>
        <w:tc>
          <w:tcPr>
            <w:tcW w:w="540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(in thousands)</w:t>
            </w: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5"/>
                <w:szCs w:val="15"/>
                <w:b w:val="1"/>
                <w:bCs w:val="1"/>
                <w:color w:val="auto"/>
              </w:rPr>
              <w:t>2020</w:t>
            </w:r>
          </w:p>
        </w:tc>
      </w:tr>
      <w:tr>
        <w:trPr>
          <w:trHeight w:val="34"/>
        </w:trPr>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87,635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183,416</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BOA</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44,085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80,537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39,693</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Liberty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33,448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24,453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64,926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49,413</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5,256</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Velocity Outdoor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63,358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47,221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128,990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77,611</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ACI</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44,652</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Altor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40,640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24,429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78,460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52,812</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53,828</w:t>
            </w:r>
          </w:p>
        </w:tc>
      </w:tr>
      <w:tr>
        <w:trPr>
          <w:trHeight w:val="213"/>
        </w:trPr>
        <w:tc>
          <w:tcPr>
            <w:tcW w:w="5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Sterno</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89,257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77,363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166,571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160,395</w:t>
            </w:r>
          </w:p>
        </w:tc>
      </w:tr>
      <w:tr>
        <w:trPr>
          <w:trHeight w:val="213"/>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segment revenue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487,438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333,627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949,034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667,076</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Corporate and other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54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consolidated revenues</w:t>
            </w:r>
          </w:p>
        </w:tc>
        <w:tc>
          <w:tcPr>
            <w:tcW w:w="2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487,438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333,627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949,034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667,076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868"/>
        </w:trPr>
        <w:tc>
          <w:tcPr>
            <w:tcW w:w="5400" w:type="dxa"/>
            <w:vAlign w:val="bottom"/>
          </w:tcPr>
          <w:p>
            <w:pPr>
              <w:spacing w:after="0"/>
              <w:rPr>
                <w:sz w:val="20"/>
                <w:szCs w:val="20"/>
                <w:color w:val="auto"/>
              </w:rPr>
            </w:pPr>
            <w:r>
              <w:rPr>
                <w:rFonts w:ascii="Arial" w:cs="Arial" w:eastAsia="Arial" w:hAnsi="Arial"/>
                <w:sz w:val="15"/>
                <w:szCs w:val="15"/>
                <w:b w:val="1"/>
                <w:bCs w:val="1"/>
                <w:color w:val="auto"/>
              </w:rPr>
              <w:t xml:space="preserve">Segment profit (loss) </w:t>
            </w:r>
            <w:r>
              <w:rPr>
                <w:rFonts w:ascii="Arial" w:cs="Arial" w:eastAsia="Arial" w:hAnsi="Arial"/>
                <w:sz w:val="19"/>
                <w:szCs w:val="19"/>
                <w:b w:val="1"/>
                <w:bCs w:val="1"/>
                <w:color w:val="auto"/>
                <w:vertAlign w:val="superscript"/>
              </w:rPr>
              <w:t>(1)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7"/>
          </w:tcPr>
          <w:p>
            <w:pPr>
              <w:ind w:left="140"/>
              <w:spacing w:after="0"/>
              <w:rPr>
                <w:sz w:val="20"/>
                <w:szCs w:val="20"/>
                <w:color w:val="auto"/>
              </w:rPr>
            </w:pPr>
            <w:r>
              <w:rPr>
                <w:rFonts w:ascii="Arial" w:cs="Arial" w:eastAsia="Arial" w:hAnsi="Arial"/>
                <w:sz w:val="15"/>
                <w:szCs w:val="15"/>
                <w:b w:val="1"/>
                <w:bCs w:val="1"/>
                <w:color w:val="auto"/>
              </w:rPr>
              <w:t>Three months ended June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4"/>
          </w:tcPr>
          <w:p>
            <w:pPr>
              <w:jc w:val="right"/>
              <w:ind w:right="299"/>
              <w:spacing w:after="0"/>
              <w:rPr>
                <w:sz w:val="20"/>
                <w:szCs w:val="20"/>
                <w:color w:val="auto"/>
              </w:rPr>
            </w:pPr>
            <w:r>
              <w:rPr>
                <w:rFonts w:ascii="Arial" w:cs="Arial" w:eastAsia="Arial" w:hAnsi="Arial"/>
                <w:sz w:val="15"/>
                <w:szCs w:val="15"/>
                <w:b w:val="1"/>
                <w:bCs w:val="1"/>
                <w:color w:val="auto"/>
              </w:rPr>
              <w:t>Six months ended June 30,</w:t>
            </w:r>
          </w:p>
        </w:tc>
      </w:tr>
      <w:tr>
        <w:trPr>
          <w:trHeight w:val="196"/>
        </w:trPr>
        <w:tc>
          <w:tcPr>
            <w:tcW w:w="540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(in thousands)</w:t>
            </w: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5"/>
                <w:szCs w:val="15"/>
                <w:b w:val="1"/>
                <w:bCs w:val="1"/>
                <w:color w:val="auto"/>
              </w:rPr>
              <w:t>2020</w:t>
            </w:r>
          </w:p>
        </w:tc>
      </w:tr>
      <w:tr>
        <w:trPr>
          <w:trHeight w:val="34"/>
        </w:trPr>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9,288</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BOA</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Liberty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6,545</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(7,743)</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Velocity Outdoor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2,834</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ACI</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12,067</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Altor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6,359</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w:t>
            </w:r>
          </w:p>
        </w:tc>
      </w:tr>
      <w:tr>
        <w:trPr>
          <w:trHeight w:val="213"/>
        </w:trPr>
        <w:tc>
          <w:tcPr>
            <w:tcW w:w="5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Sterno</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9,232</w:t>
            </w:r>
          </w:p>
        </w:tc>
      </w:tr>
      <w:tr>
        <w:trPr>
          <w:trHeight w:val="213"/>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45,258</w:t>
            </w:r>
          </w:p>
        </w:tc>
      </w:tr>
      <w:tr>
        <w:trPr>
          <w:trHeight w:val="162"/>
        </w:trPr>
        <w:tc>
          <w:tcPr>
            <w:tcW w:w="5400" w:type="dxa"/>
            <w:vAlign w:val="bottom"/>
          </w:tcPr>
          <w:p>
            <w:pPr>
              <w:spacing w:after="0" w:line="162" w:lineRule="exact"/>
              <w:rPr>
                <w:sz w:val="20"/>
                <w:szCs w:val="20"/>
                <w:color w:val="auto"/>
              </w:rPr>
            </w:pPr>
            <w:r>
              <w:rPr>
                <w:rFonts w:ascii="Arial" w:cs="Arial" w:eastAsia="Arial" w:hAnsi="Arial"/>
                <w:sz w:val="16"/>
                <w:szCs w:val="16"/>
                <w:b w:val="1"/>
                <w:bCs w:val="1"/>
                <w:color w:val="auto"/>
              </w:rPr>
              <w:t>Reconciliation of segment profit (loss) to consolidated net income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5"/>
        </w:trPr>
        <w:tc>
          <w:tcPr>
            <w:tcW w:w="5400" w:type="dxa"/>
            <w:vAlign w:val="bottom"/>
          </w:tcPr>
          <w:p>
            <w:pPr>
              <w:spacing w:after="0"/>
              <w:rPr>
                <w:sz w:val="20"/>
                <w:szCs w:val="20"/>
                <w:color w:val="auto"/>
              </w:rPr>
            </w:pPr>
            <w:r>
              <w:rPr>
                <w:rFonts w:ascii="Arial" w:cs="Arial" w:eastAsia="Arial" w:hAnsi="Arial"/>
                <w:sz w:val="16"/>
                <w:szCs w:val="16"/>
                <w:b w:val="1"/>
                <w:bCs w:val="1"/>
                <w:color w:val="auto"/>
              </w:rPr>
              <w:t>before income taxes: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(19,771)</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(1,725)</w:t>
            </w:r>
          </w:p>
        </w:tc>
      </w:tr>
      <w:tr>
        <w:trPr>
          <w:trHeight w:val="219"/>
        </w:trPr>
        <w:tc>
          <w:tcPr>
            <w:tcW w:w="5400" w:type="dxa"/>
            <w:vAlign w:val="bottom"/>
            <w:shd w:val="clear" w:color="auto" w:fill="CCEEFF"/>
          </w:tcPr>
          <w:p>
            <w:pPr>
              <w:spacing w:after="0" w:line="219"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(2)</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(47,755)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(61,891)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(19,377)</w:t>
            </w:r>
          </w:p>
        </w:tc>
      </w:tr>
      <w:tr>
        <w:trPr>
          <w:trHeight w:val="206"/>
        </w:trPr>
        <w:tc>
          <w:tcPr>
            <w:tcW w:w="5400" w:type="dxa"/>
            <w:vAlign w:val="bottom"/>
          </w:tcPr>
          <w:p>
            <w:pPr>
              <w:ind w:left="340"/>
              <w:spacing w:after="0"/>
              <w:rPr>
                <w:sz w:val="20"/>
                <w:szCs w:val="20"/>
                <w:color w:val="auto"/>
              </w:rPr>
            </w:pPr>
            <w:r>
              <w:rPr>
                <w:rFonts w:ascii="Arial" w:cs="Arial" w:eastAsia="Arial" w:hAnsi="Arial"/>
                <w:sz w:val="16"/>
                <w:szCs w:val="16"/>
                <w:color w:val="auto"/>
              </w:rPr>
              <w:t>Total consolidated income (loss) before income taxes</w:t>
            </w: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(1,059)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7"/>
                <w:szCs w:val="17"/>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28,457</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4,385</w:t>
            </w:r>
          </w:p>
        </w:tc>
      </w:tr>
      <w:tr>
        <w:trPr>
          <w:trHeight w:val="24"/>
        </w:trPr>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r>
    </w:tbl>
    <w:p>
      <w:pPr>
        <w:spacing w:after="0" w:line="293"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1"/>
          <w:szCs w:val="21"/>
          <w:b w:val="1"/>
          <w:bCs w:val="1"/>
          <w:color w:val="auto"/>
          <w:vertAlign w:val="superscript"/>
        </w:rPr>
      </w:pPr>
      <w:r>
        <w:rPr>
          <w:rFonts w:ascii="Arial" w:cs="Arial" w:eastAsia="Arial" w:hAnsi="Arial"/>
          <w:sz w:val="16"/>
          <w:szCs w:val="16"/>
          <w:color w:val="auto"/>
        </w:rPr>
        <w:t>Segment profit (loss) represents operating income (loss).</w:t>
      </w:r>
    </w:p>
    <w:p>
      <w:pPr>
        <w:spacing w:after="0" w:line="102" w:lineRule="exact"/>
        <w:rPr>
          <w:rFonts w:ascii="Arial" w:cs="Arial" w:eastAsia="Arial" w:hAnsi="Arial"/>
          <w:sz w:val="21"/>
          <w:szCs w:val="21"/>
          <w:b w:val="1"/>
          <w:bCs w:val="1"/>
          <w:color w:val="auto"/>
          <w:vertAlign w:val="superscript"/>
        </w:rPr>
      </w:pPr>
    </w:p>
    <w:p>
      <w:pPr>
        <w:ind w:left="340" w:right="400" w:hanging="332"/>
        <w:spacing w:after="0" w:line="216" w:lineRule="auto"/>
        <w:tabs>
          <w:tab w:leader="none" w:pos="333" w:val="left"/>
        </w:tabs>
        <w:numPr>
          <w:ilvl w:val="0"/>
          <w:numId w:val="9"/>
        </w:numPr>
        <w:rPr>
          <w:rFonts w:ascii="Arial" w:cs="Arial" w:eastAsia="Arial" w:hAnsi="Arial"/>
          <w:sz w:val="21"/>
          <w:szCs w:val="21"/>
          <w:b w:val="1"/>
          <w:bCs w:val="1"/>
          <w:color w:val="auto"/>
          <w:vertAlign w:val="superscript"/>
        </w:rPr>
      </w:pPr>
      <w:r>
        <w:rPr>
          <w:rFonts w:ascii="Arial" w:cs="Arial" w:eastAsia="Arial" w:hAnsi="Arial"/>
          <w:sz w:val="16"/>
          <w:szCs w:val="16"/>
          <w:color w:val="auto"/>
        </w:rPr>
        <w:t>Primarily relates to management fees expensed and payable to CGM, the loss on debt extinguishment recognized in 2021 and corporate overhead expenses.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0" w:name="page21"/>
    <w:bookmarkEnd w:id="20"/>
    <w:tbl>
      <w:tblPr>
        <w:tblLayout w:type="fixed"/>
        <w:tblInd w:w="120" w:type="dxa"/>
        <w:tblCellMar>
          <w:top w:w="0" w:type="dxa"/>
          <w:left w:w="0" w:type="dxa"/>
          <w:bottom w:w="0" w:type="dxa"/>
          <w:right w:w="0" w:type="dxa"/>
        </w:tblCellMar>
      </w:tblPr>
      <w:tr>
        <w:trPr>
          <w:trHeight w:val="206"/>
        </w:trPr>
        <w:tc>
          <w:tcPr>
            <w:tcW w:w="5240" w:type="dxa"/>
            <w:vAlign w:val="bottom"/>
          </w:tcPr>
          <w:p>
            <w:pPr>
              <w:spacing w:after="0"/>
              <w:rPr>
                <w:sz w:val="20"/>
                <w:szCs w:val="20"/>
                <w:color w:val="auto"/>
              </w:rPr>
            </w:pPr>
            <w:r>
              <w:rPr>
                <w:rFonts w:ascii="Arial" w:cs="Arial" w:eastAsia="Arial" w:hAnsi="Arial"/>
                <w:sz w:val="15"/>
                <w:szCs w:val="15"/>
                <w:b w:val="1"/>
                <w:bCs w:val="1"/>
                <w:color w:val="auto"/>
              </w:rPr>
              <w:t>Depreciation and Amortization Expense</w:t>
            </w:r>
          </w:p>
        </w:tc>
        <w:tc>
          <w:tcPr>
            <w:tcW w:w="240" w:type="dxa"/>
            <w:vAlign w:val="bottom"/>
          </w:tcPr>
          <w:p>
            <w:pPr>
              <w:spacing w:after="0"/>
              <w:rPr>
                <w:sz w:val="17"/>
                <w:szCs w:val="17"/>
                <w:color w:val="auto"/>
              </w:rPr>
            </w:pPr>
          </w:p>
        </w:tc>
        <w:tc>
          <w:tcPr>
            <w:tcW w:w="2800" w:type="dxa"/>
            <w:vAlign w:val="bottom"/>
            <w:gridSpan w:val="5"/>
          </w:tcPr>
          <w:p>
            <w:pPr>
              <w:ind w:left="140"/>
              <w:spacing w:after="0"/>
              <w:rPr>
                <w:sz w:val="20"/>
                <w:szCs w:val="20"/>
                <w:color w:val="auto"/>
              </w:rPr>
            </w:pPr>
            <w:r>
              <w:rPr>
                <w:rFonts w:ascii="Arial" w:cs="Arial" w:eastAsia="Arial" w:hAnsi="Arial"/>
                <w:sz w:val="15"/>
                <w:szCs w:val="15"/>
                <w:b w:val="1"/>
                <w:bCs w:val="1"/>
                <w:color w:val="auto"/>
              </w:rPr>
              <w:t>Three months ended June 30,</w:t>
            </w:r>
          </w:p>
        </w:tc>
        <w:tc>
          <w:tcPr>
            <w:tcW w:w="240" w:type="dxa"/>
            <w:vAlign w:val="bottom"/>
          </w:tcPr>
          <w:p>
            <w:pPr>
              <w:spacing w:after="0"/>
              <w:rPr>
                <w:sz w:val="17"/>
                <w:szCs w:val="17"/>
                <w:color w:val="auto"/>
              </w:rPr>
            </w:pPr>
          </w:p>
        </w:tc>
        <w:tc>
          <w:tcPr>
            <w:tcW w:w="2500" w:type="dxa"/>
            <w:vAlign w:val="bottom"/>
            <w:gridSpan w:val="4"/>
          </w:tcPr>
          <w:p>
            <w:pPr>
              <w:jc w:val="right"/>
              <w:ind w:right="319"/>
              <w:spacing w:after="0"/>
              <w:rPr>
                <w:sz w:val="20"/>
                <w:szCs w:val="20"/>
                <w:color w:val="auto"/>
              </w:rPr>
            </w:pPr>
            <w:r>
              <w:rPr>
                <w:rFonts w:ascii="Arial" w:cs="Arial" w:eastAsia="Arial" w:hAnsi="Arial"/>
                <w:sz w:val="15"/>
                <w:szCs w:val="15"/>
                <w:b w:val="1"/>
                <w:bCs w:val="1"/>
                <w:color w:val="auto"/>
              </w:rPr>
              <w:t>Six months ended June 30,</w:t>
            </w:r>
          </w:p>
        </w:tc>
      </w:tr>
      <w:tr>
        <w:trPr>
          <w:trHeight w:val="200"/>
        </w:trPr>
        <w:tc>
          <w:tcPr>
            <w:tcW w:w="524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2020</w:t>
            </w:r>
          </w:p>
        </w:tc>
      </w:tr>
      <w:tr>
        <w:trPr>
          <w:trHeight w:val="34"/>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10,438</w:t>
            </w:r>
          </w:p>
        </w:tc>
      </w:tr>
      <w:tr>
        <w:trPr>
          <w:trHeight w:val="213"/>
        </w:trPr>
        <w:tc>
          <w:tcPr>
            <w:tcW w:w="5240" w:type="dxa"/>
            <w:vAlign w:val="bottom"/>
          </w:tcPr>
          <w:p>
            <w:pPr>
              <w:spacing w:after="0"/>
              <w:rPr>
                <w:sz w:val="20"/>
                <w:szCs w:val="20"/>
                <w:color w:val="auto"/>
              </w:rPr>
            </w:pPr>
            <w:r>
              <w:rPr>
                <w:rFonts w:ascii="Arial" w:cs="Arial" w:eastAsia="Arial" w:hAnsi="Arial"/>
                <w:sz w:val="16"/>
                <w:szCs w:val="16"/>
                <w:color w:val="auto"/>
              </w:rPr>
              <w:t>BOA</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w:t>
            </w:r>
          </w:p>
        </w:tc>
      </w:tr>
      <w:tr>
        <w:trPr>
          <w:trHeight w:val="213"/>
        </w:trPr>
        <w:tc>
          <w:tcPr>
            <w:tcW w:w="5240" w:type="dxa"/>
            <w:vAlign w:val="bottom"/>
          </w:tcPr>
          <w:p>
            <w:pPr>
              <w:spacing w:after="0"/>
              <w:rPr>
                <w:sz w:val="20"/>
                <w:szCs w:val="20"/>
                <w:color w:val="auto"/>
              </w:rPr>
            </w:pPr>
            <w:r>
              <w:rPr>
                <w:rFonts w:ascii="Arial" w:cs="Arial" w:eastAsia="Arial" w:hAnsi="Arial"/>
                <w:sz w:val="16"/>
                <w:szCs w:val="16"/>
                <w:color w:val="auto"/>
              </w:rPr>
              <w:t>Liberty</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821</w:t>
            </w:r>
          </w:p>
        </w:tc>
      </w:tr>
      <w:tr>
        <w:trPr>
          <w:trHeight w:val="219"/>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w:t>
            </w:r>
          </w:p>
        </w:tc>
      </w:tr>
      <w:tr>
        <w:trPr>
          <w:trHeight w:val="213"/>
        </w:trPr>
        <w:tc>
          <w:tcPr>
            <w:tcW w:w="5240" w:type="dxa"/>
            <w:vAlign w:val="bottom"/>
          </w:tcPr>
          <w:p>
            <w:pPr>
              <w:spacing w:after="0"/>
              <w:rPr>
                <w:sz w:val="20"/>
                <w:szCs w:val="20"/>
                <w:color w:val="auto"/>
              </w:rPr>
            </w:pPr>
            <w:r>
              <w:rPr>
                <w:rFonts w:ascii="Arial" w:cs="Arial" w:eastAsia="Arial" w:hAnsi="Arial"/>
                <w:sz w:val="16"/>
                <w:szCs w:val="16"/>
                <w:color w:val="auto"/>
              </w:rPr>
              <w:t>Velocity Outdoor</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6,360</w:t>
            </w:r>
          </w:p>
        </w:tc>
      </w:tr>
      <w:tr>
        <w:trPr>
          <w:trHeight w:val="219"/>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ACI</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r>
      <w:tr>
        <w:trPr>
          <w:trHeight w:val="213"/>
        </w:trPr>
        <w:tc>
          <w:tcPr>
            <w:tcW w:w="5240" w:type="dxa"/>
            <w:vAlign w:val="bottom"/>
          </w:tcPr>
          <w:p>
            <w:pPr>
              <w:spacing w:after="0"/>
              <w:rPr>
                <w:sz w:val="20"/>
                <w:szCs w:val="20"/>
                <w:color w:val="auto"/>
              </w:rPr>
            </w:pPr>
            <w:r>
              <w:rPr>
                <w:rFonts w:ascii="Arial" w:cs="Arial" w:eastAsia="Arial" w:hAnsi="Arial"/>
                <w:sz w:val="16"/>
                <w:szCs w:val="16"/>
                <w:color w:val="auto"/>
              </w:rPr>
              <w:t>Altor</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5,982</w:t>
            </w:r>
          </w:p>
        </w:tc>
      </w:tr>
      <w:tr>
        <w:trPr>
          <w:trHeight w:val="219"/>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3,272</w:t>
            </w:r>
          </w:p>
        </w:tc>
      </w:tr>
      <w:tr>
        <w:trPr>
          <w:trHeight w:val="213"/>
        </w:trPr>
        <w:tc>
          <w:tcPr>
            <w:tcW w:w="5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Sterno</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11,263</w:t>
            </w:r>
          </w:p>
        </w:tc>
      </w:tr>
      <w:tr>
        <w:trPr>
          <w:trHeight w:val="21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48,186</w:t>
            </w:r>
          </w:p>
        </w:tc>
      </w:tr>
      <w:tr>
        <w:trPr>
          <w:trHeight w:val="215"/>
        </w:trPr>
        <w:tc>
          <w:tcPr>
            <w:tcW w:w="5240" w:type="dxa"/>
            <w:vAlign w:val="bottom"/>
          </w:tcPr>
          <w:p>
            <w:pPr>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debt issuance costs and bond premium</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r>
      <w:tr>
        <w:trPr>
          <w:trHeight w:val="212"/>
        </w:trPr>
        <w:tc>
          <w:tcPr>
            <w:tcW w:w="5240" w:type="dxa"/>
            <w:vAlign w:val="bottom"/>
          </w:tcPr>
          <w:p>
            <w:pPr>
              <w:ind w:left="200"/>
              <w:spacing w:after="0"/>
              <w:rPr>
                <w:sz w:val="20"/>
                <w:szCs w:val="20"/>
                <w:color w:val="auto"/>
              </w:rPr>
            </w:pPr>
            <w:r>
              <w:rPr>
                <w:rFonts w:ascii="Arial" w:cs="Arial" w:eastAsia="Arial" w:hAnsi="Arial"/>
                <w:sz w:val="16"/>
                <w:szCs w:val="16"/>
                <w:color w:val="auto"/>
              </w:rPr>
              <w:t>Consolidated 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29,497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26,934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58,204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49,265</w:t>
            </w:r>
          </w:p>
        </w:tc>
      </w:tr>
      <w:tr>
        <w:trPr>
          <w:trHeight w:val="21"/>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ind w:left="500"/>
              <w:spacing w:after="0"/>
              <w:rPr>
                <w:sz w:val="20"/>
                <w:szCs w:val="20"/>
                <w:color w:val="auto"/>
              </w:rPr>
            </w:pPr>
            <w:r>
              <w:rPr>
                <w:rFonts w:ascii="Arial" w:cs="Arial" w:eastAsia="Arial" w:hAnsi="Arial"/>
                <w:sz w:val="15"/>
                <w:szCs w:val="15"/>
                <w:b w:val="1"/>
                <w:bCs w:val="1"/>
                <w:color w:val="auto"/>
              </w:rPr>
              <w:t>Accounts Receivable</w:t>
            </w:r>
          </w:p>
        </w:tc>
        <w:tc>
          <w:tcPr>
            <w:tcW w:w="260" w:type="dxa"/>
            <w:vAlign w:val="bottom"/>
          </w:tcPr>
          <w:p>
            <w:pPr>
              <w:spacing w:after="0"/>
              <w:rPr>
                <w:sz w:val="17"/>
                <w:szCs w:val="17"/>
                <w:color w:val="auto"/>
              </w:rPr>
            </w:pPr>
          </w:p>
        </w:tc>
        <w:tc>
          <w:tcPr>
            <w:tcW w:w="2820" w:type="dxa"/>
            <w:vAlign w:val="bottom"/>
            <w:gridSpan w:val="4"/>
          </w:tcPr>
          <w:p>
            <w:pPr>
              <w:jc w:val="right"/>
              <w:ind w:right="780"/>
              <w:spacing w:after="0"/>
              <w:rPr>
                <w:sz w:val="20"/>
                <w:szCs w:val="20"/>
                <w:color w:val="auto"/>
              </w:rPr>
            </w:pPr>
            <w:r>
              <w:rPr>
                <w:rFonts w:ascii="Arial" w:cs="Arial" w:eastAsia="Arial" w:hAnsi="Arial"/>
                <w:sz w:val="15"/>
                <w:szCs w:val="15"/>
                <w:b w:val="1"/>
                <w:bCs w:val="1"/>
                <w:color w:val="auto"/>
              </w:rPr>
              <w:t>Identifiable Assets</w:t>
            </w:r>
          </w:p>
        </w:tc>
      </w:tr>
      <w:tr>
        <w:trPr>
          <w:trHeight w:val="192"/>
        </w:trPr>
        <w:tc>
          <w:tcPr>
            <w:tcW w:w="48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June 30,</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6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June 30,</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80"/>
              <w:spacing w:after="0"/>
              <w:rPr>
                <w:sz w:val="20"/>
                <w:szCs w:val="20"/>
                <w:color w:val="auto"/>
              </w:rPr>
            </w:pPr>
            <w:r>
              <w:rPr>
                <w:rFonts w:ascii="Arial" w:cs="Arial" w:eastAsia="Arial" w:hAnsi="Arial"/>
                <w:sz w:val="15"/>
                <w:szCs w:val="15"/>
                <w:b w:val="1"/>
                <w:bCs w:val="1"/>
                <w:color w:val="auto"/>
              </w:rPr>
              <w:t>December 31,</w:t>
            </w:r>
          </w:p>
        </w:tc>
      </w:tr>
      <w:tr>
        <w:trPr>
          <w:trHeight w:val="21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20"/>
              <w:spacing w:after="0" w:line="211" w:lineRule="exact"/>
              <w:rPr>
                <w:sz w:val="20"/>
                <w:szCs w:val="20"/>
                <w:color w:val="auto"/>
              </w:rPr>
            </w:pPr>
            <w:r>
              <w:rPr>
                <w:rFonts w:ascii="Arial" w:cs="Arial" w:eastAsia="Arial" w:hAnsi="Arial"/>
                <w:sz w:val="15"/>
                <w:szCs w:val="15"/>
                <w:b w:val="1"/>
                <w:bCs w:val="1"/>
                <w:color w:val="auto"/>
              </w:rPr>
              <w:t xml:space="preserve">2021 </w:t>
            </w:r>
            <w:r>
              <w:rPr>
                <w:rFonts w:ascii="Arial" w:cs="Arial" w:eastAsia="Arial" w:hAnsi="Arial"/>
                <w:sz w:val="19"/>
                <w:szCs w:val="19"/>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20"/>
              <w:spacing w:after="0" w:line="211" w:lineRule="exact"/>
              <w:rPr>
                <w:sz w:val="20"/>
                <w:szCs w:val="20"/>
                <w:color w:val="auto"/>
              </w:rPr>
            </w:pPr>
            <w:r>
              <w:rPr>
                <w:rFonts w:ascii="Arial" w:cs="Arial" w:eastAsia="Arial" w:hAnsi="Arial"/>
                <w:sz w:val="15"/>
                <w:szCs w:val="15"/>
                <w:b w:val="1"/>
                <w:bCs w:val="1"/>
                <w:color w:val="auto"/>
              </w:rPr>
              <w:t xml:space="preserve">2020 </w:t>
            </w:r>
            <w:r>
              <w:rPr>
                <w:rFonts w:ascii="Arial" w:cs="Arial" w:eastAsia="Arial" w:hAnsi="Arial"/>
                <w:sz w:val="19"/>
                <w:szCs w:val="19"/>
                <w:b w:val="1"/>
                <w:bCs w:val="1"/>
                <w:color w:val="auto"/>
                <w:vertAlign w:val="superscript"/>
              </w:rPr>
              <w:t>(1)</w:t>
            </w:r>
          </w:p>
        </w:tc>
      </w:tr>
      <w:tr>
        <w:trPr>
          <w:trHeight w:val="20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356,736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354,033</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BOA</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263,590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269,438</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91,293</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Liberty</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20,615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18,877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39,209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35,858</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Marucci</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129,116</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40,279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40,126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208,702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191,180</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ACI</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28,932</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Altor</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34,332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34,088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161,610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164,800</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75,958</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Sterno</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52,066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70,467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239,369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251,307</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doubtful accounts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231,369</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232,507</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1,591,437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1,591,915</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Corporate and other identifiable assets</w:t>
            </w: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52,090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8,093</w:t>
            </w:r>
          </w:p>
        </w:tc>
      </w:tr>
      <w:tr>
        <w:trPr>
          <w:trHeight w:val="244"/>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Consolidated 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1,643,527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1,600,008</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Does not include accounts receivable balances per schedule above or goodwill balances - refer to </w:t>
      </w:r>
      <w:hyperlink w:anchor="page22">
        <w:r>
          <w:rPr>
            <w:rFonts w:ascii="Arial" w:cs="Arial" w:eastAsia="Arial" w:hAnsi="Arial"/>
            <w:sz w:val="16"/>
            <w:szCs w:val="16"/>
            <w:u w:val="single" w:color="auto"/>
            <w:color w:val="0000FF"/>
          </w:rPr>
          <w:t>Note F - "Goodwill and Other Intangible Assets"</w:t>
        </w:r>
      </w:hyperlink>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5"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E — Property, Plant and Equipment and Inventory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Property, plant and equipment is comprised of the following at June 30, 2021 and 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03" w:lineRule="exact"/>
        <w:rPr>
          <w:sz w:val="20"/>
          <w:szCs w:val="20"/>
          <w:color w:val="auto"/>
        </w:rPr>
      </w:pPr>
    </w:p>
    <w:tbl>
      <w:tblPr>
        <w:tblLayout w:type="fixed"/>
        <w:tblInd w:w="120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 2021</w:t>
            </w:r>
          </w:p>
        </w:tc>
        <w:tc>
          <w:tcPr>
            <w:tcW w:w="200" w:type="dxa"/>
            <w:vAlign w:val="bottom"/>
          </w:tcPr>
          <w:p>
            <w:pPr>
              <w:spacing w:after="0"/>
              <w:rPr>
                <w:sz w:val="17"/>
                <w:szCs w:val="17"/>
                <w:color w:val="auto"/>
              </w:rPr>
            </w:pPr>
          </w:p>
        </w:tc>
        <w:tc>
          <w:tcPr>
            <w:tcW w:w="1800" w:type="dxa"/>
            <w:vAlign w:val="bottom"/>
          </w:tcPr>
          <w:p>
            <w:pPr>
              <w:jc w:val="right"/>
              <w:ind w:right="240"/>
              <w:spacing w:after="0"/>
              <w:rPr>
                <w:sz w:val="20"/>
                <w:szCs w:val="20"/>
                <w:color w:val="auto"/>
              </w:rPr>
            </w:pPr>
            <w:r>
              <w:rPr>
                <w:rFonts w:ascii="Arial" w:cs="Arial" w:eastAsia="Arial" w:hAnsi="Arial"/>
                <w:sz w:val="15"/>
                <w:szCs w:val="15"/>
                <w:b w:val="1"/>
                <w:bCs w:val="1"/>
                <w:color w:val="auto"/>
              </w:rPr>
              <w:t>December 31, 2020</w:t>
            </w:r>
          </w:p>
        </w:tc>
      </w:tr>
      <w:tr>
        <w:trPr>
          <w:trHeight w:val="21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229,691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217,639</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Furniture, fixtures and other</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50,715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48,251</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51,663</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Buildings and land</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13,321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10,817</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process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15,713</w:t>
            </w:r>
          </w:p>
        </w:tc>
      </w:tr>
      <w:tr>
        <w:trPr>
          <w:trHeight w:val="209"/>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365,578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344,083</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(171,414)</w:t>
            </w:r>
          </w:p>
        </w:tc>
      </w:tr>
      <w:tr>
        <w:trPr>
          <w:trHeight w:val="207"/>
        </w:trPr>
        <w:tc>
          <w:tcPr>
            <w:tcW w:w="4740" w:type="dxa"/>
            <w:vAlign w:val="bottom"/>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176,228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172,669</w:t>
            </w:r>
          </w:p>
        </w:tc>
      </w:tr>
      <w:tr>
        <w:trPr>
          <w:trHeight w:val="23"/>
        </w:trPr>
        <w:tc>
          <w:tcPr>
            <w:tcW w:w="4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Depreciation expense was $9.9 million and $19.4 million for the three and six months ended June 30, 2021, respectively and $8.6 million and $16.9 million for the three and six months ended June 30,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Inventory is comprised of the following at June 30, 2021 and 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120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 2021</w:t>
            </w:r>
          </w:p>
        </w:tc>
        <w:tc>
          <w:tcPr>
            <w:tcW w:w="200" w:type="dxa"/>
            <w:vAlign w:val="bottom"/>
          </w:tcPr>
          <w:p>
            <w:pPr>
              <w:spacing w:after="0"/>
              <w:rPr>
                <w:sz w:val="17"/>
                <w:szCs w:val="17"/>
                <w:color w:val="auto"/>
              </w:rPr>
            </w:pPr>
          </w:p>
        </w:tc>
        <w:tc>
          <w:tcPr>
            <w:tcW w:w="1800" w:type="dxa"/>
            <w:vAlign w:val="bottom"/>
          </w:tcPr>
          <w:p>
            <w:pPr>
              <w:jc w:val="right"/>
              <w:ind w:right="240"/>
              <w:spacing w:after="0"/>
              <w:rPr>
                <w:sz w:val="20"/>
                <w:szCs w:val="20"/>
                <w:color w:val="auto"/>
              </w:rPr>
            </w:pPr>
            <w:r>
              <w:rPr>
                <w:rFonts w:ascii="Arial" w:cs="Arial" w:eastAsia="Arial" w:hAnsi="Arial"/>
                <w:sz w:val="15"/>
                <w:szCs w:val="15"/>
                <w:b w:val="1"/>
                <w:bCs w:val="1"/>
                <w:color w:val="auto"/>
              </w:rPr>
              <w:t>December 31, 2020</w:t>
            </w:r>
          </w:p>
        </w:tc>
      </w:tr>
      <w:tr>
        <w:trPr>
          <w:trHeight w:val="21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90,944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81,357</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15,938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14,979</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307,543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289,035</w:t>
            </w:r>
          </w:p>
        </w:tc>
      </w:tr>
      <w:tr>
        <w:trPr>
          <w:trHeight w:val="21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obsolescence reserve</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(21,998)</w:t>
            </w:r>
          </w:p>
        </w:tc>
      </w:tr>
      <w:tr>
        <w:trPr>
          <w:trHeight w:val="235"/>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387,262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363,373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Goodwill and Other Intangible Assets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acquisitions of various businesses, the Company has significant intangible assets on its balance sheet that include goodwill and indefinite-lived intangibles.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Annual Impairment Testing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uses a qualitative approach to test goodwill for impairment by first assessing qualitative factors to determine whether it is more-likely-than-not that the fair value of a reporting unit is less than its carrying amount as a basis for determining whether it is necessary to perform quantitative goodwill impairment testing. We determined that the Arnold reporting unit required additional quantitative testing because we could not conclude that the fair value of the reporting unit exceeded its carrying value based on qualitative factors alone. For the reporting units that were tested only on a qualitative basis for the 2021 annual impairment testing, the results of the qualitative analysis indicated that it is more likely than not that the fair value exceeded the carrying value of these reporting units.</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quantitative test of Arnold was performed using an income approach to determine the fair value of the reporting unit. The discount rate used in the income approach was 13.0% and the results of the quantitative impairment testing indicated that the fair value of the Arnold reporting unit exceeded the carrying value by 272%.</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2020 Annual Impairment Testing</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used a qualitative approach to test goodwill for impairment in the prior year. We determined that the Ergobaby, Altor Solutions and Velocity reporting units required additional quantitative testing because we could not conclude that the fair value of the reporting unit exceeded its carrying value based on qualitative factors alone. For the reporting units that were tested only on a qualitative basis for the 2020 annual impairment testing, the results of the qualitative analysis indicated that it is more likely than not that the fair value exceeded the carrying value of these reporting units.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quantitative tests of Ergobaby, Altor Solutions and Velocity were performed using an income approach to determine the fair value of the reporting units. For Ergobaby, the discount rate used in the income approach was 15.9% and the results of the quantitative impairment testing indicated that the fair value of the Ergobaby reporting unit exceeded the carrying value by 14.0%. For Altor Solutions, the discount rate used in the income approach was 13.3%, and the results of the quantitative impairment testing indicated that the fair value of the Altor Solutions reporting unit exceeded the carrying value by 3.8%. For Velocity, the discount rate used in the income approach was 12.8%, and the results of the quantitative impairment testing indicated that the fair value of the Velocity reporting unit exceeded the carrying value by 16.4%.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the net carrying value of goodwill at June 30, 2021 and December 31, 2020,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130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5"/>
                <w:szCs w:val="15"/>
                <w:b w:val="1"/>
                <w:bCs w:val="1"/>
                <w:color w:val="auto"/>
              </w:rPr>
              <w:t>Six months ended June 30,</w:t>
            </w:r>
          </w:p>
        </w:tc>
        <w:tc>
          <w:tcPr>
            <w:tcW w:w="280" w:type="dxa"/>
            <w:vAlign w:val="bottom"/>
          </w:tcPr>
          <w:p>
            <w:pPr>
              <w:spacing w:after="0"/>
              <w:rPr>
                <w:sz w:val="14"/>
                <w:szCs w:val="14"/>
                <w:color w:val="auto"/>
              </w:rPr>
            </w:pPr>
          </w:p>
        </w:tc>
        <w:tc>
          <w:tcPr>
            <w:tcW w:w="1940" w:type="dxa"/>
            <w:vAlign w:val="bottom"/>
          </w:tcPr>
          <w:p>
            <w:pPr>
              <w:jc w:val="right"/>
              <w:ind w:right="641"/>
              <w:spacing w:after="0"/>
              <w:rPr>
                <w:sz w:val="20"/>
                <w:szCs w:val="20"/>
                <w:color w:val="auto"/>
              </w:rPr>
            </w:pPr>
            <w:r>
              <w:rPr>
                <w:rFonts w:ascii="Arial" w:cs="Arial" w:eastAsia="Arial" w:hAnsi="Arial"/>
                <w:sz w:val="15"/>
                <w:szCs w:val="15"/>
                <w:b w:val="1"/>
                <w:bCs w:val="1"/>
                <w:color w:val="auto"/>
              </w:rPr>
              <w:t>Year ended</w:t>
            </w:r>
          </w:p>
        </w:tc>
      </w:tr>
      <w:tr>
        <w:trPr>
          <w:trHeight w:val="202"/>
        </w:trPr>
        <w:tc>
          <w:tcPr>
            <w:tcW w:w="4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61"/>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December 31, 2020</w:t>
            </w: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 gross carrying amount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843,996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823,748</w:t>
            </w:r>
          </w:p>
        </w:tc>
      </w:tr>
      <w:tr>
        <w:trPr>
          <w:trHeight w:val="21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impairment losses</w:t>
            </w: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(57,745)</w:t>
            </w:r>
          </w:p>
        </w:tc>
      </w:tr>
      <w:tr>
        <w:trPr>
          <w:trHeight w:val="23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 net carrying amount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786,251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766,003</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The following is a reconciliation of the change in the carrying value of goodwill for the six months ended June 30, 2021 by operating segment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820" w:type="dxa"/>
            <w:vAlign w:val="bottom"/>
            <w:gridSpan w:val="3"/>
          </w:tcPr>
          <w:p>
            <w:pPr>
              <w:ind w:left="100"/>
              <w:spacing w:after="0"/>
              <w:rPr>
                <w:sz w:val="20"/>
                <w:szCs w:val="20"/>
                <w:color w:val="auto"/>
              </w:rPr>
            </w:pPr>
            <w:r>
              <w:rPr>
                <w:rFonts w:ascii="Arial" w:cs="Arial" w:eastAsia="Arial" w:hAnsi="Arial"/>
                <w:sz w:val="14"/>
                <w:szCs w:val="14"/>
                <w:b w:val="1"/>
                <w:bCs w:val="1"/>
                <w:color w:val="auto"/>
              </w:rPr>
              <w:t>Balance at January 1,</w:t>
            </w:r>
          </w:p>
        </w:tc>
        <w:tc>
          <w:tcPr>
            <w:tcW w:w="240" w:type="dxa"/>
            <w:vAlign w:val="bottom"/>
          </w:tcPr>
          <w:p>
            <w:pPr>
              <w:spacing w:after="0"/>
              <w:rPr>
                <w:sz w:val="14"/>
                <w:szCs w:val="14"/>
                <w:color w:val="auto"/>
              </w:rPr>
            </w:pPr>
          </w:p>
        </w:tc>
        <w:tc>
          <w:tcPr>
            <w:tcW w:w="13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Acquisitions</w:t>
            </w:r>
          </w:p>
        </w:tc>
        <w:tc>
          <w:tcPr>
            <w:tcW w:w="160" w:type="dxa"/>
            <w:vAlign w:val="bottom"/>
            <w:vMerge w:val="restart"/>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at June 30,</w:t>
            </w: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3060" w:type="dxa"/>
            <w:vAlign w:val="bottom"/>
          </w:tcPr>
          <w:p>
            <w:pPr>
              <w:ind w:left="20"/>
              <w:spacing w:after="0"/>
              <w:rPr>
                <w:sz w:val="20"/>
                <w:szCs w:val="20"/>
                <w:color w:val="auto"/>
              </w:rPr>
            </w:pPr>
            <w:r>
              <w:rPr>
                <w:rFonts w:ascii="Arial" w:cs="Arial" w:eastAsia="Arial" w:hAnsi="Arial"/>
                <w:sz w:val="16"/>
                <w:szCs w:val="16"/>
                <w:color w:val="auto"/>
              </w:rPr>
              <w:t>5.11</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92,966</w:t>
            </w:r>
          </w:p>
        </w:tc>
        <w:tc>
          <w:tcPr>
            <w:tcW w:w="16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92,966</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BOA</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254,153</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Ergobaby</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63,531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(2,083)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61,448</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32,828</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Marucci</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68,170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68,170</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30,079</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ACI</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58,019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58,019</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75,369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75,369</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Arial" w:cs="Arial" w:eastAsia="Arial" w:hAnsi="Arial"/>
                <w:sz w:val="16"/>
                <w:szCs w:val="16"/>
                <w:color w:val="auto"/>
              </w:rPr>
              <w:t>Arnold</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26,903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22,331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49,234</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55,336</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Corporate </w:t>
            </w:r>
            <w:r>
              <w:rPr>
                <w:rFonts w:ascii="Arial" w:cs="Arial" w:eastAsia="Arial" w:hAnsi="Arial"/>
                <w:sz w:val="21"/>
                <w:szCs w:val="21"/>
                <w:b w:val="1"/>
                <w:bCs w:val="1"/>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8,649</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8,649</w:t>
            </w:r>
          </w:p>
        </w:tc>
        <w:tc>
          <w:tcPr>
            <w:tcW w:w="0" w:type="dxa"/>
            <w:vAlign w:val="bottom"/>
          </w:tcPr>
          <w:p>
            <w:pPr>
              <w:spacing w:after="0"/>
              <w:rPr>
                <w:sz w:val="1"/>
                <w:szCs w:val="1"/>
                <w:color w:val="auto"/>
              </w:rPr>
            </w:pPr>
          </w:p>
        </w:tc>
      </w:tr>
      <w:tr>
        <w:trPr>
          <w:trHeight w:val="234"/>
        </w:trPr>
        <w:tc>
          <w:tcPr>
            <w:tcW w:w="3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766,003</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20,248</w:t>
            </w: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786,251</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340" w:hanging="332"/>
        <w:spacing w:after="0" w:line="190" w:lineRule="auto"/>
        <w:tabs>
          <w:tab w:leader="none" w:pos="375" w:val="left"/>
        </w:tabs>
        <w:numPr>
          <w:ilvl w:val="0"/>
          <w:numId w:val="11"/>
        </w:numPr>
        <w:rPr>
          <w:rFonts w:ascii="Arial" w:cs="Arial" w:eastAsia="Arial" w:hAnsi="Arial"/>
          <w:sz w:val="26"/>
          <w:szCs w:val="26"/>
          <w:b w:val="1"/>
          <w:bCs w:val="1"/>
          <w:color w:val="auto"/>
          <w:vertAlign w:val="superscript"/>
        </w:rPr>
      </w:pPr>
      <w:r>
        <w:rPr>
          <w:rFonts w:ascii="Arial" w:cs="Arial" w:eastAsia="Arial" w:hAnsi="Arial"/>
          <w:sz w:val="16"/>
          <w:szCs w:val="16"/>
          <w:color w:val="auto"/>
        </w:rPr>
        <w:t>Represents goodwill resulting from purchase accounting adjustments not "pushed down" to the ACI segment. This amount is allocated back to the ACI segment for purposes of goodwill impairment testing.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indefinite lived impairment testing</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used a qualitative approach to test indefinite lived intangible assets for impairment by first assessing qualitative factors to determine whether it is more-likely-than-not that the fair value of an indefinite lived intangible asset is impaired as a basis for determining whether it is necessary to perform quantitative impairment testing. The Company evaluated the qualitative factors of each indefinite lived intangible asset in connection with the annual impairment testing for 2021 and 2020. Results of the qualitative analysis indicate that it is more likely than not that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3" w:name="page24"/>
    <w:bookmarkEnd w:id="23"/>
    <w:p>
      <w:pPr>
        <w:jc w:val="both"/>
        <w:spacing w:after="0" w:line="256" w:lineRule="auto"/>
        <w:rPr>
          <w:sz w:val="20"/>
          <w:szCs w:val="20"/>
          <w:color w:val="auto"/>
        </w:rPr>
      </w:pPr>
      <w:r>
        <w:rPr>
          <w:rFonts w:ascii="Arial" w:cs="Arial" w:eastAsia="Arial" w:hAnsi="Arial"/>
          <w:sz w:val="18"/>
          <w:szCs w:val="18"/>
          <w:color w:val="auto"/>
        </w:rPr>
        <w:t>the fair value of the reporting units that maintain indefinite lived intangible assets exceeded the carrying value. The Ergobaby reporting unit has an indefinite lived trade name that was tested in conjunction with the goodwill impairment test at March 31, 2020. The results of the quantitative impairment testing indicated that the trade name was not impaired.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intangible assets are comprised of the following at June 30, 2021 and 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28"/>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080" w:type="dxa"/>
            <w:vAlign w:val="bottom"/>
          </w:tcPr>
          <w:p>
            <w:pPr>
              <w:jc w:val="right"/>
              <w:ind w:right="107"/>
              <w:spacing w:after="0" w:line="129" w:lineRule="exact"/>
              <w:rPr>
                <w:sz w:val="20"/>
                <w:szCs w:val="20"/>
                <w:color w:val="auto"/>
              </w:rPr>
            </w:pPr>
            <w:r>
              <w:rPr>
                <w:rFonts w:ascii="Arial" w:cs="Arial" w:eastAsia="Arial" w:hAnsi="Arial"/>
                <w:sz w:val="14"/>
                <w:szCs w:val="14"/>
                <w:b w:val="1"/>
                <w:bCs w:val="1"/>
                <w:color w:val="auto"/>
              </w:rPr>
              <w:t>Net 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right"/>
              <w:ind w:right="147"/>
              <w:spacing w:after="0" w:line="129"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100" w:type="dxa"/>
            <w:vAlign w:val="bottom"/>
          </w:tcPr>
          <w:p>
            <w:pPr>
              <w:jc w:val="right"/>
              <w:ind w:right="127"/>
              <w:spacing w:after="0" w:line="129" w:lineRule="exact"/>
              <w:rPr>
                <w:sz w:val="20"/>
                <w:szCs w:val="20"/>
                <w:color w:val="auto"/>
              </w:rPr>
            </w:pPr>
            <w:r>
              <w:rPr>
                <w:rFonts w:ascii="Arial" w:cs="Arial" w:eastAsia="Arial" w:hAnsi="Arial"/>
                <w:sz w:val="14"/>
                <w:szCs w:val="14"/>
                <w:b w:val="1"/>
                <w:bCs w:val="1"/>
                <w:color w:val="auto"/>
              </w:rPr>
              <w:t>Net Carrying</w:t>
            </w:r>
          </w:p>
        </w:tc>
      </w:tr>
      <w:tr>
        <w:trPr>
          <w:trHeight w:val="187"/>
        </w:trPr>
        <w:tc>
          <w:tcPr>
            <w:tcW w:w="2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Amount</w:t>
            </w:r>
          </w:p>
        </w:tc>
      </w:tr>
      <w:tr>
        <w:trPr>
          <w:trHeight w:val="198"/>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548,262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(209,871)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338,391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548,262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(191,142)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357,120</w:t>
            </w:r>
          </w:p>
        </w:tc>
      </w:tr>
      <w:tr>
        <w:trPr>
          <w:trHeight w:val="198"/>
        </w:trPr>
        <w:tc>
          <w:tcPr>
            <w:tcW w:w="2660" w:type="dxa"/>
            <w:vAlign w:val="bottom"/>
          </w:tcPr>
          <w:p>
            <w:pPr>
              <w:ind w:left="20"/>
              <w:spacing w:after="0"/>
              <w:rPr>
                <w:sz w:val="20"/>
                <w:szCs w:val="20"/>
                <w:color w:val="auto"/>
              </w:rPr>
            </w:pPr>
            <w:r>
              <w:rPr>
                <w:rFonts w:ascii="Arial" w:cs="Arial" w:eastAsia="Arial" w:hAnsi="Arial"/>
                <w:sz w:val="15"/>
                <w:szCs w:val="15"/>
                <w:color w:val="auto"/>
              </w:rPr>
              <w:t>Technology and patents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162,608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(41,931)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120,677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155,392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(35,552)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119,840</w:t>
            </w:r>
          </w:p>
        </w:tc>
      </w:tr>
      <w:tr>
        <w:trPr>
          <w:trHeight w:val="208"/>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names, subject to amortization</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358,827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281,629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358,818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293,500</w:t>
            </w:r>
          </w:p>
        </w:tc>
      </w:tr>
      <w:tr>
        <w:trPr>
          <w:trHeight w:val="163"/>
        </w:trPr>
        <w:tc>
          <w:tcPr>
            <w:tcW w:w="2660" w:type="dxa"/>
            <w:vAlign w:val="bottom"/>
          </w:tcPr>
          <w:p>
            <w:pPr>
              <w:ind w:left="20"/>
              <w:spacing w:after="0" w:line="163" w:lineRule="exact"/>
              <w:rPr>
                <w:sz w:val="20"/>
                <w:szCs w:val="20"/>
                <w:color w:val="auto"/>
              </w:rPr>
            </w:pPr>
            <w:r>
              <w:rPr>
                <w:rFonts w:ascii="Arial" w:cs="Arial" w:eastAsia="Arial" w:hAnsi="Arial"/>
                <w:sz w:val="15"/>
                <w:szCs w:val="15"/>
                <w:color w:val="auto"/>
              </w:rPr>
              <w:t>Licensing and non-compete</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3"/>
        </w:trPr>
        <w:tc>
          <w:tcPr>
            <w:tcW w:w="2660" w:type="dxa"/>
            <w:vAlign w:val="bottom"/>
          </w:tcPr>
          <w:p>
            <w:pPr>
              <w:ind w:left="20"/>
              <w:spacing w:after="0"/>
              <w:rPr>
                <w:sz w:val="20"/>
                <w:szCs w:val="20"/>
                <w:color w:val="auto"/>
              </w:rPr>
            </w:pPr>
            <w:r>
              <w:rPr>
                <w:rFonts w:ascii="Arial" w:cs="Arial" w:eastAsia="Arial" w:hAnsi="Arial"/>
                <w:sz w:val="15"/>
                <w:szCs w:val="15"/>
                <w:color w:val="auto"/>
              </w:rPr>
              <w:t>agreements</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7,642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(7,576)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7,642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(7,422)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220</w:t>
            </w:r>
          </w:p>
        </w:tc>
      </w:tr>
      <w:tr>
        <w:trPr>
          <w:trHeight w:val="208"/>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Distributor relations and other</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1"/>
        </w:trPr>
        <w:tc>
          <w:tcPr>
            <w:tcW w:w="2660" w:type="dxa"/>
            <w:vAlign w:val="bottom"/>
          </w:tcPr>
          <w:p>
            <w:pPr>
              <w:ind w:left="360"/>
              <w:spacing w:after="0"/>
              <w:rPr>
                <w:sz w:val="20"/>
                <w:szCs w:val="20"/>
                <w:color w:val="auto"/>
              </w:rPr>
            </w:pPr>
            <w:r>
              <w:rPr>
                <w:rFonts w:ascii="Arial" w:cs="Arial" w:eastAsia="Arial" w:hAnsi="Arial"/>
                <w:sz w:val="15"/>
                <w:szCs w:val="15"/>
                <w:color w:val="auto"/>
              </w:rPr>
              <w:t>Total</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1,079,815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(337,602)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742,213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1,070,840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(300,160)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770,680</w:t>
            </w:r>
          </w:p>
        </w:tc>
      </w:tr>
      <w:tr>
        <w:trPr>
          <w:trHeight w:val="168"/>
        </w:trPr>
        <w:tc>
          <w:tcPr>
            <w:tcW w:w="2660" w:type="dxa"/>
            <w:vAlign w:val="bottom"/>
            <w:shd w:val="clear" w:color="auto" w:fill="CCEEFF"/>
          </w:tcPr>
          <w:p>
            <w:pPr>
              <w:ind w:left="20"/>
              <w:spacing w:after="0" w:line="168" w:lineRule="exact"/>
              <w:rPr>
                <w:sz w:val="20"/>
                <w:szCs w:val="20"/>
                <w:color w:val="auto"/>
              </w:rPr>
            </w:pPr>
            <w:r>
              <w:rPr>
                <w:rFonts w:ascii="Arial" w:cs="Arial" w:eastAsia="Arial" w:hAnsi="Arial"/>
                <w:sz w:val="15"/>
                <w:szCs w:val="15"/>
                <w:color w:val="auto"/>
              </w:rPr>
              <w:t>Trade names, not subject to</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8"/>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59,985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59,985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59,985</w:t>
            </w:r>
          </w:p>
        </w:tc>
      </w:tr>
      <w:tr>
        <w:trPr>
          <w:trHeight w:val="203"/>
        </w:trPr>
        <w:tc>
          <w:tcPr>
            <w:tcW w:w="26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In-process research and development </w:t>
            </w:r>
            <w:r>
              <w:rPr>
                <w:rFonts w:ascii="Arial" w:cs="Arial" w:eastAsia="Arial" w:hAnsi="Arial"/>
                <w:sz w:val="18"/>
                <w:szCs w:val="18"/>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6,500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6,500</w:t>
            </w:r>
          </w:p>
        </w:tc>
      </w:tr>
      <w:tr>
        <w:trPr>
          <w:trHeight w:val="191"/>
        </w:trPr>
        <w:tc>
          <w:tcPr>
            <w:tcW w:w="2660" w:type="dxa"/>
            <w:vAlign w:val="bottom"/>
          </w:tcPr>
          <w:p>
            <w:pPr>
              <w:ind w:left="360"/>
              <w:spacing w:after="0"/>
              <w:rPr>
                <w:sz w:val="20"/>
                <w:szCs w:val="20"/>
                <w:color w:val="auto"/>
              </w:rPr>
            </w:pPr>
            <w:r>
              <w:rPr>
                <w:rFonts w:ascii="Arial" w:cs="Arial" w:eastAsia="Arial" w:hAnsi="Arial"/>
                <w:sz w:val="15"/>
                <w:szCs w:val="15"/>
                <w:color w:val="auto"/>
              </w:rPr>
              <w:t>Total intangibles, net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1,139,800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(337,602)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802,198</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1,137,325</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(300,160)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837,165</w:t>
            </w:r>
          </w:p>
        </w:tc>
      </w:tr>
      <w:tr>
        <w:trPr>
          <w:trHeight w:val="25"/>
        </w:trPr>
        <w:tc>
          <w:tcPr>
            <w:tcW w:w="26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191" w:lineRule="exact"/>
        <w:rPr>
          <w:sz w:val="20"/>
          <w:szCs w:val="20"/>
          <w:color w:val="auto"/>
        </w:rPr>
      </w:pPr>
    </w:p>
    <w:p>
      <w:pPr>
        <w:ind w:right="80" w:firstLine="8"/>
        <w:spacing w:after="0" w:line="245" w:lineRule="auto"/>
        <w:tabs>
          <w:tab w:leader="none" w:pos="167" w:val="left"/>
        </w:tabs>
        <w:numPr>
          <w:ilvl w:val="0"/>
          <w:numId w:val="12"/>
        </w:numPr>
        <w:rPr>
          <w:rFonts w:ascii="Arial" w:cs="Arial" w:eastAsia="Arial" w:hAnsi="Arial"/>
          <w:sz w:val="19"/>
          <w:szCs w:val="19"/>
          <w:b w:val="1"/>
          <w:bCs w:val="1"/>
          <w:color w:val="auto"/>
          <w:vertAlign w:val="superscript"/>
        </w:rPr>
      </w:pPr>
      <w:r>
        <w:rPr>
          <w:rFonts w:ascii="Arial" w:cs="Arial" w:eastAsia="Arial" w:hAnsi="Arial"/>
          <w:sz w:val="15"/>
          <w:szCs w:val="15"/>
          <w:color w:val="auto"/>
        </w:rPr>
        <w:t>In-process research and development is considered indefinite lived until the underlying technology becomes viable, at which point the intangible asset will be amortized over the expected useful life. The Company determined that the in-process research and development technology asset acquired in the BOA acquisition achieved viability in the second quarter of 2021, and will be amortized over a ten-year period.</w:t>
      </w:r>
    </w:p>
    <w:p>
      <w:pPr>
        <w:spacing w:after="0" w:line="20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Amortization expense related to intangible assets was $18.8 million and $37.4 million for the three and six months ended June 30, 2021, respectively and $14.8 million and $28.3 million for the three and six months ended June 30, 2020, respectively.</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Estimated charges to amortization expense of intangible assets for the remainder of 2021 and the next four years,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5" w:lineRule="exact"/>
        <w:rPr>
          <w:sz w:val="20"/>
          <w:szCs w:val="20"/>
          <w:color w:val="auto"/>
        </w:rPr>
      </w:pPr>
    </w:p>
    <w:tbl>
      <w:tblPr>
        <w:tblLayout w:type="fixed"/>
        <w:tblInd w:w="2800" w:type="dxa"/>
        <w:tblCellMar>
          <w:top w:w="0" w:type="dxa"/>
          <w:left w:w="0" w:type="dxa"/>
          <w:bottom w:w="0" w:type="dxa"/>
          <w:right w:w="0" w:type="dxa"/>
        </w:tblCellMar>
      </w:tblPr>
      <w:tr>
        <w:trPr>
          <w:trHeight w:val="218"/>
        </w:trPr>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r>
      <w:tr>
        <w:trPr>
          <w:trHeight w:val="37"/>
        </w:trPr>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6"/>
        </w:trPr>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70,223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64,935</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Warranties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Ergobaby, Liberty, Marucci, BOA and Velocity Outdoor operating segments estimate their exposure to warranty claims based on both current and historical product sales data and warranty costs incurred. The Company assesses the adequacy of its recorded warranty liability quarterly and adjusts the amount as necessary. Warranty liability is included in accrued expenses in the accompanying consolidated balance sheets. A reconciliation of the change in the carrying value of the Company’s warranty liability for the six months ended June 30, 2021 and the year ended December 31, 2020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4" w:lineRule="exact"/>
        <w:rPr>
          <w:sz w:val="20"/>
          <w:szCs w:val="20"/>
          <w:color w:val="auto"/>
        </w:rPr>
      </w:pPr>
    </w:p>
    <w:tbl>
      <w:tblPr>
        <w:tblLayout w:type="fixed"/>
        <w:tblInd w:w="1280" w:type="dxa"/>
        <w:tblCellMar>
          <w:top w:w="0" w:type="dxa"/>
          <w:left w:w="0" w:type="dxa"/>
          <w:bottom w:w="0" w:type="dxa"/>
          <w:right w:w="0" w:type="dxa"/>
        </w:tblCellMar>
      </w:tblPr>
      <w:tr>
        <w:trPr>
          <w:trHeight w:val="172"/>
        </w:trPr>
        <w:tc>
          <w:tcPr>
            <w:tcW w:w="47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Warranty liability</w:t>
            </w:r>
          </w:p>
        </w:tc>
        <w:tc>
          <w:tcPr>
            <w:tcW w:w="120" w:type="dxa"/>
            <w:vAlign w:val="bottom"/>
          </w:tcPr>
          <w:p>
            <w:pPr>
              <w:spacing w:after="0"/>
              <w:rPr>
                <w:sz w:val="15"/>
                <w:szCs w:val="15"/>
                <w:color w:val="auto"/>
              </w:rPr>
            </w:pPr>
          </w:p>
        </w:tc>
        <w:tc>
          <w:tcPr>
            <w:tcW w:w="1980" w:type="dxa"/>
            <w:vAlign w:val="bottom"/>
            <w:gridSpan w:val="2"/>
          </w:tcPr>
          <w:p>
            <w:pPr>
              <w:ind w:left="20"/>
              <w:spacing w:after="0"/>
              <w:rPr>
                <w:sz w:val="20"/>
                <w:szCs w:val="20"/>
                <w:color w:val="auto"/>
              </w:rPr>
            </w:pPr>
            <w:r>
              <w:rPr>
                <w:rFonts w:ascii="Arial" w:cs="Arial" w:eastAsia="Arial" w:hAnsi="Arial"/>
                <w:sz w:val="15"/>
                <w:szCs w:val="15"/>
                <w:b w:val="1"/>
                <w:bCs w:val="1"/>
                <w:color w:val="auto"/>
              </w:rPr>
              <w:t>Six months ended June</w:t>
            </w:r>
          </w:p>
        </w:tc>
        <w:tc>
          <w:tcPr>
            <w:tcW w:w="120" w:type="dxa"/>
            <w:vAlign w:val="bottom"/>
          </w:tcPr>
          <w:p>
            <w:pPr>
              <w:spacing w:after="0"/>
              <w:rPr>
                <w:sz w:val="15"/>
                <w:szCs w:val="15"/>
                <w:color w:val="auto"/>
              </w:rPr>
            </w:pPr>
          </w:p>
        </w:tc>
        <w:tc>
          <w:tcPr>
            <w:tcW w:w="1760" w:type="dxa"/>
            <w:vAlign w:val="bottom"/>
          </w:tcPr>
          <w:p>
            <w:pPr>
              <w:jc w:val="right"/>
              <w:ind w:right="60"/>
              <w:spacing w:after="0"/>
              <w:rPr>
                <w:sz w:val="20"/>
                <w:szCs w:val="20"/>
                <w:color w:val="auto"/>
              </w:rPr>
            </w:pPr>
            <w:r>
              <w:rPr>
                <w:rFonts w:ascii="Arial" w:cs="Arial" w:eastAsia="Arial" w:hAnsi="Arial"/>
                <w:sz w:val="15"/>
                <w:szCs w:val="15"/>
                <w:b w:val="1"/>
                <w:bCs w:val="1"/>
                <w:color w:val="auto"/>
              </w:rPr>
              <w:t>Year ended December</w:t>
            </w:r>
          </w:p>
        </w:tc>
        <w:tc>
          <w:tcPr>
            <w:tcW w:w="0" w:type="dxa"/>
            <w:vAlign w:val="bottom"/>
          </w:tcPr>
          <w:p>
            <w:pPr>
              <w:spacing w:after="0"/>
              <w:rPr>
                <w:sz w:val="1"/>
                <w:szCs w:val="1"/>
                <w:color w:val="auto"/>
              </w:rPr>
            </w:pPr>
          </w:p>
        </w:tc>
      </w:tr>
      <w:tr>
        <w:trPr>
          <w:trHeight w:val="202"/>
        </w:trPr>
        <w:tc>
          <w:tcPr>
            <w:tcW w:w="4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600"/>
              <w:spacing w:after="0"/>
              <w:rPr>
                <w:sz w:val="20"/>
                <w:szCs w:val="20"/>
                <w:color w:val="auto"/>
              </w:rPr>
            </w:pPr>
            <w:r>
              <w:rPr>
                <w:rFonts w:ascii="Arial" w:cs="Arial" w:eastAsia="Arial" w:hAnsi="Arial"/>
                <w:sz w:val="15"/>
                <w:szCs w:val="15"/>
                <w:b w:val="1"/>
                <w:bCs w:val="1"/>
                <w:color w:val="auto"/>
              </w:rPr>
              <w:t>30, 2021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b w:val="1"/>
                <w:bCs w:val="1"/>
                <w:color w:val="auto"/>
              </w:rPr>
              <w:t>31, 2020</w:t>
            </w:r>
          </w:p>
        </w:tc>
        <w:tc>
          <w:tcPr>
            <w:tcW w:w="0" w:type="dxa"/>
            <w:vAlign w:val="bottom"/>
          </w:tcPr>
          <w:p>
            <w:pPr>
              <w:spacing w:after="0"/>
              <w:rPr>
                <w:sz w:val="1"/>
                <w:szCs w:val="1"/>
                <w:color w:val="auto"/>
              </w:rPr>
            </w:pPr>
          </w:p>
        </w:tc>
      </w:tr>
      <w:tr>
        <w:trPr>
          <w:trHeight w:val="88"/>
        </w:trPr>
        <w:tc>
          <w:tcPr>
            <w:tcW w:w="4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Provision for warranties issued during the period</w:t>
            </w:r>
          </w:p>
        </w:tc>
        <w:tc>
          <w:tcPr>
            <w:tcW w:w="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4,291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3,772</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Fulfillment of warranty obligations</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(3,614)</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b w:val="1"/>
                <w:bCs w:val="1"/>
                <w:color w:val="auto"/>
                <w:vertAlign w:val="superscript"/>
              </w:rPr>
              <w:t>(1)</w:t>
            </w:r>
          </w:p>
        </w:tc>
        <w:tc>
          <w:tcPr>
            <w:tcW w:w="12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3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6"/>
          <w:szCs w:val="26"/>
          <w:b w:val="1"/>
          <w:bCs w:val="1"/>
          <w:color w:val="auto"/>
          <w:vertAlign w:val="superscript"/>
        </w:rPr>
      </w:pPr>
      <w:r>
        <w:rPr>
          <w:rFonts w:ascii="Arial" w:cs="Arial" w:eastAsia="Arial" w:hAnsi="Arial"/>
          <w:sz w:val="16"/>
          <w:szCs w:val="16"/>
          <w:color w:val="auto"/>
        </w:rPr>
        <w:t>Represents the warranty liabilities recorded in relation to the Marucci and BOA acquisitions in 2020.</w:t>
      </w:r>
    </w:p>
    <w:p>
      <w:pPr>
        <w:spacing w:after="0" w:line="200" w:lineRule="exact"/>
        <w:rPr>
          <w:rFonts w:ascii="Arial" w:cs="Arial" w:eastAsia="Arial" w:hAnsi="Arial"/>
          <w:sz w:val="26"/>
          <w:szCs w:val="26"/>
          <w:b w:val="1"/>
          <w:bCs w:val="1"/>
          <w:color w:val="auto"/>
          <w:vertAlign w:val="superscript"/>
        </w:rPr>
      </w:pPr>
    </w:p>
    <w:p>
      <w:pPr>
        <w:spacing w:after="0" w:line="200" w:lineRule="exact"/>
        <w:rPr>
          <w:rFonts w:ascii="Arial" w:cs="Arial" w:eastAsia="Arial" w:hAnsi="Arial"/>
          <w:sz w:val="26"/>
          <w:szCs w:val="26"/>
          <w:b w:val="1"/>
          <w:bCs w:val="1"/>
          <w:color w:val="auto"/>
          <w:vertAlign w:val="superscript"/>
        </w:rPr>
      </w:pPr>
    </w:p>
    <w:p>
      <w:pPr>
        <w:spacing w:after="0" w:line="228" w:lineRule="exact"/>
        <w:rPr>
          <w:rFonts w:ascii="Arial" w:cs="Arial" w:eastAsia="Arial" w:hAnsi="Arial"/>
          <w:sz w:val="26"/>
          <w:szCs w:val="26"/>
          <w:b w:val="1"/>
          <w:bCs w:val="1"/>
          <w:color w:val="auto"/>
          <w:vertAlign w:val="superscript"/>
        </w:rPr>
      </w:pPr>
    </w:p>
    <w:p>
      <w:pPr>
        <w:ind w:left="5540"/>
        <w:spacing w:after="0"/>
        <w:rPr>
          <w:rFonts w:ascii="Arial" w:cs="Arial" w:eastAsia="Arial" w:hAnsi="Arial"/>
          <w:sz w:val="26"/>
          <w:szCs w:val="26"/>
          <w:b w:val="1"/>
          <w:bCs w:val="1"/>
          <w:color w:val="auto"/>
          <w:vertAlign w:val="superscript"/>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Note H —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Credit Facility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entered into a Second Amended and Restated Credit Agreement (the "2021 Credit Facility") to amend and restate the 2018 Credit Facility (as previously restated and amended) among the Company, the lenders from time to time party thereto (the “Lenders”), and Bank of America, N.A., as Administrative Agent. The 2021 Credit Facility is secured by all of the assets of the Company, including all of its equity interests in, and loans to, its consolidated subsidiaries. The 2021 Credit Facility provides for revolving loans, swing line loans and letters of credit (the “2021 Revolving Credit Facility”) up to a maximum aggregate amount of $600 million and also permits the Company, prior to the applicable maturity date, to increase the revolving loan commitment and/or obtain term loans in an aggregate amount of up to $250 million, subject to certain restrictions and conditions. All amounts outstanding under the 2021 Revolving Credit Facility will become due on March 23, 2026, which is the maturity date of loans advanced under the 2021 Credit Facility.</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may borrow, prepay and reborrow principal under the 2021 Revolving Credit Facility from time to time during its term. Advances under the 2021 Revolving Credit Facility can be either Eurodollar rate loans or base rate loans. Eurodollar rate revolving loans bear interest on the outstanding principal amount thereof for each interest period at a rate per annum based on the London Interbank Offered Rate or a Successor Rate, as defined, (the “Eurodollar Rate”) for such interest period plus a margin ranging from 1.50% to 2.50%, based on the ratio of consolidated net indebtedness to adjusted consolidated earnings before interest expense, tax expense, and depreciation and amortization expenses for such period (the “Consolidated Total Leverage Ratio”). Base rate revolving loans bear interest on the outstanding principal amount thereof at a rate per annum equal to the highest of (i) Federal Funds rate plus 0.50%, (ii) the “prime rate”, and (iii) Eurodollar Rate plus 1.0% (the “Base Rate”), plus a margin ranging from 0.50% to 1.50%, based on the Company's Consolidated Total Leverage Ratio.</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2021 Revolving Credit Facility, an aggregate amount of up to $100 million in letters of credit may be issued, as well as swing line loans of up to $25 million outstanding at one time. The issuance of such letters of credit and the making of any swing line loan would reduce the amount available under the 2021 Revolving Credit Facility.</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availability under the 2021 Revolving Credit Facility was approximately $599.1 million at June 30, 2021. Letters of credit outstanding at June 30, 2021 totaled approximately $0.9 million. At June 30, 2021, the Company was in compliance with all covenants as defined in the 2021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18, 2018, the Company entered into an Amended and Restated Credit Agreement (the "2018 Credit Facility"). The 2018 Credit Facility provided for (i) revolving loans, swing line loans and letters of credit (the “2018 Revolving Credit Facility”) up to a maximum aggregate amount of $600 million, and (ii) a $ 500 million term loan (the “2018 Term Loan”). The Company repaid the outstanding amounts under the 2018 Term Loan in 2019, and used a portion of the proceeds from the issuance of the 2029 Senior Notes to repay the amount outstanding under the 2018 Revolving Credit Facility in March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2029 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consummated the issuance and sale of $1,000 million aggregate principal amount of our 5.250% Senior Notes due 2029 (the "2029 Notes" or "2029 Senior Notes") offered pursuant to a private offering to qualified institutional buyers in accordance with Rule 144A under the Securities Act, and to non-U.S. persons under Regulation S under the Securities Act. The Notes were issued pursuant to an indenture, dated as of March 23, 2021 (the “Indenture”), between the Company and U.S. Bank National Association, as trustee (the "Trustee"). The Notes bear interest at the rate of 5.250% per annum and will mature on April 15, 2029. Interest on the Notes is payable in cash on April 15th and October 15th of each year. The first interest payment date on the 2029 Senior Notes will be October 15, 2021. The 2029 Notes are general unsecured obligations of the Company and are not guaranteed by our subsidiaries.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Notes rank equal in right of payment with all of the Company’s existing and future senior unsecured indebtedness, and rank senior in right of payment to all of the Company’s future subordinated indebtedness, if any. The Notes will be effectively subordinated to the Company’s existing and future secured indebtedness, to the extent of the value of the assets securing such indebtedness, including the indebtedness under the Company’s credit facilities described below. The Indenture contains several restrictive covenants including, but not limited to, limitations on the following: (i) the incurrence of additional indebtedness, (ii) payment of dividends or other restricted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5" w:name="page26"/>
    <w:bookmarkEnd w:id="25"/>
    <w:p>
      <w:pPr>
        <w:jc w:val="both"/>
        <w:spacing w:after="0" w:line="256" w:lineRule="auto"/>
        <w:rPr>
          <w:sz w:val="20"/>
          <w:szCs w:val="20"/>
          <w:color w:val="auto"/>
        </w:rPr>
      </w:pPr>
      <w:r>
        <w:rPr>
          <w:rFonts w:ascii="Arial" w:cs="Arial" w:eastAsia="Arial" w:hAnsi="Arial"/>
          <w:sz w:val="18"/>
          <w:szCs w:val="18"/>
          <w:color w:val="auto"/>
        </w:rPr>
        <w:t>payments, (iii) the purchase, redemption or retirement of capital stock or subordinated debt, (iv) asset sales, mergers or consolidations, (v) transactions with affiliates, (vi) incurring liens, (vii) entering into sale-leaseback transactions, (viii) providing subsidiary guarantees and (ix) making certain investments, subject in each case to certain exceptions.</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proceeds from the sale of the 2029 Notes was used to repay debt outstanding under the 2018 Credit Facility in connection with entering into the 2021 Credit Facility, as described above, and to redeem our 8.000% Senior Notes due 2026 (the “2026 Senior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Senior Notes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2026 Senior Notes bore interest at 8.000% per annum and were scheduled to mature on May 1, 2026. On March 2, 2021, pursuant to an indenture, dated as of April 18, 2018 between the Company and U.S. Bank National Association, as trustee ("Trustee"), the Trustee delivered redemption notices, on behalf of the Company, to holders of the Company’s 2026 Senior Notes to redeem the 2026 Senior Notes on April 1, 2021. The principal amount of the 2026 Senior Notes redeemed was $ 600 million, which represented all of the outstanding principal of the 2026 Senior Notes. The 2026 Senior Notes were redeemed at 100% of their principal, plus an applicable premium, and accrued and unpaid interest as of the redemption date. On March 23, 2021, the proceeds required for the redemption of the 2026 Senior Notes, the applicable premium and accrued interest totaling $647.7 million was irrevocably deposited with the Trustee and held by the Trustee until the date of redemption, April 1, 2021. The redemption of the 2026 Senior Notes resulted in a Loss on Debt Extinguishment of approximately $33.3 million, which is comprised of the premium paid for early redemption of the 2026 Senior Notes, and the expensing of the deferred financing costs and bond premium associated with the 2026 Senior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the Company’s debt holdings at June 30, 2021 and 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540" w:type="dxa"/>
        <w:tblCellMar>
          <w:top w:w="0" w:type="dxa"/>
          <w:left w:w="0" w:type="dxa"/>
          <w:bottom w:w="0" w:type="dxa"/>
          <w:right w:w="0" w:type="dxa"/>
        </w:tblCellMar>
      </w:tblPr>
      <w:tr>
        <w:trPr>
          <w:trHeight w:val="206"/>
        </w:trPr>
        <w:tc>
          <w:tcPr>
            <w:tcW w:w="5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gridSpan w:val="2"/>
          </w:tcPr>
          <w:p>
            <w:pPr>
              <w:ind w:left="220"/>
              <w:spacing w:after="0"/>
              <w:rPr>
                <w:sz w:val="20"/>
                <w:szCs w:val="20"/>
                <w:color w:val="auto"/>
              </w:rPr>
            </w:pPr>
            <w:r>
              <w:rPr>
                <w:rFonts w:ascii="Arial" w:cs="Arial" w:eastAsia="Arial" w:hAnsi="Arial"/>
                <w:sz w:val="15"/>
                <w:szCs w:val="15"/>
                <w:b w:val="1"/>
                <w:bCs w:val="1"/>
                <w:color w:val="auto"/>
              </w:rPr>
              <w:t>June 30, 2021</w:t>
            </w:r>
          </w:p>
        </w:tc>
        <w:tc>
          <w:tcPr>
            <w:tcW w:w="200" w:type="dxa"/>
            <w:vAlign w:val="bottom"/>
          </w:tcPr>
          <w:p>
            <w:pPr>
              <w:spacing w:after="0"/>
              <w:rPr>
                <w:sz w:val="17"/>
                <w:szCs w:val="17"/>
                <w:color w:val="auto"/>
              </w:rPr>
            </w:pPr>
          </w:p>
        </w:tc>
        <w:tc>
          <w:tcPr>
            <w:tcW w:w="1780" w:type="dxa"/>
            <w:vAlign w:val="bottom"/>
          </w:tcPr>
          <w:p>
            <w:pPr>
              <w:jc w:val="right"/>
              <w:ind w:right="220"/>
              <w:spacing w:after="0"/>
              <w:rPr>
                <w:sz w:val="20"/>
                <w:szCs w:val="20"/>
                <w:color w:val="auto"/>
              </w:rPr>
            </w:pPr>
            <w:r>
              <w:rPr>
                <w:rFonts w:ascii="Arial" w:cs="Arial" w:eastAsia="Arial" w:hAnsi="Arial"/>
                <w:sz w:val="15"/>
                <w:szCs w:val="15"/>
                <w:b w:val="1"/>
                <w:bCs w:val="1"/>
                <w:color w:val="auto"/>
              </w:rPr>
              <w:t>December 31, 2020</w:t>
            </w:r>
          </w:p>
        </w:tc>
      </w:tr>
      <w:tr>
        <w:trPr>
          <w:trHeight w:val="214"/>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600,000</w:t>
            </w: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34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307,000</w:t>
            </w: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premiums and debt issuance costs</w:t>
            </w:r>
          </w:p>
        </w:tc>
        <w:tc>
          <w:tcPr>
            <w:tcW w:w="3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(7,540)</w:t>
            </w:r>
          </w:p>
        </w:tc>
      </w:tr>
      <w:tr>
        <w:trPr>
          <w:trHeight w:val="207"/>
        </w:trPr>
        <w:tc>
          <w:tcPr>
            <w:tcW w:w="5960" w:type="dxa"/>
            <w:vAlign w:val="bottom"/>
          </w:tcPr>
          <w:p>
            <w:pPr>
              <w:ind w:left="360"/>
              <w:spacing w:after="0"/>
              <w:rPr>
                <w:sz w:val="20"/>
                <w:szCs w:val="20"/>
                <w:color w:val="auto"/>
              </w:rPr>
            </w:pPr>
            <w:r>
              <w:rPr>
                <w:rFonts w:ascii="Arial" w:cs="Arial" w:eastAsia="Arial" w:hAnsi="Arial"/>
                <w:sz w:val="16"/>
                <w:szCs w:val="16"/>
                <w:color w:val="auto"/>
              </w:rPr>
              <w:t>Long-term debt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988,349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899,460</w:t>
            </w:r>
          </w:p>
        </w:tc>
      </w:tr>
      <w:tr>
        <w:trPr>
          <w:trHeight w:val="23"/>
        </w:trPr>
        <w:tc>
          <w:tcPr>
            <w:tcW w:w="5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2029 Senior Notes consisted of the following carrying value and estimated fair value (in thousands):</w:t>
      </w:r>
    </w:p>
    <w:p>
      <w:pPr>
        <w:spacing w:after="0" w:line="163"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3100" w:type="dxa"/>
            <w:vAlign w:val="bottom"/>
            <w:gridSpan w:val="3"/>
            <w:vMerge w:val="restart"/>
          </w:tcPr>
          <w:p>
            <w:pPr>
              <w:jc w:val="right"/>
              <w:ind w:right="959"/>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107"/>
        </w:trPr>
        <w:tc>
          <w:tcPr>
            <w:tcW w:w="19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rPr>
              <w:t>Hierarchy</w:t>
            </w:r>
          </w:p>
        </w:tc>
        <w:tc>
          <w:tcPr>
            <w:tcW w:w="310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980" w:type="dxa"/>
            <w:vAlign w:val="bottom"/>
          </w:tcPr>
          <w:p>
            <w:pPr>
              <w:spacing w:after="0"/>
              <w:rPr>
                <w:sz w:val="3"/>
                <w:szCs w:val="3"/>
                <w:color w:val="auto"/>
              </w:rPr>
            </w:pPr>
          </w:p>
        </w:tc>
        <w:tc>
          <w:tcPr>
            <w:tcW w:w="13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Maturity Date</w:t>
            </w:r>
          </w:p>
        </w:tc>
        <w:tc>
          <w:tcPr>
            <w:tcW w:w="120" w:type="dxa"/>
            <w:vAlign w:val="bottom"/>
            <w:vMerge w:val="restart"/>
          </w:tcPr>
          <w:p>
            <w:pPr>
              <w:spacing w:after="0"/>
              <w:rPr>
                <w:sz w:val="3"/>
                <w:szCs w:val="3"/>
                <w:color w:val="auto"/>
              </w:rPr>
            </w:pPr>
          </w:p>
        </w:tc>
        <w:tc>
          <w:tcPr>
            <w:tcW w:w="12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Rate</w:t>
            </w: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Carrying Value</w:t>
            </w:r>
          </w:p>
        </w:tc>
        <w:tc>
          <w:tcPr>
            <w:tcW w:w="120" w:type="dxa"/>
            <w:vAlign w:val="bottom"/>
            <w:vMerge w:val="restart"/>
          </w:tcPr>
          <w:p>
            <w:pPr>
              <w:spacing w:after="0"/>
              <w:rPr>
                <w:sz w:val="3"/>
                <w:szCs w:val="3"/>
                <w:color w:val="auto"/>
              </w:rPr>
            </w:pPr>
          </w:p>
        </w:tc>
        <w:tc>
          <w:tcPr>
            <w:tcW w:w="15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line="20" w:lineRule="exact"/>
              <w:rPr>
                <w:sz w:val="1"/>
                <w:szCs w:val="1"/>
                <w:color w:val="auto"/>
              </w:rPr>
            </w:pPr>
          </w:p>
        </w:tc>
      </w:tr>
      <w:tr>
        <w:trPr>
          <w:trHeight w:val="215"/>
        </w:trPr>
        <w:tc>
          <w:tcPr>
            <w:tcW w:w="19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Level</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 Senior Notes</w:t>
            </w:r>
          </w:p>
        </w:tc>
        <w:tc>
          <w:tcPr>
            <w:tcW w:w="1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April 15, 2029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5.250 %</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1,040,000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Deferred debt issuance costs represent the costs associated with the issuance of the Company's financing arrangements. In connection with the 2029 Senior Notes offering in March 2021, the Company recorded $12.0 million in deferred financing costs. The net deferred financing costs associated with the Company's 2026 Senior Notes were $ 7.2 million at March 31, 2021, and were expensed on April 1, 2021, the date of the redemption of the 2026 Senior Notes. In connection with entering into the 2021 Credit Facility, the Company recorded $5.4 million in deferred financing costs.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the Company can borrow, repay and reborrow principal under the Revolving Credit Facility, the debt issuance costs associated with the Revolving Credit Facility have been classified as other non-current assets in the accompanying condensed consolidated balance sheet. The debt issuance costs associated with the Senior Notes are classified as a reduction of long-term debt in the accompanying condensed consolidated balance sheet.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6" w:name="page27"/>
    <w:bookmarkEnd w:id="26"/>
    <w:p>
      <w:pPr>
        <w:jc w:val="both"/>
        <w:spacing w:after="0" w:line="261" w:lineRule="auto"/>
        <w:rPr>
          <w:sz w:val="20"/>
          <w:szCs w:val="20"/>
          <w:color w:val="auto"/>
        </w:rPr>
      </w:pPr>
      <w:r>
        <w:rPr>
          <w:rFonts w:ascii="Arial" w:cs="Arial" w:eastAsia="Arial" w:hAnsi="Arial"/>
          <w:sz w:val="18"/>
          <w:szCs w:val="18"/>
          <w:color w:val="auto"/>
        </w:rPr>
        <w:t>The following table summarizes unamortized premiums and debt issuance costs at June 30, 2021 and December 31, 2020, and the balance sheet classification in each of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1040" w:type="dxa"/>
        <w:tblCellMar>
          <w:top w:w="0" w:type="dxa"/>
          <w:left w:w="0" w:type="dxa"/>
          <w:bottom w:w="0" w:type="dxa"/>
          <w:right w:w="0" w:type="dxa"/>
        </w:tblCellMar>
      </w:tblPr>
      <w:tr>
        <w:trPr>
          <w:trHeight w:val="206"/>
        </w:trPr>
        <w:tc>
          <w:tcPr>
            <w:tcW w:w="5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 2021</w:t>
            </w:r>
          </w:p>
        </w:tc>
        <w:tc>
          <w:tcPr>
            <w:tcW w:w="200" w:type="dxa"/>
            <w:vAlign w:val="bottom"/>
          </w:tcPr>
          <w:p>
            <w:pPr>
              <w:spacing w:after="0"/>
              <w:rPr>
                <w:sz w:val="17"/>
                <w:szCs w:val="17"/>
                <w:color w:val="auto"/>
              </w:rPr>
            </w:pPr>
          </w:p>
        </w:tc>
        <w:tc>
          <w:tcPr>
            <w:tcW w:w="1760" w:type="dxa"/>
            <w:vAlign w:val="bottom"/>
          </w:tcPr>
          <w:p>
            <w:pPr>
              <w:jc w:val="right"/>
              <w:ind w:right="224"/>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20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Unamortized premiums and debt issuance costs</w:t>
            </w: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23,465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16,466</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Accumulated amortization</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(4,449)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(6,121)</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Unamortized premiums and debt issuance costs, net</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19,016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10,345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Balance sheet classification: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5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2,805</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Long-term debt</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11,651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7,540</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19,016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10,345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Common Shares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Trust is authorized to issue 500,000,000 Trust common shares and the Company is authorized to issue a corresponding number of trust interests. The Company will at all times have the identical number of trust interests outstanding as Trust shares. Each Trust share represents an undivided beneficial interest in the Trust, and each Trust share is entitled to one vote per share on any matter with respect to which members of the Company are entitled to vote.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Offering</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May 2020, the Company completed an offering of 5,000,000 Trust common shares at a public offering price of $17.60 per share. The proceeds to the Company, after deducting the underwriter's discount and offering costs, totaled approximately $83.9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Shares</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Trust is authorized to issue up to 50,000,000 Trust preferred shares and the Company is authorized to issue a corresponding number of trust preferred interests.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November 20, 2019, the Trust issued 4,000,000 7.875% Series C Preferred Shares (the "Series C Preferred Shares") with a liquidation preference of $25.00 per share, and on December 2, 2019, the Trust issued 600,000 of the Series C Preferred Shares which were sold pursuant to an option to purchase additional shares by the underwriters. Total proceeds from the issuance of the Series C Preferred Shares were $115.0 million, or $111.0 million net of underwriters' discount and issuance costs. Distributions on the Series C Preferred Shares will be payable quarterly in arrears, when and as declared by the Company's board of directors on January 30, April 30, July 30, and October 30 of each year, beginning on January 30, 2020, at a rate per annum of 7.875%. Distributions on the Series C Preferred Shares are cumulative and at June 30, 2021, $1.5 million of Series C distributions are accumulated and unpaid. Unless full cumulative distributions on the Series C Preferred Shares have been or contemporaneously are declared and set apart for payment of the Series C Preferred Shares for all past distribution periods, no distribution may be declared or paid for payment on the Trust common shares. The Series C Preferred Shares are not convertible into Trust common shares and have no voting rights, except in limited circumstances as provided for in the share designation for the Series C Preferred Shares. The Series C Preferred Shares may be redeemed at the Company's option, in whole or in part, at any time after January 30, 2025, at a price of $25.00 per share, plus any accumulated and unpaid distributions (thereon whether authorized or declared) to, but excluding, the redemption date. Holders of Series C Preferred Shares will have no right to require the redemption of the Series C Preferred Shares and there is no maturity date.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Series B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13, 2018, the Trust issued 4,000,000 7.875% Series B Trust Preferred Shares (the "Series B Preferred Shares") with a liquidation preference of $25.00 per share, for gross proceeds of $100.0 million, or $96.5 million net of underwriters' discount and issuance costs. Distributions on the Series B Preferred Shares will be payable quarterly in arrears, when and as declared by the Company's board of directors on January 30, April 30, July 30, and October 30 of each year, beginning on July 30, 2018, at a rate per annum of 7.875%. Distributions on the Series B Preferred Shares are cumulative and at June 30, 2021, $1.3 million of Series B distributions are accumulated and unpaid. Unless full cumulative distributions on the Series B Preferred Shares have been or contemporaneously are declared and set apart for payment of the Series B Preferred Shares for all past distribution periods, no distribution may be declared or paid for payment on the Trust common shares. The Series B Preferred Shares are not convertible into Trust common shares and have no voting rights, except in limited circumstances as provided for in the share designation for the preferred shares. The Series B Preferred Shares may be redeemed at the Company's option, in whole or in part, at any time after April 30, 2028, at a price of $25.00 per share, plus any accumulated and unpaid distributions (thereon whether authorized or declared) to, but excluding, the redemption date. Holders of Series B Preferred Shares will have no right to require the redemption of the Series B Preferred Shares and there is no maturity date.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28, 2017, the Trust issued 4,000,000 7.250% Series A Trust Preferred Shares (the "Series A Preferred Shares") with a liquidation preference of $25.00 per share, for gross proceeds of $100.0 million, or $96.4 million net of underwriters' discount and issuance costs. When, and if declared by the Company's board of directors, distribution on the Series A Preferred Shares will be payable quarterly on January 30, April 30, July 30, and October 30 of each year, beginning on October 30, 2017, at a rate per annum of 7.250%. Distributions on the Series A Preferred Shares are discretionary and non-cumulative. The Company has no obligation to pay distributions for a quarterly distribution period if the board of directors does not declare the distribution before the scheduled record of date for the period, whether or not distributions are paid for any subsequent distribution periods with respect to the Series A Preferred Shares, or the Trust common shares. If the Company's board of directors does not declare a distribution for the Series A Preferred Shares for a quarterly distribution period, during the remainder of that quarterly distribution period the Company cannot declare or pay distributions on the Trust common shares. The Series A Preferred Shares may be redeemed at the Company's option, in whole or in part, at any time after July 30, 2022, at a price of $25.00 per share, plus any declared and unpaid distributions. Holders of Series A Preferred Shares will have no right to require the redemption of the Series A Preferred Shares and there is no maturity date. The Series A Preferred Shares are not convertible into Trust common shares and have no voting rights, except in limited circumstances as provided for in the share designation for the preferred shares.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Allocation Interests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Allocation Interests represent the original equity interest in the Company. The holders of the Allocation Interests ("Holders") are entitled to receive distributions pursuant to a profit allocation formula upon the occurrence of certain events. The distributions of the profit allocation are paid upon the occurrence of the sale of a material amount of capital stock or assets of one of the Company’s businesses ("Sale Event") or, at the option of the Holders, at each five-year anniversary date of the acquisition of one of the Company’s businesses ("Holding Event"). The Company records distributions of the profit allocation to the Holders upon occurrence of a Sale Event or Holding Event as distributions declared on Allocation Interests to stockholders’ equity when they are approved by the Company’s board of directors.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Holding Event</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ten-year anniversary of Liberty occurred in March 2020 and the ten-year anniversary of Ergobaby occurred in September 2020. Both of these represented a Holding Event, and the holders of the Allocation Interests elected to defer the distribution until after the end of 2020. The profit allocation payment of $3.3 million related to the Liberty Holding Event and the profit allocation payment of $2.0 million related to the Ergobaby Holding Event were both paid in January 2021. The five-year anniversary of the acquisition of Sterno Products occurred in October 2019 which represented a Holding Event. The Company declared and paid a distribution to the Holders of $9.1 million in February 2020. The fifteen-year anniversary of ACI occurred in May 2021 which represented a Holding Event. The Company declared and paid a distribution to the Holders of $12.1 million in July 2021.</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Reconciliation of net income (loss) available to common shares of Holdings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following table reconciles net income (loss) attributable to Holdings to net loss attributable to the common shares of Holdings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28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Pr>
          <w:p>
            <w:pPr>
              <w:spacing w:after="0"/>
              <w:rPr>
                <w:sz w:val="14"/>
                <w:szCs w:val="14"/>
                <w:color w:val="auto"/>
              </w:rPr>
            </w:pPr>
          </w:p>
        </w:tc>
        <w:tc>
          <w:tcPr>
            <w:tcW w:w="2180" w:type="dxa"/>
            <w:vAlign w:val="bottom"/>
            <w:gridSpan w:val="4"/>
          </w:tcPr>
          <w:p>
            <w:pPr>
              <w:jc w:val="right"/>
              <w:ind w:right="504"/>
              <w:spacing w:after="0"/>
              <w:rPr>
                <w:sz w:val="20"/>
                <w:szCs w:val="20"/>
                <w:color w:val="auto"/>
              </w:rPr>
            </w:pPr>
            <w:r>
              <w:rPr>
                <w:rFonts w:ascii="Arial" w:cs="Arial" w:eastAsia="Arial" w:hAnsi="Arial"/>
                <w:sz w:val="15"/>
                <w:szCs w:val="15"/>
                <w:b w:val="1"/>
                <w:bCs w:val="1"/>
                <w:color w:val="auto"/>
              </w:rPr>
              <w:t>Six months ended</w:t>
            </w:r>
          </w:p>
        </w:tc>
      </w:tr>
      <w:tr>
        <w:trPr>
          <w:trHeight w:val="202"/>
        </w:trPr>
        <w:tc>
          <w:tcPr>
            <w:tcW w:w="5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6"/>
        </w:trPr>
        <w:tc>
          <w:tcPr>
            <w:tcW w:w="59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2020</w:t>
            </w:r>
          </w:p>
        </w:tc>
      </w:tr>
      <w:tr>
        <w:trPr>
          <w:trHeight w:val="19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Holdings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(14,630)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(4,772)</w:t>
            </w: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Less: Distributions paid - Allocation Interests</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5,214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9,087</w:t>
            </w: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Distributions paid - Preferred Shares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12,091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11,587</w:t>
            </w:r>
          </w:p>
        </w:tc>
      </w:tr>
      <w:tr>
        <w:trPr>
          <w:trHeight w:val="213"/>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Accrued distributions - Preferred Shares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2,869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2,869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2,869</w:t>
            </w:r>
          </w:p>
        </w:tc>
      </w:tr>
      <w:tr>
        <w:trPr>
          <w:trHeight w:val="22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shares of Holdings</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(23,545)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(17,351)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(28,315)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calculates basic and diluted earnings per share using the two-class method which requires the Company to allocate to participating securities that have rights to earnings that otherwise would have been available only to Trust shareholders as a separate class of securities in calculating earnings per share. The Allocation Interests are considered participating securities that contain participating rights to receive profit allocations upon the occurrence of a Holding Event or Sale Event. The calculation of basic and diluted earnings per share for the three and six months ended June 30, 2021 and 2020 reflects the incremental increase during the period in the profit allocation distribution to Holders related to Holding Events.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and six months ended June 30, 2021 and 2020 attributable to the common shares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Holdings is calculated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ind w:left="200"/>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4"/>
                <w:szCs w:val="14"/>
                <w:color w:val="auto"/>
              </w:rPr>
            </w:pPr>
          </w:p>
        </w:tc>
        <w:tc>
          <w:tcPr>
            <w:tcW w:w="2020" w:type="dxa"/>
            <w:vAlign w:val="bottom"/>
            <w:gridSpan w:val="4"/>
          </w:tcPr>
          <w:p>
            <w:pPr>
              <w:jc w:val="center"/>
              <w:ind w:right="144"/>
              <w:spacing w:after="0"/>
              <w:rPr>
                <w:sz w:val="20"/>
                <w:szCs w:val="20"/>
                <w:color w:val="auto"/>
              </w:rPr>
            </w:pPr>
            <w:r>
              <w:rPr>
                <w:rFonts w:ascii="Arial" w:cs="Arial" w:eastAsia="Arial" w:hAnsi="Arial"/>
                <w:sz w:val="15"/>
                <w:szCs w:val="15"/>
                <w:b w:val="1"/>
                <w:bCs w:val="1"/>
                <w:color w:val="auto"/>
              </w:rPr>
              <w:t>Six months ended</w:t>
            </w:r>
          </w:p>
        </w:tc>
      </w:tr>
      <w:tr>
        <w:trPr>
          <w:trHeight w:val="202"/>
        </w:trPr>
        <w:tc>
          <w:tcPr>
            <w:tcW w:w="6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w w:val="99"/>
              </w:rPr>
              <w:t>June 30,</w:t>
            </w:r>
          </w:p>
        </w:tc>
        <w:tc>
          <w:tcPr>
            <w:tcW w:w="7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2020</w:t>
            </w: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attributable to common shares of Holdings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(23,545)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(15,810)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center"/>
              <w:ind w:right="20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(28,315)</w:t>
            </w:r>
          </w:p>
        </w:tc>
      </w:tr>
      <w:tr>
        <w:trPr>
          <w:trHeight w:val="19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Effect of contribution based profit - Holding Event</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1,249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2,688</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2,537</w:t>
            </w:r>
          </w:p>
        </w:tc>
      </w:tr>
      <w:tr>
        <w:trPr>
          <w:trHeight w:val="200"/>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attributable to common shares of Holdings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(24,623)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(18,498)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center"/>
              <w:ind w:right="20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(30,852)</w:t>
            </w:r>
          </w:p>
        </w:tc>
      </w:tr>
      <w:tr>
        <w:trPr>
          <w:trHeight w:val="148"/>
        </w:trPr>
        <w:tc>
          <w:tcPr>
            <w:tcW w:w="6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and diluted weighted average common shares outstanding</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62,844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64,900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61,364</w:t>
            </w:r>
          </w:p>
        </w:tc>
      </w:tr>
      <w:tr>
        <w:trPr>
          <w:trHeight w:val="162"/>
        </w:trPr>
        <w:tc>
          <w:tcPr>
            <w:tcW w:w="6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7"/>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Basic and fully diluted loss per common share attributable to Holdings</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ind w:right="20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information related to our quarterly cash distributions on our Trust common and preferred shares (in thousands, except per share data</w:t>
      </w:r>
      <w:r>
        <w:rPr>
          <w:rFonts w:ascii="Arial" w:cs="Arial" w:eastAsia="Arial" w:hAnsi="Arial"/>
          <w:sz w:val="14"/>
          <w:szCs w:val="14"/>
          <w:i w:val="1"/>
          <w:iCs w:val="1"/>
          <w:color w:val="auto"/>
        </w:rPr>
        <w:t>)</w:t>
      </w:r>
      <w:r>
        <w:rPr>
          <w:rFonts w:ascii="Arial" w:cs="Arial" w:eastAsia="Arial" w:hAnsi="Arial"/>
          <w:sz w:val="18"/>
          <w:szCs w:val="18"/>
          <w:color w:val="auto"/>
        </w:rPr>
        <w:t>:</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242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6"/>
                <w:szCs w:val="16"/>
                <w:color w:val="auto"/>
              </w:rPr>
            </w:pPr>
          </w:p>
        </w:tc>
        <w:tc>
          <w:tcPr>
            <w:tcW w:w="1880" w:type="dxa"/>
            <w:vAlign w:val="bottom"/>
            <w:gridSpan w:val="3"/>
          </w:tcPr>
          <w:p>
            <w:pPr>
              <w:ind w:left="80"/>
              <w:spacing w:after="0"/>
              <w:rPr>
                <w:sz w:val="20"/>
                <w:szCs w:val="20"/>
                <w:color w:val="auto"/>
              </w:rPr>
            </w:pPr>
            <w:r>
              <w:rPr>
                <w:rFonts w:ascii="Arial" w:cs="Arial" w:eastAsia="Arial" w:hAnsi="Arial"/>
                <w:sz w:val="16"/>
                <w:szCs w:val="16"/>
                <w:b w:val="1"/>
                <w:bCs w:val="1"/>
                <w:color w:val="auto"/>
              </w:rPr>
              <w:t>Cash Distribution per</w:t>
            </w:r>
          </w:p>
        </w:tc>
        <w:tc>
          <w:tcPr>
            <w:tcW w:w="280" w:type="dxa"/>
            <w:vAlign w:val="bottom"/>
          </w:tcPr>
          <w:p>
            <w:pPr>
              <w:spacing w:after="0"/>
              <w:rPr>
                <w:sz w:val="16"/>
                <w:szCs w:val="16"/>
                <w:color w:val="auto"/>
              </w:rPr>
            </w:pPr>
          </w:p>
        </w:tc>
        <w:tc>
          <w:tcPr>
            <w:tcW w:w="166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 Cash</w:t>
            </w:r>
          </w:p>
        </w:tc>
        <w:tc>
          <w:tcPr>
            <w:tcW w:w="1780" w:type="dxa"/>
            <w:vAlign w:val="bottom"/>
            <w:vMerge w:val="restart"/>
          </w:tcPr>
          <w:p>
            <w:pPr>
              <w:jc w:val="right"/>
              <w:ind w:right="341"/>
              <w:spacing w:after="0"/>
              <w:rPr>
                <w:sz w:val="20"/>
                <w:szCs w:val="20"/>
                <w:color w:val="auto"/>
              </w:rPr>
            </w:pPr>
            <w:r>
              <w:rPr>
                <w:rFonts w:ascii="Arial" w:cs="Arial" w:eastAsia="Arial" w:hAnsi="Arial"/>
                <w:sz w:val="16"/>
                <w:szCs w:val="16"/>
                <w:b w:val="1"/>
                <w:bCs w:val="1"/>
                <w:color w:val="auto"/>
              </w:rPr>
              <w:t>Record Date</w:t>
            </w:r>
          </w:p>
        </w:tc>
        <w:tc>
          <w:tcPr>
            <w:tcW w:w="100" w:type="dxa"/>
            <w:vAlign w:val="bottom"/>
            <w:vMerge w:val="restart"/>
          </w:tcPr>
          <w:p>
            <w:pPr>
              <w:spacing w:after="0"/>
              <w:rPr>
                <w:sz w:val="16"/>
                <w:szCs w:val="16"/>
                <w:color w:val="auto"/>
              </w:rPr>
            </w:pPr>
          </w:p>
        </w:tc>
        <w:tc>
          <w:tcPr>
            <w:tcW w:w="1780" w:type="dxa"/>
            <w:vAlign w:val="bottom"/>
            <w:vMerge w:val="restart"/>
          </w:tcPr>
          <w:p>
            <w:pPr>
              <w:jc w:val="right"/>
              <w:ind w:right="301"/>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189"/>
        </w:trPr>
        <w:tc>
          <w:tcPr>
            <w:tcW w:w="1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Share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Distributions</w:t>
            </w:r>
          </w:p>
        </w:tc>
        <w:tc>
          <w:tcPr>
            <w:tcW w:w="10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3700" w:type="dxa"/>
            <w:vAlign w:val="bottom"/>
            <w:gridSpan w:val="3"/>
          </w:tcPr>
          <w:p>
            <w:pPr>
              <w:ind w:left="20"/>
              <w:spacing w:after="0"/>
              <w:rPr>
                <w:sz w:val="20"/>
                <w:szCs w:val="20"/>
                <w:color w:val="auto"/>
              </w:rPr>
            </w:pPr>
            <w:r>
              <w:rPr>
                <w:rFonts w:ascii="Arial" w:cs="Arial" w:eastAsia="Arial" w:hAnsi="Arial"/>
                <w:sz w:val="16"/>
                <w:szCs w:val="16"/>
                <w:b w:val="1"/>
                <w:bCs w:val="1"/>
                <w:color w:val="auto"/>
              </w:rPr>
              <w:t>Trust Common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0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6"/>
                <w:szCs w:val="16"/>
                <w:color w:val="auto"/>
              </w:rPr>
              <w:t xml:space="preserve">April 1, 2021 - June 30, 2021 </w:t>
            </w:r>
            <w:r>
              <w:rPr>
                <w:rFonts w:ascii="Arial" w:cs="Arial" w:eastAsia="Arial" w:hAnsi="Arial"/>
                <w:sz w:val="20"/>
                <w:szCs w:val="20"/>
                <w:b w:val="1"/>
                <w:bCs w:val="1"/>
                <w:color w:val="auto"/>
                <w:vertAlign w:val="superscript"/>
              </w:rPr>
              <w:t>(1)</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23,364</w:t>
            </w:r>
          </w:p>
        </w:tc>
        <w:tc>
          <w:tcPr>
            <w:tcW w:w="1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15, 2021</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22, 2021</w:t>
            </w: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rPr>
                <w:sz w:val="20"/>
                <w:szCs w:val="20"/>
                <w:color w:val="auto"/>
              </w:rPr>
            </w:pPr>
            <w:r>
              <w:rPr>
                <w:rFonts w:ascii="Arial" w:cs="Arial" w:eastAsia="Arial" w:hAnsi="Arial"/>
                <w:sz w:val="16"/>
                <w:szCs w:val="16"/>
                <w:color w:val="auto"/>
                <w:w w:val="97"/>
              </w:rPr>
              <w:t>January 1, 2021</w:t>
            </w:r>
          </w:p>
        </w:tc>
        <w:tc>
          <w:tcPr>
            <w:tcW w:w="2540" w:type="dxa"/>
            <w:vAlign w:val="bottom"/>
            <w:gridSpan w:val="2"/>
          </w:tcPr>
          <w:p>
            <w:pPr>
              <w:ind w:left="20"/>
              <w:spacing w:after="0"/>
              <w:rPr>
                <w:sz w:val="20"/>
                <w:szCs w:val="20"/>
                <w:color w:val="auto"/>
              </w:rPr>
            </w:pPr>
            <w:r>
              <w:rPr>
                <w:rFonts w:ascii="Arial" w:cs="Arial" w:eastAsia="Arial" w:hAnsi="Arial"/>
                <w:sz w:val="16"/>
                <w:szCs w:val="16"/>
                <w:color w:val="auto"/>
              </w:rPr>
              <w:t>- March 31,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23,364</w:t>
            </w:r>
          </w:p>
        </w:tc>
        <w:tc>
          <w:tcPr>
            <w:tcW w:w="100" w:type="dxa"/>
            <w:vAlign w:val="bottom"/>
          </w:tcPr>
          <w:p>
            <w:pPr>
              <w:spacing w:after="0"/>
              <w:rPr>
                <w:sz w:val="17"/>
                <w:szCs w:val="17"/>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22, 2021</w:t>
            </w: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October 1, 2020</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December 31, 2020</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23,364</w:t>
            </w:r>
          </w:p>
        </w:tc>
        <w:tc>
          <w:tcPr>
            <w:tcW w:w="1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15, 2021</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22, 2021</w:t>
            </w:r>
          </w:p>
        </w:tc>
        <w:tc>
          <w:tcPr>
            <w:tcW w:w="0" w:type="dxa"/>
            <w:vAlign w:val="bottom"/>
          </w:tcPr>
          <w:p>
            <w:pPr>
              <w:spacing w:after="0"/>
              <w:rPr>
                <w:sz w:val="1"/>
                <w:szCs w:val="1"/>
                <w:color w:val="auto"/>
              </w:rPr>
            </w:pPr>
          </w:p>
        </w:tc>
      </w:tr>
      <w:tr>
        <w:trPr>
          <w:trHeight w:val="203"/>
        </w:trPr>
        <w:tc>
          <w:tcPr>
            <w:tcW w:w="3700" w:type="dxa"/>
            <w:vAlign w:val="bottom"/>
            <w:gridSpan w:val="3"/>
          </w:tcPr>
          <w:p>
            <w:pPr>
              <w:ind w:left="20"/>
              <w:spacing w:after="0"/>
              <w:rPr>
                <w:sz w:val="20"/>
                <w:szCs w:val="20"/>
                <w:color w:val="auto"/>
              </w:rPr>
            </w:pPr>
            <w:r>
              <w:rPr>
                <w:rFonts w:ascii="Arial" w:cs="Arial" w:eastAsia="Arial" w:hAnsi="Arial"/>
                <w:sz w:val="16"/>
                <w:szCs w:val="16"/>
                <w:color w:val="auto"/>
              </w:rPr>
              <w:t>July 1, 2020 - September 30, 2020</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23,364</w:t>
            </w:r>
          </w:p>
        </w:tc>
        <w:tc>
          <w:tcPr>
            <w:tcW w:w="100" w:type="dxa"/>
            <w:vAlign w:val="bottom"/>
          </w:tcPr>
          <w:p>
            <w:pPr>
              <w:spacing w:after="0"/>
              <w:rPr>
                <w:sz w:val="17"/>
                <w:szCs w:val="17"/>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2020</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22, 2020</w:t>
            </w:r>
          </w:p>
        </w:tc>
        <w:tc>
          <w:tcPr>
            <w:tcW w:w="0" w:type="dxa"/>
            <w:vAlign w:val="bottom"/>
          </w:tcPr>
          <w:p>
            <w:pPr>
              <w:spacing w:after="0"/>
              <w:rPr>
                <w:sz w:val="1"/>
                <w:szCs w:val="1"/>
                <w:color w:val="auto"/>
              </w:rPr>
            </w:pPr>
          </w:p>
        </w:tc>
      </w:tr>
      <w:tr>
        <w:trPr>
          <w:trHeight w:val="202"/>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April 1, 2020 - June 30, 2020</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23,364</w:t>
            </w:r>
          </w:p>
        </w:tc>
        <w:tc>
          <w:tcPr>
            <w:tcW w:w="1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16, 2020</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23, 2020</w:t>
            </w: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rPr>
                <w:sz w:val="20"/>
                <w:szCs w:val="20"/>
                <w:color w:val="auto"/>
              </w:rPr>
            </w:pPr>
            <w:r>
              <w:rPr>
                <w:rFonts w:ascii="Arial" w:cs="Arial" w:eastAsia="Arial" w:hAnsi="Arial"/>
                <w:sz w:val="16"/>
                <w:szCs w:val="16"/>
                <w:color w:val="auto"/>
                <w:w w:val="97"/>
              </w:rPr>
              <w:t>January 1, 2020</w:t>
            </w:r>
          </w:p>
        </w:tc>
        <w:tc>
          <w:tcPr>
            <w:tcW w:w="2540" w:type="dxa"/>
            <w:vAlign w:val="bottom"/>
            <w:gridSpan w:val="2"/>
          </w:tcPr>
          <w:p>
            <w:pPr>
              <w:ind w:left="20"/>
              <w:spacing w:after="0"/>
              <w:rPr>
                <w:sz w:val="20"/>
                <w:szCs w:val="20"/>
                <w:color w:val="auto"/>
              </w:rPr>
            </w:pPr>
            <w:r>
              <w:rPr>
                <w:rFonts w:ascii="Arial" w:cs="Arial" w:eastAsia="Arial" w:hAnsi="Arial"/>
                <w:sz w:val="16"/>
                <w:szCs w:val="16"/>
                <w:color w:val="auto"/>
              </w:rPr>
              <w:t>- March 31, 2020</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21,564</w:t>
            </w:r>
          </w:p>
        </w:tc>
        <w:tc>
          <w:tcPr>
            <w:tcW w:w="100" w:type="dxa"/>
            <w:vAlign w:val="bottom"/>
          </w:tcPr>
          <w:p>
            <w:pPr>
              <w:spacing w:after="0"/>
              <w:rPr>
                <w:sz w:val="17"/>
                <w:szCs w:val="17"/>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16, 2020</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23, 2020</w:t>
            </w: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October 1, 2019</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December 31, 2019</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21,564</w:t>
            </w:r>
          </w:p>
        </w:tc>
        <w:tc>
          <w:tcPr>
            <w:tcW w:w="1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16, 2020</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23,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9" w:name="page30"/>
    <w:bookmarkEnd w:id="29"/>
    <w:tbl>
      <w:tblPr>
        <w:tblLayout w:type="fixed"/>
        <w:tblInd w:w="40" w:type="dxa"/>
        <w:tblCellMar>
          <w:top w:w="0" w:type="dxa"/>
          <w:left w:w="0" w:type="dxa"/>
          <w:bottom w:w="0" w:type="dxa"/>
          <w:right w:w="0" w:type="dxa"/>
        </w:tblCellMar>
      </w:tblPr>
      <w:tr>
        <w:trPr>
          <w:trHeight w:val="20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A Preferred Shares:</w:t>
            </w:r>
          </w:p>
        </w:tc>
        <w:tc>
          <w:tcPr>
            <w:tcW w:w="10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3240" w:type="dxa"/>
            <w:vAlign w:val="bottom"/>
          </w:tcPr>
          <w:p>
            <w:pPr>
              <w:ind w:left="20"/>
              <w:spacing w:after="0" w:line="203" w:lineRule="exact"/>
              <w:rPr>
                <w:sz w:val="20"/>
                <w:szCs w:val="20"/>
                <w:color w:val="auto"/>
              </w:rPr>
            </w:pPr>
            <w:r>
              <w:rPr>
                <w:rFonts w:ascii="Arial" w:cs="Arial" w:eastAsia="Arial" w:hAnsi="Arial"/>
                <w:sz w:val="16"/>
                <w:szCs w:val="16"/>
                <w:color w:val="auto"/>
              </w:rPr>
              <w:t xml:space="preserve">April 30, 2021 - July 29, 2021 </w:t>
            </w:r>
            <w:r>
              <w:rPr>
                <w:rFonts w:ascii="Arial" w:cs="Arial" w:eastAsia="Arial" w:hAnsi="Arial"/>
                <w:sz w:val="20"/>
                <w:szCs w:val="20"/>
                <w:b w:val="1"/>
                <w:bCs w:val="1"/>
                <w:color w:val="auto"/>
                <w:vertAlign w:val="superscript"/>
              </w:rPr>
              <w:t>(1)</w:t>
            </w:r>
          </w:p>
        </w:tc>
        <w:tc>
          <w:tcPr>
            <w:tcW w:w="100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0.453125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1,813</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July 15, 2021</w:t>
            </w:r>
          </w:p>
        </w:tc>
        <w:tc>
          <w:tcPr>
            <w:tcW w:w="1580" w:type="dxa"/>
            <w:vAlign w:val="bottom"/>
          </w:tcPr>
          <w:p>
            <w:pPr>
              <w:jc w:val="right"/>
              <w:spacing w:after="0"/>
              <w:rPr>
                <w:sz w:val="20"/>
                <w:szCs w:val="20"/>
                <w:color w:val="auto"/>
              </w:rPr>
            </w:pPr>
            <w:r>
              <w:rPr>
                <w:rFonts w:ascii="Arial" w:cs="Arial" w:eastAsia="Arial" w:hAnsi="Arial"/>
                <w:sz w:val="16"/>
                <w:szCs w:val="16"/>
                <w:color w:val="auto"/>
              </w:rPr>
              <w:t>July 30, 2021</w:t>
            </w:r>
          </w:p>
        </w:tc>
      </w:tr>
      <w:tr>
        <w:trPr>
          <w:trHeight w:val="20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30, 2021 - April 29, 2021</w:t>
            </w:r>
          </w:p>
        </w:tc>
        <w:tc>
          <w:tcPr>
            <w:tcW w:w="100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0.453125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1,813</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April 15,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30, 2021</w:t>
            </w:r>
          </w:p>
        </w:tc>
      </w:tr>
      <w:tr>
        <w:trPr>
          <w:trHeight w:val="203"/>
        </w:trPr>
        <w:tc>
          <w:tcPr>
            <w:tcW w:w="3240" w:type="dxa"/>
            <w:vAlign w:val="bottom"/>
          </w:tcPr>
          <w:p>
            <w:pPr>
              <w:ind w:left="20"/>
              <w:spacing w:after="0"/>
              <w:rPr>
                <w:sz w:val="20"/>
                <w:szCs w:val="20"/>
                <w:color w:val="auto"/>
              </w:rPr>
            </w:pPr>
            <w:r>
              <w:rPr>
                <w:rFonts w:ascii="Arial" w:cs="Arial" w:eastAsia="Arial" w:hAnsi="Arial"/>
                <w:sz w:val="16"/>
                <w:szCs w:val="16"/>
                <w:color w:val="auto"/>
              </w:rPr>
              <w:t>October 30, 2020 - January 29, 2021</w:t>
            </w:r>
          </w:p>
        </w:tc>
        <w:tc>
          <w:tcPr>
            <w:tcW w:w="100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0.453125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1,813</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January 15, 2021</w:t>
            </w:r>
          </w:p>
        </w:tc>
        <w:tc>
          <w:tcPr>
            <w:tcW w:w="1580" w:type="dxa"/>
            <w:vAlign w:val="bottom"/>
          </w:tcPr>
          <w:p>
            <w:pPr>
              <w:jc w:val="right"/>
              <w:spacing w:after="0"/>
              <w:rPr>
                <w:sz w:val="20"/>
                <w:szCs w:val="20"/>
                <w:color w:val="auto"/>
              </w:rPr>
            </w:pPr>
            <w:r>
              <w:rPr>
                <w:rFonts w:ascii="Arial" w:cs="Arial" w:eastAsia="Arial" w:hAnsi="Arial"/>
                <w:sz w:val="16"/>
                <w:szCs w:val="16"/>
                <w:color w:val="auto"/>
              </w:rPr>
              <w:t>January 30, 2021</w:t>
            </w:r>
          </w:p>
        </w:tc>
      </w:tr>
      <w:tr>
        <w:trPr>
          <w:trHeight w:val="20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30, 2020 - September 29, 2020</w:t>
            </w:r>
          </w:p>
        </w:tc>
        <w:tc>
          <w:tcPr>
            <w:tcW w:w="100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0.453125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1,813</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October 15,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30, 2020</w:t>
            </w:r>
          </w:p>
        </w:tc>
      </w:tr>
      <w:tr>
        <w:trPr>
          <w:trHeight w:val="203"/>
        </w:trPr>
        <w:tc>
          <w:tcPr>
            <w:tcW w:w="3240" w:type="dxa"/>
            <w:vAlign w:val="bottom"/>
          </w:tcPr>
          <w:p>
            <w:pPr>
              <w:ind w:left="20"/>
              <w:spacing w:after="0"/>
              <w:rPr>
                <w:sz w:val="20"/>
                <w:szCs w:val="20"/>
                <w:color w:val="auto"/>
              </w:rPr>
            </w:pPr>
            <w:r>
              <w:rPr>
                <w:rFonts w:ascii="Arial" w:cs="Arial" w:eastAsia="Arial" w:hAnsi="Arial"/>
                <w:sz w:val="16"/>
                <w:szCs w:val="16"/>
                <w:color w:val="auto"/>
              </w:rPr>
              <w:t>April 30, 2020 - July 29, 2020</w:t>
            </w:r>
          </w:p>
        </w:tc>
        <w:tc>
          <w:tcPr>
            <w:tcW w:w="100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0.453125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1,813</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July 15, 2020</w:t>
            </w:r>
          </w:p>
        </w:tc>
        <w:tc>
          <w:tcPr>
            <w:tcW w:w="1580" w:type="dxa"/>
            <w:vAlign w:val="bottom"/>
          </w:tcPr>
          <w:p>
            <w:pPr>
              <w:jc w:val="right"/>
              <w:spacing w:after="0"/>
              <w:rPr>
                <w:sz w:val="20"/>
                <w:szCs w:val="20"/>
                <w:color w:val="auto"/>
              </w:rPr>
            </w:pPr>
            <w:r>
              <w:rPr>
                <w:rFonts w:ascii="Arial" w:cs="Arial" w:eastAsia="Arial" w:hAnsi="Arial"/>
                <w:sz w:val="16"/>
                <w:szCs w:val="16"/>
                <w:color w:val="auto"/>
              </w:rPr>
              <w:t>July 30, 2020</w:t>
            </w:r>
          </w:p>
        </w:tc>
      </w:tr>
      <w:tr>
        <w:trPr>
          <w:trHeight w:val="20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30, 2020 - April 29, 2020</w:t>
            </w:r>
          </w:p>
        </w:tc>
        <w:tc>
          <w:tcPr>
            <w:tcW w:w="100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0.453125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1,813</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April 15,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30, 2020</w:t>
            </w:r>
          </w:p>
        </w:tc>
      </w:tr>
      <w:tr>
        <w:trPr>
          <w:trHeight w:val="208"/>
        </w:trPr>
        <w:tc>
          <w:tcPr>
            <w:tcW w:w="3240" w:type="dxa"/>
            <w:vAlign w:val="bottom"/>
          </w:tcPr>
          <w:p>
            <w:pPr>
              <w:ind w:left="20"/>
              <w:spacing w:after="0"/>
              <w:rPr>
                <w:sz w:val="20"/>
                <w:szCs w:val="20"/>
                <w:color w:val="auto"/>
              </w:rPr>
            </w:pPr>
            <w:r>
              <w:rPr>
                <w:rFonts w:ascii="Arial" w:cs="Arial" w:eastAsia="Arial" w:hAnsi="Arial"/>
                <w:sz w:val="16"/>
                <w:szCs w:val="16"/>
                <w:color w:val="auto"/>
              </w:rPr>
              <w:t>October 30, 2019 - January 29, 2020</w:t>
            </w:r>
          </w:p>
        </w:tc>
        <w:tc>
          <w:tcPr>
            <w:tcW w:w="100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0.453125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1,813</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January 15, 2020</w:t>
            </w:r>
          </w:p>
        </w:tc>
        <w:tc>
          <w:tcPr>
            <w:tcW w:w="1580" w:type="dxa"/>
            <w:vAlign w:val="bottom"/>
          </w:tcPr>
          <w:p>
            <w:pPr>
              <w:jc w:val="right"/>
              <w:spacing w:after="0"/>
              <w:rPr>
                <w:sz w:val="20"/>
                <w:szCs w:val="20"/>
                <w:color w:val="auto"/>
              </w:rPr>
            </w:pPr>
            <w:r>
              <w:rPr>
                <w:rFonts w:ascii="Arial" w:cs="Arial" w:eastAsia="Arial" w:hAnsi="Arial"/>
                <w:sz w:val="16"/>
                <w:szCs w:val="16"/>
                <w:color w:val="auto"/>
              </w:rPr>
              <w:t>January 30, 2020</w:t>
            </w:r>
          </w:p>
        </w:tc>
      </w:tr>
      <w:tr>
        <w:trPr>
          <w:trHeight w:val="467"/>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Series B Preferred Shares:</w:t>
            </w: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3240" w:type="dxa"/>
            <w:vAlign w:val="bottom"/>
            <w:shd w:val="clear" w:color="auto" w:fill="CCEEFF"/>
          </w:tcPr>
          <w:p>
            <w:pPr>
              <w:ind w:left="20"/>
              <w:spacing w:after="0" w:line="203" w:lineRule="exact"/>
              <w:rPr>
                <w:sz w:val="20"/>
                <w:szCs w:val="20"/>
                <w:color w:val="auto"/>
              </w:rPr>
            </w:pPr>
            <w:r>
              <w:rPr>
                <w:rFonts w:ascii="Arial" w:cs="Arial" w:eastAsia="Arial" w:hAnsi="Arial"/>
                <w:sz w:val="16"/>
                <w:szCs w:val="16"/>
                <w:color w:val="auto"/>
              </w:rPr>
              <w:t xml:space="preserve">April 30, 2021 - July 29, 2021 </w:t>
            </w:r>
            <w:r>
              <w:rPr>
                <w:rFonts w:ascii="Arial" w:cs="Arial" w:eastAsia="Arial" w:hAnsi="Arial"/>
                <w:sz w:val="20"/>
                <w:szCs w:val="20"/>
                <w:b w:val="1"/>
                <w:bCs w:val="1"/>
                <w:color w:val="auto"/>
                <w:vertAlign w:val="superscript"/>
              </w:rPr>
              <w:t>(1)</w:t>
            </w:r>
          </w:p>
        </w:tc>
        <w:tc>
          <w:tcPr>
            <w:tcW w:w="100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1,969</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July 15,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2021</w:t>
            </w:r>
          </w:p>
        </w:tc>
      </w:tr>
      <w:tr>
        <w:trPr>
          <w:trHeight w:val="203"/>
        </w:trPr>
        <w:tc>
          <w:tcPr>
            <w:tcW w:w="3240" w:type="dxa"/>
            <w:vAlign w:val="bottom"/>
          </w:tcPr>
          <w:p>
            <w:pPr>
              <w:ind w:left="20"/>
              <w:spacing w:after="0"/>
              <w:rPr>
                <w:sz w:val="20"/>
                <w:szCs w:val="20"/>
                <w:color w:val="auto"/>
              </w:rPr>
            </w:pPr>
            <w:r>
              <w:rPr>
                <w:rFonts w:ascii="Arial" w:cs="Arial" w:eastAsia="Arial" w:hAnsi="Arial"/>
                <w:sz w:val="16"/>
                <w:szCs w:val="16"/>
                <w:color w:val="auto"/>
              </w:rPr>
              <w:t>January 30, 2021 - April 29, 2021</w:t>
            </w:r>
          </w:p>
        </w:tc>
        <w:tc>
          <w:tcPr>
            <w:tcW w:w="100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1,969</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April 15, 2021</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30, 2021</w:t>
            </w:r>
          </w:p>
        </w:tc>
      </w:tr>
      <w:tr>
        <w:trPr>
          <w:trHeight w:val="20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30, 2020 - January 29, 2021</w:t>
            </w:r>
          </w:p>
        </w:tc>
        <w:tc>
          <w:tcPr>
            <w:tcW w:w="100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1,969</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January 15,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2021</w:t>
            </w:r>
          </w:p>
        </w:tc>
      </w:tr>
      <w:tr>
        <w:trPr>
          <w:trHeight w:val="203"/>
        </w:trPr>
        <w:tc>
          <w:tcPr>
            <w:tcW w:w="3240" w:type="dxa"/>
            <w:vAlign w:val="bottom"/>
          </w:tcPr>
          <w:p>
            <w:pPr>
              <w:ind w:left="20"/>
              <w:spacing w:after="0"/>
              <w:rPr>
                <w:sz w:val="20"/>
                <w:szCs w:val="20"/>
                <w:color w:val="auto"/>
              </w:rPr>
            </w:pPr>
            <w:r>
              <w:rPr>
                <w:rFonts w:ascii="Arial" w:cs="Arial" w:eastAsia="Arial" w:hAnsi="Arial"/>
                <w:sz w:val="16"/>
                <w:szCs w:val="16"/>
                <w:color w:val="auto"/>
              </w:rPr>
              <w:t>July 30, 2020 - September 29, 2020</w:t>
            </w:r>
          </w:p>
        </w:tc>
        <w:tc>
          <w:tcPr>
            <w:tcW w:w="100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1,969</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October 15, 2020</w:t>
            </w:r>
          </w:p>
        </w:tc>
        <w:tc>
          <w:tcPr>
            <w:tcW w:w="1580" w:type="dxa"/>
            <w:vAlign w:val="bottom"/>
          </w:tcPr>
          <w:p>
            <w:pPr>
              <w:jc w:val="right"/>
              <w:spacing w:after="0"/>
              <w:rPr>
                <w:sz w:val="20"/>
                <w:szCs w:val="20"/>
                <w:color w:val="auto"/>
              </w:rPr>
            </w:pPr>
            <w:r>
              <w:rPr>
                <w:rFonts w:ascii="Arial" w:cs="Arial" w:eastAsia="Arial" w:hAnsi="Arial"/>
                <w:sz w:val="16"/>
                <w:szCs w:val="16"/>
                <w:color w:val="auto"/>
              </w:rPr>
              <w:t>October 30, 2020</w:t>
            </w:r>
          </w:p>
        </w:tc>
      </w:tr>
      <w:tr>
        <w:trPr>
          <w:trHeight w:val="20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30, 2020 - July 29, 2020</w:t>
            </w:r>
          </w:p>
        </w:tc>
        <w:tc>
          <w:tcPr>
            <w:tcW w:w="100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1,969</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July 15,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2020</w:t>
            </w:r>
          </w:p>
        </w:tc>
      </w:tr>
      <w:tr>
        <w:trPr>
          <w:trHeight w:val="203"/>
        </w:trPr>
        <w:tc>
          <w:tcPr>
            <w:tcW w:w="3240" w:type="dxa"/>
            <w:vAlign w:val="bottom"/>
          </w:tcPr>
          <w:p>
            <w:pPr>
              <w:ind w:left="20"/>
              <w:spacing w:after="0"/>
              <w:rPr>
                <w:sz w:val="20"/>
                <w:szCs w:val="20"/>
                <w:color w:val="auto"/>
              </w:rPr>
            </w:pPr>
            <w:r>
              <w:rPr>
                <w:rFonts w:ascii="Arial" w:cs="Arial" w:eastAsia="Arial" w:hAnsi="Arial"/>
                <w:sz w:val="16"/>
                <w:szCs w:val="16"/>
                <w:color w:val="auto"/>
              </w:rPr>
              <w:t>January 30, 2020 - April 29, 2020</w:t>
            </w:r>
          </w:p>
        </w:tc>
        <w:tc>
          <w:tcPr>
            <w:tcW w:w="100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1,969</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April 15, 2020</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30, 2020</w:t>
            </w:r>
          </w:p>
        </w:tc>
      </w:tr>
      <w:tr>
        <w:trPr>
          <w:trHeight w:val="20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30, 2019 - January 29, 2020</w:t>
            </w:r>
          </w:p>
        </w:tc>
        <w:tc>
          <w:tcPr>
            <w:tcW w:w="100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1,969</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January 15,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2020</w:t>
            </w:r>
          </w:p>
        </w:tc>
      </w:tr>
      <w:tr>
        <w:trPr>
          <w:trHeight w:val="270"/>
        </w:trPr>
        <w:tc>
          <w:tcPr>
            <w:tcW w:w="3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Series C Preferred Shares:</w:t>
            </w:r>
          </w:p>
        </w:tc>
        <w:tc>
          <w:tcPr>
            <w:tcW w:w="10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3240" w:type="dxa"/>
            <w:vAlign w:val="bottom"/>
          </w:tcPr>
          <w:p>
            <w:pPr>
              <w:ind w:left="20"/>
              <w:spacing w:after="0" w:line="203" w:lineRule="exact"/>
              <w:rPr>
                <w:sz w:val="20"/>
                <w:szCs w:val="20"/>
                <w:color w:val="auto"/>
              </w:rPr>
            </w:pPr>
            <w:r>
              <w:rPr>
                <w:rFonts w:ascii="Arial" w:cs="Arial" w:eastAsia="Arial" w:hAnsi="Arial"/>
                <w:sz w:val="16"/>
                <w:szCs w:val="16"/>
                <w:color w:val="auto"/>
              </w:rPr>
              <w:t xml:space="preserve">April 30, 2021 - July 29, 2021 </w:t>
            </w:r>
            <w:r>
              <w:rPr>
                <w:rFonts w:ascii="Arial" w:cs="Arial" w:eastAsia="Arial" w:hAnsi="Arial"/>
                <w:sz w:val="20"/>
                <w:szCs w:val="20"/>
                <w:b w:val="1"/>
                <w:bCs w:val="1"/>
                <w:color w:val="auto"/>
                <w:vertAlign w:val="superscript"/>
              </w:rPr>
              <w:t>(1)</w:t>
            </w:r>
          </w:p>
        </w:tc>
        <w:tc>
          <w:tcPr>
            <w:tcW w:w="100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2,264</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July 15, 2021</w:t>
            </w:r>
          </w:p>
        </w:tc>
        <w:tc>
          <w:tcPr>
            <w:tcW w:w="1580" w:type="dxa"/>
            <w:vAlign w:val="bottom"/>
          </w:tcPr>
          <w:p>
            <w:pPr>
              <w:jc w:val="right"/>
              <w:spacing w:after="0"/>
              <w:rPr>
                <w:sz w:val="20"/>
                <w:szCs w:val="20"/>
                <w:color w:val="auto"/>
              </w:rPr>
            </w:pPr>
            <w:r>
              <w:rPr>
                <w:rFonts w:ascii="Arial" w:cs="Arial" w:eastAsia="Arial" w:hAnsi="Arial"/>
                <w:sz w:val="16"/>
                <w:szCs w:val="16"/>
                <w:color w:val="auto"/>
              </w:rPr>
              <w:t>July 30, 2021</w:t>
            </w:r>
          </w:p>
        </w:tc>
      </w:tr>
      <w:tr>
        <w:trPr>
          <w:trHeight w:val="20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30, 2021 - April 29, 2021</w:t>
            </w:r>
          </w:p>
        </w:tc>
        <w:tc>
          <w:tcPr>
            <w:tcW w:w="100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2,264</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April 15,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30, 2021</w:t>
            </w:r>
          </w:p>
        </w:tc>
      </w:tr>
      <w:tr>
        <w:trPr>
          <w:trHeight w:val="203"/>
        </w:trPr>
        <w:tc>
          <w:tcPr>
            <w:tcW w:w="3240" w:type="dxa"/>
            <w:vAlign w:val="bottom"/>
          </w:tcPr>
          <w:p>
            <w:pPr>
              <w:ind w:left="20"/>
              <w:spacing w:after="0"/>
              <w:rPr>
                <w:sz w:val="20"/>
                <w:szCs w:val="20"/>
                <w:color w:val="auto"/>
              </w:rPr>
            </w:pPr>
            <w:r>
              <w:rPr>
                <w:rFonts w:ascii="Arial" w:cs="Arial" w:eastAsia="Arial" w:hAnsi="Arial"/>
                <w:sz w:val="16"/>
                <w:szCs w:val="16"/>
                <w:color w:val="auto"/>
              </w:rPr>
              <w:t>October 30, 2020 - January 29, 2021</w:t>
            </w:r>
          </w:p>
        </w:tc>
        <w:tc>
          <w:tcPr>
            <w:tcW w:w="100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2,264</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January 15, 2021</w:t>
            </w:r>
          </w:p>
        </w:tc>
        <w:tc>
          <w:tcPr>
            <w:tcW w:w="1580" w:type="dxa"/>
            <w:vAlign w:val="bottom"/>
          </w:tcPr>
          <w:p>
            <w:pPr>
              <w:jc w:val="right"/>
              <w:spacing w:after="0"/>
              <w:rPr>
                <w:sz w:val="20"/>
                <w:szCs w:val="20"/>
                <w:color w:val="auto"/>
              </w:rPr>
            </w:pPr>
            <w:r>
              <w:rPr>
                <w:rFonts w:ascii="Arial" w:cs="Arial" w:eastAsia="Arial" w:hAnsi="Arial"/>
                <w:sz w:val="16"/>
                <w:szCs w:val="16"/>
                <w:color w:val="auto"/>
              </w:rPr>
              <w:t>January 30, 2021</w:t>
            </w:r>
          </w:p>
        </w:tc>
      </w:tr>
      <w:tr>
        <w:trPr>
          <w:trHeight w:val="20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30, 2020 - September 29, 2020</w:t>
            </w:r>
          </w:p>
        </w:tc>
        <w:tc>
          <w:tcPr>
            <w:tcW w:w="100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2,264</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October 15,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30, 2020</w:t>
            </w:r>
          </w:p>
        </w:tc>
      </w:tr>
      <w:tr>
        <w:trPr>
          <w:trHeight w:val="203"/>
        </w:trPr>
        <w:tc>
          <w:tcPr>
            <w:tcW w:w="3240" w:type="dxa"/>
            <w:vAlign w:val="bottom"/>
          </w:tcPr>
          <w:p>
            <w:pPr>
              <w:ind w:left="20"/>
              <w:spacing w:after="0"/>
              <w:rPr>
                <w:sz w:val="20"/>
                <w:szCs w:val="20"/>
                <w:color w:val="auto"/>
              </w:rPr>
            </w:pPr>
            <w:r>
              <w:rPr>
                <w:rFonts w:ascii="Arial" w:cs="Arial" w:eastAsia="Arial" w:hAnsi="Arial"/>
                <w:sz w:val="16"/>
                <w:szCs w:val="16"/>
                <w:color w:val="auto"/>
              </w:rPr>
              <w:t>April 30, 2020 - July 29, 2020</w:t>
            </w:r>
          </w:p>
        </w:tc>
        <w:tc>
          <w:tcPr>
            <w:tcW w:w="100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2,264</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July 15, 2020</w:t>
            </w:r>
          </w:p>
        </w:tc>
        <w:tc>
          <w:tcPr>
            <w:tcW w:w="1580" w:type="dxa"/>
            <w:vAlign w:val="bottom"/>
          </w:tcPr>
          <w:p>
            <w:pPr>
              <w:jc w:val="right"/>
              <w:spacing w:after="0"/>
              <w:rPr>
                <w:sz w:val="20"/>
                <w:szCs w:val="20"/>
                <w:color w:val="auto"/>
              </w:rPr>
            </w:pPr>
            <w:r>
              <w:rPr>
                <w:rFonts w:ascii="Arial" w:cs="Arial" w:eastAsia="Arial" w:hAnsi="Arial"/>
                <w:sz w:val="16"/>
                <w:szCs w:val="16"/>
                <w:color w:val="auto"/>
              </w:rPr>
              <w:t>July 30, 2020</w:t>
            </w:r>
          </w:p>
        </w:tc>
      </w:tr>
      <w:tr>
        <w:trPr>
          <w:trHeight w:val="20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30, 2020 - April 29, 2020</w:t>
            </w:r>
          </w:p>
        </w:tc>
        <w:tc>
          <w:tcPr>
            <w:tcW w:w="100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2,264</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April 15,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30, 2020</w:t>
            </w:r>
          </w:p>
        </w:tc>
      </w:tr>
      <w:tr>
        <w:trPr>
          <w:trHeight w:val="208"/>
        </w:trPr>
        <w:tc>
          <w:tcPr>
            <w:tcW w:w="3240" w:type="dxa"/>
            <w:vAlign w:val="bottom"/>
          </w:tcPr>
          <w:p>
            <w:pPr>
              <w:ind w:left="20"/>
              <w:spacing w:after="0"/>
              <w:rPr>
                <w:sz w:val="20"/>
                <w:szCs w:val="20"/>
                <w:color w:val="auto"/>
              </w:rPr>
            </w:pPr>
            <w:r>
              <w:rPr>
                <w:rFonts w:ascii="Arial" w:cs="Arial" w:eastAsia="Arial" w:hAnsi="Arial"/>
                <w:sz w:val="16"/>
                <w:szCs w:val="16"/>
                <w:color w:val="auto"/>
              </w:rPr>
              <w:t>November 20, 2019 - January 29, 2020</w:t>
            </w:r>
          </w:p>
        </w:tc>
        <w:tc>
          <w:tcPr>
            <w:tcW w:w="100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0.38281</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1,531</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January 15, 2020</w:t>
            </w:r>
          </w:p>
        </w:tc>
        <w:tc>
          <w:tcPr>
            <w:tcW w:w="1580" w:type="dxa"/>
            <w:vAlign w:val="bottom"/>
          </w:tcPr>
          <w:p>
            <w:pPr>
              <w:jc w:val="right"/>
              <w:spacing w:after="0"/>
              <w:rPr>
                <w:sz w:val="20"/>
                <w:szCs w:val="20"/>
                <w:color w:val="auto"/>
              </w:rPr>
            </w:pPr>
            <w:r>
              <w:rPr>
                <w:rFonts w:ascii="Arial" w:cs="Arial" w:eastAsia="Arial" w:hAnsi="Arial"/>
                <w:sz w:val="16"/>
                <w:szCs w:val="16"/>
                <w:color w:val="auto"/>
              </w:rPr>
              <w:t>January 30, 2020</w:t>
            </w:r>
          </w:p>
        </w:tc>
      </w:tr>
    </w:tbl>
    <w:p>
      <w:pPr>
        <w:spacing w:after="0" w:line="135" w:lineRule="exact"/>
        <w:rPr>
          <w:sz w:val="20"/>
          <w:szCs w:val="20"/>
          <w:color w:val="auto"/>
        </w:rPr>
      </w:pPr>
    </w:p>
    <w:p>
      <w:pPr>
        <w:spacing w:after="0"/>
        <w:tabs>
          <w:tab w:leader="none" w:pos="2060" w:val="left"/>
        </w:tabs>
        <w:rPr>
          <w:sz w:val="20"/>
          <w:szCs w:val="20"/>
          <w:color w:val="auto"/>
        </w:rPr>
      </w:pPr>
      <w:r>
        <w:rPr>
          <w:rFonts w:ascii="Arial" w:cs="Arial" w:eastAsia="Arial" w:hAnsi="Arial"/>
          <w:sz w:val="28"/>
          <w:szCs w:val="28"/>
          <w:b w:val="1"/>
          <w:bCs w:val="1"/>
          <w:color w:val="auto"/>
          <w:vertAlign w:val="superscript"/>
        </w:rPr>
        <w:t>(1)</w:t>
      </w:r>
      <w:r>
        <w:rPr>
          <w:rFonts w:ascii="Arial" w:cs="Arial" w:eastAsia="Arial" w:hAnsi="Arial"/>
          <w:sz w:val="18"/>
          <w:szCs w:val="18"/>
          <w:color w:val="auto"/>
        </w:rPr>
        <w:t xml:space="preserve"> This distribution was</w:t>
        <w:tab/>
        <w:t>declared on July 2, 2021.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Noncontrolling Interest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Noncontrolling interest represents the portion of the Company’s majority owned subsidiary’s net income (loss) and equity that is owned by noncontrolling shareholders. The following tables reflect the Company’s ownership percentage of its majority owned operating segments and related noncontrolling interest balances as of June 30, 2021 and December 31, 2020:</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30" w:name="page31"/>
    <w:bookmarkEnd w:id="30"/>
    <w:tbl>
      <w:tblPr>
        <w:tblLayout w:type="fixed"/>
        <w:tblInd w:w="500" w:type="dxa"/>
        <w:tblCellMar>
          <w:top w:w="0" w:type="dxa"/>
          <w:left w:w="0" w:type="dxa"/>
          <w:bottom w:w="0" w:type="dxa"/>
          <w:right w:w="0" w:type="dxa"/>
        </w:tblCellMar>
      </w:tblPr>
      <w:tr>
        <w:trPr>
          <w:trHeight w:val="218"/>
        </w:trPr>
        <w:tc>
          <w:tcPr>
            <w:tcW w:w="4400" w:type="dxa"/>
            <w:vAlign w:val="bottom"/>
          </w:tcPr>
          <w:p>
            <w:pPr>
              <w:spacing w:after="0"/>
              <w:rPr>
                <w:sz w:val="18"/>
                <w:szCs w:val="18"/>
                <w:color w:val="auto"/>
              </w:rPr>
            </w:pPr>
          </w:p>
        </w:tc>
        <w:tc>
          <w:tcPr>
            <w:tcW w:w="2440" w:type="dxa"/>
            <w:vAlign w:val="bottom"/>
            <w:gridSpan w:val="3"/>
          </w:tcPr>
          <w:p>
            <w:pPr>
              <w:jc w:val="center"/>
              <w:ind w:left="340"/>
              <w:spacing w:after="0"/>
              <w:rPr>
                <w:sz w:val="20"/>
                <w:szCs w:val="20"/>
                <w:color w:val="auto"/>
              </w:rPr>
            </w:pPr>
            <w:r>
              <w:rPr>
                <w:rFonts w:ascii="Arial" w:cs="Arial" w:eastAsia="Arial" w:hAnsi="Arial"/>
                <w:sz w:val="15"/>
                <w:szCs w:val="15"/>
                <w:b w:val="1"/>
                <w:bCs w:val="1"/>
                <w:color w:val="auto"/>
                <w:w w:val="99"/>
              </w:rPr>
              <w:t xml:space="preserve">% Ownership </w:t>
            </w:r>
            <w:r>
              <w:rPr>
                <w:rFonts w:ascii="Arial" w:cs="Arial" w:eastAsia="Arial" w:hAnsi="Arial"/>
                <w:sz w:val="19"/>
                <w:szCs w:val="19"/>
                <w:b w:val="1"/>
                <w:bCs w:val="1"/>
                <w:color w:val="auto"/>
                <w:w w:val="99"/>
                <w:vertAlign w:val="superscript"/>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3"/>
          </w:tcPr>
          <w:p>
            <w:pPr>
              <w:jc w:val="right"/>
              <w:ind w:right="80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02"/>
        </w:trPr>
        <w:tc>
          <w:tcPr>
            <w:tcW w:w="4400" w:type="dxa"/>
            <w:vAlign w:val="bottom"/>
          </w:tcPr>
          <w:p>
            <w:pPr>
              <w:spacing w:after="0"/>
              <w:rPr>
                <w:sz w:val="17"/>
                <w:szCs w:val="17"/>
                <w:color w:val="auto"/>
              </w:rPr>
            </w:pPr>
          </w:p>
        </w:tc>
        <w:tc>
          <w:tcPr>
            <w:tcW w:w="244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5"/>
                <w:szCs w:val="15"/>
                <w:b w:val="1"/>
                <w:bCs w:val="1"/>
                <w:color w:val="auto"/>
              </w:rPr>
              <w:t>June 30, 2021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46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Primary</w:t>
            </w:r>
          </w:p>
        </w:tc>
        <w:tc>
          <w:tcPr>
            <w:tcW w:w="980" w:type="dxa"/>
            <w:vAlign w:val="bottom"/>
          </w:tcPr>
          <w:p>
            <w:pPr>
              <w:jc w:val="center"/>
              <w:ind w:left="344"/>
              <w:spacing w:after="0" w:line="142" w:lineRule="exact"/>
              <w:rPr>
                <w:sz w:val="20"/>
                <w:szCs w:val="20"/>
                <w:color w:val="auto"/>
              </w:rPr>
            </w:pPr>
            <w:r>
              <w:rPr>
                <w:rFonts w:ascii="Arial" w:cs="Arial" w:eastAsia="Arial" w:hAnsi="Arial"/>
                <w:sz w:val="15"/>
                <w:szCs w:val="15"/>
                <w:b w:val="1"/>
                <w:bCs w:val="1"/>
                <w:color w:val="auto"/>
              </w:rPr>
              <w:t>Fully</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Primary</w:t>
            </w:r>
          </w:p>
        </w:tc>
        <w:tc>
          <w:tcPr>
            <w:tcW w:w="1440" w:type="dxa"/>
            <w:vAlign w:val="bottom"/>
          </w:tcPr>
          <w:p>
            <w:pPr>
              <w:jc w:val="right"/>
              <w:ind w:right="460"/>
              <w:spacing w:after="0" w:line="142" w:lineRule="exact"/>
              <w:rPr>
                <w:sz w:val="20"/>
                <w:szCs w:val="20"/>
                <w:color w:val="auto"/>
              </w:rPr>
            </w:pPr>
            <w:r>
              <w:rPr>
                <w:rFonts w:ascii="Arial" w:cs="Arial" w:eastAsia="Arial" w:hAnsi="Arial"/>
                <w:sz w:val="15"/>
                <w:szCs w:val="15"/>
                <w:b w:val="1"/>
                <w:bCs w:val="1"/>
                <w:color w:val="auto"/>
              </w:rPr>
              <w:t>Fully</w:t>
            </w:r>
          </w:p>
        </w:tc>
        <w:tc>
          <w:tcPr>
            <w:tcW w:w="0" w:type="dxa"/>
            <w:vAlign w:val="bottom"/>
          </w:tcPr>
          <w:p>
            <w:pPr>
              <w:spacing w:after="0"/>
              <w:rPr>
                <w:sz w:val="1"/>
                <w:szCs w:val="1"/>
                <w:color w:val="auto"/>
              </w:rPr>
            </w:pPr>
          </w:p>
        </w:tc>
      </w:tr>
      <w:tr>
        <w:trPr>
          <w:trHeight w:val="202"/>
        </w:trPr>
        <w:tc>
          <w:tcPr>
            <w:tcW w:w="440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980" w:type="dxa"/>
            <w:vAlign w:val="bottom"/>
          </w:tcPr>
          <w:p>
            <w:pPr>
              <w:jc w:val="center"/>
              <w:ind w:left="344"/>
              <w:spacing w:after="0"/>
              <w:rPr>
                <w:sz w:val="20"/>
                <w:szCs w:val="20"/>
                <w:color w:val="auto"/>
              </w:rPr>
            </w:pPr>
            <w:r>
              <w:rPr>
                <w:rFonts w:ascii="Arial" w:cs="Arial" w:eastAsia="Arial" w:hAnsi="Arial"/>
                <w:sz w:val="15"/>
                <w:szCs w:val="15"/>
                <w:b w:val="1"/>
                <w:bCs w:val="1"/>
                <w:color w:val="auto"/>
              </w:rPr>
              <w:t>Diluted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40" w:type="dxa"/>
            <w:vAlign w:val="bottom"/>
          </w:tcPr>
          <w:p>
            <w:pPr>
              <w:jc w:val="right"/>
              <w:ind w:right="380"/>
              <w:spacing w:after="0"/>
              <w:rPr>
                <w:sz w:val="20"/>
                <w:szCs w:val="20"/>
                <w:color w:val="auto"/>
              </w:rPr>
            </w:pPr>
            <w:r>
              <w:rPr>
                <w:rFonts w:ascii="Arial" w:cs="Arial" w:eastAsia="Arial" w:hAnsi="Arial"/>
                <w:sz w:val="15"/>
                <w:szCs w:val="15"/>
                <w:b w:val="1"/>
                <w:bCs w:val="1"/>
                <w:color w:val="auto"/>
              </w:rPr>
              <w:t>Diluted</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BOA</w:t>
            </w:r>
          </w:p>
        </w:tc>
        <w:tc>
          <w:tcPr>
            <w:tcW w:w="1340" w:type="dxa"/>
            <w:vAlign w:val="bottom"/>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Liberty</w:t>
            </w:r>
          </w:p>
        </w:tc>
        <w:tc>
          <w:tcPr>
            <w:tcW w:w="1340" w:type="dxa"/>
            <w:vAlign w:val="bottom"/>
          </w:tcPr>
          <w:p>
            <w:pPr>
              <w:jc w:val="right"/>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Marucci</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340" w:type="dxa"/>
            <w:vAlign w:val="bottom"/>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ACI</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Altor</w:t>
            </w: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6"/>
                <w:szCs w:val="16"/>
                <w:color w:val="auto"/>
              </w:rPr>
              <w:t>Sterno</w:t>
            </w: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line="217" w:lineRule="auto"/>
        <w:tabs>
          <w:tab w:leader="none" w:pos="477" w:val="left"/>
        </w:tabs>
        <w:numPr>
          <w:ilvl w:val="0"/>
          <w:numId w:val="14"/>
        </w:numPr>
        <w:rPr>
          <w:rFonts w:ascii="Arial" w:cs="Arial" w:eastAsia="Arial" w:hAnsi="Arial"/>
          <w:sz w:val="22"/>
          <w:szCs w:val="22"/>
          <w:b w:val="1"/>
          <w:bCs w:val="1"/>
          <w:color w:val="auto"/>
          <w:vertAlign w:val="superscript"/>
        </w:rPr>
      </w:pPr>
      <w:r>
        <w:rPr>
          <w:rFonts w:ascii="Arial" w:cs="Arial" w:eastAsia="Arial" w:hAnsi="Arial"/>
          <w:sz w:val="17"/>
          <w:szCs w:val="17"/>
          <w:color w:val="auto"/>
        </w:rPr>
        <w:t>The principal difference between primary and diluted percentages of our operating segments is due to stock option issuances of operating segment stock to management of the respective businesses.</w:t>
      </w:r>
    </w:p>
    <w:p>
      <w:pPr>
        <w:spacing w:after="0" w:line="227" w:lineRule="exact"/>
        <w:rPr>
          <w:sz w:val="20"/>
          <w:szCs w:val="20"/>
          <w:color w:val="auto"/>
        </w:rPr>
      </w:pPr>
    </w:p>
    <w:tbl>
      <w:tblPr>
        <w:tblLayout w:type="fixed"/>
        <w:tblInd w:w="860" w:type="dxa"/>
        <w:tblCellMar>
          <w:top w:w="0" w:type="dxa"/>
          <w:left w:w="0" w:type="dxa"/>
          <w:bottom w:w="0" w:type="dxa"/>
          <w:right w:w="0" w:type="dxa"/>
        </w:tblCellMar>
      </w:tblPr>
      <w:tr>
        <w:trPr>
          <w:trHeight w:val="20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5"/>
                <w:szCs w:val="15"/>
                <w:b w:val="1"/>
                <w:bCs w:val="1"/>
                <w:color w:val="auto"/>
              </w:rPr>
              <w:t>Noncontrolling Interest Balances</w:t>
            </w:r>
          </w:p>
        </w:tc>
      </w:tr>
      <w:tr>
        <w:trPr>
          <w:trHeight w:val="200"/>
        </w:trPr>
        <w:tc>
          <w:tcPr>
            <w:tcW w:w="5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 2021</w:t>
            </w:r>
          </w:p>
        </w:tc>
        <w:tc>
          <w:tcPr>
            <w:tcW w:w="180" w:type="dxa"/>
            <w:vAlign w:val="bottom"/>
          </w:tcPr>
          <w:p>
            <w:pPr>
              <w:spacing w:after="0"/>
              <w:rPr>
                <w:sz w:val="17"/>
                <w:szCs w:val="17"/>
                <w:color w:val="auto"/>
              </w:rPr>
            </w:pPr>
          </w:p>
        </w:tc>
        <w:tc>
          <w:tcPr>
            <w:tcW w:w="1720" w:type="dxa"/>
            <w:vAlign w:val="bottom"/>
          </w:tcPr>
          <w:p>
            <w:pPr>
              <w:jc w:val="right"/>
              <w:ind w:right="179"/>
              <w:spacing w:after="0"/>
              <w:rPr>
                <w:sz w:val="20"/>
                <w:szCs w:val="20"/>
                <w:color w:val="auto"/>
              </w:rPr>
            </w:pPr>
            <w:r>
              <w:rPr>
                <w:rFonts w:ascii="Arial" w:cs="Arial" w:eastAsia="Arial" w:hAnsi="Arial"/>
                <w:sz w:val="15"/>
                <w:szCs w:val="15"/>
                <w:b w:val="1"/>
                <w:bCs w:val="1"/>
                <w:color w:val="auto"/>
              </w:rPr>
              <w:t>December 31, 2020</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5.11</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14,567</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BOA</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65,001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61,625</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27,408</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Liberty</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4,517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3,836</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11,386</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Velocity Outdoor</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4,674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4,077</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ACI</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(7,175)</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Altor</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3,414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2,901</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Sterno</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Allocation Interests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56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131,136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120,124</w:t>
            </w:r>
          </w:p>
        </w:tc>
      </w:tr>
      <w:tr>
        <w:trPr>
          <w:trHeight w:val="23"/>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Fair Value Measurement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at June 30, 2021 and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6"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3200" w:type="dxa"/>
            <w:vAlign w:val="bottom"/>
            <w:tcBorders>
              <w:top w:val="single" w:sz="8" w:color="auto"/>
              <w:bottom w:val="single" w:sz="8" w:color="auto"/>
            </w:tcBorders>
            <w:gridSpan w:val="7"/>
          </w:tcPr>
          <w:p>
            <w:pPr>
              <w:ind w:left="80"/>
              <w:spacing w:after="0"/>
              <w:rPr>
                <w:sz w:val="20"/>
                <w:szCs w:val="20"/>
                <w:color w:val="auto"/>
              </w:rPr>
            </w:pPr>
            <w:r>
              <w:rPr>
                <w:rFonts w:ascii="Arial" w:cs="Arial" w:eastAsia="Arial" w:hAnsi="Arial"/>
                <w:sz w:val="15"/>
                <w:szCs w:val="15"/>
                <w:b w:val="1"/>
                <w:bCs w:val="1"/>
                <w:color w:val="auto"/>
              </w:rPr>
              <w:t>Fair Value Measurements at June 30, 2021</w:t>
            </w: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321"/>
              <w:spacing w:after="0" w:line="142" w:lineRule="exact"/>
              <w:rPr>
                <w:sz w:val="20"/>
                <w:szCs w:val="20"/>
                <w:color w:val="auto"/>
              </w:rPr>
            </w:pPr>
            <w:r>
              <w:rPr>
                <w:rFonts w:ascii="Arial" w:cs="Arial" w:eastAsia="Arial" w:hAnsi="Arial"/>
                <w:sz w:val="15"/>
                <w:szCs w:val="15"/>
                <w:b w:val="1"/>
                <w:bCs w:val="1"/>
                <w:color w:val="auto"/>
              </w:rPr>
              <w:t>Carrying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Level 1</w:t>
            </w:r>
          </w:p>
        </w:tc>
        <w:tc>
          <w:tcPr>
            <w:tcW w:w="280" w:type="dxa"/>
            <w:vAlign w:val="bottom"/>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Level 2</w:t>
            </w:r>
          </w:p>
        </w:tc>
        <w:tc>
          <w:tcPr>
            <w:tcW w:w="280" w:type="dxa"/>
            <w:vAlign w:val="bottom"/>
          </w:tcPr>
          <w:p>
            <w:pPr>
              <w:spacing w:after="0"/>
              <w:rPr>
                <w:sz w:val="12"/>
                <w:szCs w:val="12"/>
                <w:color w:val="auto"/>
              </w:rPr>
            </w:pPr>
          </w:p>
        </w:tc>
        <w:tc>
          <w:tcPr>
            <w:tcW w:w="1160" w:type="dxa"/>
            <w:vAlign w:val="bottom"/>
            <w:vMerge w:val="restart"/>
          </w:tcPr>
          <w:p>
            <w:pPr>
              <w:jc w:val="right"/>
              <w:ind w:right="380"/>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41"/>
              <w:spacing w:after="0"/>
              <w:rPr>
                <w:sz w:val="20"/>
                <w:szCs w:val="20"/>
                <w:color w:val="auto"/>
              </w:rPr>
            </w:pPr>
            <w:r>
              <w:rPr>
                <w:rFonts w:ascii="Arial" w:cs="Arial" w:eastAsia="Arial" w:hAnsi="Arial"/>
                <w:sz w:val="15"/>
                <w:szCs w:val="15"/>
                <w:b w:val="1"/>
                <w:bCs w:val="1"/>
                <w:color w:val="auto"/>
              </w:rPr>
              <w:t>Value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spacing w:after="0"/>
              <w:rPr>
                <w:sz w:val="20"/>
                <w:szCs w:val="20"/>
                <w:color w:val="auto"/>
              </w:rPr>
            </w:pPr>
            <w:r>
              <w:rPr>
                <w:rFonts w:ascii="Arial" w:cs="Arial" w:eastAsia="Arial" w:hAnsi="Arial"/>
                <w:sz w:val="16"/>
                <w:szCs w:val="16"/>
                <w:i w:val="1"/>
                <w:iCs w:val="1"/>
                <w:color w:val="auto"/>
              </w:rPr>
              <w:t>Liabilities:</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Put option of noncontrolling shareholders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 xml:space="preserve">Contingent consideration - acquisition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27"/>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Total recorded at fair value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put option issued to noncontrolling shareholders in connection with the 5.11 and Liberty acquisitions.</w:t>
      </w:r>
    </w:p>
    <w:p>
      <w:pPr>
        <w:spacing w:after="0" w:line="48" w:lineRule="exact"/>
        <w:rPr>
          <w:rFonts w:ascii="Arial" w:cs="Arial" w:eastAsia="Arial" w:hAnsi="Arial"/>
          <w:sz w:val="21"/>
          <w:szCs w:val="21"/>
          <w:b w:val="1"/>
          <w:bCs w:val="1"/>
          <w:color w:val="auto"/>
          <w:vertAlign w:val="superscript"/>
        </w:rPr>
      </w:pPr>
    </w:p>
    <w:p>
      <w:pPr>
        <w:ind w:left="320" w:hanging="312"/>
        <w:spacing w:after="0" w:line="193" w:lineRule="auto"/>
        <w:tabs>
          <w:tab w:leader="none" w:pos="320" w:val="left"/>
        </w:tabs>
        <w:numPr>
          <w:ilvl w:val="0"/>
          <w:numId w:val="15"/>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potential earn-out payable as additional purchase price consideration by Altor in connection with the acquisition of Polyfoam.</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31" w:name="page32"/>
    <w:bookmarkEnd w:id="31"/>
    <w:tbl>
      <w:tblPr>
        <w:tblLayout w:type="fixed"/>
        <w:tblInd w:w="42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680" w:type="dxa"/>
            <w:vAlign w:val="bottom"/>
            <w:tcBorders>
              <w:top w:val="single" w:sz="8" w:color="auto"/>
              <w:bottom w:val="single" w:sz="8" w:color="auto"/>
            </w:tcBorders>
            <w:gridSpan w:val="9"/>
          </w:tcPr>
          <w:p>
            <w:pPr>
              <w:jc w:val="right"/>
              <w:ind w:right="99"/>
              <w:spacing w:after="0"/>
              <w:rPr>
                <w:sz w:val="20"/>
                <w:szCs w:val="20"/>
                <w:color w:val="auto"/>
              </w:rPr>
            </w:pPr>
            <w:r>
              <w:rPr>
                <w:rFonts w:ascii="Arial" w:cs="Arial" w:eastAsia="Arial" w:hAnsi="Arial"/>
                <w:sz w:val="15"/>
                <w:szCs w:val="15"/>
                <w:b w:val="1"/>
                <w:bCs w:val="1"/>
                <w:color w:val="auto"/>
              </w:rPr>
              <w:t>Fair Value Measurements at December 31, 2020</w:t>
            </w:r>
          </w:p>
        </w:tc>
        <w:tc>
          <w:tcPr>
            <w:tcW w:w="11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2" w:lineRule="exact"/>
              <w:rPr>
                <w:sz w:val="20"/>
                <w:szCs w:val="20"/>
                <w:color w:val="auto"/>
              </w:rPr>
            </w:pPr>
            <w:r>
              <w:rPr>
                <w:rFonts w:ascii="Arial" w:cs="Arial" w:eastAsia="Arial" w:hAnsi="Arial"/>
                <w:sz w:val="15"/>
                <w:szCs w:val="15"/>
                <w:b w:val="1"/>
                <w:bCs w:val="1"/>
                <w:color w:val="auto"/>
              </w:rPr>
              <w:t>Carrying</w:t>
            </w:r>
          </w:p>
        </w:tc>
        <w:tc>
          <w:tcPr>
            <w:tcW w:w="280" w:type="dxa"/>
            <w:vAlign w:val="bottom"/>
          </w:tcPr>
          <w:p>
            <w:pPr>
              <w:spacing w:after="0"/>
              <w:rPr>
                <w:sz w:val="12"/>
                <w:szCs w:val="12"/>
                <w:color w:val="auto"/>
              </w:rPr>
            </w:pPr>
          </w:p>
        </w:tc>
        <w:tc>
          <w:tcPr>
            <w:tcW w:w="11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Level 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Level 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vMerge w:val="restart"/>
          </w:tcPr>
          <w:p>
            <w:pPr>
              <w:jc w:val="right"/>
              <w:ind w:right="380"/>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9"/>
              </w:rPr>
              <w:t>Value</w:t>
            </w: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spacing w:after="0"/>
              <w:rPr>
                <w:sz w:val="20"/>
                <w:szCs w:val="20"/>
                <w:color w:val="auto"/>
              </w:rPr>
            </w:pPr>
            <w:r>
              <w:rPr>
                <w:rFonts w:ascii="Arial" w:cs="Arial" w:eastAsia="Arial" w:hAnsi="Arial"/>
                <w:sz w:val="16"/>
                <w:szCs w:val="16"/>
                <w:i w:val="1"/>
                <w:iCs w:val="1"/>
                <w:color w:val="auto"/>
              </w:rPr>
              <w:t>Liabilities:</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Put option of noncontrolling shareholders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 xml:space="preserve">Contingent consideration - acquisition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31"/>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recorded at fair value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put option issued to noncontrolling shareholders in connection with the 5.11 and Liberty acquisitions.</w:t>
      </w:r>
    </w:p>
    <w:p>
      <w:pPr>
        <w:spacing w:after="0" w:line="48" w:lineRule="exact"/>
        <w:rPr>
          <w:rFonts w:ascii="Arial" w:cs="Arial" w:eastAsia="Arial" w:hAnsi="Arial"/>
          <w:sz w:val="21"/>
          <w:szCs w:val="21"/>
          <w:b w:val="1"/>
          <w:bCs w:val="1"/>
          <w:color w:val="auto"/>
          <w:vertAlign w:val="superscript"/>
        </w:rPr>
      </w:pPr>
    </w:p>
    <w:p>
      <w:pPr>
        <w:ind w:left="320" w:hanging="312"/>
        <w:spacing w:after="0" w:line="193" w:lineRule="auto"/>
        <w:tabs>
          <w:tab w:leader="none" w:pos="320" w:val="left"/>
        </w:tabs>
        <w:numPr>
          <w:ilvl w:val="0"/>
          <w:numId w:val="16"/>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potential earn-out payable as additional purchase price consideration by Altor in connection with the acquisition of Polyfoam.</w:t>
      </w:r>
    </w:p>
    <w:p>
      <w:pPr>
        <w:spacing w:after="0" w:line="2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Reconciliations of the change in the carrying value of the Level 3 fair value measurements from January 1, 2020 through June 30, 2021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1240" w:type="dxa"/>
        <w:tblCellMar>
          <w:top w:w="0" w:type="dxa"/>
          <w:left w:w="0" w:type="dxa"/>
          <w:bottom w:w="0" w:type="dxa"/>
          <w:right w:w="0" w:type="dxa"/>
        </w:tblCellMar>
      </w:tblPr>
      <w:tr>
        <w:trPr>
          <w:trHeight w:val="206"/>
        </w:trPr>
        <w:tc>
          <w:tcPr>
            <w:tcW w:w="7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Level 3</w:t>
            </w:r>
          </w:p>
        </w:tc>
      </w:tr>
      <w:tr>
        <w:trPr>
          <w:trHeight w:val="214"/>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2020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3"/>
        </w:trPr>
        <w:tc>
          <w:tcPr>
            <w:tcW w:w="7220" w:type="dxa"/>
            <w:vAlign w:val="bottom"/>
          </w:tcPr>
          <w:p>
            <w:pPr>
              <w:spacing w:after="0"/>
              <w:rPr>
                <w:sz w:val="20"/>
                <w:szCs w:val="20"/>
                <w:color w:val="auto"/>
              </w:rPr>
            </w:pPr>
            <w:r>
              <w:rPr>
                <w:rFonts w:ascii="Arial" w:cs="Arial" w:eastAsia="Arial" w:hAnsi="Arial"/>
                <w:sz w:val="16"/>
                <w:szCs w:val="16"/>
                <w:color w:val="auto"/>
              </w:rPr>
              <w:t>Increase in the fair value of put option of noncontrolling shareholder - Liberty</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9"/>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Increase in the fair value of put option of noncontrolling shareholder - 5.11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7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Contingent consideration - Polyfoam</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r>
      <w:tr>
        <w:trPr>
          <w:trHeight w:val="213"/>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r>
      <w:tr>
        <w:trPr>
          <w:trHeight w:val="213"/>
        </w:trPr>
        <w:tc>
          <w:tcPr>
            <w:tcW w:w="7220" w:type="dxa"/>
            <w:vAlign w:val="bottom"/>
          </w:tcPr>
          <w:p>
            <w:pPr>
              <w:spacing w:after="0"/>
              <w:rPr>
                <w:sz w:val="20"/>
                <w:szCs w:val="20"/>
                <w:color w:val="auto"/>
              </w:rPr>
            </w:pPr>
            <w:r>
              <w:rPr>
                <w:rFonts w:ascii="Arial" w:cs="Arial" w:eastAsia="Arial" w:hAnsi="Arial"/>
                <w:sz w:val="16"/>
                <w:szCs w:val="16"/>
                <w:color w:val="auto"/>
              </w:rPr>
              <w:t>Increase in the fair value of put option of noncontrolling shareholder - Liberty</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Increase in the fair value of put option of noncontrolling shareholder - 5.11</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7220" w:type="dxa"/>
            <w:vAlign w:val="bottom"/>
          </w:tcPr>
          <w:p>
            <w:pPr>
              <w:spacing w:after="0"/>
              <w:rPr>
                <w:sz w:val="20"/>
                <w:szCs w:val="20"/>
                <w:color w:val="auto"/>
              </w:rPr>
            </w:pPr>
            <w:r>
              <w:rPr>
                <w:rFonts w:ascii="Arial" w:cs="Arial" w:eastAsia="Arial" w:hAnsi="Arial"/>
                <w:sz w:val="16"/>
                <w:szCs w:val="16"/>
                <w:color w:val="auto"/>
              </w:rPr>
              <w:t>Balance at June 30, 2021</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(1,934)</w:t>
            </w:r>
          </w:p>
        </w:tc>
      </w:tr>
      <w:tr>
        <w:trPr>
          <w:trHeight w:val="21"/>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Techniques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not changed its valuation techniques in measuring the fair value of any of its other financial assets and liabilities during the period. For details of the Company’s fair value measurement policies under the fair value hierarchy, refer to the Company’s Annual Report on Form 10-K for the year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assets or liabilities measured on a non-recurring basis during the quarter ended June 30, 2021 and December 31, 2020,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Income taxes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fiscal quarter, the Company estimates its annual effective tax rate and applies that rate to its interim pre-tax earnings. In this regard, the Company reflects the full year’s estimated tax impact of certain unusual or infrequently occurring items and the effects of changes in tax laws or rates in the interim period in which they occur.</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computation of the annual estimated effective tax rate in each interim period requires certain estimates and significant judgment, including the projected operating income for the year, projections of the proportion of income earned and taxed in other jurisdictions, permanent and temporary differences and the likelihood of recovering deferred tax assets generated in the current year. The accounting estimates used to compute the provision for income taxes may change as new events occur, as additional information is obtained, as our tax structure changes or as the tax environment changes. Certain foreign operations are subject to foreign income taxation under existing provisions of the laws of those jurisdictions.</w:t>
      </w:r>
    </w:p>
    <w:p>
      <w:pPr>
        <w:spacing w:after="0" w:line="10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reconciliation between the Federal Statutory Rate and the effective income tax rate for the six months ended June 30, 2021 and 2020 is as follows: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2" w:name="page33"/>
    <w:bookmarkEnd w:id="32"/>
    <w:p>
      <w:pPr>
        <w:ind w:left="7800"/>
        <w:spacing w:after="0"/>
        <w:rPr>
          <w:sz w:val="20"/>
          <w:szCs w:val="20"/>
          <w:color w:val="auto"/>
        </w:rPr>
      </w:pPr>
      <w:r>
        <w:rPr>
          <w:rFonts w:ascii="Arial" w:cs="Arial" w:eastAsia="Arial" w:hAnsi="Arial"/>
          <w:sz w:val="15"/>
          <w:szCs w:val="15"/>
          <w:b w:val="1"/>
          <w:bCs w:val="1"/>
          <w:color w:val="auto"/>
        </w:rPr>
        <w:t>Six months ended June 30,</w:t>
      </w:r>
    </w:p>
    <w:p>
      <w:pPr>
        <w:spacing w:after="0" w:line="30"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63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2021</w:t>
            </w:r>
          </w:p>
        </w:tc>
        <w:tc>
          <w:tcPr>
            <w:tcW w:w="6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5"/>
                <w:szCs w:val="15"/>
                <w:b w:val="1"/>
                <w:bCs w:val="1"/>
                <w:color w:val="auto"/>
              </w:rPr>
              <w:t>2020</w:t>
            </w:r>
          </w:p>
        </w:tc>
      </w:tr>
      <w:tr>
        <w:trPr>
          <w:trHeight w:val="210"/>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United States Federal Statutory Rate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State income taxes (net of Federal benefits)</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80.0</w:t>
            </w:r>
          </w:p>
        </w:tc>
      </w:tr>
      <w:tr>
        <w:trPr>
          <w:trHeight w:val="219"/>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income taxes</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w:t>
            </w:r>
          </w:p>
        </w:tc>
      </w:tr>
      <w:tr>
        <w:trPr>
          <w:trHeight w:val="162"/>
        </w:trPr>
        <w:tc>
          <w:tcPr>
            <w:tcW w:w="7500" w:type="dxa"/>
            <w:vAlign w:val="bottom"/>
            <w:gridSpan w:val="2"/>
          </w:tcPr>
          <w:p>
            <w:pPr>
              <w:spacing w:after="0" w:line="162" w:lineRule="exact"/>
              <w:rPr>
                <w:sz w:val="20"/>
                <w:szCs w:val="20"/>
                <w:color w:val="auto"/>
              </w:rPr>
            </w:pPr>
            <w:r>
              <w:rPr>
                <w:rFonts w:ascii="Arial" w:cs="Arial" w:eastAsia="Arial" w:hAnsi="Arial"/>
                <w:sz w:val="16"/>
                <w:szCs w:val="16"/>
                <w:color w:val="auto"/>
              </w:rPr>
              <w:t>Expenses of Compass Group Diversified Holdings LLC representing a pass through to</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16"/>
        </w:trPr>
        <w:tc>
          <w:tcPr>
            <w:tcW w:w="75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shareholders </w:t>
            </w:r>
            <w:r>
              <w:rPr>
                <w:rFonts w:ascii="Arial" w:cs="Arial" w:eastAsia="Arial" w:hAnsi="Arial"/>
                <w:sz w:val="21"/>
                <w:szCs w:val="21"/>
                <w:color w:val="auto"/>
                <w:vertAlign w:val="superscript"/>
              </w:rPr>
              <w:t>(1)</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16.9</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Impact of subsidiary employee stock options</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141.5</w:t>
            </w: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Credit utilization</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(55.8)</w:t>
            </w:r>
          </w:p>
        </w:tc>
      </w:tr>
      <w:tr>
        <w:trPr>
          <w:trHeight w:val="219"/>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Non-recognition of NOL carryforwards at subsidiaries</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(54.9)</w:t>
            </w: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Effect of Tax Act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10.0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w:t>
            </w:r>
          </w:p>
        </w:tc>
      </w:tr>
      <w:tr>
        <w:trPr>
          <w:trHeight w:val="210"/>
        </w:trPr>
        <w:tc>
          <w:tcPr>
            <w:tcW w:w="7500" w:type="dxa"/>
            <w:vAlign w:val="bottom"/>
            <w:gridSpan w:val="2"/>
          </w:tcPr>
          <w:p>
            <w:pPr>
              <w:ind w:left="340"/>
              <w:spacing w:after="0"/>
              <w:rPr>
                <w:sz w:val="20"/>
                <w:szCs w:val="20"/>
                <w:color w:val="auto"/>
              </w:rPr>
            </w:pPr>
            <w:r>
              <w:rPr>
                <w:rFonts w:ascii="Arial" w:cs="Arial" w:eastAsia="Arial" w:hAnsi="Arial"/>
                <w:sz w:val="16"/>
                <w:szCs w:val="16"/>
                <w:color w:val="auto"/>
              </w:rPr>
              <w:t>Effective income tax rate</w:t>
            </w:r>
          </w:p>
        </w:tc>
        <w:tc>
          <w:tcPr>
            <w:tcW w:w="640" w:type="dxa"/>
            <w:vAlign w:val="bottom"/>
          </w:tcPr>
          <w:p>
            <w:pPr>
              <w:jc w:val="right"/>
              <w:spacing w:after="0"/>
              <w:rPr>
                <w:sz w:val="20"/>
                <w:szCs w:val="20"/>
                <w:color w:val="auto"/>
              </w:rPr>
            </w:pPr>
            <w:r>
              <w:rPr>
                <w:rFonts w:ascii="Arial" w:cs="Arial" w:eastAsia="Arial" w:hAnsi="Arial"/>
                <w:sz w:val="16"/>
                <w:szCs w:val="16"/>
                <w:color w:val="auto"/>
              </w:rPr>
              <w:t>62.2 %</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156.7 %</w:t>
            </w:r>
          </w:p>
        </w:tc>
      </w:tr>
      <w:tr>
        <w:trPr>
          <w:trHeight w:val="23"/>
        </w:trPr>
        <w:tc>
          <w:tcPr>
            <w:tcW w:w="6300" w:type="dxa"/>
            <w:vAlign w:val="bottom"/>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top w:val="single" w:sz="8" w:color="auto"/>
              <w:bottom w:val="single" w:sz="8" w:color="auto"/>
            </w:tcBorders>
          </w:tcPr>
          <w:p>
            <w:pPr>
              <w:spacing w:after="0"/>
              <w:rPr>
                <w:sz w:val="2"/>
                <w:szCs w:val="2"/>
                <w:color w:val="auto"/>
              </w:rPr>
            </w:pPr>
          </w:p>
        </w:tc>
      </w:tr>
    </w:tbl>
    <w:p>
      <w:pPr>
        <w:spacing w:after="0" w:line="380" w:lineRule="exact"/>
        <w:rPr>
          <w:sz w:val="20"/>
          <w:szCs w:val="20"/>
          <w:color w:val="auto"/>
        </w:rPr>
      </w:pPr>
    </w:p>
    <w:p>
      <w:pPr>
        <w:ind w:left="340" w:hanging="332"/>
        <w:spacing w:after="0" w:line="216" w:lineRule="auto"/>
        <w:tabs>
          <w:tab w:leader="none" w:pos="386" w:val="left"/>
        </w:tabs>
        <w:numPr>
          <w:ilvl w:val="0"/>
          <w:numId w:val="17"/>
        </w:numPr>
        <w:rPr>
          <w:rFonts w:ascii="Arial" w:cs="Arial" w:eastAsia="Arial" w:hAnsi="Arial"/>
          <w:sz w:val="21"/>
          <w:szCs w:val="21"/>
          <w:b w:val="1"/>
          <w:bCs w:val="1"/>
          <w:color w:val="auto"/>
          <w:vertAlign w:val="superscript"/>
        </w:rPr>
      </w:pPr>
      <w:r>
        <w:rPr>
          <w:rFonts w:ascii="Arial" w:cs="Arial" w:eastAsia="Arial" w:hAnsi="Arial"/>
          <w:sz w:val="16"/>
          <w:szCs w:val="16"/>
          <w:color w:val="auto"/>
        </w:rPr>
        <w:t>The effective income tax rate for the six months ended June 30, 2021 and 2020 includes a loss at the Company's parent, which is currently taxed as a partnership.</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Defined Benefit Plan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unfunded liability of $2.8 million is recognized in the consolidated balance sheet as a component of other non-current liabilities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June 30, 2021. Net periodic benefit cost consists of the following for the three and six months ended June 30,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00" w:type="dxa"/>
            <w:vAlign w:val="bottom"/>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Six months ended June 30,</w:t>
            </w:r>
          </w:p>
        </w:tc>
        <w:tc>
          <w:tcPr>
            <w:tcW w:w="380" w:type="dxa"/>
            <w:vAlign w:val="bottom"/>
            <w:tcBorders>
              <w:bottom w:val="single" w:sz="8" w:color="auto"/>
            </w:tcBorders>
          </w:tcPr>
          <w:p>
            <w:pPr>
              <w:spacing w:after="0"/>
              <w:rPr>
                <w:sz w:val="17"/>
                <w:szCs w:val="17"/>
                <w:color w:val="auto"/>
              </w:rPr>
            </w:pPr>
          </w:p>
        </w:tc>
      </w:tr>
      <w:tr>
        <w:trPr>
          <w:trHeight w:val="200"/>
        </w:trPr>
        <w:tc>
          <w:tcPr>
            <w:tcW w:w="54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b w:val="1"/>
                <w:bCs w:val="1"/>
                <w:color w:val="auto"/>
              </w:rPr>
              <w:t>2020</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rPr>
              <w:t>2021</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b w:val="1"/>
                <w:bCs w:val="1"/>
                <w:color w:val="auto"/>
              </w:rPr>
              <w:t>2020</w:t>
            </w:r>
          </w:p>
        </w:tc>
        <w:tc>
          <w:tcPr>
            <w:tcW w:w="380" w:type="dxa"/>
            <w:vAlign w:val="bottom"/>
            <w:tcBorders>
              <w:bottom w:val="single" w:sz="8" w:color="auto"/>
            </w:tcBorders>
          </w:tcPr>
          <w:p>
            <w:pPr>
              <w:spacing w:after="0"/>
              <w:rPr>
                <w:sz w:val="17"/>
                <w:szCs w:val="17"/>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Amortization of unrecognized loss</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curtailment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400" w:type="dxa"/>
            <w:vAlign w:val="bottom"/>
          </w:tcPr>
          <w:p>
            <w:pPr>
              <w:ind w:left="20"/>
              <w:spacing w:after="0"/>
              <w:rPr>
                <w:sz w:val="20"/>
                <w:szCs w:val="20"/>
                <w:color w:val="auto"/>
              </w:rPr>
            </w:pPr>
            <w:r>
              <w:rPr>
                <w:rFonts w:ascii="Arial" w:cs="Arial" w:eastAsia="Arial" w:hAnsi="Arial"/>
                <w:sz w:val="16"/>
                <w:szCs w:val="16"/>
                <w:color w:val="auto"/>
              </w:rPr>
              <w:t>Net periodic benefit cost</w:t>
            </w:r>
          </w:p>
        </w:tc>
        <w:tc>
          <w:tcPr>
            <w:tcW w:w="98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364</w:t>
            </w:r>
          </w:p>
        </w:tc>
      </w:tr>
      <w:tr>
        <w:trPr>
          <w:trHeight w:val="24"/>
        </w:trPr>
        <w:tc>
          <w:tcPr>
            <w:tcW w:w="5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per the terms of the pension agreement, Arnold contributed $0.2 million to the plan. For the remainder of 2021, the expected contribution to the plan will be approximately $0.1 million.</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plan assets are pooled with assets of other participating employers and are not separable; therefore, the fair values of the pension plan assets at June 30, 2021 were considered Level 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Commitments and Contingencies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and its subsidiaries are involved in various claims and legal proceedings. While the ultimate resolution of these matters has yet to be determined, the Company does not believe that any unfavorable outcomes will have a material adverse effect on the Company's consolidated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and its subsidiaries lease manufacturing facilities, warehouses, office facilities, retail stores, equipment and vehicles under various operating arrangements. Certain of the leases are subject to escalation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33" w:name="page34"/>
    <w:bookmarkEnd w:id="33"/>
    <w:p>
      <w:pPr>
        <w:jc w:val="both"/>
        <w:spacing w:after="0" w:line="252" w:lineRule="auto"/>
        <w:rPr>
          <w:sz w:val="20"/>
          <w:szCs w:val="20"/>
          <w:color w:val="auto"/>
        </w:rPr>
      </w:pPr>
      <w:r>
        <w:rPr>
          <w:rFonts w:ascii="Arial" w:cs="Arial" w:eastAsia="Arial" w:hAnsi="Arial"/>
          <w:sz w:val="18"/>
          <w:szCs w:val="18"/>
          <w:color w:val="auto"/>
        </w:rPr>
        <w:t>clauses and renewal periods. The Company and its subsidiaries recognize lease expense, including predetermined fixed escalations, on a straight-line basis 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 certain operating metrics. The variable lease expense was not a material component of our total lease expense for the three and six months ended June 30, 2021 and 2020. The Company recognized $9.3 million and $18.7 million in the three and six months ended June 30, 2021, respectively, and $7.6 million and $14.9 million in the three and six months ended June 30, 2020, respectively, in expense related to operating leases in the condensed consolidated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lease liabilities at June 30, 2021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(excluding six months ended June 30, 2021)</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13,887</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2022</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30,284</w:t>
            </w: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23,331</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2024</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19,188</w:t>
            </w: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15,935</w:t>
            </w:r>
          </w:p>
        </w:tc>
      </w:tr>
      <w:tr>
        <w:trPr>
          <w:trHeight w:val="21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35,919</w:t>
            </w: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undiscounted lease payments</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138,544</w:t>
            </w:r>
          </w:p>
        </w:tc>
      </w:tr>
      <w:tr>
        <w:trPr>
          <w:trHeight w:val="21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17,924</w:t>
            </w:r>
          </w:p>
        </w:tc>
      </w:tr>
      <w:tr>
        <w:trPr>
          <w:trHeight w:val="23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120,620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calculated amount of the right-of-use assets and lease liabilities in the table above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 in the lease term. Regarding the discount rate, lease accounting guidance requires the use of a rate implicit in the lease whenever this rate is readily determinable. As this rate is rarely determinable, the Company utilizes the incremental borrowing rate of the subsidiary entering into the lease arrangement, on a collateralized basis, over a similar term as adjusted for any country specific risk.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terms and discount rates for all of our operating leases were as follows:</w:t>
      </w:r>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4500" w:type="dxa"/>
            <w:vAlign w:val="bottom"/>
            <w:gridSpan w:val="2"/>
          </w:tcPr>
          <w:p>
            <w:pPr>
              <w:spacing w:after="0"/>
              <w:rPr>
                <w:sz w:val="20"/>
                <w:szCs w:val="20"/>
                <w:color w:val="auto"/>
              </w:rPr>
            </w:pPr>
            <w:r>
              <w:rPr>
                <w:rFonts w:ascii="Arial" w:cs="Arial" w:eastAsia="Arial" w:hAnsi="Arial"/>
                <w:sz w:val="15"/>
                <w:szCs w:val="15"/>
                <w:b w:val="1"/>
                <w:bCs w:val="1"/>
                <w:color w:val="auto"/>
              </w:rPr>
              <w:t>Lease Term and Discount Rate</w:t>
            </w:r>
          </w:p>
        </w:tc>
        <w:tc>
          <w:tcPr>
            <w:tcW w:w="2360" w:type="dxa"/>
            <w:vAlign w:val="bottom"/>
            <w:gridSpan w:val="2"/>
          </w:tcPr>
          <w:p>
            <w:pPr>
              <w:ind w:left="620"/>
              <w:spacing w:after="0"/>
              <w:rPr>
                <w:sz w:val="20"/>
                <w:szCs w:val="20"/>
                <w:color w:val="auto"/>
              </w:rPr>
            </w:pPr>
            <w:r>
              <w:rPr>
                <w:rFonts w:ascii="Arial" w:cs="Arial" w:eastAsia="Arial" w:hAnsi="Arial"/>
                <w:sz w:val="15"/>
                <w:szCs w:val="15"/>
                <w:b w:val="1"/>
                <w:bCs w:val="1"/>
                <w:color w:val="auto"/>
              </w:rPr>
              <w:t>June 30, 2021</w:t>
            </w:r>
          </w:p>
        </w:tc>
        <w:tc>
          <w:tcPr>
            <w:tcW w:w="2240" w:type="dxa"/>
            <w:vAlign w:val="bottom"/>
          </w:tcPr>
          <w:p>
            <w:pPr>
              <w:jc w:val="right"/>
              <w:ind w:right="541"/>
              <w:spacing w:after="0"/>
              <w:rPr>
                <w:sz w:val="20"/>
                <w:szCs w:val="20"/>
                <w:color w:val="auto"/>
              </w:rPr>
            </w:pPr>
            <w:r>
              <w:rPr>
                <w:rFonts w:ascii="Arial" w:cs="Arial" w:eastAsia="Arial" w:hAnsi="Arial"/>
                <w:sz w:val="15"/>
                <w:szCs w:val="15"/>
                <w:b w:val="1"/>
                <w:bCs w:val="1"/>
                <w:color w:val="auto"/>
              </w:rPr>
              <w:t>June 30, 2020</w:t>
            </w:r>
          </w:p>
        </w:tc>
      </w:tr>
      <w:tr>
        <w:trPr>
          <w:trHeight w:val="20"/>
        </w:trPr>
        <w:tc>
          <w:tcPr>
            <w:tcW w:w="222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remaining lease term (years)</w:t>
            </w: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r>
      <w:tr>
        <w:trPr>
          <w:trHeight w:val="210"/>
        </w:trPr>
        <w:tc>
          <w:tcPr>
            <w:tcW w:w="4500" w:type="dxa"/>
            <w:vAlign w:val="bottom"/>
            <w:gridSpan w:val="2"/>
          </w:tcPr>
          <w:p>
            <w:pPr>
              <w:spacing w:after="0"/>
              <w:rPr>
                <w:sz w:val="20"/>
                <w:szCs w:val="20"/>
                <w:color w:val="auto"/>
              </w:rPr>
            </w:pPr>
            <w:r>
              <w:rPr>
                <w:rFonts w:ascii="Arial" w:cs="Arial" w:eastAsia="Arial" w:hAnsi="Arial"/>
                <w:sz w:val="16"/>
                <w:szCs w:val="16"/>
                <w:color w:val="auto"/>
              </w:rPr>
              <w:t>Weighted-average discount rate</w:t>
            </w:r>
          </w:p>
        </w:tc>
        <w:tc>
          <w:tcPr>
            <w:tcW w:w="2240" w:type="dxa"/>
            <w:vAlign w:val="bottom"/>
          </w:tcPr>
          <w:p>
            <w:pPr>
              <w:jc w:val="right"/>
              <w:spacing w:after="0"/>
              <w:rPr>
                <w:sz w:val="20"/>
                <w:szCs w:val="20"/>
                <w:color w:val="auto"/>
              </w:rPr>
            </w:pPr>
            <w:r>
              <w:rPr>
                <w:rFonts w:ascii="Arial" w:cs="Arial" w:eastAsia="Arial" w:hAnsi="Arial"/>
                <w:sz w:val="16"/>
                <w:szCs w:val="16"/>
                <w:color w:val="auto"/>
              </w:rPr>
              <w:t>7.70 %</w:t>
            </w:r>
          </w:p>
        </w:tc>
        <w:tc>
          <w:tcPr>
            <w:tcW w:w="1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7.68 %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right-of-use assets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portion, operating lease liabilities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180" w:type="dxa"/>
            <w:vAlign w:val="bottom"/>
            <w:gridSpan w:val="2"/>
          </w:tcPr>
          <w:p>
            <w:pPr>
              <w:ind w:left="40"/>
              <w:spacing w:after="0"/>
              <w:rPr>
                <w:sz w:val="20"/>
                <w:szCs w:val="20"/>
                <w:color w:val="auto"/>
              </w:rPr>
            </w:pPr>
            <w:r>
              <w:rPr>
                <w:rFonts w:ascii="Arial" w:cs="Arial" w:eastAsia="Arial" w:hAnsi="Arial"/>
                <w:sz w:val="15"/>
                <w:szCs w:val="15"/>
                <w:b w:val="1"/>
                <w:bCs w:val="1"/>
                <w:color w:val="auto"/>
              </w:rPr>
              <w:t>Line Item in the Company’s Consolidated</w:t>
            </w:r>
          </w:p>
        </w:tc>
        <w:tc>
          <w:tcPr>
            <w:tcW w:w="320" w:type="dxa"/>
            <w:vAlign w:val="bottom"/>
          </w:tcPr>
          <w:p>
            <w:pPr>
              <w:spacing w:after="0"/>
              <w:rPr>
                <w:sz w:val="15"/>
                <w:szCs w:val="15"/>
                <w:color w:val="auto"/>
              </w:rPr>
            </w:pPr>
          </w:p>
        </w:tc>
        <w:tc>
          <w:tcPr>
            <w:tcW w:w="1740" w:type="dxa"/>
            <w:vAlign w:val="bottom"/>
            <w:vMerge w:val="restart"/>
          </w:tcPr>
          <w:p>
            <w:pPr>
              <w:jc w:val="right"/>
              <w:ind w:right="460"/>
              <w:spacing w:after="0"/>
              <w:rPr>
                <w:sz w:val="20"/>
                <w:szCs w:val="20"/>
                <w:color w:val="auto"/>
              </w:rPr>
            </w:pPr>
            <w:r>
              <w:rPr>
                <w:rFonts w:ascii="Arial" w:cs="Arial" w:eastAsia="Arial" w:hAnsi="Arial"/>
                <w:sz w:val="15"/>
                <w:szCs w:val="15"/>
                <w:b w:val="1"/>
                <w:bCs w:val="1"/>
                <w:color w:val="auto"/>
              </w:rPr>
              <w:t>June 30, 2021</w:t>
            </w:r>
          </w:p>
        </w:tc>
        <w:tc>
          <w:tcPr>
            <w:tcW w:w="8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vMerge w:val="restart"/>
          </w:tcPr>
          <w:p>
            <w:pPr>
              <w:jc w:val="right"/>
              <w:ind w:right="260"/>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202"/>
        </w:trPr>
        <w:tc>
          <w:tcPr>
            <w:tcW w:w="3080" w:type="dxa"/>
            <w:vAlign w:val="bottom"/>
            <w:tcBorders>
              <w:bottom w:val="single" w:sz="8" w:color="auto"/>
            </w:tcBorders>
          </w:tcPr>
          <w:p>
            <w:pPr>
              <w:ind w:left="1020"/>
              <w:spacing w:after="0"/>
              <w:rPr>
                <w:sz w:val="20"/>
                <w:szCs w:val="20"/>
                <w:color w:val="auto"/>
              </w:rPr>
            </w:pPr>
            <w:r>
              <w:rPr>
                <w:rFonts w:ascii="Arial" w:cs="Arial" w:eastAsia="Arial" w:hAnsi="Arial"/>
                <w:sz w:val="15"/>
                <w:szCs w:val="15"/>
                <w:b w:val="1"/>
                <w:bCs w:val="1"/>
                <w:color w:val="auto"/>
              </w:rPr>
              <w:t>Balance Sheet</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106,993</w:t>
            </w:r>
          </w:p>
        </w:tc>
        <w:tc>
          <w:tcPr>
            <w:tcW w:w="8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100,366</w:t>
            </w:r>
          </w:p>
        </w:tc>
        <w:tc>
          <w:tcPr>
            <w:tcW w:w="0" w:type="dxa"/>
            <w:vAlign w:val="bottom"/>
          </w:tcPr>
          <w:p>
            <w:pPr>
              <w:spacing w:after="0"/>
              <w:rPr>
                <w:sz w:val="1"/>
                <w:szCs w:val="1"/>
                <w:color w:val="auto"/>
              </w:rPr>
            </w:pPr>
          </w:p>
        </w:tc>
      </w:tr>
      <w:tr>
        <w:trPr>
          <w:trHeight w:val="216"/>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26,335</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23,397</w:t>
            </w:r>
          </w:p>
        </w:tc>
        <w:tc>
          <w:tcPr>
            <w:tcW w:w="0" w:type="dxa"/>
            <w:vAlign w:val="bottom"/>
          </w:tcPr>
          <w:p>
            <w:pPr>
              <w:spacing w:after="0"/>
              <w:rPr>
                <w:sz w:val="1"/>
                <w:szCs w:val="1"/>
                <w:color w:val="auto"/>
              </w:rPr>
            </w:pPr>
          </w:p>
        </w:tc>
      </w:tr>
      <w:tr>
        <w:trPr>
          <w:trHeight w:val="216"/>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94,285</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84,055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-407035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-132715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380"/>
          </w:cols>
          <w:pgMar w:left="320" w:top="1016" w:right="33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color w:val="auto"/>
        </w:rPr>
        <w:t>Supplemental cash flow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2"/>
          </w:tcPr>
          <w:p>
            <w:pPr>
              <w:spacing w:after="0"/>
              <w:rPr>
                <w:sz w:val="20"/>
                <w:szCs w:val="20"/>
                <w:color w:val="auto"/>
              </w:rPr>
            </w:pPr>
            <w:r>
              <w:rPr>
                <w:rFonts w:ascii="Arial" w:cs="Arial" w:eastAsia="Arial" w:hAnsi="Arial"/>
                <w:sz w:val="15"/>
                <w:szCs w:val="15"/>
                <w:b w:val="1"/>
                <w:bCs w:val="1"/>
                <w:color w:val="auto"/>
              </w:rPr>
              <w:t>Six months ended June 30,</w:t>
            </w:r>
          </w:p>
        </w:tc>
        <w:tc>
          <w:tcPr>
            <w:tcW w:w="100" w:type="dxa"/>
            <w:vAlign w:val="bottom"/>
          </w:tcPr>
          <w:p>
            <w:pPr>
              <w:spacing w:after="0"/>
              <w:rPr>
                <w:sz w:val="14"/>
                <w:szCs w:val="14"/>
                <w:color w:val="auto"/>
              </w:rPr>
            </w:pPr>
          </w:p>
        </w:tc>
        <w:tc>
          <w:tcPr>
            <w:tcW w:w="2080" w:type="dxa"/>
            <w:vAlign w:val="bottom"/>
          </w:tcPr>
          <w:p>
            <w:pPr>
              <w:jc w:val="right"/>
              <w:ind w:right="21"/>
              <w:spacing w:after="0"/>
              <w:rPr>
                <w:sz w:val="20"/>
                <w:szCs w:val="20"/>
                <w:color w:val="auto"/>
              </w:rPr>
            </w:pPr>
            <w:r>
              <w:rPr>
                <w:rFonts w:ascii="Arial" w:cs="Arial" w:eastAsia="Arial" w:hAnsi="Arial"/>
                <w:sz w:val="15"/>
                <w:szCs w:val="15"/>
                <w:b w:val="1"/>
                <w:bCs w:val="1"/>
                <w:color w:val="auto"/>
              </w:rPr>
              <w:t>Six months ended June 30,</w:t>
            </w:r>
          </w:p>
        </w:tc>
      </w:tr>
      <w:tr>
        <w:trPr>
          <w:trHeight w:val="202"/>
        </w:trPr>
        <w:tc>
          <w:tcPr>
            <w:tcW w:w="64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841"/>
              <w:spacing w:after="0"/>
              <w:rPr>
                <w:sz w:val="20"/>
                <w:szCs w:val="20"/>
                <w:color w:val="auto"/>
              </w:rPr>
            </w:pPr>
            <w:r>
              <w:rPr>
                <w:rFonts w:ascii="Arial" w:cs="Arial" w:eastAsia="Arial" w:hAnsi="Arial"/>
                <w:sz w:val="15"/>
                <w:szCs w:val="15"/>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841"/>
              <w:spacing w:after="0"/>
              <w:rPr>
                <w:sz w:val="20"/>
                <w:szCs w:val="20"/>
                <w:color w:val="auto"/>
              </w:rPr>
            </w:pPr>
            <w:r>
              <w:rPr>
                <w:rFonts w:ascii="Arial" w:cs="Arial" w:eastAsia="Arial" w:hAnsi="Arial"/>
                <w:sz w:val="15"/>
                <w:szCs w:val="15"/>
                <w:b w:val="1"/>
                <w:bCs w:val="1"/>
                <w:color w:val="auto"/>
              </w:rPr>
              <w:t>2020</w:t>
            </w:r>
          </w:p>
        </w:tc>
      </w:tr>
      <w:tr>
        <w:trPr>
          <w:trHeight w:val="19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13"/>
        </w:trPr>
        <w:tc>
          <w:tcPr>
            <w:tcW w:w="6400" w:type="dxa"/>
            <w:vAlign w:val="bottom"/>
          </w:tcPr>
          <w:p>
            <w:pPr>
              <w:ind w:left="160"/>
              <w:spacing w:after="0"/>
              <w:rPr>
                <w:sz w:val="20"/>
                <w:szCs w:val="20"/>
                <w:color w:val="auto"/>
              </w:rPr>
            </w:pPr>
            <w:r>
              <w:rPr>
                <w:rFonts w:ascii="Arial" w:cs="Arial" w:eastAsia="Arial" w:hAnsi="Arial"/>
                <w:sz w:val="16"/>
                <w:szCs w:val="16"/>
                <w:color w:val="auto"/>
              </w:rPr>
              <w:t>Operating cash flows from operating leases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18,686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14,924</w:t>
            </w: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1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6"/>
                <w:szCs w:val="16"/>
                <w:color w:val="auto"/>
              </w:rPr>
              <w:t>Operating leases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11,739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6,630</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entered into the MSA with CGM effective May 16, 2006. The MSA provides for, among other things, CGM to perform services for the Company in exchange for a management fee paid quarterly and equal to 0.5% of the Company's adjusted net assets, as defined in the MSA. In March 2020, as a proactive measure to provide the Company with additional cash liquidity in light of the COVID-19 pandemic, the Company elected to draw down $200 million on our 2018 Revolving Credit Facility. The Company and CGM entered into a waiver agreement whereby CGM agreed to waive the portion of the management fee attributable to the cash balances held at the Company as of March 31, 2020. In addition, due to the unprecedented uncertainty as a result of the COVID-19 pandemic, CGM agreed to waive 50% of the management fee calculated at June 30, 2020 that was paid in July 2020. Further, for the third quarter of 2020, the Company and CGM entered into a waiver agreement whereby CGM agreed to waive the portion of the management fee attributable to the cash balances held at the Company as of September 30, 2020. CGM has also entered into a waiver of the MSA for a period through December 31, 2021 to receive a 1% annual management fee related to BOA, rather than the 2% called for under the MSA. In the first quarter of 2021, the Company and CGM entered into a waiver agreement whereby CGM agreed to waive the portion of the management fee related to the amount of the proceeds deposited with the Trustee that was in excess of the amount payable related to the 2026 Senior Notes at March 31,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BOA, which was acquired in October 2020, entered into an Integration Services Agreement ("ISA") with CGM whereby BOA will pay CGM an integration service fee of $4.4 million quarterly over a twelve month period as services are rendered, beginning in the quarter ended December 31, 2020. Marucci Sports, which was acquired in April 2020, entered into an ISA with CGM. Marucci will pay CGM an integration service fee of $2.0 million quarterly over a twelve month period as services are rendered beginning in the quarter ended September 30, 2020. Under the ISAs, CGM provides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and its businesses have the following significant related party transactions</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5.11 via the executive's 40% ownership interest in the vendor. 5.11 purchased approximately $0.4 million and $0.8 million during the three and six months ended June 30, 2021, respectively, and $1.0 million and $1.5 million during the three and six months ended June 30, 2020, respectively, in inventory from the vendor.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BOA had approximately $11.8 million and $21.6 million in purchases from this supplier during the three and six months ended June 30, 2021, respectively.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P - SUBSEQUENT EVENT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 Safe</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July 16, 2021, the Company entered into a definitive stock purchase agreement (the “Agreement”) with Independence Buyer, Inc. (“Buyer”) pursuant to which the Buyer will acquire all of the issued and outstanding securities of Liberty Safe Holding Corporation, the parent company of the operating entity, Liberty Safe and Security Products, Inc. The sale price for Liberty will be based on a total enterprise value of $147.5 million and will be subject to certain adjustments based on matters such as the working capital and cash and debt balances of Liberty at the time of the closing. The closing of the transaction is expected to occur by the end of August 2021, however, there can be no assurances that all of the conditions to closing will be satisfied. The Company expects to realize a gain on sale of approximately $75 million to $85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Change in Company Tax Status Election</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23, 2021, the Trust and the Company issued a definitive proxy statement requesting shareholder approval to amend their governing documents to allow the Trust to “check-the-box” to elect to be treated as a corporation for U.S. federal income tax purposes. The shareholder meeting will be held on August 3, 2021. If the amendments are approved, we anticipate that the Company, acting through the Board of Directors, will cause the Trust to elect to be treated as a corporation for U.S. federal income tax purposes effective late in the third quarter of 2021 or early in the fourth quarter of 2021.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This Item 2 contains forward-looking statements. Forward-looking statements in this Quarterly Report on Form 10-Q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 entitled "Forward-Looking Statements" included elsewhere in this Quarterly Report on Form 10-Q as well as those risk factors discussed in the section entitled "Risk Factors" in our Annual Report on Form 10-K for the year ended December 31, 2020 and in the section entitled "Risk Factors" in Part II, Item 1A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("Holdings") was incorporated in Delaware on November 18, 2005. Compass Group Diversified Holdings LLC (the "Company") was also formed on November 18, 2005. Holdings and the Company (collectively, "CODI") were formed to acquire and manage a group of small and middle-market businesses headquartered in North America. The Company is the operating entity and is a controlling owner of ten businesses, or operating segments, at June 30, 2021. The segments are as follows: 5.11 Acquisition Corp. ("5.11"), Boa Holdings Inc. ("BOA"), The Ergo Baby Carrier, Inc. ("Ergobaby"), Liberty Safe and Security Products, Inc. ("Liberty Safe" or "Liberty"), Marucci Sports, LLC ("Marucci" or "Marucci Sports"), Velocity Outdoor, Inc. ("Velocity Outdoor" or "Velocity"), Compass AC Holdings, Inc. ("ACI" or "Advanced Circuits"), FFI Compass, Inc. ("Altor Solutions" or "Altor" (formerly "Foam Fabricators")), AMT Acquisition Corporation ("Arnold"), and The Sterno Group, LLC ("Sterno").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acquired our existing businesses (segments) that we own at June 30, 2021 as follows:</w:t>
      </w:r>
    </w:p>
    <w:p>
      <w:pPr>
        <w:spacing w:after="0" w:line="123" w:lineRule="exact"/>
        <w:rPr>
          <w:sz w:val="20"/>
          <w:szCs w:val="20"/>
          <w:color w:val="auto"/>
        </w:rPr>
      </w:pPr>
    </w:p>
    <w:tbl>
      <w:tblPr>
        <w:tblLayout w:type="fixed"/>
        <w:tblInd w:w="1520" w:type="dxa"/>
        <w:tblCellMar>
          <w:top w:w="0" w:type="dxa"/>
          <w:left w:w="0" w:type="dxa"/>
          <w:bottom w:w="0" w:type="dxa"/>
          <w:right w:w="0" w:type="dxa"/>
        </w:tblCellMar>
      </w:tblPr>
      <w:tr>
        <w:trPr>
          <w:trHeight w:val="204"/>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8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rPr>
              <w:t>Ownership Interest - June 30, 2021</w:t>
            </w:r>
          </w:p>
        </w:tc>
      </w:tr>
      <w:tr>
        <w:trPr>
          <w:trHeight w:val="202"/>
        </w:trPr>
        <w:tc>
          <w:tcPr>
            <w:tcW w:w="2240" w:type="dxa"/>
            <w:vAlign w:val="bottom"/>
            <w:tcBorders>
              <w:bottom w:val="single" w:sz="8" w:color="auto"/>
            </w:tcBorders>
          </w:tcPr>
          <w:p>
            <w:pPr>
              <w:ind w:left="780"/>
              <w:spacing w:after="0"/>
              <w:rPr>
                <w:sz w:val="20"/>
                <w:szCs w:val="20"/>
                <w:color w:val="auto"/>
              </w:rPr>
            </w:pPr>
            <w:r>
              <w:rPr>
                <w:rFonts w:ascii="Arial" w:cs="Arial" w:eastAsia="Arial" w:hAnsi="Arial"/>
                <w:sz w:val="15"/>
                <w:szCs w:val="15"/>
                <w:b w:val="1"/>
                <w:bCs w:val="1"/>
                <w:color w:val="auto"/>
              </w:rPr>
              <w:t>Business</w:t>
            </w:r>
          </w:p>
        </w:tc>
        <w:tc>
          <w:tcPr>
            <w:tcW w:w="10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Acquisition Date</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ind w:left="620"/>
              <w:spacing w:after="0"/>
              <w:rPr>
                <w:sz w:val="20"/>
                <w:szCs w:val="20"/>
                <w:color w:val="auto"/>
              </w:rPr>
            </w:pPr>
            <w:r>
              <w:rPr>
                <w:rFonts w:ascii="Arial" w:cs="Arial" w:eastAsia="Arial" w:hAnsi="Arial"/>
                <w:sz w:val="15"/>
                <w:szCs w:val="15"/>
                <w:b w:val="1"/>
                <w:bCs w:val="1"/>
                <w:color w:val="auto"/>
              </w:rPr>
              <w:t>Primary</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ind w:left="660"/>
              <w:spacing w:after="0"/>
              <w:rPr>
                <w:sz w:val="20"/>
                <w:szCs w:val="20"/>
                <w:color w:val="auto"/>
              </w:rPr>
            </w:pPr>
            <w:r>
              <w:rPr>
                <w:rFonts w:ascii="Arial" w:cs="Arial" w:eastAsia="Arial" w:hAnsi="Arial"/>
                <w:sz w:val="15"/>
                <w:szCs w:val="15"/>
                <w:b w:val="1"/>
                <w:bCs w:val="1"/>
                <w:color w:val="auto"/>
              </w:rPr>
              <w:t>Diluted</w:t>
            </w:r>
          </w:p>
        </w:tc>
      </w:tr>
      <w:tr>
        <w:trPr>
          <w:trHeight w:val="21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Advanced Circuits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16, 2006</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67.6%</w:t>
            </w:r>
          </w:p>
        </w:tc>
      </w:tr>
      <w:tr>
        <w:trPr>
          <w:trHeight w:val="21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Liberty Safe</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March 31, 2010</w:t>
            </w:r>
          </w:p>
        </w:tc>
        <w:tc>
          <w:tcPr>
            <w:tcW w:w="1840" w:type="dxa"/>
            <w:vAlign w:val="bottom"/>
          </w:tcPr>
          <w:p>
            <w:pPr>
              <w:jc w:val="center"/>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86.0%</w:t>
            </w:r>
          </w:p>
        </w:tc>
      </w:tr>
      <w:tr>
        <w:trPr>
          <w:trHeight w:val="21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16, 2010</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72.9%</w:t>
            </w:r>
          </w:p>
        </w:tc>
      </w:tr>
      <w:tr>
        <w:trPr>
          <w:trHeight w:val="21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Arnold</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March 5, 2012</w:t>
            </w:r>
          </w:p>
        </w:tc>
        <w:tc>
          <w:tcPr>
            <w:tcW w:w="1840" w:type="dxa"/>
            <w:vAlign w:val="bottom"/>
          </w:tcPr>
          <w:p>
            <w:pPr>
              <w:jc w:val="center"/>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88.1%</w:t>
            </w:r>
          </w:p>
        </w:tc>
      </w:tr>
      <w:tr>
        <w:trPr>
          <w:trHeight w:val="21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10, 2014</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100.0%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87.1%</w:t>
            </w: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August 31, 2016</w:t>
            </w:r>
          </w:p>
        </w:tc>
        <w:tc>
          <w:tcPr>
            <w:tcW w:w="1840" w:type="dxa"/>
            <w:vAlign w:val="bottom"/>
          </w:tcPr>
          <w:p>
            <w:pPr>
              <w:jc w:val="center"/>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88.4%</w:t>
            </w:r>
          </w:p>
        </w:tc>
      </w:tr>
      <w:tr>
        <w:trPr>
          <w:trHeight w:val="21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 2017</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88.0%</w:t>
            </w:r>
          </w:p>
        </w:tc>
      </w:tr>
      <w:tr>
        <w:trPr>
          <w:trHeight w:val="21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Altor Solutions</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15, 2018</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100.0%</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91.5%</w:t>
            </w:r>
          </w:p>
        </w:tc>
      </w:tr>
      <w:tr>
        <w:trPr>
          <w:trHeight w:val="21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Marucci Sports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20, 2020</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83.8%</w:t>
            </w:r>
          </w:p>
        </w:tc>
      </w:tr>
      <w:tr>
        <w:trPr>
          <w:trHeight w:val="210"/>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BOA</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16, 2020</w:t>
            </w:r>
          </w:p>
        </w:tc>
        <w:tc>
          <w:tcPr>
            <w:tcW w:w="1840" w:type="dxa"/>
            <w:vAlign w:val="bottom"/>
          </w:tcPr>
          <w:p>
            <w:pPr>
              <w:jc w:val="center"/>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1840" w:type="dxa"/>
            <w:vAlign w:val="bottom"/>
          </w:tcPr>
          <w:p>
            <w:pPr>
              <w:ind w:left="680"/>
              <w:spacing w:after="0"/>
              <w:rPr>
                <w:sz w:val="20"/>
                <w:szCs w:val="20"/>
                <w:color w:val="auto"/>
              </w:rPr>
            </w:pPr>
            <w:r>
              <w:rPr>
                <w:rFonts w:ascii="Arial" w:cs="Arial" w:eastAsia="Arial" w:hAnsi="Arial"/>
                <w:sz w:val="16"/>
                <w:szCs w:val="16"/>
                <w:color w:val="auto"/>
              </w:rPr>
              <w:t>75.0%</w:t>
            </w:r>
          </w:p>
        </w:tc>
      </w:tr>
    </w:tbl>
    <w:p>
      <w:pPr>
        <w:spacing w:after="0" w:line="3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categorize the businesses we own into two separate groups of businesses: (i) branded consumer businesses, and (ii) niche industrial businesses. Branded consumer businesses are characterized as those businesses that we believe capitalize on a valuable brand name in their respective market sector. We believe that our branded consumer businesses are leaders in their particular product category. Niche industrial businesses are characterized as those businesses that focus on manufacturing and selling particular products and industrial services within a specific market sector. We believe that our niche industrial businesses are leaders in their specific market sector. The following is an overview of each of our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5.11 </w:t>
      </w:r>
      <w:r>
        <w:rPr>
          <w:rFonts w:ascii="Arial" w:cs="Arial" w:eastAsia="Arial" w:hAnsi="Arial"/>
          <w:sz w:val="18"/>
          <w:szCs w:val="18"/>
          <w:color w:val="auto"/>
        </w:rPr>
        <w:t>- 5.11 is a leading provider of purpose-built technical apparel and gear for law enforcement, firefighters, EMS, and military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Irvine, California, 5.11 operates sales offices and distribution centers globally, and 5.11 products are widely distributed in uniform stores, military exchanges, outdoor retail stores, its own retail stores and on 511tactical.com.</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7" w:name="page38"/>
    <w:bookmarkEnd w:id="37"/>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BOA - </w:t>
      </w:r>
      <w:r>
        <w:rPr>
          <w:rFonts w:ascii="Arial" w:cs="Arial" w:eastAsia="Arial" w:hAnsi="Arial"/>
          <w:sz w:val="18"/>
          <w:szCs w:val="18"/>
          <w:color w:val="auto"/>
        </w:rPr>
        <w:t>BOA Technology, creator of the revolutionary, award-winning, patented BOA Fit System, partners with market-leading brands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best gear even better. Delivering fit solutions purpose-built for performance, the BOA Fit System is featured in footwear across snow sports, cycling, hiking/trekking, golf, running, court sports, workwear as well as headwear and medical bracing. The system consists of three integral parts: a micro-adjustable dial, high-tensile lightweight laces, and low friction lace guides creating a superior alternative to laces, buckles, Velcro, and other traditional closure mechanisms. Each unique BOA configuration is engineered for fast, effortless, precision fit, and is backed by The BOA Lifetime Guarantee. BOA is headquartered in Denver, Colorado and has offices in Austria, Greater China, South Korea, and Japan.</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Ergobaby </w:t>
      </w:r>
      <w:r>
        <w:rPr>
          <w:rFonts w:ascii="Arial" w:cs="Arial" w:eastAsia="Arial" w:hAnsi="Arial"/>
          <w:sz w:val="18"/>
          <w:szCs w:val="18"/>
          <w:color w:val="auto"/>
        </w:rPr>
        <w:t>- Headquartered in Los Angeles, California, Ergobaby is dedicated to building a global community of confident parents with smart,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ergonomic solutions that enable and encourage bonding between parents and babies. Ergobaby offers a broad range of award-winning baby carriers, strollers, swaddlers, nursing pillows, and related products that fit into families’ daily lives seamlessly, comfortably and safely. Historically, Ergobaby derives more than 50% of its sales from outside of the United States.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Liberty </w:t>
      </w:r>
      <w:r>
        <w:rPr>
          <w:rFonts w:ascii="Arial" w:cs="Arial" w:eastAsia="Arial" w:hAnsi="Arial"/>
          <w:sz w:val="18"/>
          <w:szCs w:val="18"/>
          <w:color w:val="auto"/>
        </w:rPr>
        <w:t>- Founded in 1988, Liberty Safe is the premier designer, manufacturer and marketer of home and gun safes in North America.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over 300,000 square foot manufacturing facility, Liberty Safe produces a wide range of home and gun safe models in a broad assortment of sizes, features and styles ranging from an entry level product to good, better and best products. Products are marketed under the Liberty brand, as well as a portfolio of licensed and private label brands, including Cabela’s, Case IH, Colt and John Deere. Liberty Safe’s products are the market share leader and are sold through an independent dealer network ("Dealer sales") in addition to various sporting goods, farm and fleet and home improvement retail outlets ("Non-Dealer sales"). Liberty has the largest independent dealer network in the industry. Liberty is headquartered in Payson, Utah.</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Marucci Sports - </w:t>
      </w:r>
      <w:r>
        <w:rPr>
          <w:rFonts w:ascii="Arial" w:cs="Arial" w:eastAsia="Arial" w:hAnsi="Arial"/>
          <w:sz w:val="18"/>
          <w:szCs w:val="18"/>
          <w:color w:val="auto"/>
        </w:rPr>
        <w:t>Founded in 2009, Marucci is a leading designer, manufacturer, and marketer of premium wood and metal baseball bats,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fielding gloves, batting gloves, bags, protective gear, sunglasses, on and off-field apparel, and other baseball and softball equipment used by professional and amateur athletes. Marucci also develops sports training facilities that may be licensed franchises or corporate owned. Marucci is headquartered in Baton Rouge, Louisiana.</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Velocity Outdoor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leading designer, manufacturer, and marketer of airguns, archery products, laser aiming devices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Velocity Outdoor offers its products under the highly recognizable Crosman, Benjamin, LaserMax, Ravin and CenterPoint brands that are available through national retail chains, mass merchants, dealer and distributor networks. The airgun product category consists of air rifles, air pistols and a range of accessories including targets, holsters and cases. Velocity Outdoor's other primary product categories are archery, with products including CenterPoint crossbows and the Pioneer Airbow, consumables, which includes steel and plastic BBs, lead pellets and CO2 cartridges, lasers for firearms, and airsoft products. In September 2018, Velocity acquired Ravin Crossbows, LLC ("Ravin" or "Ravin Crossbows"), a manufacturer and innovator of crossbows and accessories. Ravin primarily focuses on the higher-end segment of the crossbow market and has developed significant intellectual property related to the advancement of crossbow technology. Velocity Outdoor is headquartered in Bloomfield, New York.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Advanced Circuits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Circuits is a provider of small-run, quick-turn and volume production printed circuit boards ("PCBs")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throughout the United States. Historically, small-run and quick-turn PCBs have represented approximately 50% - 55% of Advanced Circuits’ gross sales. Small-run and quick-turn PCBs typically command higher margins than volume production PCBs given that customers require high levels of responsiveness, technical support and timely delivery of small-run and quick-turn PCBs and are willing to pay a premium for them. Advanced Circuits is able to meet its customers’ demands by manufacturing custom PCBs in as little as 24 hours, while maintaining over 98.0% error-free production rates and real-time customer service and product tracking 24 hours per day. Advanced Circuits is headquartered in Aurora, Colorado.</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Altor Solutions </w:t>
      </w:r>
      <w:r>
        <w:rPr>
          <w:rFonts w:ascii="Arial" w:cs="Arial" w:eastAsia="Arial" w:hAnsi="Arial"/>
          <w:sz w:val="18"/>
          <w:szCs w:val="18"/>
          <w:color w:val="auto"/>
        </w:rPr>
        <w:t>- Founded in 1957 and headquartered in Scottsdale, Arizona, Altor Solutions is a designer and manufacturer of custom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molded protective foam solutions and original equipment manufacturer (OEM) components made from expanded polystyrene (EPS) and expanded polypropylene (EPP). Altor operates 14 molding and fabricating facilities across North America and provides products to a variety of end-markets, including appliances and electronics, pharmaceuticals, health and wellness, automotive, building products and others. In July 2020, Altor Solutions acquired the assets of Polyfoam, a Massachusetts-based manufacturer of protective and temperature-sensitive packaging solutions for the medical, pharmaceutical, grocery and food industries, among others.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8" w:name="page39"/>
    <w:bookmarkEnd w:id="38"/>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Arnold </w:t>
      </w:r>
      <w:r>
        <w:rPr>
          <w:rFonts w:ascii="Arial" w:cs="Arial" w:eastAsia="Arial" w:hAnsi="Arial"/>
          <w:sz w:val="18"/>
          <w:szCs w:val="18"/>
          <w:color w:val="auto"/>
        </w:rPr>
        <w:t>- Arnold serves a variety of markets including aerospace and defense, general industrial, motorsport/ automotive, oil and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energy, reprographics and advertising specialties. Over the course of more than 100 years, Arnold has successfully evolved and adapted our products, technologies, and manufacturing presence to meet the demands of current and emerging markets. Arnold produces high performance permanent magnets (PMAG), precision foil products (Precision Thin Metals or "PTM"), turnkey electric motors ("Ramco") and flexible magnets (Flexmag™) that are mission critical in motors, generators, sensors and other systems and components. Arnold has expanded globally and built strong relationships with our customers worldwide. Arnold is the largest and, we believe, the most technically advanced U.S. manufacturer of engineered magnetic systems. Arnold is headquartered in Rochester, New York.</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Sterno </w:t>
      </w:r>
      <w:r>
        <w:rPr>
          <w:rFonts w:ascii="Arial" w:cs="Arial" w:eastAsia="Arial" w:hAnsi="Arial"/>
          <w:sz w:val="18"/>
          <w:szCs w:val="18"/>
          <w:color w:val="auto"/>
        </w:rPr>
        <w:t>- Sterno, headquartered in Corona, California, is the parent company of Sterno LLC ("Sterno Products"), Sterno Home Inc. ("Sterno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Home"), and Rimports Inc. ("Rimports"). Sterno is a leading manufacturer and marketer of portable food warming systems, creative indoor and outdoor lighting, and home fragrance solutions for the foodservice industry and consumer markets. Sterno offers a broad range of wick and gel chafing systems, butane stoves and accessories, liquid and traditional wax candles, catering equipment and lamps through Sterno Products, flameless candles and outdoor lighting products through Sterno Home, and scented wax cubes and warmer products used for home decor and fragrance systems through Rimports.</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our businesses have different growth opportunities and potential rates of growth, we work with the management teams of each of our businesses to increase the value of, and cash generated by, each business through various initiatives, including making selective capital investments to expand geographic reach, increase capacity or reduce manufacturing costs of our businesses; improving and expanding existing sales and marketing programs; and assisting in the acquisition and integration of complementary businesses. We remain focused on marketing our Company's attractive ownership and management attributes to potential sellers of middle market businesses. In addition, we continue to pursue opportunities for add-on acquisitions by our existing subsidiary companies, which can be particularly attractive from a strategic perspective.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Outlook and COVID-19 Update</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March 2020, the World Health Organization categorized COVID-19 as a pandemic. During 2020, the COVID-19 pandemic led to governments around the world implementing increasingly stringent measures to help control the spread of the virus, including quarantines, “shelter-in-place” and “stay-at-home” orders, travel restrictions, business curtailments, particularly retail operations and non-essential businesses, school closures, and other measures. In addition, governments and central banks in several parts of the world enacted fiscal and monetary stimulus measures to counteract the impacts of COVID-19. The emergence of COVID-19 and new variants of the virus around the world continue to present significant risks to our business. The economic and health conditions in the United States and across most of the globe have continued to change since the beginning of the pandemic and the ultimate impact of COVID-19 on our business is dependent on future developments, including the duration of the pandemic, the emergence of variants of the virus and the related length of its impact on the global economy, which are highly uncertain and cannot be accurately predicted at this time. The public health situation, global response measures and corresponding impacts on various markets remain fluid and uncertain. We continue to closely monitor the impact of the COVID-19 pandemic on all aspects of our business, including how it is impacting our customers, employees, supply chains, and distribution networks. The health of our team and various stakeholders is our highest priority, and we have taken multiple steps to provide support and a safe work environment.</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2021, the Company anticipates that COVID-19 will continue to have an impact on its results of operations, including a decrease in operating income and Adjusted EBITDA at certain of its niche industrial businesses. These niche industrial businesses will continue to experience operating constraints as their end markets are expected to be more significantly impacted by the pandemic. For example, the Company expects the Sterno Products division of Sterno to continue to be negatively impacted by the pandemic throughout 2021 due to that division's reliance on the food service industry. Additionally, disruption in the global supply chain due to transportation delays and U.S. port congestion are expected to continue during 2021 and continue to place constraints on several of our businesses. However, we expect the diversification of our group of businesses, particularly the continued strong performance in our consumer branded businesses, to offset the expected decline in operating results from the COVID-19 pandemic experienced by these niche industrial businesses. We expect that our outdoor consumer branded businesses, particularly, 5.11, Liberty Safe and Velocity Outdoor, and our 2020 acquisitions, Marucci Sports and BOA, will continue to build on trends experienced in the prior year, particularly the increase in consumer participation in outdoor activities.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areas of focus for 2021, which are generally applicable to each of our businesses, include:</w:t>
      </w:r>
    </w:p>
    <w:p>
      <w:pPr>
        <w:spacing w:after="0" w:line="117" w:lineRule="exact"/>
        <w:rPr>
          <w:sz w:val="20"/>
          <w:szCs w:val="20"/>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sales growth through a combination of new product development, increasing distribution, new customer acquisitions and international expansion;</w:t>
      </w:r>
    </w:p>
    <w:p>
      <w:pPr>
        <w:spacing w:after="0" w:line="22"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Taking market share, where possible, in each of our niche market leading companies, generally at the expense of less well capitalized competitors;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Striving for excellence in supply chain management, manufacturing and technological capabilities;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Continuing to pursue expense reduction and cost savings in lower margin business lines or in response to lower production volume;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Continuing to grow through disciplined, strategic acquisitions and rigorous integration processes; and</w:t>
      </w:r>
    </w:p>
    <w:p>
      <w:pPr>
        <w:spacing w:after="0" w:line="3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Driving free cash flow through increased net income and effective working capital management, enabling continued investment in our businesses, strategic acquisitions, and distributions to our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consummated the issuance and sale of $1,000 million aggregate principal amount of our 5.250% Senior Notes due 2029 (the "2029 Notes" or "2029 Senior Notes) offered pursuant to a private offering to qualified institutional buyers in accordance with Rule 144A under the Securities Act, and to non-U.S. persons under Regulation S under the Securities Act. The Notes were issued pursuant to an indenture, dated as of March 23, 2021 (the “Indenture”), between the Company and U.S. Bank National Association, as trustee. The Notes bear interest at the rate of 5.250% per annum and will mature on April 15, 2029. Interest on the 2029 Notes is payable in cash on April 15th and October 15th of each year. The first interest payment date on the 2029 Senior Notes will be October 15, 2021. The proceeds from the sale of the 2029 Notes was used to repay debt outstanding under the 2018 Credit Facility in connection with entering into the 2021 Credit Facility, and to redeem our 8.000% Senior Notes due 2026 (the “2026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Credit Facility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entered into a Second Amended and Restated Credit Agreement (the "2021 Credit Facility") to amend and restate the 2018 Credit Facility. The 2021 Credit Facility provides for revolving loans, swing line loans and letters of credit (the “2021 Revolving Credit Facility”) up to a maximum aggregate amount of $600 million and also permits the Company, prior to the applicable maturity date, to increase the revolving loan commitment and/or obtain term loans in an aggregate amount of up to $250 million, subject to certain restrictions and conditions. All amounts outstanding under the 2021 Revolving Credit Facility will become due on March 23, 2026, which is the maturity date of loans advanced under the Revolving Credit Facility.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 GAAP" or "GAAP" refer to generally accepted accounting principles in the United States.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“Reconciliation of Non-GAAP Financial Measures” for further discussion of our non-GAAP financial measures and related reconciliations.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discussion reflects a comparison of the historical results of operations of our consolidated business for the three and six months ended June 30, 2021 and June 30, 2020, and components of the results of operations as well as those components presented as a percent of net revenues, for each of our businesses on a stand-alone basis. For the acquisitions of Marucci in April 2020 and BOA in October 2020, the pro forma results of operations for the Marucci and BOA business segments have been prepared as if we purchased those businesses on January 1, 2020. Where appropriate, relevant pro forma adjustments are reflected as part of the historical operating results of Marucci and BOA. We believe this is the most meaningful comparison for the operating results of acquired business segments. The consolidated results of operations reflect the operating results of Marucci and BOA from the date of acquisition.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0" w:name="page41"/>
    <w:bookmarkEnd w:id="40"/>
    <w:p>
      <w:pPr>
        <w:jc w:val="both"/>
        <w:spacing w:after="0" w:line="251" w:lineRule="auto"/>
        <w:rPr>
          <w:sz w:val="20"/>
          <w:szCs w:val="20"/>
          <w:color w:val="auto"/>
        </w:rPr>
      </w:pPr>
      <w:r>
        <w:rPr>
          <w:rFonts w:ascii="Arial" w:cs="Arial" w:eastAsia="Arial" w:hAnsi="Arial"/>
          <w:sz w:val="18"/>
          <w:szCs w:val="18"/>
          <w:color w:val="auto"/>
        </w:rPr>
        <w:t>In the first quarter of 2020, we began to see the impacts of COVID-19 on certain of our businesses, markets and operations, particularly those that were most affected by governmental “stay-at home” orders which led to reduced consumer traffic and either a closure of stores by some retailers or a focus on items that were deemed essential. The effect of the COVID-19 pandemic in the second quarter of 2020 was more significant, as many of our businesses saw a significant decrease in sales. The effects of the pandemic on our results of operations in the prior year will impact the comparisons of the three and six months ended 2021 versus the prior year. In response to reductions in revenue resulting from the pandemic, our businesses took a number of steps to address the effects of COVID-19, including reducing variable costs and payroll, and adjusting production levels to "right-size" inventory levels, while in the current period, spending levels reflect a return to more normal levels. The ultimate impact of COVID-19 on our business is dependent on future developments, including the duration of the pandemic and the related length of its impact on the global economy, which are highly uncertain and cannot be accurately predicted at this time. The following results of operations at each of our businesses are not necessarily indicative of the results to be expected for a full year.</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dollar amounts in the financial tables are presented in thousands. References in the financial tables to percentage changes that are not meaningful are denoted by "NM."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Consolidated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unaudited results of operations for the three months ended June 30, 2021 and 2020:</w:t>
      </w:r>
    </w:p>
    <w:p>
      <w:pPr>
        <w:spacing w:after="0" w:line="231"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4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0" w:type="dxa"/>
            <w:vAlign w:val="bottom"/>
            <w:gridSpan w:val="5"/>
          </w:tcPr>
          <w:p>
            <w:pPr>
              <w:ind w:left="700"/>
              <w:spacing w:after="0"/>
              <w:rPr>
                <w:sz w:val="20"/>
                <w:szCs w:val="20"/>
                <w:color w:val="auto"/>
              </w:rPr>
            </w:pPr>
            <w:r>
              <w:rPr>
                <w:rFonts w:ascii="Arial" w:cs="Arial" w:eastAsia="Arial" w:hAnsi="Arial"/>
                <w:sz w:val="15"/>
                <w:szCs w:val="15"/>
                <w:b w:val="1"/>
                <w:bCs w:val="1"/>
                <w:color w:val="auto"/>
              </w:rPr>
              <w:t>Three months ended</w:t>
            </w:r>
          </w:p>
        </w:tc>
        <w:tc>
          <w:tcPr>
            <w:tcW w:w="180" w:type="dxa"/>
            <w:vAlign w:val="bottom"/>
          </w:tcPr>
          <w:p>
            <w:pPr>
              <w:spacing w:after="0"/>
              <w:rPr>
                <w:sz w:val="17"/>
                <w:szCs w:val="17"/>
                <w:color w:val="auto"/>
              </w:rPr>
            </w:pPr>
          </w:p>
        </w:tc>
        <w:tc>
          <w:tcPr>
            <w:tcW w:w="3100" w:type="dxa"/>
            <w:vAlign w:val="bottom"/>
            <w:gridSpan w:val="4"/>
          </w:tcPr>
          <w:p>
            <w:pPr>
              <w:jc w:val="right"/>
              <w:ind w:right="904"/>
              <w:spacing w:after="0"/>
              <w:rPr>
                <w:sz w:val="20"/>
                <w:szCs w:val="20"/>
                <w:color w:val="auto"/>
              </w:rPr>
            </w:pPr>
            <w:r>
              <w:rPr>
                <w:rFonts w:ascii="Arial" w:cs="Arial" w:eastAsia="Arial" w:hAnsi="Arial"/>
                <w:sz w:val="15"/>
                <w:szCs w:val="15"/>
                <w:b w:val="1"/>
                <w:bCs w:val="1"/>
                <w:color w:val="auto"/>
              </w:rPr>
              <w:t>Six months ended</w:t>
            </w:r>
          </w:p>
        </w:tc>
      </w:tr>
      <w:tr>
        <w:trPr>
          <w:trHeight w:val="200"/>
        </w:trPr>
        <w:tc>
          <w:tcPr>
            <w:tcW w:w="42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June 30, 2021</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June 30, 2020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June 30, 2021</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June 30, 2020</w:t>
            </w:r>
          </w:p>
        </w:tc>
      </w:tr>
      <w:tr>
        <w:trPr>
          <w:trHeight w:val="196"/>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487,438</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333,627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949,034</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667,076</w:t>
            </w:r>
          </w:p>
        </w:tc>
      </w:tr>
      <w:tr>
        <w:trPr>
          <w:trHeight w:val="198"/>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294,683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216,224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569,430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430,185</w:t>
            </w:r>
          </w:p>
        </w:tc>
      </w:tr>
      <w:tr>
        <w:trPr>
          <w:trHeight w:val="200"/>
        </w:trPr>
        <w:tc>
          <w:tcPr>
            <w:tcW w:w="4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Gross profit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192,755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117,403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379,604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236,891</w:t>
            </w:r>
          </w:p>
        </w:tc>
      </w:tr>
      <w:tr>
        <w:trPr>
          <w:trHeight w:val="198"/>
        </w:trPr>
        <w:tc>
          <w:tcPr>
            <w:tcW w:w="4200" w:type="dxa"/>
            <w:vAlign w:val="bottom"/>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114,022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84,014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4"/>
              <w:spacing w:after="0"/>
              <w:rPr>
                <w:sz w:val="20"/>
                <w:szCs w:val="20"/>
                <w:color w:val="auto"/>
              </w:rPr>
            </w:pPr>
            <w:r>
              <w:rPr>
                <w:rFonts w:ascii="Arial" w:cs="Arial" w:eastAsia="Arial" w:hAnsi="Arial"/>
                <w:sz w:val="15"/>
                <w:szCs w:val="15"/>
                <w:color w:val="auto"/>
              </w:rPr>
              <w:t>224,990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167,814</w:t>
            </w:r>
          </w:p>
        </w:tc>
      </w:tr>
      <w:tr>
        <w:trPr>
          <w:trHeight w:val="207"/>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Fees to manager</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11,308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22,356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13,777</w:t>
            </w:r>
          </w:p>
        </w:tc>
      </w:tr>
      <w:tr>
        <w:trPr>
          <w:trHeight w:val="198"/>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Amortization of intangibles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18,847</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14,779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37,446</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28,284</w:t>
            </w:r>
          </w:p>
        </w:tc>
      </w:tr>
      <w:tr>
        <w:trPr>
          <w:trHeight w:val="200"/>
        </w:trPr>
        <w:tc>
          <w:tcPr>
            <w:tcW w:w="42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income</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48,578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13,453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94,812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27,016</w:t>
            </w:r>
          </w:p>
        </w:tc>
      </w:tr>
      <w:tr>
        <w:trPr>
          <w:trHeight w:val="198"/>
        </w:trPr>
        <w:tc>
          <w:tcPr>
            <w:tcW w:w="420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(14,947)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(11,174)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(28,752)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(19,771)</w:t>
            </w:r>
          </w:p>
        </w:tc>
      </w:tr>
      <w:tr>
        <w:trPr>
          <w:trHeight w:val="207"/>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debt issuance costs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(1,135)</w:t>
            </w:r>
          </w:p>
        </w:tc>
      </w:tr>
      <w:tr>
        <w:trPr>
          <w:trHeight w:val="198"/>
        </w:trPr>
        <w:tc>
          <w:tcPr>
            <w:tcW w:w="4200" w:type="dxa"/>
            <w:vAlign w:val="bottom"/>
          </w:tcPr>
          <w:p>
            <w:pPr>
              <w:ind w:left="20"/>
              <w:spacing w:after="0"/>
              <w:rPr>
                <w:sz w:val="20"/>
                <w:szCs w:val="20"/>
                <w:color w:val="auto"/>
              </w:rPr>
            </w:pPr>
            <w:r>
              <w:rPr>
                <w:rFonts w:ascii="Arial" w:cs="Arial" w:eastAsia="Arial" w:hAnsi="Arial"/>
                <w:sz w:val="15"/>
                <w:szCs w:val="15"/>
                <w:color w:val="auto"/>
              </w:rPr>
              <w:t>Loss on debt extinguishment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(33,305)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(33,305)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(2,890)</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(1,725)</w:t>
            </w:r>
          </w:p>
        </w:tc>
      </w:tr>
      <w:tr>
        <w:trPr>
          <w:trHeight w:val="192"/>
        </w:trPr>
        <w:tc>
          <w:tcPr>
            <w:tcW w:w="42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Income (loss) before income taxes</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(1,059)</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28,457</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4,385</w:t>
            </w:r>
          </w:p>
        </w:tc>
      </w:tr>
      <w:tr>
        <w:trPr>
          <w:trHeight w:val="196"/>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10,192</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6,649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17,712</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6,871</w:t>
            </w:r>
          </w:p>
        </w:tc>
      </w:tr>
      <w:tr>
        <w:trPr>
          <w:trHeight w:val="196"/>
        </w:trPr>
        <w:tc>
          <w:tcPr>
            <w:tcW w:w="4200" w:type="dxa"/>
            <w:vAlign w:val="bottom"/>
          </w:tcPr>
          <w:p>
            <w:pPr>
              <w:ind w:left="220"/>
              <w:spacing w:after="0"/>
              <w:rPr>
                <w:sz w:val="20"/>
                <w:szCs w:val="20"/>
                <w:color w:val="auto"/>
              </w:rPr>
            </w:pPr>
            <w:r>
              <w:rPr>
                <w:rFonts w:ascii="Arial" w:cs="Arial" w:eastAsia="Arial" w:hAnsi="Arial"/>
                <w:sz w:val="15"/>
                <w:szCs w:val="15"/>
                <w:color w:val="auto"/>
              </w:rPr>
              <w:t>Net income (loss)</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(11,251)</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(7,366)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10,745</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(2,486)</w:t>
            </w:r>
          </w:p>
        </w:tc>
      </w:tr>
      <w:tr>
        <w:trPr>
          <w:trHeight w:val="25"/>
        </w:trPr>
        <w:tc>
          <w:tcPr>
            <w:tcW w:w="4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Consolidated net revenues for the three months ended June 30, 2021 increased by approximately $153.8 million, or 46.1%, compared to the corresponding period in 2020. Our BOA business, which we acquired in October 2020, contributed $44.1 million in net revenue during the second quarter of 2021. During the three months ended June 30, 2021 compared to 2020, we also saw significant increases in net sales at 5.11 ($22.4 million increase), Ergobaby ($6.9 million increase), Liberty ($9.0 million increase), Marucci ($19.2 million increase), Velocity Outdoor ($ 16.1 million increase), Arnold ($8.3 million increase), Altor Solutions ($16.2 million increase) and Sterno ($11.9 million increase). During the comparable period in 2020, the onset of the COVID-19 pandemic resulted in the implementation of various measures to help control the spread of the virus, including quarantines, "shelter-in-place" and "stay-at-home" orders, that severely impacted our businesses and led to a steep drop-off in revenue during the quarter. Refer to "Results of Operations - Business Segments" for a more detailed analysis of net revenues by business segment.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1" w:name="page42"/>
    <w:bookmarkEnd w:id="41"/>
    <w:p>
      <w:pPr>
        <w:jc w:val="both"/>
        <w:spacing w:after="0" w:line="253"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we expect such earnings to be minimal. Our investment in our businesses is typically in the form of loans from the Company to such businesses, as well as equity interests in those companies. Cash flows coming to the Trust and the Company are the result of interest payments on those loans, amortization of those loans and dividends on our equity ownership. However, on a consolidated basis, these items will be eliminated.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 consolidated basis, cost of revenues increased approximately $78.5 million during the three months ended June 30, 2021 compared to the corresponding period in 2020. Our BOA business contributed $16.3 million of the increase, and we saw notable increases in cost of revenues at 5.11 ($ 8.1 million increase), Liberty ($6.5 million increase), Marucci ($6.7 million increase), Velocity ($9.0 million increase), Arnold ($5.9 million increase), Altor ($14.3 million increase) and Sterno ($9.9 million increase) that correspond to the revenue increases noted above. Gross profit as a percentage of net revenues was approximately 39.5% in the three months ended June 30, 2021 compared to 35.2% in the three months ended June 30, 2020. The increase in gross profit as a percentage of net sales in the quarter ended June 30, 2021 as compared to the quarter ended June 30, 2020 primarily related to the increase in net revenue at our branded consumer businesses, which have higher gross margins than our niche industrial businesses. Refer to "Results of Operations - Business Segments" for a more detailed analysis of gross profit by business segment.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Consolidated selling, general and administrative expense increased approximately $30.0 million during the three months ended June 30, 2021, compared to the corresponding period in 2020. A portion of the increase in the second quarter of 2021 is due to our BOA acquisitions in the prior year. $12.3 million of the increase is attributable to BOA, which was acquired in October 2020. We also saw an increase in selling, general and administrative expense at several of our subsidiaries versus the prior year quarter as spending on variable expenses were reduced in the prior year in response to the onset of the COVID-19 pandemic, with the current quarter spend reflecting more normal levels. Refer to "Results of Operations - Business Segments" for a more detailed analysis of selling, general and administrative expense by business segment. At the corporate level, general and administrative expense was $4.0 million in the second quarter of 2021 and $3.6 million in the second quarter of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Management Services Agreement ("MSA"), we pay CGM a quarterly management fee equal to 0.5% (2.0% annually) of our consolidated adjusted net assets. We accrue for the management fee on a quarterly basis. For the three months ended June 30, 2021, we incurred approximately $ 11.3 million in management fees as compared to $5.2 million in fees in the three months ended June 30, 2020. The increase in Management fees is primarily attributable to our acquisition of Marucci in April 2020 and BOA in October 2020. CGM has entered into a waiver of the MSA for a period through December 31, 2021 to receive a 1% annual management fee related to BOA, rather than the 2% called for under the MSA, which resulted in a lower management fee paid in the second quarter of 2021 than would have normally been due. Additionally, in the second quarter of 2020, in anticipation of an expected decline in earnings and cash flows due to the onset of the COVID-19 pandemic, CGM agreed to waive 50% of the management fee calculated for the quarter ended June 30,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Amortization expense for the three months ended June 30, 2021 increased $ 4.1 million as compared to the three months ended June 30, 2020 as a result of the amortization expense associated with the intangibles that were recognized in conjunction with the purchase price allocation for Marucci, which was acquired in April 2020, and BOA, which was acquired in October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recorded interest expense totaling $14.9 million for the three months ended June 30, 2021 compared to $11.2 million for the comparable period in 2020, an increase of $3.8 million. The increase in interest expense for the quarter reflects the higher amount outstanding on our Senior Notes during the quarter after we redeemed our 8.000% 2026 Senior Notes and issued $1,000.0 million in 5.250% 2029 Senior Notes in March of 2021, offset by a decrease in the average amount outstanding under our Revolving Credit Facility during the second quarter of 2021 as compared to the second quarter of 2020.</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quarter ended June 30, 2021, we recorded $ 0.7 million in other expense as compared to $2.4 million in other expense in the quarter ended June 30, 2020, a decrease in expense of $1.7 million. Other income (expense) in typically reflects the movement in foreign currency at our businesses with international operations, gains or (losses) realized on the sale of property, plant and equipment, and expenses incurred that are not considered a part of our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had an income tax provision of $10.2 million during the three months ended June 30, 2021 compared to an income tax provision of $6.6 million during the same period in 2020. Our income before income taxes for the quarter ended June 30, 2021 decreased by approximately $0.3 million as compared to the prior year quarter ended June 30, 2020, however this was driven by the recognition of $33.3 million in loss on debt extinguishment at the corporate level related to the refinancing of our Senior Notes. Our tax provision increased $3.5 million as the tax provision reflects an annual effective tax rate at our subsidiaries, the effect of state and local taxes and the related allocation of income, and the losses at our parent company, which is currently taxed as a partnership.</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23, 2021, the Trust and the Company issued a definitive proxy statement requesting shareholder approval to amend their governing documents to allow the Trust to “check-the-box” to elect to be treated as a corporation for U.S. federal income tax purposes. The shareholder meeting will be held on August 3, 2021. If the amendments are approved, we anticipate that the Company, acting through the Board of Directors, will cause the Trust to elect to be treated as a corporation for U.S. federal income tax purposes effective late in the third quarter of 2021 or early in the fourth quarter of 2021.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 consolidated basis, net revenues for the six months ended June 30, 2021 increased by approximately $282.0 million, or 42.3%, compared to the corresponding period in 2020. Our Marucci business, which we acquired in April 2020, contributed $56.0 million in incremental net revenue during the first half of 2021, and our BOA business, which we acquired in October 2020, contributed $80.5 million in net revenue during the first half of 2021. During the six months ended June 30, 2021 compared to 2020, we also saw significant increases in net sales at 5.11 ($26.5 million increase), Ergobaby ($9.6 million increase), Liberty ($ 15.5 million increase), Velocity Outdoor ($51.4 million increase), Arnold ($11.2 million increase) and Altor Solutions ($25.6 million increase). The increase in net revenue at Altor Solutions during the first half of 2021 was partially attributable to their acquisition of Polyfoam in July 2020. Refer to "Results of Operations - Business Segments" for a more detailed analysis of net revenues by business segment.</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we expect such earnings to be minimal. Our investment in our businesses is typically in the form of loans from the Company to such businesses, as well as equity interests in those companies. Cash flows coming to the Trust and the Company are the result of interest payments on those loans, amortization of those loans and dividends on our equity ownership. However, on a consolidated basis, these items will be eliminated.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 consolidated basis, cost of revenues increased approximately $139.2 million during the six months ended June 30, 2021 compared to the corresponding period in 2020. Our Marucci and BOA businesses contributed $51.6 million of the increase, and we saw notable increases in cost of revenues at 5.11 ($7.4 million increase), Liberty ($10.7 million increase), Velocity ($31.0 million increase), Arnold ($7.3 million increase) and Altor ($22.3 million increase) that correspond to the revenue increases noted above. Gross profit as a percentage of net revenues was approximately 40.0% in the six months ended June 30, 2021 compared to 35.5% in the six months ended June 30, 2020. The increase in gross profit as a percentage of net sales in the quarter ended June 30, 2021 as compared to the quarter ended June 30, 2020 primarily related to the increase in net revenue at our branded consumer businesses, which have higher gross margins than our niche industrial businesses. Refer to "Results of Operations - Business Segments" for a more detailed analysis of gross profit by business segment.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Consolidated selling, general and administrative expense increased approximately $ 57.2 million during the six months ended June 30, 2021, compared to the corresponding period in 2020. A majority of the increase in the first half of 2021 is due to our Marucci and BOA acquisitions in the prior year. $9.5 million of the increase is attributable to our Marucci business, which was acquired in April 2020, and $23.8 million of the increase is attributable to BOA, which was acquired in October 2020. We also saw an increase in selling, general and administrative expense at several of our subsidiaries versus the prior year quarter as spending on variable expenses were reduced in the prior year in response to the onset of the COVID-19 pandemic, with the current quarter spend reflecting more normal levels of selling, general and administrative spend. Refer to "Results of Operations - Business Segments" for a more detailed analysis of selling, general and administrative expense by business segment. At the corporate level, general and administrative expense was $8.0 million in the first half of 2021 and $6.9 million in the first half of 2020. The increase in corporate general and administrative expense during the first half of 2021 is primarily due to increased professional fees associated with our proposal to cause the Trust to elect to be treated as a corporation for U.S. federal income tax purposes.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Pursuant to the Management Services Agreement ("MSA"), we pay CGM a quarterly management fee equal to 0.5% (2.0% annually) of our consolidated adjusted net assets. We accrue for the management fee on a quarterly basis. For the six months ended June 30, 2021, we incurred approximately $ 22.4 million in management fees as compared to $13.8 million in fees in the six months ended June 30, 2020. The increase in Management fees is primarily attributable to our acquisition of Marucci in April 2020 and BOA in October 2020. CGM has entered into a waiver of the MSA for a period through December 31, 2021 to receive a 1% annual management fee related to BOA, rather than the 2% called for under the MSA, which resulted in a lower management fee paid in the first half of 2021 than would have normally been due. In the first quarter of 2020, as a proactive measure to provide the Company with additional liquidity in light of the onset of the COVID-19 pandemic, the Company drew $200 million down on the 2018 Revolving Credit Facility. The Company and CGM entered a waiver agreement whereby CGM agreed to waive the portion of the management fee attributable to cash balances at March 31, 2020 which reduced the amount of Management fee that would have been paid in the first quarter of 2020. Additionally, as a result of an expected decline in earnings and cash flows in the second quarter of 2020 in light of the COVID-19 pandemic, CGM agreed to waive 50% of the management fee calculated at June 30, 2020. In the first quarter of 2021, the Company and CGM entered into a waiver agreement whereby CGM agreed to waive the portion of the management fee related to the amount of the proceeds deposited with the Trustee that was in excess of the amount payable related to the 2026 Senior Notes at March 31,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Amortization expense for the six months ended June 30, 2021 increased $9.2 million as compared to the six months ended June 30, 2020 as a result of the amortization expense associated with the intangibles that were recognized in conjunction with the purchase price allocation for Marucci, which was acquired in April 2020, and BOA, which was acquired in October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recorded interest expense totaling $28.8 million for the six months ended June 30, 2021 compared to $19.8 million for the comparable period in 2020, an increase of $ 9.0 million. The increase in interest expense for the quarter reflects the higher amount outstanding on our Senior Notes during the current year after we redeemed $600.0 million of our 8.000% 2026 Senior Notes and issued $1000.0 million of 5.250% 2029 Senior Notes in March of 2021, as well as an increase in the average amount outstanding under our Revolving Credit Facility during the first half of 2021. The average amount outstanding on our Revolving Credit Facility in the first half of 2021 was approximately $161 million, while the average amount outstanding during the first half of 2020 was $58 million.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 months ended June 30, 2021, we recorded $2.9 million in other expense as compared to $1.7 million in other expense in the six months ended June 30, 2020, an increase in expense of $ 1.2 million. Other income (expense) in typically reflects the movement in foreign currency at our businesses with international operations, gains or (losses) realized on the sale of property, plant and equipment, and expenses incurred that are not considered a part of our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an income tax provision of $17.7 million during the six months ended June 30, 2021 compared to an income tax provision of $6.9 million during the same period in 2020. Our income before income taxes for the six months ended June 30, 2021 increased by approximately $24.1 million as compared to the prior year six months ended June 30, 2020, and our tax provision increased $10.8 million as the tax provision reflects an annual effective tax rate at our subsidiaries, the effect of state and local taxes and the related allocation of income, and the losses at our parent company, which is currently taxed as a partnership.</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23, 2021, the Trust and the Company issued a definitive proxy statement requesting shareholder approval to amend their governing documents to allow the Trust to “check-the-box” to elect to be treated as a corporation for U.S. federal income tax purposes. The shareholder meeting will be held on August 3, 2021. If the amendments are approved, we anticipate that the Company, acting through the Board of Directors, will cause the Trust to elect to be treated as a corporation for U.S. federal income tax purposes effective late in the third quarter of 2021 or early in the fourth quarter of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w:t>
      </w:r>
    </w:p>
    <w:p>
      <w:pPr>
        <w:spacing w:after="0" w:line="311" w:lineRule="exact"/>
        <w:rPr>
          <w:sz w:val="20"/>
          <w:szCs w:val="20"/>
          <w:color w:val="auto"/>
        </w:rPr>
      </w:pPr>
    </w:p>
    <w:tbl>
      <w:tblPr>
        <w:tblLayout w:type="fixed"/>
        <w:tblInd w:w="1020" w:type="dxa"/>
        <w:tblCellMar>
          <w:top w:w="0" w:type="dxa"/>
          <w:left w:w="0" w:type="dxa"/>
          <w:bottom w:w="0" w:type="dxa"/>
          <w:right w:w="0" w:type="dxa"/>
        </w:tblCellMar>
      </w:tblPr>
      <w:tr>
        <w:trPr>
          <w:trHeight w:val="218"/>
        </w:trPr>
        <w:tc>
          <w:tcPr>
            <w:tcW w:w="1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6"/>
                <w:szCs w:val="16"/>
                <w:b w:val="1"/>
                <w:bCs w:val="1"/>
                <w:color w:val="auto"/>
              </w:rPr>
              <w:t>Six months ended</w:t>
            </w:r>
          </w:p>
        </w:tc>
        <w:tc>
          <w:tcPr>
            <w:tcW w:w="820" w:type="dxa"/>
            <w:vAlign w:val="bottom"/>
            <w:tcBorders>
              <w:bottom w:val="single" w:sz="8" w:color="auto"/>
            </w:tcBorders>
          </w:tcPr>
          <w:p>
            <w:pPr>
              <w:spacing w:after="0"/>
              <w:rPr>
                <w:sz w:val="18"/>
                <w:szCs w:val="18"/>
                <w:color w:val="auto"/>
              </w:rPr>
            </w:pPr>
          </w:p>
        </w:tc>
      </w:tr>
      <w:tr>
        <w:trPr>
          <w:trHeight w:val="250"/>
        </w:trPr>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3"/>
          </w:tcPr>
          <w:p>
            <w:pPr>
              <w:ind w:left="22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21"/>
                <w:szCs w:val="21"/>
                <w:color w:val="auto"/>
              </w:rPr>
            </w:pPr>
          </w:p>
        </w:tc>
        <w:tc>
          <w:tcPr>
            <w:tcW w:w="1780" w:type="dxa"/>
            <w:vAlign w:val="bottom"/>
            <w:gridSpan w:val="3"/>
          </w:tcPr>
          <w:p>
            <w:pPr>
              <w:ind w:left="1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840" w:type="dxa"/>
            <w:vAlign w:val="bottom"/>
            <w:gridSpan w:val="3"/>
          </w:tcPr>
          <w:p>
            <w:pPr>
              <w:ind w:left="22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21"/>
                <w:szCs w:val="21"/>
                <w:color w:val="auto"/>
              </w:rPr>
            </w:pPr>
          </w:p>
        </w:tc>
        <w:tc>
          <w:tcPr>
            <w:tcW w:w="1700" w:type="dxa"/>
            <w:vAlign w:val="bottom"/>
            <w:gridSpan w:val="2"/>
          </w:tcPr>
          <w:p>
            <w:pPr>
              <w:jc w:val="right"/>
              <w:ind w:right="364"/>
              <w:spacing w:after="0"/>
              <w:rPr>
                <w:sz w:val="20"/>
                <w:szCs w:val="20"/>
                <w:color w:val="auto"/>
              </w:rPr>
            </w:pPr>
            <w:r>
              <w:rPr>
                <w:rFonts w:ascii="Arial" w:cs="Arial" w:eastAsia="Arial" w:hAnsi="Arial"/>
                <w:sz w:val="16"/>
                <w:szCs w:val="16"/>
                <w:b w:val="1"/>
                <w:bCs w:val="1"/>
                <w:color w:val="auto"/>
              </w:rPr>
              <w:t>June 30, 2020</w:t>
            </w:r>
          </w:p>
        </w:tc>
      </w:tr>
      <w:tr>
        <w:trPr>
          <w:trHeight w:val="253"/>
        </w:trPr>
        <w:tc>
          <w:tcPr>
            <w:tcW w:w="1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110,033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87,635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209,910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183,416</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67"/>
        </w:trPr>
        <w:tc>
          <w:tcPr>
            <w:tcW w:w="13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83"/>
              <w:spacing w:after="0"/>
              <w:rPr>
                <w:sz w:val="20"/>
                <w:szCs w:val="20"/>
                <w:color w:val="auto"/>
              </w:rPr>
            </w:pPr>
            <w:r>
              <w:rPr>
                <w:rFonts w:ascii="Arial" w:cs="Arial" w:eastAsia="Arial" w:hAnsi="Arial"/>
                <w:sz w:val="15"/>
                <w:szCs w:val="15"/>
                <w:color w:val="auto"/>
              </w:rPr>
              <w:t>58,642</w:t>
            </w:r>
          </w:p>
        </w:tc>
        <w:tc>
          <w:tcPr>
            <w:tcW w:w="860" w:type="dxa"/>
            <w:vAlign w:val="bottom"/>
          </w:tcPr>
          <w:p>
            <w:pPr>
              <w:jc w:val="right"/>
              <w:spacing w:after="0"/>
              <w:rPr>
                <w:sz w:val="20"/>
                <w:szCs w:val="20"/>
                <w:color w:val="auto"/>
              </w:rPr>
            </w:pPr>
            <w:r>
              <w:rPr>
                <w:rFonts w:ascii="Arial" w:cs="Arial" w:eastAsia="Arial" w:hAnsi="Arial"/>
                <w:sz w:val="15"/>
                <w:szCs w:val="15"/>
                <w:color w:val="auto"/>
              </w:rPr>
              <w:t>53.3 %</w:t>
            </w:r>
          </w:p>
        </w:tc>
        <w:tc>
          <w:tcPr>
            <w:tcW w:w="160" w:type="dxa"/>
            <w:vAlign w:val="bottom"/>
          </w:tcPr>
          <w:p>
            <w:pPr>
              <w:spacing w:after="0"/>
              <w:rPr>
                <w:sz w:val="23"/>
                <w:szCs w:val="23"/>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44,321</w:t>
            </w:r>
          </w:p>
        </w:tc>
        <w:tc>
          <w:tcPr>
            <w:tcW w:w="840" w:type="dxa"/>
            <w:vAlign w:val="bottom"/>
          </w:tcPr>
          <w:p>
            <w:pPr>
              <w:jc w:val="right"/>
              <w:spacing w:after="0"/>
              <w:rPr>
                <w:sz w:val="20"/>
                <w:szCs w:val="20"/>
                <w:color w:val="auto"/>
              </w:rPr>
            </w:pPr>
            <w:r>
              <w:rPr>
                <w:rFonts w:ascii="Arial" w:cs="Arial" w:eastAsia="Arial" w:hAnsi="Arial"/>
                <w:sz w:val="15"/>
                <w:szCs w:val="15"/>
                <w:color w:val="auto"/>
              </w:rPr>
              <w:t>50.6 %</w:t>
            </w:r>
          </w:p>
        </w:tc>
        <w:tc>
          <w:tcPr>
            <w:tcW w:w="140" w:type="dxa"/>
            <w:vAlign w:val="bottom"/>
          </w:tcPr>
          <w:p>
            <w:pPr>
              <w:spacing w:after="0"/>
              <w:rPr>
                <w:sz w:val="23"/>
                <w:szCs w:val="23"/>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110,716</w:t>
            </w:r>
          </w:p>
        </w:tc>
        <w:tc>
          <w:tcPr>
            <w:tcW w:w="820" w:type="dxa"/>
            <w:vAlign w:val="bottom"/>
          </w:tcPr>
          <w:p>
            <w:pPr>
              <w:jc w:val="right"/>
              <w:spacing w:after="0"/>
              <w:rPr>
                <w:sz w:val="20"/>
                <w:szCs w:val="20"/>
                <w:color w:val="auto"/>
              </w:rPr>
            </w:pPr>
            <w:r>
              <w:rPr>
                <w:rFonts w:ascii="Arial" w:cs="Arial" w:eastAsia="Arial" w:hAnsi="Arial"/>
                <w:sz w:val="15"/>
                <w:szCs w:val="15"/>
                <w:color w:val="auto"/>
              </w:rPr>
              <w:t>52.7 %</w:t>
            </w:r>
          </w:p>
        </w:tc>
        <w:tc>
          <w:tcPr>
            <w:tcW w:w="160" w:type="dxa"/>
            <w:vAlign w:val="bottom"/>
          </w:tcPr>
          <w:p>
            <w:pPr>
              <w:spacing w:after="0"/>
              <w:rPr>
                <w:sz w:val="23"/>
                <w:szCs w:val="23"/>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63"/>
              <w:spacing w:after="0"/>
              <w:rPr>
                <w:sz w:val="20"/>
                <w:szCs w:val="20"/>
                <w:color w:val="auto"/>
              </w:rPr>
            </w:pPr>
            <w:r>
              <w:rPr>
                <w:rFonts w:ascii="Arial" w:cs="Arial" w:eastAsia="Arial" w:hAnsi="Arial"/>
                <w:sz w:val="15"/>
                <w:szCs w:val="15"/>
                <w:color w:val="auto"/>
              </w:rPr>
              <w:t>91,578</w:t>
            </w:r>
          </w:p>
        </w:tc>
        <w:tc>
          <w:tcPr>
            <w:tcW w:w="820" w:type="dxa"/>
            <w:vAlign w:val="bottom"/>
          </w:tcPr>
          <w:p>
            <w:pPr>
              <w:jc w:val="right"/>
              <w:spacing w:after="0"/>
              <w:rPr>
                <w:sz w:val="20"/>
                <w:szCs w:val="20"/>
                <w:color w:val="auto"/>
              </w:rPr>
            </w:pPr>
            <w:r>
              <w:rPr>
                <w:rFonts w:ascii="Arial" w:cs="Arial" w:eastAsia="Arial" w:hAnsi="Arial"/>
                <w:sz w:val="15"/>
                <w:szCs w:val="15"/>
                <w:color w:val="auto"/>
              </w:rPr>
              <w:t>49.9 %</w:t>
            </w:r>
          </w:p>
        </w:tc>
      </w:tr>
      <w:tr>
        <w:trPr>
          <w:trHeight w:val="273"/>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44,210</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37,182</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42.4 %</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87,985</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77,417</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42.2 %</w:t>
            </w:r>
          </w:p>
        </w:tc>
      </w:tr>
      <w:tr>
        <w:trPr>
          <w:trHeight w:val="177"/>
        </w:trPr>
        <w:tc>
          <w:tcPr>
            <w:tcW w:w="130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5"/>
        </w:trPr>
        <w:tc>
          <w:tcPr>
            <w:tcW w:w="130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83"/>
              <w:spacing w:after="0"/>
              <w:rPr>
                <w:sz w:val="20"/>
                <w:szCs w:val="20"/>
                <w:color w:val="auto"/>
              </w:rPr>
            </w:pPr>
            <w:r>
              <w:rPr>
                <w:rFonts w:ascii="Arial" w:cs="Arial" w:eastAsia="Arial" w:hAnsi="Arial"/>
                <w:sz w:val="15"/>
                <w:szCs w:val="15"/>
                <w:color w:val="auto"/>
              </w:rPr>
              <w:t>11,969</w:t>
            </w:r>
          </w:p>
        </w:tc>
        <w:tc>
          <w:tcPr>
            <w:tcW w:w="860" w:type="dxa"/>
            <w:vAlign w:val="bottom"/>
          </w:tcPr>
          <w:p>
            <w:pPr>
              <w:jc w:val="right"/>
              <w:spacing w:after="0"/>
              <w:rPr>
                <w:sz w:val="20"/>
                <w:szCs w:val="20"/>
                <w:color w:val="auto"/>
              </w:rPr>
            </w:pPr>
            <w:r>
              <w:rPr>
                <w:rFonts w:ascii="Arial" w:cs="Arial" w:eastAsia="Arial" w:hAnsi="Arial"/>
                <w:sz w:val="15"/>
                <w:szCs w:val="15"/>
                <w:color w:val="auto"/>
              </w:rPr>
              <w:t>10.9 %</w:t>
            </w:r>
          </w:p>
        </w:tc>
        <w:tc>
          <w:tcPr>
            <w:tcW w:w="16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4,702</w:t>
            </w:r>
          </w:p>
        </w:tc>
        <w:tc>
          <w:tcPr>
            <w:tcW w:w="840" w:type="dxa"/>
            <w:vAlign w:val="bottom"/>
          </w:tcPr>
          <w:p>
            <w:pPr>
              <w:jc w:val="right"/>
              <w:spacing w:after="0"/>
              <w:rPr>
                <w:sz w:val="20"/>
                <w:szCs w:val="20"/>
                <w:color w:val="auto"/>
              </w:rPr>
            </w:pPr>
            <w:r>
              <w:rPr>
                <w:rFonts w:ascii="Arial" w:cs="Arial" w:eastAsia="Arial" w:hAnsi="Arial"/>
                <w:sz w:val="15"/>
                <w:szCs w:val="15"/>
                <w:color w:val="auto"/>
              </w:rPr>
              <w:t>5.4 %</w:t>
            </w:r>
          </w:p>
        </w:tc>
        <w:tc>
          <w:tcPr>
            <w:tcW w:w="14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17,805</w:t>
            </w:r>
          </w:p>
        </w:tc>
        <w:tc>
          <w:tcPr>
            <w:tcW w:w="820" w:type="dxa"/>
            <w:vAlign w:val="bottom"/>
          </w:tcPr>
          <w:p>
            <w:pPr>
              <w:jc w:val="right"/>
              <w:spacing w:after="0"/>
              <w:rPr>
                <w:sz w:val="20"/>
                <w:szCs w:val="20"/>
                <w:color w:val="auto"/>
              </w:rPr>
            </w:pPr>
            <w:r>
              <w:rPr>
                <w:rFonts w:ascii="Arial" w:cs="Arial" w:eastAsia="Arial" w:hAnsi="Arial"/>
                <w:sz w:val="15"/>
                <w:szCs w:val="15"/>
                <w:color w:val="auto"/>
              </w:rPr>
              <w:t>8.5 %</w:t>
            </w:r>
          </w:p>
        </w:tc>
        <w:tc>
          <w:tcPr>
            <w:tcW w:w="16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63"/>
              <w:spacing w:after="0"/>
              <w:rPr>
                <w:sz w:val="20"/>
                <w:szCs w:val="20"/>
                <w:color w:val="auto"/>
              </w:rPr>
            </w:pPr>
            <w:r>
              <w:rPr>
                <w:rFonts w:ascii="Arial" w:cs="Arial" w:eastAsia="Arial" w:hAnsi="Arial"/>
                <w:sz w:val="15"/>
                <w:szCs w:val="15"/>
                <w:color w:val="auto"/>
              </w:rPr>
              <w:t>9,288</w:t>
            </w:r>
          </w:p>
        </w:tc>
        <w:tc>
          <w:tcPr>
            <w:tcW w:w="820" w:type="dxa"/>
            <w:vAlign w:val="bottom"/>
          </w:tcPr>
          <w:p>
            <w:pPr>
              <w:jc w:val="right"/>
              <w:spacing w:after="0"/>
              <w:rPr>
                <w:sz w:val="20"/>
                <w:szCs w:val="20"/>
                <w:color w:val="auto"/>
              </w:rPr>
            </w:pPr>
            <w:r>
              <w:rPr>
                <w:rFonts w:ascii="Arial" w:cs="Arial" w:eastAsia="Arial" w:hAnsi="Arial"/>
                <w:sz w:val="15"/>
                <w:szCs w:val="15"/>
                <w:color w:val="auto"/>
              </w:rPr>
              <w:t>5.1 %</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June 30, 2021 were $110.0 million as compared to net sales of $87.6 million for the three months ended June 30, 2020, an increase of $22.4 million, or 25.6%. This increase is due in part to e-commerce and retail sales growth of $12.6 million, up 36% from the prior year comparable period. Retail sales grew largely due to thirteen new retail store openings since June 2020 (bringing the total store count to eighty-one as of June 30, 2021) as well as positive growth in same-store sales for the three months ended June 30, 2021 as compared to the same period last year which was negatively impacted by the effects of the COVID-19 pandemic, as certain of our retail locations had to temporarily close. Net sales were also positively impacted by domestic wholesale sales growth of $8.0 million, up 24.7% from the prior year comparable period which was negatively impacted by the effects of the COVID-19 pandemic.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as a percentage of net sales was 53.3% in the three months ended June 30, 2021 as compared to 50.6% for the three months ended June 30, 2020. Growth in gross profit percentage was driven by channel mix as direct to consumer sales, which realize higher gross profit than wholesale sales, grew versus the prior period. Growth in gross profit percentage was also favorably impacted for the three months ended June 30, 2021, due to the release of duty liabilities (decreased cost of goods sold) for over-accrued duty for 5.11's international operations which did not occur in the three months ended June 30, 2020. The increase in gross profit from the release of duty liabilities was offset in part by the write-off of domestic duty drawback receivables from previous years deemed uncollectable during the three months ended June 30,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three months ended June 30, 2021 was $44.2 million, or 40.2% of net sales compared to $37.2 million, or 42.4% of net sales for the comparable period in 2020. The increase in selling, general and administrative expense for the three months ended June 30, 2021 as compared to the prior year comparable period was driven by the costs associated with additional retail stores (eighty-one opened at June 30, 2021 versus sixty-eight opened at June 30, 2020 during the comparable period), as well as additional sales and</w:t>
      </w:r>
    </w:p>
    <w:p>
      <w:pPr>
        <w:sectPr>
          <w:pgSz w:w="11900" w:h="16838" w:orient="portrait"/>
          <w:cols w:equalWidth="0" w:num="1">
            <w:col w:w="11240"/>
          </w:cols>
          <w:pgMar w:left="320" w:top="1052"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45" w:name="page46"/>
    <w:bookmarkEnd w:id="45"/>
    <w:p>
      <w:pPr>
        <w:jc w:val="both"/>
        <w:spacing w:after="0" w:line="257" w:lineRule="auto"/>
        <w:rPr>
          <w:sz w:val="20"/>
          <w:szCs w:val="20"/>
          <w:color w:val="auto"/>
        </w:rPr>
      </w:pPr>
      <w:r>
        <w:rPr>
          <w:rFonts w:ascii="Arial" w:cs="Arial" w:eastAsia="Arial" w:hAnsi="Arial"/>
          <w:sz w:val="18"/>
          <w:szCs w:val="18"/>
          <w:color w:val="auto"/>
        </w:rPr>
        <w:t>marketing spend to drive digital sales. For the three months ended June 30, 2020, management significantly reduced variable expenses, including payroll, bonus, travel and entertainment, and sales and marketing, as a response to decreased sales from the effects of the COVID-19 pandemic. While management continues to control and reduce variable expenses, payroll and bonus for the three months ended June 30, 2021 were not reduced, thereby increasing selling, general and administrative expense as compared to the three months ended June 30,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three months ended June 30, 2021 was $12.0 million, an increase of $7.3 million when compared to income from operations of $4.7 million for the same period in 2020, based on the factors described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sales for the six months ended June 30, 2021 were $209.9 million as compared to net sales of $183.4 million for the six months ended June 30, 2020, an increase of $26.5 million, or 14.4%. This increase is due primarily to e-commerce and retail sales growth of $20.9 million, up 31% from the prior year comparable period. Retail sales grew largely due to thirteen new retail store openings since June 2020 (bringing the total store count to eighty-one as of June 30, 2021) as well as positive growth in same-store sales for the six months ended June 30, 2021 as compared to the same period last year which was negatively impacted by the effects of the COVID-19 pandemic. Net sales were also positively impacted by domestic wholesale sales growth of $8.7 million, up 12.8% from the prior year comparable period which was negatively impacted by the effects of the COVID-19 pandemic, as certain of our retail stores had to temporarily close. The increase in sales from our retail and e-commerce channels was partially offset by a decrease of $6.8 million in sales in our direct to agency business (DTA) as we fulfilled a large contract in the first half of 2020 which did not repeat in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as a percentage of net sales was 52.7% in the six months ended June 30, 2021 as compared to 49.9% for the six months ended June 30, 2020. Growth in gross profit percentage was driven by channel mix as direct to consumer sales, which realize higher gross profit than wholesale sales, grew versus the prior period. Growth in gross profit percentage was also favorably impacted as in the six months ended June 30, 2020, we recorded a duty drawback accrual (which increased cost of goods sold) for audited duty drawback claims which was not repeated for the comparable period in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for the six months ended June 30, 2021 was $88.0 million, or 41.9% of net sales compared to $77.4 million, or 42.2% of net sales for the comparable period in 2020. The increase in selling, general and administrative expense for the six months ended June 30, 2021 as compared to the prior year comparable period was driven by the costs associated with additional retail stores (eighty-one open in 2021 versus sixty-eight open in 2020 during the comparable period), as well as additional sales and marketing spend to drive digital sales. For the six months ended June 30, 2020, management significantly reduced variable expenses, including payroll, bonus, travel and entertainment, and sales and marketing, as a response to decreased sales from the effects of the COVID-19 pandemic. While management continues to control and reduce variable expenses, payroll and bonus for the first half of 2021 increased in correlation with the increase in net sales.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six months ended June 30, 2021 was $ 17.8 million, an increase of $8.5 million when compared to income from operations of $9.3 million for the same period in 2020, based on the factors described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following results of operations, we provide comparative pro forma results of operations for BOA for the three and six months ended June 30, 2020 as if we had acquired the business on January 1, 2020. The results of operations that follows include relevant pro-forma adjustments for pre-acquisition periods and explanations where applicable. The operating results for BOA have been included in the consolidated results of operation from the date of acquisition in October 2020.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6" w:name="page47"/>
    <w:bookmarkEnd w:id="46"/>
    <w:tbl>
      <w:tblPr>
        <w:tblLayout w:type="fixed"/>
        <w:tblInd w:w="40" w:type="dxa"/>
        <w:tblCellMar>
          <w:top w:w="0" w:type="dxa"/>
          <w:left w:w="0" w:type="dxa"/>
          <w:bottom w:w="0" w:type="dxa"/>
          <w:right w:w="0" w:type="dxa"/>
        </w:tblCellMar>
      </w:tblPr>
      <w:tr>
        <w:trPr>
          <w:trHeight w:val="218"/>
        </w:trPr>
        <w:tc>
          <w:tcPr>
            <w:tcW w:w="20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562"/>
              <w:spacing w:after="0"/>
              <w:rPr>
                <w:sz w:val="20"/>
                <w:szCs w:val="20"/>
                <w:color w:val="auto"/>
              </w:rPr>
            </w:pPr>
            <w:r>
              <w:rPr>
                <w:rFonts w:ascii="Arial" w:cs="Arial" w:eastAsia="Arial" w:hAnsi="Arial"/>
                <w:sz w:val="16"/>
                <w:szCs w:val="16"/>
                <w:b w:val="1"/>
                <w:bCs w:val="1"/>
                <w:color w:val="auto"/>
              </w:rPr>
              <w:t>Six months ended</w:t>
            </w:r>
          </w:p>
        </w:tc>
        <w:tc>
          <w:tcPr>
            <w:tcW w:w="940" w:type="dxa"/>
            <w:vAlign w:val="bottom"/>
            <w:tcBorders>
              <w:bottom w:val="single" w:sz="8" w:color="auto"/>
            </w:tcBorders>
          </w:tcPr>
          <w:p>
            <w:pPr>
              <w:spacing w:after="0"/>
              <w:rPr>
                <w:sz w:val="18"/>
                <w:szCs w:val="18"/>
                <w:color w:val="auto"/>
              </w:rPr>
            </w:pPr>
          </w:p>
        </w:tc>
      </w:tr>
      <w:tr>
        <w:trPr>
          <w:trHeight w:val="212"/>
        </w:trPr>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3"/>
          </w:tcPr>
          <w:p>
            <w:pPr>
              <w:ind w:left="240"/>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18"/>
                <w:szCs w:val="18"/>
                <w:color w:val="auto"/>
              </w:rPr>
            </w:pPr>
          </w:p>
        </w:tc>
        <w:tc>
          <w:tcPr>
            <w:tcW w:w="2040" w:type="dxa"/>
            <w:vAlign w:val="bottom"/>
            <w:gridSpan w:val="2"/>
          </w:tcPr>
          <w:p>
            <w:pPr>
              <w:ind w:left="420"/>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3"/>
          </w:tcPr>
          <w:p>
            <w:pPr>
              <w:ind w:left="240"/>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18"/>
                <w:szCs w:val="18"/>
                <w:color w:val="auto"/>
              </w:rPr>
            </w:pPr>
          </w:p>
        </w:tc>
        <w:tc>
          <w:tcPr>
            <w:tcW w:w="2060" w:type="dxa"/>
            <w:vAlign w:val="bottom"/>
            <w:gridSpan w:val="2"/>
          </w:tcPr>
          <w:p>
            <w:pPr>
              <w:ind w:left="420"/>
              <w:spacing w:after="0"/>
              <w:rPr>
                <w:sz w:val="20"/>
                <w:szCs w:val="20"/>
                <w:color w:val="auto"/>
              </w:rPr>
            </w:pPr>
            <w:r>
              <w:rPr>
                <w:rFonts w:ascii="Arial" w:cs="Arial" w:eastAsia="Arial" w:hAnsi="Arial"/>
                <w:sz w:val="16"/>
                <w:szCs w:val="16"/>
                <w:b w:val="1"/>
                <w:bCs w:val="1"/>
                <w:color w:val="auto"/>
              </w:rPr>
              <w:t>June 30, 2020</w:t>
            </w:r>
          </w:p>
        </w:tc>
      </w:tr>
      <w:tr>
        <w:trPr>
          <w:trHeight w:val="210"/>
        </w:trPr>
        <w:tc>
          <w:tcPr>
            <w:tcW w:w="20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Pro forma</w:t>
            </w:r>
          </w:p>
        </w:tc>
        <w:tc>
          <w:tcPr>
            <w:tcW w:w="104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CCEEFF"/>
            </w:tcBorders>
          </w:tcPr>
          <w:p>
            <w:pPr>
              <w:jc w:val="right"/>
              <w:ind w:right="242"/>
              <w:spacing w:after="0"/>
              <w:rPr>
                <w:sz w:val="20"/>
                <w:szCs w:val="20"/>
                <w:color w:val="auto"/>
              </w:rPr>
            </w:pPr>
            <w:r>
              <w:rPr>
                <w:rFonts w:ascii="Arial" w:cs="Arial" w:eastAsia="Arial" w:hAnsi="Arial"/>
                <w:sz w:val="16"/>
                <w:szCs w:val="16"/>
                <w:b w:val="1"/>
                <w:bCs w:val="1"/>
                <w:color w:val="auto"/>
              </w:rPr>
              <w:t>Pro forma</w:t>
            </w:r>
          </w:p>
        </w:tc>
        <w:tc>
          <w:tcPr>
            <w:tcW w:w="940" w:type="dxa"/>
            <w:vAlign w:val="bottom"/>
            <w:tcBorders>
              <w:top w:val="single" w:sz="8" w:color="auto"/>
              <w:bottom w:val="single" w:sz="8" w:color="CCEEFF"/>
            </w:tcBorders>
          </w:tcPr>
          <w:p>
            <w:pPr>
              <w:spacing w:after="0"/>
              <w:rPr>
                <w:sz w:val="18"/>
                <w:szCs w:val="18"/>
                <w:color w:val="auto"/>
              </w:rPr>
            </w:pPr>
          </w:p>
        </w:tc>
      </w:tr>
      <w:tr>
        <w:trPr>
          <w:trHeight w:val="197"/>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44,085</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24,524</w:t>
            </w:r>
          </w:p>
        </w:tc>
        <w:tc>
          <w:tcPr>
            <w:tcW w:w="104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w w:val="98"/>
              </w:rPr>
              <w:t>100.0%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80,537</w:t>
            </w:r>
          </w:p>
        </w:tc>
        <w:tc>
          <w:tcPr>
            <w:tcW w:w="9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rPr>
              <w:t>51,032</w:t>
            </w:r>
          </w:p>
        </w:tc>
        <w:tc>
          <w:tcPr>
            <w:tcW w:w="9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100.0%</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103"/>
              <w:spacing w:after="0"/>
              <w:rPr>
                <w:sz w:val="20"/>
                <w:szCs w:val="20"/>
                <w:color w:val="auto"/>
              </w:rPr>
            </w:pPr>
            <w:r>
              <w:rPr>
                <w:rFonts w:ascii="Arial" w:cs="Arial" w:eastAsia="Arial" w:hAnsi="Arial"/>
                <w:sz w:val="15"/>
                <w:szCs w:val="15"/>
                <w:color w:val="auto"/>
              </w:rPr>
              <w:t>27,777</w:t>
            </w:r>
          </w:p>
        </w:tc>
        <w:tc>
          <w:tcPr>
            <w:tcW w:w="920" w:type="dxa"/>
            <w:vAlign w:val="bottom"/>
          </w:tcPr>
          <w:p>
            <w:pPr>
              <w:jc w:val="center"/>
              <w:spacing w:after="0"/>
              <w:rPr>
                <w:sz w:val="20"/>
                <w:szCs w:val="20"/>
                <w:color w:val="auto"/>
              </w:rPr>
            </w:pPr>
            <w:r>
              <w:rPr>
                <w:rFonts w:ascii="Arial" w:cs="Arial" w:eastAsia="Arial" w:hAnsi="Arial"/>
                <w:sz w:val="15"/>
                <w:szCs w:val="15"/>
                <w:color w:val="auto"/>
                <w:w w:val="98"/>
              </w:rPr>
              <w:t>63.0%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
              <w:spacing w:after="0"/>
              <w:rPr>
                <w:sz w:val="20"/>
                <w:szCs w:val="20"/>
                <w:color w:val="auto"/>
              </w:rPr>
            </w:pPr>
            <w:r>
              <w:rPr>
                <w:rFonts w:ascii="Arial" w:cs="Arial" w:eastAsia="Arial" w:hAnsi="Arial"/>
                <w:sz w:val="15"/>
                <w:szCs w:val="15"/>
                <w:color w:val="auto"/>
              </w:rPr>
              <w:t>14,224</w:t>
            </w:r>
          </w:p>
        </w:tc>
        <w:tc>
          <w:tcPr>
            <w:tcW w:w="1040" w:type="dxa"/>
            <w:vAlign w:val="bottom"/>
          </w:tcPr>
          <w:p>
            <w:pPr>
              <w:jc w:val="center"/>
              <w:ind w:left="24"/>
              <w:spacing w:after="0"/>
              <w:rPr>
                <w:sz w:val="20"/>
                <w:szCs w:val="20"/>
                <w:color w:val="auto"/>
              </w:rPr>
            </w:pPr>
            <w:r>
              <w:rPr>
                <w:rFonts w:ascii="Arial" w:cs="Arial" w:eastAsia="Arial" w:hAnsi="Arial"/>
                <w:sz w:val="15"/>
                <w:szCs w:val="15"/>
                <w:color w:val="auto"/>
                <w:w w:val="98"/>
              </w:rPr>
              <w:t>58.0%</w:t>
            </w:r>
          </w:p>
        </w:tc>
        <w:tc>
          <w:tcPr>
            <w:tcW w:w="120" w:type="dxa"/>
            <w:vAlign w:val="bottom"/>
          </w:tcPr>
          <w:p>
            <w:pPr>
              <w:spacing w:after="0"/>
              <w:rPr>
                <w:sz w:val="18"/>
                <w:szCs w:val="18"/>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50,541</w:t>
            </w:r>
          </w:p>
        </w:tc>
        <w:tc>
          <w:tcPr>
            <w:tcW w:w="940" w:type="dxa"/>
            <w:vAlign w:val="bottom"/>
          </w:tcPr>
          <w:p>
            <w:pPr>
              <w:jc w:val="center"/>
              <w:spacing w:after="0"/>
              <w:rPr>
                <w:sz w:val="20"/>
                <w:szCs w:val="20"/>
                <w:color w:val="auto"/>
              </w:rPr>
            </w:pPr>
            <w:r>
              <w:rPr>
                <w:rFonts w:ascii="Arial" w:cs="Arial" w:eastAsia="Arial" w:hAnsi="Arial"/>
                <w:sz w:val="15"/>
                <w:szCs w:val="15"/>
                <w:color w:val="auto"/>
              </w:rPr>
              <w:t>62.8%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122"/>
              <w:spacing w:after="0"/>
              <w:rPr>
                <w:sz w:val="20"/>
                <w:szCs w:val="20"/>
                <w:color w:val="auto"/>
              </w:rPr>
            </w:pPr>
            <w:r>
              <w:rPr>
                <w:rFonts w:ascii="Arial" w:cs="Arial" w:eastAsia="Arial" w:hAnsi="Arial"/>
                <w:sz w:val="15"/>
                <w:szCs w:val="15"/>
                <w:color w:val="auto"/>
              </w:rPr>
              <w:t>29,607</w:t>
            </w:r>
          </w:p>
        </w:tc>
        <w:tc>
          <w:tcPr>
            <w:tcW w:w="940" w:type="dxa"/>
            <w:vAlign w:val="bottom"/>
          </w:tcPr>
          <w:p>
            <w:pPr>
              <w:jc w:val="center"/>
              <w:spacing w:after="0"/>
              <w:rPr>
                <w:sz w:val="20"/>
                <w:szCs w:val="20"/>
                <w:color w:val="auto"/>
              </w:rPr>
            </w:pPr>
            <w:r>
              <w:rPr>
                <w:rFonts w:ascii="Arial" w:cs="Arial" w:eastAsia="Arial" w:hAnsi="Arial"/>
                <w:sz w:val="15"/>
                <w:szCs w:val="15"/>
                <w:color w:val="auto"/>
              </w:rPr>
              <w:t>58.0%</w:t>
            </w:r>
          </w:p>
        </w:tc>
      </w:tr>
      <w:tr>
        <w:trPr>
          <w:trHeight w:val="21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12,330</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28.0%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8,027</w:t>
            </w:r>
          </w:p>
        </w:tc>
        <w:tc>
          <w:tcPr>
            <w:tcW w:w="104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w w:val="98"/>
              </w:rPr>
              <w:t>32.7%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23,754</w:t>
            </w:r>
          </w:p>
        </w:tc>
        <w:tc>
          <w:tcPr>
            <w:tcW w:w="9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29.5%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rPr>
              <w:t>17,266</w:t>
            </w:r>
          </w:p>
        </w:tc>
        <w:tc>
          <w:tcPr>
            <w:tcW w:w="9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33.8%</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Amortization expense</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103"/>
              <w:spacing w:after="0"/>
              <w:rPr>
                <w:sz w:val="20"/>
                <w:szCs w:val="20"/>
                <w:color w:val="auto"/>
              </w:rPr>
            </w:pPr>
            <w:r>
              <w:rPr>
                <w:rFonts w:ascii="Arial" w:cs="Arial" w:eastAsia="Arial" w:hAnsi="Arial"/>
                <w:sz w:val="15"/>
                <w:szCs w:val="15"/>
                <w:color w:val="auto"/>
              </w:rPr>
              <w:t>3,744</w:t>
            </w:r>
          </w:p>
        </w:tc>
        <w:tc>
          <w:tcPr>
            <w:tcW w:w="920" w:type="dxa"/>
            <w:vAlign w:val="bottom"/>
          </w:tcPr>
          <w:p>
            <w:pPr>
              <w:jc w:val="center"/>
              <w:spacing w:after="0"/>
              <w:rPr>
                <w:sz w:val="20"/>
                <w:szCs w:val="20"/>
                <w:color w:val="auto"/>
              </w:rPr>
            </w:pPr>
            <w:r>
              <w:rPr>
                <w:rFonts w:ascii="Arial" w:cs="Arial" w:eastAsia="Arial" w:hAnsi="Arial"/>
                <w:sz w:val="15"/>
                <w:szCs w:val="15"/>
                <w:color w:val="auto"/>
                <w:w w:val="99"/>
              </w:rPr>
              <w:t>8.5%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
              <w:spacing w:after="0"/>
              <w:rPr>
                <w:sz w:val="20"/>
                <w:szCs w:val="20"/>
                <w:color w:val="auto"/>
              </w:rPr>
            </w:pPr>
            <w:r>
              <w:rPr>
                <w:rFonts w:ascii="Arial" w:cs="Arial" w:eastAsia="Arial" w:hAnsi="Arial"/>
                <w:sz w:val="15"/>
                <w:szCs w:val="15"/>
                <w:color w:val="auto"/>
              </w:rPr>
              <w:t>3,810</w:t>
            </w:r>
          </w:p>
        </w:tc>
        <w:tc>
          <w:tcPr>
            <w:tcW w:w="1040" w:type="dxa"/>
            <w:vAlign w:val="bottom"/>
          </w:tcPr>
          <w:p>
            <w:pPr>
              <w:jc w:val="center"/>
              <w:ind w:left="24"/>
              <w:spacing w:after="0"/>
              <w:rPr>
                <w:sz w:val="20"/>
                <w:szCs w:val="20"/>
                <w:color w:val="auto"/>
              </w:rPr>
            </w:pPr>
            <w:r>
              <w:rPr>
                <w:rFonts w:ascii="Arial" w:cs="Arial" w:eastAsia="Arial" w:hAnsi="Arial"/>
                <w:sz w:val="15"/>
                <w:szCs w:val="15"/>
                <w:color w:val="auto"/>
                <w:w w:val="98"/>
              </w:rPr>
              <w:t>15.5%</w:t>
            </w:r>
          </w:p>
        </w:tc>
        <w:tc>
          <w:tcPr>
            <w:tcW w:w="120" w:type="dxa"/>
            <w:vAlign w:val="bottom"/>
          </w:tcPr>
          <w:p>
            <w:pPr>
              <w:spacing w:after="0"/>
              <w:rPr>
                <w:sz w:val="18"/>
                <w:szCs w:val="18"/>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123"/>
              <w:spacing w:after="0"/>
              <w:rPr>
                <w:sz w:val="20"/>
                <w:szCs w:val="20"/>
                <w:color w:val="auto"/>
              </w:rPr>
            </w:pPr>
            <w:r>
              <w:rPr>
                <w:rFonts w:ascii="Arial" w:cs="Arial" w:eastAsia="Arial" w:hAnsi="Arial"/>
                <w:sz w:val="15"/>
                <w:szCs w:val="15"/>
                <w:color w:val="auto"/>
              </w:rPr>
              <w:t>7,580</w:t>
            </w:r>
          </w:p>
        </w:tc>
        <w:tc>
          <w:tcPr>
            <w:tcW w:w="940" w:type="dxa"/>
            <w:vAlign w:val="bottom"/>
          </w:tcPr>
          <w:p>
            <w:pPr>
              <w:jc w:val="center"/>
              <w:spacing w:after="0"/>
              <w:rPr>
                <w:sz w:val="20"/>
                <w:szCs w:val="20"/>
                <w:color w:val="auto"/>
              </w:rPr>
            </w:pPr>
            <w:r>
              <w:rPr>
                <w:rFonts w:ascii="Arial" w:cs="Arial" w:eastAsia="Arial" w:hAnsi="Arial"/>
                <w:sz w:val="15"/>
                <w:szCs w:val="15"/>
                <w:color w:val="auto"/>
              </w:rPr>
              <w:t>9.4%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122"/>
              <w:spacing w:after="0"/>
              <w:rPr>
                <w:sz w:val="20"/>
                <w:szCs w:val="20"/>
                <w:color w:val="auto"/>
              </w:rPr>
            </w:pPr>
            <w:r>
              <w:rPr>
                <w:rFonts w:ascii="Arial" w:cs="Arial" w:eastAsia="Arial" w:hAnsi="Arial"/>
                <w:sz w:val="15"/>
                <w:szCs w:val="15"/>
                <w:color w:val="auto"/>
              </w:rPr>
              <w:t>7,620</w:t>
            </w:r>
          </w:p>
        </w:tc>
        <w:tc>
          <w:tcPr>
            <w:tcW w:w="940" w:type="dxa"/>
            <w:vAlign w:val="bottom"/>
          </w:tcPr>
          <w:p>
            <w:pPr>
              <w:jc w:val="center"/>
              <w:spacing w:after="0"/>
              <w:rPr>
                <w:sz w:val="20"/>
                <w:szCs w:val="20"/>
                <w:color w:val="auto"/>
              </w:rPr>
            </w:pPr>
            <w:r>
              <w:rPr>
                <w:rFonts w:ascii="Arial" w:cs="Arial" w:eastAsia="Arial" w:hAnsi="Arial"/>
                <w:sz w:val="15"/>
                <w:szCs w:val="15"/>
                <w:color w:val="auto"/>
              </w:rPr>
              <w:t>14.9%</w:t>
            </w:r>
          </w:p>
        </w:tc>
      </w:tr>
      <w:tr>
        <w:trPr>
          <w:trHeight w:val="21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11,453</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26.0%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2,137</w:t>
            </w:r>
          </w:p>
        </w:tc>
        <w:tc>
          <w:tcPr>
            <w:tcW w:w="104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w w:val="99"/>
              </w:rPr>
              <w:t>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18,707</w:t>
            </w:r>
          </w:p>
        </w:tc>
        <w:tc>
          <w:tcPr>
            <w:tcW w:w="9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23.2%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rPr>
              <w:t>4,221</w:t>
            </w:r>
          </w:p>
        </w:tc>
        <w:tc>
          <w:tcPr>
            <w:tcW w:w="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8.3%</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of operations include the following pro form adjustments as if we had acquired BOA January 1, 2020:</w:t>
      </w:r>
    </w:p>
    <w:p>
      <w:pPr>
        <w:spacing w:after="0" w:line="88" w:lineRule="exact"/>
        <w:rPr>
          <w:sz w:val="20"/>
          <w:szCs w:val="20"/>
          <w:color w:val="auto"/>
        </w:rPr>
      </w:pPr>
    </w:p>
    <w:p>
      <w:pPr>
        <w:ind w:left="660" w:right="200" w:hanging="328"/>
        <w:spacing w:after="0" w:line="252" w:lineRule="auto"/>
        <w:tabs>
          <w:tab w:leader="none" w:pos="648" w:val="left"/>
        </w:tabs>
        <w:numPr>
          <w:ilvl w:val="0"/>
          <w:numId w:val="19"/>
        </w:numPr>
        <w:rPr>
          <w:rFonts w:ascii="Arial" w:cs="Arial" w:eastAsia="Arial" w:hAnsi="Arial"/>
          <w:sz w:val="16"/>
          <w:szCs w:val="16"/>
          <w:i w:val="1"/>
          <w:iCs w:val="1"/>
          <w:color w:val="auto"/>
        </w:rPr>
      </w:pPr>
      <w:r>
        <w:rPr>
          <w:rFonts w:ascii="Arial" w:cs="Arial" w:eastAsia="Arial" w:hAnsi="Arial"/>
          <w:sz w:val="16"/>
          <w:szCs w:val="16"/>
          <w:color w:val="auto"/>
        </w:rPr>
        <w:t>Amortization expense associated with the intangible assets recorded in connection with the purchase price allocation for BOA of $3.8 million and $7.6 million, respectively, for the three and six months ended June 30, 2020.</w:t>
      </w:r>
    </w:p>
    <w:p>
      <w:pPr>
        <w:spacing w:after="0" w:line="45" w:lineRule="exact"/>
        <w:rPr>
          <w:rFonts w:ascii="Arial" w:cs="Arial" w:eastAsia="Arial" w:hAnsi="Arial"/>
          <w:sz w:val="16"/>
          <w:szCs w:val="16"/>
          <w:i w:val="1"/>
          <w:iCs w:val="1"/>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Management fees that would have been payable to the Manager during each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2021 compared to pro forma three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three months ended June 30, 2021 were $44.1 million as compared to net sales of $24.5 million for the three months ended June 30, 2020, an increase of $ 19.6 million, or 79.8%. This increase is due to underlying category and BOA momentum within key markets including Cycling, Outdoor and Golf. The two factors primarily impacting growth rates were consumer participation increases as well as accelerated production ordering due to longer lead times, resulting from overall global supply chain constraints.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63.0% in the three months ended June 30, 2021 as compared to 58.0% for the three months ended June 30, 2020. Growth in gross profit as a percentage of net sales was driven by manufacturing overhead leverage, cost engineering and targeted price increases.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June 30, 2021 was $12.3 million, or 28.0% of net sales compared to $8.0 million, or 32.7% of net sales for the comparable period in 2020. Selling general and administrative expense in the current quarter includes $1.1 million in integration services fees paid to CGM. The remainder of the increase in selling, general, and administrative expense is due to increased employee costs related to BOA's bonus plan, incremental headcount and marketing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three months ended June 30, 2021 was $11.5 million, an increase of $9.3 million when compared to income from operations of $2.1 million for the same period in 2020, based on the factors described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2021 compared to pro forma six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six months ended June 30, 2021 were $80.5 million as compared to net sales of $51.0 million for the six months ended June 30, 2020, an increase of $ 29.5 million, or 57.8%. This increase is due to underlying category and BOA momentum within key markets including Cycling, Outdoor and Golf. The two factors primarily impacting growth rates were consumer participation increases as well as accelerated production ordering due to longer lead times, resulting from overall global supply chain constraints.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62.8% in the six months ended June 30, 2021 as compared to 58.0% for the six months ended June 30, 2020. Growth in gross profit as a percentage of net sales was driven by manufacturing overhead leverage, cost engineering and targeted price increases.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six months ended June 30, 2021 was $23.8 million, or 29.5% of net sales compared to $17.3 million, or 33.8% of net sales for the comparable period in 2020. Selling general and administrative expense in the current year includes $2.2 million in integration services fees paid to CGM. The remainder of the increase in selling, general, and administrative expense is due to increased employee costs related to BOA's bonus plan, incremental headcount and marketing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six months ended June 30, 2021 was $18.7 million, an increase of $14.5 million when compared to income from operations of $4.2 million for the same period in 2020, based on the factors described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Ergobaby</w:t>
      </w:r>
    </w:p>
    <w:p>
      <w:pPr>
        <w:sectPr>
          <w:pgSz w:w="11900" w:h="16838" w:orient="portrait"/>
          <w:cols w:equalWidth="0" w:num="1">
            <w:col w:w="11240"/>
          </w:cols>
          <w:pgMar w:left="320" w:top="1070" w:right="339" w:bottom="1440" w:gutter="0" w:footer="0" w:header="0"/>
        </w:sectPr>
      </w:pPr>
    </w:p>
    <w:p>
      <w:pPr>
        <w:spacing w:after="0" w:line="311" w:lineRule="exact"/>
        <w:rPr>
          <w:sz w:val="20"/>
          <w:szCs w:val="20"/>
          <w:color w:val="auto"/>
        </w:rPr>
      </w:pPr>
    </w:p>
    <w:p>
      <w:pPr>
        <w:jc w:val="center"/>
        <w:ind w:left="24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23495</wp:posOffset>
            </wp:positionV>
            <wp:extent cx="24174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3" w:lineRule="exact"/>
        <w:rPr>
          <w:sz w:val="20"/>
          <w:szCs w:val="20"/>
          <w:color w:val="auto"/>
        </w:rPr>
      </w:pPr>
    </w:p>
    <w:p>
      <w:pPr>
        <w:ind w:left="2700"/>
        <w:spacing w:after="0"/>
        <w:tabs>
          <w:tab w:leader="none" w:pos="4660" w:val="left"/>
        </w:tabs>
        <w:rPr>
          <w:sz w:val="20"/>
          <w:szCs w:val="20"/>
          <w:color w:val="auto"/>
        </w:rPr>
      </w:pPr>
      <w:r>
        <w:rPr>
          <w:rFonts w:ascii="Arial" w:cs="Arial" w:eastAsia="Arial" w:hAnsi="Arial"/>
          <w:sz w:val="16"/>
          <w:szCs w:val="16"/>
          <w:b w:val="1"/>
          <w:bCs w:val="1"/>
          <w:color w:val="auto"/>
        </w:rPr>
        <w:t>June 30, 2021</w:t>
      </w:r>
      <w:r>
        <w:rPr>
          <w:sz w:val="20"/>
          <w:szCs w:val="20"/>
          <w:color w:val="auto"/>
        </w:rPr>
        <w:tab/>
      </w:r>
      <w:r>
        <w:rPr>
          <w:rFonts w:ascii="Arial" w:cs="Arial" w:eastAsia="Arial" w:hAnsi="Arial"/>
          <w:sz w:val="16"/>
          <w:szCs w:val="16"/>
          <w:b w:val="1"/>
          <w:bCs w:val="1"/>
          <w:color w:val="auto"/>
        </w:rPr>
        <w:t>June 30, 2020</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ind w:right="144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23495</wp:posOffset>
            </wp:positionV>
            <wp:extent cx="24860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53" w:lineRule="exact"/>
        <w:rPr>
          <w:sz w:val="20"/>
          <w:szCs w:val="20"/>
          <w:color w:val="auto"/>
        </w:rPr>
      </w:pPr>
    </w:p>
    <w:p>
      <w:pPr>
        <w:spacing w:after="0"/>
        <w:tabs>
          <w:tab w:leader="none" w:pos="2020" w:val="left"/>
        </w:tabs>
        <w:rPr>
          <w:sz w:val="20"/>
          <w:szCs w:val="20"/>
          <w:color w:val="auto"/>
        </w:rPr>
      </w:pPr>
      <w:r>
        <w:rPr>
          <w:rFonts w:ascii="Arial" w:cs="Arial" w:eastAsia="Arial" w:hAnsi="Arial"/>
          <w:sz w:val="16"/>
          <w:szCs w:val="16"/>
          <w:b w:val="1"/>
          <w:bCs w:val="1"/>
          <w:color w:val="auto"/>
        </w:rPr>
        <w:t>June 30, 2021</w:t>
      </w:r>
      <w:r>
        <w:rPr>
          <w:sz w:val="20"/>
          <w:szCs w:val="20"/>
          <w:color w:val="auto"/>
        </w:rPr>
        <w:tab/>
      </w:r>
      <w:r>
        <w:rPr>
          <w:rFonts w:ascii="Arial" w:cs="Arial" w:eastAsia="Arial" w:hAnsi="Arial"/>
          <w:sz w:val="16"/>
          <w:szCs w:val="16"/>
          <w:b w:val="1"/>
          <w:bCs w:val="1"/>
          <w:color w:val="auto"/>
        </w:rPr>
        <w:t>June 30, 2020</w:t>
      </w:r>
    </w:p>
    <w:p>
      <w:pPr>
        <w:spacing w:after="0" w:line="31" w:lineRule="exact"/>
        <w:rPr>
          <w:sz w:val="20"/>
          <w:szCs w:val="20"/>
          <w:color w:val="auto"/>
        </w:rPr>
      </w:pPr>
    </w:p>
    <w:p>
      <w:pPr>
        <w:sectPr>
          <w:pgSz w:w="11900" w:h="16838" w:orient="portrait"/>
          <w:cols w:equalWidth="0" w:num="2">
            <w:col w:w="5980" w:space="720"/>
            <w:col w:w="4540"/>
          </w:cols>
          <w:pgMar w:left="320" w:top="1070" w:right="339" w:bottom="1440" w:gutter="0" w:footer="0" w:header="0"/>
          <w:type w:val="continuous"/>
        </w:sectPr>
      </w:pPr>
    </w:p>
    <w:tbl>
      <w:tblPr>
        <w:tblLayout w:type="fixed"/>
        <w:tblInd w:w="1040" w:type="dxa"/>
        <w:tblCellMar>
          <w:top w:w="0" w:type="dxa"/>
          <w:left w:w="0" w:type="dxa"/>
          <w:bottom w:w="0" w:type="dxa"/>
          <w:right w:w="0" w:type="dxa"/>
        </w:tblCellMar>
      </w:tblPr>
      <w:tr>
        <w:trPr>
          <w:trHeight w:val="256"/>
        </w:trPr>
        <w:tc>
          <w:tcPr>
            <w:tcW w:w="1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26,956</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20,044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49,284</w:t>
            </w:r>
          </w:p>
        </w:tc>
        <w:tc>
          <w:tcPr>
            <w:tcW w:w="9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100.0 %</w:t>
            </w:r>
          </w:p>
        </w:tc>
        <w:tc>
          <w:tcPr>
            <w:tcW w:w="3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39,693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2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17,827</w:t>
            </w:r>
          </w:p>
        </w:tc>
        <w:tc>
          <w:tcPr>
            <w:tcW w:w="820" w:type="dxa"/>
            <w:vAlign w:val="bottom"/>
          </w:tcPr>
          <w:p>
            <w:pPr>
              <w:jc w:val="right"/>
              <w:spacing w:after="0"/>
              <w:rPr>
                <w:sz w:val="20"/>
                <w:szCs w:val="20"/>
                <w:color w:val="auto"/>
              </w:rPr>
            </w:pPr>
            <w:r>
              <w:rPr>
                <w:rFonts w:ascii="Arial" w:cs="Arial" w:eastAsia="Arial" w:hAnsi="Arial"/>
                <w:sz w:val="16"/>
                <w:szCs w:val="16"/>
                <w:color w:val="auto"/>
              </w:rPr>
              <w:t>66.1 %</w:t>
            </w:r>
          </w:p>
        </w:tc>
        <w:tc>
          <w:tcPr>
            <w:tcW w:w="16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13,176</w:t>
            </w:r>
          </w:p>
        </w:tc>
        <w:tc>
          <w:tcPr>
            <w:tcW w:w="820" w:type="dxa"/>
            <w:vAlign w:val="bottom"/>
          </w:tcPr>
          <w:p>
            <w:pPr>
              <w:jc w:val="right"/>
              <w:spacing w:after="0"/>
              <w:rPr>
                <w:sz w:val="20"/>
                <w:szCs w:val="20"/>
                <w:color w:val="auto"/>
              </w:rPr>
            </w:pPr>
            <w:r>
              <w:rPr>
                <w:rFonts w:ascii="Arial" w:cs="Arial" w:eastAsia="Arial" w:hAnsi="Arial"/>
                <w:sz w:val="16"/>
                <w:szCs w:val="16"/>
                <w:color w:val="auto"/>
              </w:rPr>
              <w:t>65.7 %</w:t>
            </w:r>
          </w:p>
        </w:tc>
        <w:tc>
          <w:tcPr>
            <w:tcW w:w="16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32,856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66.7 %</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25,942</w:t>
            </w:r>
          </w:p>
        </w:tc>
        <w:tc>
          <w:tcPr>
            <w:tcW w:w="840" w:type="dxa"/>
            <w:vAlign w:val="bottom"/>
          </w:tcPr>
          <w:p>
            <w:pPr>
              <w:jc w:val="right"/>
              <w:spacing w:after="0"/>
              <w:rPr>
                <w:sz w:val="20"/>
                <w:szCs w:val="20"/>
                <w:color w:val="auto"/>
              </w:rPr>
            </w:pPr>
            <w:r>
              <w:rPr>
                <w:rFonts w:ascii="Arial" w:cs="Arial" w:eastAsia="Arial" w:hAnsi="Arial"/>
                <w:sz w:val="16"/>
                <w:szCs w:val="16"/>
                <w:color w:val="auto"/>
              </w:rPr>
              <w:t>65.4 %</w:t>
            </w:r>
          </w:p>
        </w:tc>
      </w:tr>
      <w:tr>
        <w:trPr>
          <w:trHeight w:val="273"/>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12,052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44.7 %</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9,194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45.9 %</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22,977</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46.6 %</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18,450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46.5 %</w:t>
            </w:r>
          </w:p>
        </w:tc>
      </w:tr>
      <w:tr>
        <w:trPr>
          <w:trHeight w:val="177"/>
        </w:trPr>
        <w:tc>
          <w:tcPr>
            <w:tcW w:w="128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5"/>
        </w:trPr>
        <w:tc>
          <w:tcPr>
            <w:tcW w:w="1280" w:type="dxa"/>
            <w:vAlign w:val="bottom"/>
          </w:tcPr>
          <w:p>
            <w:pPr>
              <w:ind w:left="20"/>
              <w:spacing w:after="0"/>
              <w:rPr>
                <w:sz w:val="20"/>
                <w:szCs w:val="20"/>
                <w:color w:val="auto"/>
              </w:rPr>
            </w:pPr>
            <w:r>
              <w:rPr>
                <w:rFonts w:ascii="Arial" w:cs="Arial" w:eastAsia="Arial" w:hAnsi="Arial"/>
                <w:sz w:val="16"/>
                <w:szCs w:val="16"/>
                <w:color w:val="auto"/>
              </w:rPr>
              <w:t>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3,754</w:t>
            </w:r>
          </w:p>
        </w:tc>
        <w:tc>
          <w:tcPr>
            <w:tcW w:w="820" w:type="dxa"/>
            <w:vAlign w:val="bottom"/>
          </w:tcPr>
          <w:p>
            <w:pPr>
              <w:jc w:val="right"/>
              <w:spacing w:after="0"/>
              <w:rPr>
                <w:sz w:val="20"/>
                <w:szCs w:val="20"/>
                <w:color w:val="auto"/>
              </w:rPr>
            </w:pPr>
            <w:r>
              <w:rPr>
                <w:rFonts w:ascii="Arial" w:cs="Arial" w:eastAsia="Arial" w:hAnsi="Arial"/>
                <w:sz w:val="16"/>
                <w:szCs w:val="16"/>
                <w:color w:val="auto"/>
              </w:rPr>
              <w:t>13.9 %</w:t>
            </w:r>
          </w:p>
        </w:tc>
        <w:tc>
          <w:tcPr>
            <w:tcW w:w="16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2,026</w:t>
            </w:r>
          </w:p>
        </w:tc>
        <w:tc>
          <w:tcPr>
            <w:tcW w:w="820" w:type="dxa"/>
            <w:vAlign w:val="bottom"/>
          </w:tcPr>
          <w:p>
            <w:pPr>
              <w:jc w:val="right"/>
              <w:spacing w:after="0"/>
              <w:rPr>
                <w:sz w:val="20"/>
                <w:szCs w:val="20"/>
                <w:color w:val="auto"/>
              </w:rPr>
            </w:pPr>
            <w:r>
              <w:rPr>
                <w:rFonts w:ascii="Arial" w:cs="Arial" w:eastAsia="Arial" w:hAnsi="Arial"/>
                <w:sz w:val="16"/>
                <w:szCs w:val="16"/>
                <w:color w:val="auto"/>
              </w:rPr>
              <w:t>10.1 %</w:t>
            </w:r>
          </w:p>
        </w:tc>
        <w:tc>
          <w:tcPr>
            <w:tcW w:w="16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5,718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11.6 %</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3,580</w:t>
            </w:r>
          </w:p>
        </w:tc>
        <w:tc>
          <w:tcPr>
            <w:tcW w:w="840" w:type="dxa"/>
            <w:vAlign w:val="bottom"/>
          </w:tcPr>
          <w:p>
            <w:pPr>
              <w:jc w:val="right"/>
              <w:spacing w:after="0"/>
              <w:rPr>
                <w:sz w:val="20"/>
                <w:szCs w:val="20"/>
                <w:color w:val="auto"/>
              </w:rPr>
            </w:pPr>
            <w:r>
              <w:rPr>
                <w:rFonts w:ascii="Arial" w:cs="Arial" w:eastAsia="Arial" w:hAnsi="Arial"/>
                <w:sz w:val="16"/>
                <w:szCs w:val="16"/>
                <w:color w:val="auto"/>
              </w:rPr>
              <w:t>9.0 %</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three months ended June 30, 2021 were $27.0 million, an increase of $6.9 million, or 34.5%, compared to the same period in 2020. During the three months ended June 30, 2021, international sales were approximately $17.9 million, representing an increase of $4.9 million over the corresponding period in 2020, primarily as a result of increased distributor sales as well as strong European online and key account sales. Domestic sales were $9.1 million in the second quarter of 2021, reflecting an increase of $2.0 million compared to the corresponding period in 2020. The increase in domestic sales was primarily attributable to strong e-commerce and key accounts sales.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as a percentage of net sales was 66.1% for the three months ended June 30, 2021, as compared to 65.7% for the three months ended June 30, 2020. The increase in gross profit as a percentage of sales was due to the mix of sales channels.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increased $2.9 million quarter over quarter, with expense of $12.1 million, or 44.7% of net sales for the three months ended June 30, 2021 as compared to $9.2 million or 45.9% of net sales for the same period of 2020. The increase in selling, general and administrative expense in the three months ended June 30, 2021 as compared to the comparable period in the prior year is due to increased variable expenses related to sales and payroll accruals, and the timing of marketing spend.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June 30, 2021 increased $1.7 million, compared to the same period in 2020, based on the factors noted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six months ended June 30, 2021 were $49.3 million, an increase of $9.6 million, or 24.2%, compared to the same period in 2020. During the six months ended June 30, 2021, international sales were approximately $31.4 million, representing an increase of $5.1 million over the corresponding period in 2020 as a result of increased sales across all channels. Domestic sales were $17.9 million in the first half of 2021, reflecting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48" w:name="page49"/>
    <w:bookmarkEnd w:id="48"/>
    <w:p>
      <w:pPr>
        <w:jc w:val="both"/>
        <w:spacing w:after="0" w:line="261" w:lineRule="auto"/>
        <w:rPr>
          <w:sz w:val="20"/>
          <w:szCs w:val="20"/>
          <w:color w:val="auto"/>
        </w:rPr>
      </w:pPr>
      <w:r>
        <w:rPr>
          <w:rFonts w:ascii="Arial" w:cs="Arial" w:eastAsia="Arial" w:hAnsi="Arial"/>
          <w:sz w:val="18"/>
          <w:szCs w:val="18"/>
          <w:color w:val="auto"/>
        </w:rPr>
        <w:t>an increase of $4.5 million compared to the corresponding period in 2020. The increase in domestic sales was primarily attributable to strong e-commerce and key accounts sales.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as a percentage of net sales was 66.7% for the quarter ended June 30, 2021, as compared to 65.4% for the six months ended June 30, 2020. The increase in gross profit as a percentage of sales was due to the mix of sales channels.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increased $4.5 million quarter over quarter, with expense of $23.0 million, or 46.6% of net sales for the six months ended June 30, 2021 as compared to $18.5 million or 46.5% of net sales for the same period of 2020. The increase in selling, general and administrative expense in the six months ended June 30, 2021 as compared to the comparable period in the prior year is due to increased variable expenses related to sales, payroll accruals, and timing of marketing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six months ended June 30, 2021 increased $2.1 million, compared to the same period in 2020, based on the factors noted above.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Liberty Safe</w:t>
      </w:r>
    </w:p>
    <w:p>
      <w:pPr>
        <w:spacing w:after="0" w:line="311" w:lineRule="exact"/>
        <w:rPr>
          <w:sz w:val="20"/>
          <w:szCs w:val="20"/>
          <w:color w:val="auto"/>
        </w:rPr>
      </w:pPr>
    </w:p>
    <w:tbl>
      <w:tblPr>
        <w:tblLayout w:type="fixed"/>
        <w:tblInd w:w="1040" w:type="dxa"/>
        <w:tblCellMar>
          <w:top w:w="0" w:type="dxa"/>
          <w:left w:w="0" w:type="dxa"/>
          <w:bottom w:w="0" w:type="dxa"/>
          <w:right w:w="0" w:type="dxa"/>
        </w:tblCellMar>
      </w:tblPr>
      <w:tr>
        <w:trPr>
          <w:trHeight w:val="218"/>
        </w:trPr>
        <w:tc>
          <w:tcPr>
            <w:tcW w:w="1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Six months ended</w:t>
            </w:r>
          </w:p>
        </w:tc>
        <w:tc>
          <w:tcPr>
            <w:tcW w:w="820" w:type="dxa"/>
            <w:vAlign w:val="bottom"/>
            <w:tcBorders>
              <w:bottom w:val="single" w:sz="8" w:color="auto"/>
            </w:tcBorders>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3"/>
          </w:tcPr>
          <w:p>
            <w:pPr>
              <w:ind w:left="20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20"/>
                <w:szCs w:val="20"/>
                <w:color w:val="auto"/>
              </w:rPr>
            </w:pPr>
          </w:p>
        </w:tc>
        <w:tc>
          <w:tcPr>
            <w:tcW w:w="1820" w:type="dxa"/>
            <w:vAlign w:val="bottom"/>
            <w:gridSpan w:val="3"/>
          </w:tcPr>
          <w:p>
            <w:pPr>
              <w:ind w:left="20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0"/>
                <w:szCs w:val="20"/>
                <w:color w:val="auto"/>
              </w:rPr>
            </w:pPr>
          </w:p>
        </w:tc>
        <w:tc>
          <w:tcPr>
            <w:tcW w:w="1800" w:type="dxa"/>
            <w:vAlign w:val="bottom"/>
            <w:gridSpan w:val="3"/>
          </w:tcPr>
          <w:p>
            <w:pPr>
              <w:ind w:left="18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Pr>
          <w:p>
            <w:pPr>
              <w:spacing w:after="0"/>
              <w:rPr>
                <w:sz w:val="20"/>
                <w:szCs w:val="20"/>
                <w:color w:val="auto"/>
              </w:rPr>
            </w:pPr>
          </w:p>
        </w:tc>
        <w:tc>
          <w:tcPr>
            <w:tcW w:w="164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June 30, 2020</w:t>
            </w:r>
          </w:p>
        </w:tc>
      </w:tr>
      <w:tr>
        <w:trPr>
          <w:trHeight w:val="253"/>
        </w:trPr>
        <w:tc>
          <w:tcPr>
            <w:tcW w:w="1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33,448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24,453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64,926</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49,413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280" w:type="dxa"/>
            <w:vAlign w:val="bottom"/>
          </w:tcPr>
          <w:p>
            <w:pPr>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8,879</w:t>
            </w:r>
          </w:p>
        </w:tc>
        <w:tc>
          <w:tcPr>
            <w:tcW w:w="900" w:type="dxa"/>
            <w:vAlign w:val="bottom"/>
          </w:tcPr>
          <w:p>
            <w:pPr>
              <w:jc w:val="right"/>
              <w:spacing w:after="0"/>
              <w:rPr>
                <w:sz w:val="20"/>
                <w:szCs w:val="20"/>
                <w:color w:val="auto"/>
              </w:rPr>
            </w:pPr>
            <w:r>
              <w:rPr>
                <w:rFonts w:ascii="Arial" w:cs="Arial" w:eastAsia="Arial" w:hAnsi="Arial"/>
                <w:sz w:val="16"/>
                <w:szCs w:val="16"/>
                <w:color w:val="auto"/>
              </w:rPr>
              <w:t>26.5 %</w:t>
            </w:r>
          </w:p>
        </w:tc>
        <w:tc>
          <w:tcPr>
            <w:tcW w:w="16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6,340</w:t>
            </w:r>
          </w:p>
        </w:tc>
        <w:tc>
          <w:tcPr>
            <w:tcW w:w="840" w:type="dxa"/>
            <w:vAlign w:val="bottom"/>
          </w:tcPr>
          <w:p>
            <w:pPr>
              <w:jc w:val="right"/>
              <w:spacing w:after="0"/>
              <w:rPr>
                <w:sz w:val="20"/>
                <w:szCs w:val="20"/>
                <w:color w:val="auto"/>
              </w:rPr>
            </w:pPr>
            <w:r>
              <w:rPr>
                <w:rFonts w:ascii="Arial" w:cs="Arial" w:eastAsia="Arial" w:hAnsi="Arial"/>
                <w:sz w:val="16"/>
                <w:szCs w:val="16"/>
                <w:color w:val="auto"/>
              </w:rPr>
              <w:t>25.9 %</w:t>
            </w:r>
          </w:p>
        </w:tc>
        <w:tc>
          <w:tcPr>
            <w:tcW w:w="16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17,776</w:t>
            </w:r>
          </w:p>
        </w:tc>
        <w:tc>
          <w:tcPr>
            <w:tcW w:w="820" w:type="dxa"/>
            <w:vAlign w:val="bottom"/>
          </w:tcPr>
          <w:p>
            <w:pPr>
              <w:jc w:val="right"/>
              <w:spacing w:after="0"/>
              <w:rPr>
                <w:sz w:val="20"/>
                <w:szCs w:val="20"/>
                <w:color w:val="auto"/>
              </w:rPr>
            </w:pPr>
            <w:r>
              <w:rPr>
                <w:rFonts w:ascii="Arial" w:cs="Arial" w:eastAsia="Arial" w:hAnsi="Arial"/>
                <w:sz w:val="16"/>
                <w:szCs w:val="16"/>
                <w:color w:val="auto"/>
              </w:rPr>
              <w:t>27.4 %</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12,947</w:t>
            </w:r>
          </w:p>
        </w:tc>
        <w:tc>
          <w:tcPr>
            <w:tcW w:w="820" w:type="dxa"/>
            <w:vAlign w:val="bottom"/>
          </w:tcPr>
          <w:p>
            <w:pPr>
              <w:jc w:val="right"/>
              <w:spacing w:after="0"/>
              <w:rPr>
                <w:sz w:val="20"/>
                <w:szCs w:val="20"/>
                <w:color w:val="auto"/>
              </w:rPr>
            </w:pPr>
            <w:r>
              <w:rPr>
                <w:rFonts w:ascii="Arial" w:cs="Arial" w:eastAsia="Arial" w:hAnsi="Arial"/>
                <w:sz w:val="16"/>
                <w:szCs w:val="16"/>
                <w:color w:val="auto"/>
              </w:rPr>
              <w:t>26.2 %</w:t>
            </w:r>
          </w:p>
        </w:tc>
      </w:tr>
      <w:tr>
        <w:trPr>
          <w:trHeight w:val="273"/>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2,851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2,815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5,993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6,152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12.5 %</w:t>
            </w:r>
          </w:p>
        </w:tc>
      </w:tr>
      <w:tr>
        <w:trPr>
          <w:trHeight w:val="177"/>
        </w:trPr>
        <w:tc>
          <w:tcPr>
            <w:tcW w:w="1280" w:type="dxa"/>
            <w:vAlign w:val="bottom"/>
          </w:tcPr>
          <w:p>
            <w:pPr>
              <w:spacing w:after="0" w:line="178" w:lineRule="exact"/>
              <w:rPr>
                <w:sz w:val="20"/>
                <w:szCs w:val="20"/>
                <w:color w:val="auto"/>
              </w:rPr>
            </w:pPr>
            <w:r>
              <w:rPr>
                <w:rFonts w:ascii="Arial" w:cs="Arial" w:eastAsia="Arial" w:hAnsi="Arial"/>
                <w:sz w:val="16"/>
                <w:szCs w:val="16"/>
                <w:color w:val="auto"/>
              </w:rPr>
              <w:t>Operating</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6"/>
                <w:szCs w:val="16"/>
                <w:color w:val="auto"/>
              </w:rPr>
              <w:t>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5,903</w:t>
            </w:r>
          </w:p>
        </w:tc>
        <w:tc>
          <w:tcPr>
            <w:tcW w:w="900" w:type="dxa"/>
            <w:vAlign w:val="bottom"/>
          </w:tcPr>
          <w:p>
            <w:pPr>
              <w:jc w:val="right"/>
              <w:spacing w:after="0"/>
              <w:rPr>
                <w:sz w:val="20"/>
                <w:szCs w:val="20"/>
                <w:color w:val="auto"/>
              </w:rPr>
            </w:pPr>
            <w:r>
              <w:rPr>
                <w:rFonts w:ascii="Arial" w:cs="Arial" w:eastAsia="Arial" w:hAnsi="Arial"/>
                <w:sz w:val="16"/>
                <w:szCs w:val="16"/>
                <w:color w:val="auto"/>
              </w:rPr>
              <w:t>17.6 %</w:t>
            </w:r>
          </w:p>
        </w:tc>
        <w:tc>
          <w:tcPr>
            <w:tcW w:w="16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3,400</w:t>
            </w:r>
          </w:p>
        </w:tc>
        <w:tc>
          <w:tcPr>
            <w:tcW w:w="840" w:type="dxa"/>
            <w:vAlign w:val="bottom"/>
          </w:tcPr>
          <w:p>
            <w:pPr>
              <w:jc w:val="right"/>
              <w:spacing w:after="0"/>
              <w:rPr>
                <w:sz w:val="20"/>
                <w:szCs w:val="20"/>
                <w:color w:val="auto"/>
              </w:rPr>
            </w:pPr>
            <w:r>
              <w:rPr>
                <w:rFonts w:ascii="Arial" w:cs="Arial" w:eastAsia="Arial" w:hAnsi="Arial"/>
                <w:sz w:val="16"/>
                <w:szCs w:val="16"/>
                <w:color w:val="auto"/>
              </w:rPr>
              <w:t>13.9 %</w:t>
            </w:r>
          </w:p>
        </w:tc>
        <w:tc>
          <w:tcPr>
            <w:tcW w:w="16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11,533</w:t>
            </w:r>
          </w:p>
        </w:tc>
        <w:tc>
          <w:tcPr>
            <w:tcW w:w="820" w:type="dxa"/>
            <w:vAlign w:val="bottom"/>
          </w:tcPr>
          <w:p>
            <w:pPr>
              <w:jc w:val="right"/>
              <w:spacing w:after="0"/>
              <w:rPr>
                <w:sz w:val="20"/>
                <w:szCs w:val="20"/>
                <w:color w:val="auto"/>
              </w:rPr>
            </w:pPr>
            <w:r>
              <w:rPr>
                <w:rFonts w:ascii="Arial" w:cs="Arial" w:eastAsia="Arial" w:hAnsi="Arial"/>
                <w:sz w:val="16"/>
                <w:szCs w:val="16"/>
                <w:color w:val="auto"/>
              </w:rPr>
              <w:t>17.8 %</w:t>
            </w:r>
          </w:p>
        </w:tc>
        <w:tc>
          <w:tcPr>
            <w:tcW w:w="1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6,545</w:t>
            </w:r>
          </w:p>
        </w:tc>
        <w:tc>
          <w:tcPr>
            <w:tcW w:w="820" w:type="dxa"/>
            <w:vAlign w:val="bottom"/>
          </w:tcPr>
          <w:p>
            <w:pPr>
              <w:jc w:val="right"/>
              <w:spacing w:after="0"/>
              <w:rPr>
                <w:sz w:val="20"/>
                <w:szCs w:val="20"/>
                <w:color w:val="auto"/>
              </w:rPr>
            </w:pPr>
            <w:r>
              <w:rPr>
                <w:rFonts w:ascii="Arial" w:cs="Arial" w:eastAsia="Arial" w:hAnsi="Arial"/>
                <w:sz w:val="16"/>
                <w:szCs w:val="16"/>
                <w:color w:val="auto"/>
              </w:rPr>
              <w:t>13.2 %</w:t>
            </w:r>
          </w:p>
        </w:tc>
      </w:tr>
    </w:tbl>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quarter ended June 30, 2021 increased approximately $9.0 million, or 36.8%, to $33.4 million, compared to the corresponding quarter ended June 30, 2020. Non-Dealer sales were approximately $16.5 million in the three months ended June 30, 2021 as compared to $11.4 million in the quarter ended June 30, 2020. The increase in Non-Dealer sales of $ 5.1 million or 45% is attributable to strong performance in the Farm and Fleet channel. Dealer sales totaled approximately $16.9 million in the three months ended June 30, 2021 compared to $13.1 million in the same period in 2020, representing an increase of $3.8 million or 29%.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totaled approximately 26.5% and 25.9% for the quarters ended June 30, 2021 and June 30, 2020, respectively. The increase in gross profit as a percentage of net sales during the three months ended June 30, 2021 compared to the same period in 2020 is primarily attributable to favorable operating efficiencies due to higher production volumes and reduced consumer rebates during the current quarter, offset by higher material costs.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Selling, general and administrative expense was $2.9 million for the three months ended June 30, 2021 as compared to $2.8 million in selling, general and administrative expense in the three months ended June 30, 2020. Selling, general and administrative expense represented 8.5% of net sales in the three months ended March 31, 2021 and 11.5% of net sales for the same period of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increased during the three months ended June 30, 2021 to $5.9 million, as compared to $3.4 million in the corresponding period in 2020. This increase was a result of the factors noted above.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six months ended June 30, 2021 increased approximately $15.5 million, or 31.4%, to $64.9 million, compared to the corresponding six months ended June 30, 2020. Non-Dealer sales were approximately $31.5 million in the six months ended June 30, 2021 as compared to $21.3 million in the quarter ended June 30, 2020. The increase in Non-Dealer sales of $10.2 million or 48% is attributable to strong performance in the Farm and Fleet channel. Dealer sales totaled approximately $33.4 million in the six months ended June 30, 2021 compared to $28.1 million in the same period in 2020, representing an increase of $5.3 million or 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totaled approximately 27.4% and 26.2% for the six months ended June 30, 2021 and June 30, 2020, respectively. The increase in gross profit as a percentage of net sales during the six months ended June 30, 2021 compared to the same period in 2020 is primarily attributable to favorable operating efficiencies due to higher production volumes and reduced consumer rebates during the current quarter.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Selling, general and administrative expense was $6.0 million for the six months ended June 30, 2021 as compared to $6.2 million in selling, general and administrative expense in the six months ended June 30, 2020. The decrease in selling, general and administrative expense in the first half of 2021 is due to spending reductions in advertising and promotion in an effort to manage demand for safes, partially offset by an increase in professional fees. Selling, general and administrative expense represented 9.2% of net sales in the six months ended June 30, 2021 and 12.5% of net sales for the same period of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increased during the six months ended June 30, 2021 to $11.5 million, as compared to $6.5 million in the corresponding period in 2020. This increase was a result of the factors noted above.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Marucci Sports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following results of operations, we provide comparative pro forma results of operations for Marucci for the three and six months ended June 30, 2020 as if we had acquired the business on January 1, 2020. The results of operations that follows include relevant pro-forma adjustments for pre-acquisition periods and explanations where applicable. The operating results for Marucci have been included in the consolidated results of operation from the date of acquisition in April 2020.</w:t>
      </w:r>
    </w:p>
    <w:p>
      <w:pPr>
        <w:spacing w:after="0" w:line="268"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1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163"/>
              <w:spacing w:after="0"/>
              <w:rPr>
                <w:sz w:val="20"/>
                <w:szCs w:val="20"/>
                <w:color w:val="auto"/>
              </w:rPr>
            </w:pPr>
            <w:r>
              <w:rPr>
                <w:rFonts w:ascii="Arial" w:cs="Arial" w:eastAsia="Arial" w:hAnsi="Arial"/>
                <w:sz w:val="16"/>
                <w:szCs w:val="16"/>
                <w:b w:val="1"/>
                <w:bCs w:val="1"/>
                <w:color w:val="auto"/>
              </w:rPr>
              <w:t>Six months ended</w:t>
            </w:r>
          </w:p>
        </w:tc>
        <w:tc>
          <w:tcPr>
            <w:tcW w:w="940" w:type="dxa"/>
            <w:vAlign w:val="bottom"/>
            <w:tcBorders>
              <w:bottom w:val="single" w:sz="8" w:color="auto"/>
            </w:tcBorders>
          </w:tcPr>
          <w:p>
            <w:pPr>
              <w:spacing w:after="0"/>
              <w:rPr>
                <w:sz w:val="18"/>
                <w:szCs w:val="18"/>
                <w:color w:val="auto"/>
              </w:rPr>
            </w:pPr>
          </w:p>
        </w:tc>
      </w:tr>
      <w:tr>
        <w:trPr>
          <w:trHeight w:val="237"/>
        </w:trPr>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ind w:left="16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20"/>
                <w:szCs w:val="20"/>
                <w:color w:val="auto"/>
              </w:rPr>
            </w:pPr>
          </w:p>
        </w:tc>
        <w:tc>
          <w:tcPr>
            <w:tcW w:w="1740" w:type="dxa"/>
            <w:vAlign w:val="bottom"/>
            <w:gridSpan w:val="3"/>
          </w:tcPr>
          <w:p>
            <w:pPr>
              <w:ind w:left="180"/>
              <w:spacing w:after="0"/>
              <w:rPr>
                <w:sz w:val="20"/>
                <w:szCs w:val="20"/>
                <w:color w:val="auto"/>
              </w:rPr>
            </w:pPr>
            <w:r>
              <w:rPr>
                <w:rFonts w:ascii="Arial" w:cs="Arial" w:eastAsia="Arial" w:hAnsi="Arial"/>
                <w:sz w:val="16"/>
                <w:szCs w:val="16"/>
                <w:b w:val="1"/>
                <w:bCs w:val="1"/>
                <w:color w:val="auto"/>
              </w:rPr>
              <w:t>June 30, 2020</w:t>
            </w:r>
          </w:p>
        </w:tc>
        <w:tc>
          <w:tcPr>
            <w:tcW w:w="220" w:type="dxa"/>
            <w:vAlign w:val="bottom"/>
          </w:tcPr>
          <w:p>
            <w:pPr>
              <w:spacing w:after="0"/>
              <w:rPr>
                <w:sz w:val="20"/>
                <w:szCs w:val="20"/>
                <w:color w:val="auto"/>
              </w:rPr>
            </w:pPr>
          </w:p>
        </w:tc>
        <w:tc>
          <w:tcPr>
            <w:tcW w:w="1760" w:type="dxa"/>
            <w:vAlign w:val="bottom"/>
            <w:gridSpan w:val="3"/>
          </w:tcPr>
          <w:p>
            <w:pPr>
              <w:ind w:left="16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20"/>
                <w:szCs w:val="20"/>
                <w:color w:val="auto"/>
              </w:rPr>
            </w:pPr>
          </w:p>
        </w:tc>
        <w:tc>
          <w:tcPr>
            <w:tcW w:w="1600" w:type="dxa"/>
            <w:vAlign w:val="bottom"/>
            <w:gridSpan w:val="2"/>
          </w:tcPr>
          <w:p>
            <w:pPr>
              <w:jc w:val="right"/>
              <w:ind w:right="304"/>
              <w:spacing w:after="0"/>
              <w:rPr>
                <w:sz w:val="20"/>
                <w:szCs w:val="20"/>
                <w:color w:val="auto"/>
              </w:rPr>
            </w:pPr>
            <w:r>
              <w:rPr>
                <w:rFonts w:ascii="Arial" w:cs="Arial" w:eastAsia="Arial" w:hAnsi="Arial"/>
                <w:sz w:val="16"/>
                <w:szCs w:val="16"/>
                <w:b w:val="1"/>
                <w:bCs w:val="1"/>
                <w:color w:val="auto"/>
              </w:rPr>
              <w:t>June 30, 2020</w:t>
            </w:r>
          </w:p>
        </w:tc>
      </w:tr>
      <w:tr>
        <w:trPr>
          <w:trHeight w:val="250"/>
        </w:trPr>
        <w:tc>
          <w:tcPr>
            <w:tcW w:w="14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720" w:type="dxa"/>
            <w:vAlign w:val="bottom"/>
            <w:tcBorders>
              <w:top w:val="single" w:sz="8" w:color="auto"/>
              <w:bottom w:val="single" w:sz="8" w:color="CCEEFF"/>
            </w:tcBorders>
          </w:tcPr>
          <w:p>
            <w:pPr>
              <w:spacing w:after="0"/>
              <w:rPr>
                <w:sz w:val="21"/>
                <w:szCs w:val="21"/>
                <w:color w:val="auto"/>
              </w:rPr>
            </w:pPr>
          </w:p>
        </w:tc>
        <w:tc>
          <w:tcPr>
            <w:tcW w:w="840" w:type="dxa"/>
            <w:vAlign w:val="bottom"/>
            <w:tcBorders>
              <w:top w:val="single" w:sz="8" w:color="auto"/>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Pro forma</w:t>
            </w:r>
          </w:p>
        </w:tc>
        <w:tc>
          <w:tcPr>
            <w:tcW w:w="960" w:type="dxa"/>
            <w:vAlign w:val="bottom"/>
            <w:tcBorders>
              <w:top w:val="single" w:sz="8" w:color="auto"/>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780" w:type="dxa"/>
            <w:vAlign w:val="bottom"/>
            <w:tcBorders>
              <w:top w:val="single" w:sz="8" w:color="auto"/>
              <w:bottom w:val="single" w:sz="8" w:color="CCEEFF"/>
            </w:tcBorders>
          </w:tcPr>
          <w:p>
            <w:pPr>
              <w:spacing w:after="0"/>
              <w:rPr>
                <w:sz w:val="21"/>
                <w:szCs w:val="21"/>
                <w:color w:val="auto"/>
              </w:rPr>
            </w:pPr>
          </w:p>
        </w:tc>
        <w:tc>
          <w:tcPr>
            <w:tcW w:w="800" w:type="dxa"/>
            <w:vAlign w:val="bottom"/>
            <w:tcBorders>
              <w:top w:val="single" w:sz="8" w:color="auto"/>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Pro forma</w:t>
            </w:r>
          </w:p>
        </w:tc>
        <w:tc>
          <w:tcPr>
            <w:tcW w:w="940" w:type="dxa"/>
            <w:vAlign w:val="bottom"/>
            <w:tcBorders>
              <w:top w:val="single" w:sz="8" w:color="auto"/>
              <w:bottom w:val="single" w:sz="8" w:color="CCEEFF"/>
            </w:tcBorders>
          </w:tcPr>
          <w:p>
            <w:pPr>
              <w:spacing w:after="0"/>
              <w:rPr>
                <w:sz w:val="21"/>
                <w:szCs w:val="21"/>
                <w:color w:val="auto"/>
              </w:rPr>
            </w:pPr>
          </w:p>
        </w:tc>
      </w:tr>
      <w:tr>
        <w:trPr>
          <w:trHeight w:val="253"/>
        </w:trPr>
        <w:tc>
          <w:tcPr>
            <w:tcW w:w="1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24,640</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5,521</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61,288</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27,756</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67"/>
        </w:trPr>
        <w:tc>
          <w:tcPr>
            <w:tcW w:w="14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63"/>
              <w:spacing w:after="0"/>
              <w:rPr>
                <w:sz w:val="20"/>
                <w:szCs w:val="20"/>
                <w:color w:val="auto"/>
              </w:rPr>
            </w:pPr>
            <w:r>
              <w:rPr>
                <w:rFonts w:ascii="Arial" w:cs="Arial" w:eastAsia="Arial" w:hAnsi="Arial"/>
                <w:sz w:val="15"/>
                <w:szCs w:val="15"/>
                <w:color w:val="auto"/>
              </w:rPr>
              <w:t>12,375</w:t>
            </w:r>
          </w:p>
        </w:tc>
        <w:tc>
          <w:tcPr>
            <w:tcW w:w="840" w:type="dxa"/>
            <w:vAlign w:val="bottom"/>
          </w:tcPr>
          <w:p>
            <w:pPr>
              <w:jc w:val="right"/>
              <w:spacing w:after="0"/>
              <w:rPr>
                <w:sz w:val="20"/>
                <w:szCs w:val="20"/>
                <w:color w:val="auto"/>
              </w:rPr>
            </w:pPr>
            <w:r>
              <w:rPr>
                <w:rFonts w:ascii="Arial" w:cs="Arial" w:eastAsia="Arial" w:hAnsi="Arial"/>
                <w:sz w:val="15"/>
                <w:szCs w:val="15"/>
                <w:color w:val="auto"/>
              </w:rPr>
              <w:t>50.2 %</w:t>
            </w:r>
          </w:p>
        </w:tc>
        <w:tc>
          <w:tcPr>
            <w:tcW w:w="16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(207)</w:t>
            </w:r>
          </w:p>
        </w:tc>
        <w:tc>
          <w:tcPr>
            <w:tcW w:w="960" w:type="dxa"/>
            <w:vAlign w:val="bottom"/>
          </w:tcPr>
          <w:p>
            <w:pPr>
              <w:jc w:val="right"/>
              <w:spacing w:after="0"/>
              <w:rPr>
                <w:sz w:val="20"/>
                <w:szCs w:val="20"/>
                <w:color w:val="auto"/>
              </w:rPr>
            </w:pPr>
            <w:r>
              <w:rPr>
                <w:rFonts w:ascii="Arial" w:cs="Arial" w:eastAsia="Arial" w:hAnsi="Arial"/>
                <w:sz w:val="15"/>
                <w:szCs w:val="15"/>
                <w:color w:val="auto"/>
              </w:rPr>
              <w:t>(3.7)%</w:t>
            </w:r>
          </w:p>
        </w:tc>
        <w:tc>
          <w:tcPr>
            <w:tcW w:w="140" w:type="dxa"/>
            <w:vAlign w:val="bottom"/>
          </w:tcPr>
          <w:p>
            <w:pPr>
              <w:spacing w:after="0"/>
              <w:rPr>
                <w:sz w:val="23"/>
                <w:szCs w:val="23"/>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143"/>
              <w:spacing w:after="0"/>
              <w:rPr>
                <w:sz w:val="20"/>
                <w:szCs w:val="20"/>
                <w:color w:val="auto"/>
              </w:rPr>
            </w:pPr>
            <w:r>
              <w:rPr>
                <w:rFonts w:ascii="Arial" w:cs="Arial" w:eastAsia="Arial" w:hAnsi="Arial"/>
                <w:sz w:val="15"/>
                <w:szCs w:val="15"/>
                <w:color w:val="auto"/>
              </w:rPr>
              <w:t>34,163</w:t>
            </w:r>
          </w:p>
        </w:tc>
        <w:tc>
          <w:tcPr>
            <w:tcW w:w="800" w:type="dxa"/>
            <w:vAlign w:val="bottom"/>
          </w:tcPr>
          <w:p>
            <w:pPr>
              <w:jc w:val="right"/>
              <w:spacing w:after="0"/>
              <w:rPr>
                <w:sz w:val="20"/>
                <w:szCs w:val="20"/>
                <w:color w:val="auto"/>
              </w:rPr>
            </w:pPr>
            <w:r>
              <w:rPr>
                <w:rFonts w:ascii="Arial" w:cs="Arial" w:eastAsia="Arial" w:hAnsi="Arial"/>
                <w:sz w:val="15"/>
                <w:szCs w:val="15"/>
                <w:color w:val="auto"/>
              </w:rPr>
              <w:t>55.7 %</w:t>
            </w:r>
          </w:p>
        </w:tc>
        <w:tc>
          <w:tcPr>
            <w:tcW w:w="180" w:type="dxa"/>
            <w:vAlign w:val="bottom"/>
          </w:tcPr>
          <w:p>
            <w:pPr>
              <w:spacing w:after="0"/>
              <w:rPr>
                <w:sz w:val="23"/>
                <w:szCs w:val="23"/>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3"/>
              <w:spacing w:after="0"/>
              <w:rPr>
                <w:sz w:val="20"/>
                <w:szCs w:val="20"/>
                <w:color w:val="auto"/>
              </w:rPr>
            </w:pPr>
            <w:r>
              <w:rPr>
                <w:rFonts w:ascii="Arial" w:cs="Arial" w:eastAsia="Arial" w:hAnsi="Arial"/>
                <w:sz w:val="15"/>
                <w:szCs w:val="15"/>
                <w:color w:val="auto"/>
              </w:rPr>
              <w:t>12,151</w:t>
            </w:r>
          </w:p>
        </w:tc>
        <w:tc>
          <w:tcPr>
            <w:tcW w:w="940" w:type="dxa"/>
            <w:vAlign w:val="bottom"/>
          </w:tcPr>
          <w:p>
            <w:pPr>
              <w:jc w:val="right"/>
              <w:spacing w:after="0"/>
              <w:rPr>
                <w:sz w:val="20"/>
                <w:szCs w:val="20"/>
                <w:color w:val="auto"/>
              </w:rPr>
            </w:pPr>
            <w:r>
              <w:rPr>
                <w:rFonts w:ascii="Arial" w:cs="Arial" w:eastAsia="Arial" w:hAnsi="Arial"/>
                <w:sz w:val="15"/>
                <w:szCs w:val="15"/>
                <w:color w:val="auto"/>
              </w:rPr>
              <w:t>43.8 %</w:t>
            </w:r>
          </w:p>
        </w:tc>
      </w:tr>
      <w:tr>
        <w:trPr>
          <w:trHeight w:val="273"/>
        </w:trPr>
        <w:tc>
          <w:tcPr>
            <w:tcW w:w="1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9,484</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8,004</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145.0 %</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18,938</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30.9 %</w:t>
            </w: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15,991</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57.6 %</w:t>
            </w:r>
          </w:p>
        </w:tc>
      </w:tr>
      <w:tr>
        <w:trPr>
          <w:trHeight w:val="177"/>
        </w:trPr>
        <w:tc>
          <w:tcPr>
            <w:tcW w:w="1400" w:type="dxa"/>
            <w:vAlign w:val="bottom"/>
          </w:tcPr>
          <w:p>
            <w:pPr>
              <w:ind w:left="20"/>
              <w:spacing w:after="0" w:line="178" w:lineRule="exact"/>
              <w:rPr>
                <w:sz w:val="20"/>
                <w:szCs w:val="20"/>
                <w:color w:val="auto"/>
              </w:rPr>
            </w:pPr>
            <w:r>
              <w:rPr>
                <w:rFonts w:ascii="Arial" w:cs="Arial" w:eastAsia="Arial" w:hAnsi="Arial"/>
                <w:sz w:val="16"/>
                <w:szCs w:val="16"/>
                <w:color w:val="auto"/>
              </w:rPr>
              <w:t>Amortization</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8"/>
        </w:trPr>
        <w:tc>
          <w:tcPr>
            <w:tcW w:w="1400" w:type="dxa"/>
            <w:vAlign w:val="bottom"/>
          </w:tcPr>
          <w:p>
            <w:pPr>
              <w:ind w:left="20"/>
              <w:spacing w:after="0"/>
              <w:rPr>
                <w:sz w:val="20"/>
                <w:szCs w:val="20"/>
                <w:color w:val="auto"/>
              </w:rPr>
            </w:pPr>
            <w:r>
              <w:rPr>
                <w:rFonts w:ascii="Arial" w:cs="Arial" w:eastAsia="Arial" w:hAnsi="Arial"/>
                <w:sz w:val="16"/>
                <w:szCs w:val="16"/>
                <w:color w:val="auto"/>
              </w:rPr>
              <w:t>expense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63"/>
              <w:spacing w:after="0"/>
              <w:rPr>
                <w:sz w:val="20"/>
                <w:szCs w:val="20"/>
                <w:color w:val="auto"/>
              </w:rPr>
            </w:pPr>
            <w:r>
              <w:rPr>
                <w:rFonts w:ascii="Arial" w:cs="Arial" w:eastAsia="Arial" w:hAnsi="Arial"/>
                <w:sz w:val="15"/>
                <w:szCs w:val="15"/>
                <w:color w:val="auto"/>
              </w:rPr>
              <w:t>1,586</w:t>
            </w:r>
          </w:p>
        </w:tc>
        <w:tc>
          <w:tcPr>
            <w:tcW w:w="840" w:type="dxa"/>
            <w:vAlign w:val="bottom"/>
          </w:tcPr>
          <w:p>
            <w:pPr>
              <w:jc w:val="right"/>
              <w:spacing w:after="0"/>
              <w:rPr>
                <w:sz w:val="20"/>
                <w:szCs w:val="20"/>
                <w:color w:val="auto"/>
              </w:rPr>
            </w:pPr>
            <w:r>
              <w:rPr>
                <w:rFonts w:ascii="Arial" w:cs="Arial" w:eastAsia="Arial" w:hAnsi="Arial"/>
                <w:sz w:val="15"/>
                <w:szCs w:val="15"/>
                <w:color w:val="auto"/>
              </w:rPr>
              <w:t>6.4 %</w:t>
            </w:r>
          </w:p>
        </w:tc>
        <w:tc>
          <w:tcPr>
            <w:tcW w:w="16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640" w:type="dxa"/>
            <w:vAlign w:val="bottom"/>
          </w:tcPr>
          <w:p>
            <w:pPr>
              <w:ind w:left="180"/>
              <w:spacing w:after="0"/>
              <w:rPr>
                <w:sz w:val="20"/>
                <w:szCs w:val="20"/>
                <w:color w:val="auto"/>
              </w:rPr>
            </w:pPr>
            <w:r>
              <w:rPr>
                <w:rFonts w:ascii="Arial" w:cs="Arial" w:eastAsia="Arial" w:hAnsi="Arial"/>
                <w:sz w:val="15"/>
                <w:szCs w:val="15"/>
                <w:color w:val="auto"/>
              </w:rPr>
              <w:t>1,656</w:t>
            </w:r>
          </w:p>
        </w:tc>
        <w:tc>
          <w:tcPr>
            <w:tcW w:w="960" w:type="dxa"/>
            <w:vAlign w:val="bottom"/>
          </w:tcPr>
          <w:p>
            <w:pPr>
              <w:jc w:val="right"/>
              <w:spacing w:after="0"/>
              <w:rPr>
                <w:sz w:val="20"/>
                <w:szCs w:val="20"/>
                <w:color w:val="auto"/>
              </w:rPr>
            </w:pPr>
            <w:r>
              <w:rPr>
                <w:rFonts w:ascii="Arial" w:cs="Arial" w:eastAsia="Arial" w:hAnsi="Arial"/>
                <w:sz w:val="15"/>
                <w:szCs w:val="15"/>
                <w:color w:val="auto"/>
              </w:rPr>
              <w:t>30.0 %</w:t>
            </w:r>
          </w:p>
        </w:tc>
        <w:tc>
          <w:tcPr>
            <w:tcW w:w="14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143"/>
              <w:spacing w:after="0"/>
              <w:rPr>
                <w:sz w:val="20"/>
                <w:szCs w:val="20"/>
                <w:color w:val="auto"/>
              </w:rPr>
            </w:pPr>
            <w:r>
              <w:rPr>
                <w:rFonts w:ascii="Arial" w:cs="Arial" w:eastAsia="Arial" w:hAnsi="Arial"/>
                <w:sz w:val="15"/>
                <w:szCs w:val="15"/>
                <w:color w:val="auto"/>
              </w:rPr>
              <w:t>3,288</w:t>
            </w:r>
          </w:p>
        </w:tc>
        <w:tc>
          <w:tcPr>
            <w:tcW w:w="800" w:type="dxa"/>
            <w:vAlign w:val="bottom"/>
          </w:tcPr>
          <w:p>
            <w:pPr>
              <w:jc w:val="right"/>
              <w:spacing w:after="0"/>
              <w:rPr>
                <w:sz w:val="20"/>
                <w:szCs w:val="20"/>
                <w:color w:val="auto"/>
              </w:rPr>
            </w:pPr>
            <w:r>
              <w:rPr>
                <w:rFonts w:ascii="Arial" w:cs="Arial" w:eastAsia="Arial" w:hAnsi="Arial"/>
                <w:sz w:val="15"/>
                <w:szCs w:val="15"/>
                <w:color w:val="auto"/>
              </w:rPr>
              <w:t>5.4 %</w:t>
            </w:r>
          </w:p>
        </w:tc>
        <w:tc>
          <w:tcPr>
            <w:tcW w:w="18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3"/>
              <w:spacing w:after="0"/>
              <w:rPr>
                <w:sz w:val="20"/>
                <w:szCs w:val="20"/>
                <w:color w:val="auto"/>
              </w:rPr>
            </w:pPr>
            <w:r>
              <w:rPr>
                <w:rFonts w:ascii="Arial" w:cs="Arial" w:eastAsia="Arial" w:hAnsi="Arial"/>
                <w:sz w:val="15"/>
                <w:szCs w:val="15"/>
                <w:color w:val="auto"/>
              </w:rPr>
              <w:t>3,310</w:t>
            </w:r>
          </w:p>
        </w:tc>
        <w:tc>
          <w:tcPr>
            <w:tcW w:w="940" w:type="dxa"/>
            <w:vAlign w:val="bottom"/>
          </w:tcPr>
          <w:p>
            <w:pPr>
              <w:jc w:val="right"/>
              <w:spacing w:after="0"/>
              <w:rPr>
                <w:sz w:val="20"/>
                <w:szCs w:val="20"/>
                <w:color w:val="auto"/>
              </w:rPr>
            </w:pPr>
            <w:r>
              <w:rPr>
                <w:rFonts w:ascii="Arial" w:cs="Arial" w:eastAsia="Arial" w:hAnsi="Arial"/>
                <w:sz w:val="15"/>
                <w:szCs w:val="15"/>
                <w:color w:val="auto"/>
              </w:rPr>
              <w:t>11.9 %</w:t>
            </w:r>
          </w:p>
        </w:tc>
      </w:tr>
      <w:tr>
        <w:trPr>
          <w:trHeight w:val="180"/>
        </w:trPr>
        <w:tc>
          <w:tcPr>
            <w:tcW w:w="14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Operating</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1"/>
        </w:trPr>
        <w:tc>
          <w:tcPr>
            <w:tcW w:w="1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1,180</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(9,992)</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11,687</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19.1 %</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(7,400)</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of operations include the following pro form adjustments as if we had acquired Marucci January 1, 2020:</w:t>
      </w:r>
    </w:p>
    <w:p>
      <w:pPr>
        <w:spacing w:after="0" w:line="88" w:lineRule="exact"/>
        <w:rPr>
          <w:sz w:val="20"/>
          <w:szCs w:val="20"/>
          <w:color w:val="auto"/>
        </w:rPr>
      </w:pPr>
    </w:p>
    <w:p>
      <w:pPr>
        <w:ind w:left="660" w:right="40" w:hanging="328"/>
        <w:spacing w:after="0" w:line="252" w:lineRule="auto"/>
        <w:tabs>
          <w:tab w:leader="none" w:pos="648"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Depreciation expense associated with the increase in depreciable lives of capital assets of $0.1 million and $0.2 million, respectively in the three and six months ended June 30, 2020.</w:t>
      </w:r>
    </w:p>
    <w:p>
      <w:pPr>
        <w:spacing w:after="0" w:line="45" w:lineRule="exact"/>
        <w:rPr>
          <w:rFonts w:ascii="Arial" w:cs="Arial" w:eastAsia="Arial" w:hAnsi="Arial"/>
          <w:sz w:val="16"/>
          <w:szCs w:val="16"/>
          <w:color w:val="auto"/>
        </w:rPr>
      </w:pPr>
    </w:p>
    <w:p>
      <w:pPr>
        <w:ind w:left="660" w:right="340" w:hanging="328"/>
        <w:spacing w:after="0" w:line="252" w:lineRule="auto"/>
        <w:tabs>
          <w:tab w:leader="none" w:pos="648"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Amortization expense associated with the intangible assets recorded in connection with the purchase price allocation for Marucci of $0.4 million and $0.8 million, respectively, for the three and six months ended June 30, 2020.</w:t>
      </w:r>
    </w:p>
    <w:p>
      <w:pPr>
        <w:spacing w:after="0" w:line="45"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Management fees that would have been payable to the Manager during each period.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i w:val="1"/>
          <w:iCs w:val="1"/>
          <w:color w:val="auto"/>
        </w:rPr>
        <w:t>Three months ended June 30, 2021 compared to pro forma three months ended June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June 30, 2021 were $24.6 million, an increase of $ 19.1 million as compared to net sales of $5.5 million for the three months ended June 30, 2020. During the second quarter of 2020, Marucci experienced a significant slowdown in sales as the COVID-19 pandemic led to the postponement of the baseball and softball seasons throughout much of the United States. During the current quarter, Marucci has continued to see increased customer demand and improved market share in many of Marucci's key product lines including aluminum and wood bats, batting gloves, and bags. The increased sales from these products occurred in both retail and direct channels.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Gross profit for the quarter ended June 30, 2021 increased $12.6 million as compared to the three months ended June 30, 2020. Gross profit as a percentage of net sales for the three months ended June 30, 2021 was 50.2%, as compared to gross profit as a percentage of sales of (3.7)% for the three months ended June 30, 2020. In the prior year, Marucci recorded $3.0 million in amortization of the inventory step-up resulting from the acquisition purchase price allocation. Excluding the effect of the step-up amortization, the gross profit as a percentage of net sales for the three months ended June 30, 2020 was 50.6%. During the current quarter, Marucci's facilities in Baton Rouge were damaged by floodwaters, which resulted in the write-off of $1.8 million in inventory. Excluding the write-off related to the flood, gross profit as a percentage of net sales during the quarter ended June 30, 2021 would have been higher than the prior year due to various factors including a shift of product mix in favor of higher margin products, mainly its aluminum bats, and channel mix, with increased sales through Marucci's higher margin direct-to-consumer and e-commerce channels.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three months ended June 30, 2021 was $9.5 million, or 38.5% of net sales compared to $8.0 million, or 145.0% of net sales for the three months ended June 30, 2020. Selling, general and administrative expense for the three months ended June 30, 2021 includes $0.5 million in integration service fees paid to CGM. The remainder of the increase in selling, general and administrative expense for the three months ended June 30, 2021 correlates to the increase in net sales, with increases in credit card expenses, royalties, commissions, business development fees, and other variable expenses.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(loss) from operations</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three months ended June 30, 2021 was $1.2 million, an increase of $11.2 million when compared to loss from operations of $10.0 million for the same period in 2020, primarily as a result of the factors noted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2021 compared to pro forma six months ended June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six months ended June 30, 2021 were $ 61.3 million, an increase of $ 33.5 million as compared to net sales of $27.8 million for the six months ended June 30, 2020. The increase in net sales during the six months ended June 30, 2021 was primarily due to increased customer demand and market shares in many of Marucci's key product lines including aluminum and wood bats, batting gloves, and bags. The increased sales from these products occurred in both retail and direct channels. In the prior year, the shutdown of professional and youth baseball and softball in March as a response to the COVID-19 pandemic led to a significant drop off in demand for product through the end of the second quarter.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for the quarter ended June 30, 2021 increased $22.0 million as compared to the six months ended June 30, 2020. Gross profit as a percentage of net sales for the six months ended June 30, 2021 was 55.7%, as compared to gross profit as a percentage of sales of 43.8% for the six months ended June 30, 2020. In the prior year, Marucci recorded $3.0 million in amortization of the inventory step-up resulting from the acquisition purchase price allocation. Excluding the effect of the step-up amortization, the gross profit as a percentage of net sales for the six months ended June 30, 2020 was 54.6%. During the current year, Marucci's facilities in Baton Rouge were damaged by floodwaters, which resulted in the write-off of $1.8 million in inventory. Despite the effect of the write-off related to the flood, gross profit as a percentage of net sales during the six months ended June 30, 2021 was higher than the prior year due to various factors including a shift of product mix in favor of higher margin products, mainly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1" w:name="page52"/>
    <w:bookmarkEnd w:id="51"/>
    <w:p>
      <w:pPr>
        <w:ind w:right="320"/>
        <w:spacing w:after="0" w:line="406" w:lineRule="auto"/>
        <w:rPr>
          <w:sz w:val="20"/>
          <w:szCs w:val="20"/>
          <w:color w:val="auto"/>
        </w:rPr>
      </w:pPr>
      <w:r>
        <w:rPr>
          <w:rFonts w:ascii="Arial" w:cs="Arial" w:eastAsia="Arial" w:hAnsi="Arial"/>
          <w:sz w:val="18"/>
          <w:szCs w:val="18"/>
          <w:color w:val="auto"/>
        </w:rPr>
        <w:t xml:space="preserve">its aluminum bats, and channel mix, with increased sales through Marucci's higher margin direct-to-consumer and e-commerce channels. </w:t>
      </w:r>
      <w:r>
        <w:rPr>
          <w:rFonts w:ascii="Arial" w:cs="Arial" w:eastAsia="Arial" w:hAnsi="Arial"/>
          <w:sz w:val="18"/>
          <w:szCs w:val="18"/>
          <w:u w:val="single" w:color="auto"/>
          <w:color w:val="auto"/>
        </w:rPr>
        <w:t>Selling, general and administrative expense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six months ended June 30, 2021 was $18.9 million, or 30.9% of net sales compared to $16.0 million, or 57.6% of net sales for the six months ended June 30, 2020. Selling, general and administrative expense for the six months ended June 30, 2021 includes $1.0 million in in integration service fees paid to CGM. The remainder of the increase in selling, general and administrative expense for the six months ended June 30, 2021 correlates to the increase in net sales, with increases in credit card expenses, royalties, commissions, business development fees, and other variable expenses.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(loss) from operations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six months ended June 30, 2021 was $11.7 million, an increase of $19.1 million when compared to loss from operations of $7.4 million for the same period in 2020, primarily as a result of the factors noted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Velocity Outdoor</w:t>
      </w:r>
    </w:p>
    <w:p>
      <w:pPr>
        <w:spacing w:after="0" w:line="324" w:lineRule="exact"/>
        <w:rPr>
          <w:sz w:val="20"/>
          <w:szCs w:val="20"/>
          <w:color w:val="auto"/>
        </w:rPr>
      </w:pPr>
    </w:p>
    <w:tbl>
      <w:tblPr>
        <w:tblLayout w:type="fixed"/>
        <w:tblInd w:w="1120" w:type="dxa"/>
        <w:tblCellMar>
          <w:top w:w="0" w:type="dxa"/>
          <w:left w:w="0" w:type="dxa"/>
          <w:bottom w:w="0" w:type="dxa"/>
          <w:right w:w="0" w:type="dxa"/>
        </w:tblCellMar>
      </w:tblPr>
      <w:tr>
        <w:trPr>
          <w:trHeight w:val="218"/>
        </w:trPr>
        <w:tc>
          <w:tcPr>
            <w:tcW w:w="1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183"/>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6"/>
                <w:szCs w:val="16"/>
                <w:b w:val="1"/>
                <w:bCs w:val="1"/>
                <w:color w:val="auto"/>
              </w:rPr>
              <w:t>Six months ended</w:t>
            </w:r>
          </w:p>
        </w:tc>
        <w:tc>
          <w:tcPr>
            <w:tcW w:w="800" w:type="dxa"/>
            <w:vAlign w:val="bottom"/>
            <w:tcBorders>
              <w:bottom w:val="single" w:sz="8" w:color="auto"/>
            </w:tcBorders>
          </w:tcPr>
          <w:p>
            <w:pPr>
              <w:spacing w:after="0"/>
              <w:rPr>
                <w:sz w:val="18"/>
                <w:szCs w:val="18"/>
                <w:color w:val="auto"/>
              </w:rPr>
            </w:pPr>
          </w:p>
        </w:tc>
      </w:tr>
      <w:tr>
        <w:trPr>
          <w:trHeight w:val="250"/>
        </w:trPr>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3"/>
          </w:tcPr>
          <w:p>
            <w:pPr>
              <w:ind w:left="16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21"/>
                <w:szCs w:val="21"/>
                <w:color w:val="auto"/>
              </w:rPr>
            </w:pPr>
          </w:p>
        </w:tc>
        <w:tc>
          <w:tcPr>
            <w:tcW w:w="1720" w:type="dxa"/>
            <w:vAlign w:val="bottom"/>
            <w:gridSpan w:val="3"/>
          </w:tcPr>
          <w:p>
            <w:pPr>
              <w:ind w:left="1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820" w:type="dxa"/>
            <w:vAlign w:val="bottom"/>
            <w:gridSpan w:val="3"/>
          </w:tcPr>
          <w:p>
            <w:pPr>
              <w:ind w:left="20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Pr>
          <w:p>
            <w:pPr>
              <w:spacing w:after="0"/>
              <w:rPr>
                <w:sz w:val="21"/>
                <w:szCs w:val="21"/>
                <w:color w:val="auto"/>
              </w:rPr>
            </w:pPr>
          </w:p>
        </w:tc>
        <w:tc>
          <w:tcPr>
            <w:tcW w:w="1620" w:type="dxa"/>
            <w:vAlign w:val="bottom"/>
            <w:gridSpan w:val="2"/>
          </w:tcPr>
          <w:p>
            <w:pPr>
              <w:jc w:val="right"/>
              <w:ind w:right="324"/>
              <w:spacing w:after="0"/>
              <w:rPr>
                <w:sz w:val="20"/>
                <w:szCs w:val="20"/>
                <w:color w:val="auto"/>
              </w:rPr>
            </w:pPr>
            <w:r>
              <w:rPr>
                <w:rFonts w:ascii="Arial" w:cs="Arial" w:eastAsia="Arial" w:hAnsi="Arial"/>
                <w:sz w:val="16"/>
                <w:szCs w:val="16"/>
                <w:b w:val="1"/>
                <w:bCs w:val="1"/>
                <w:color w:val="auto"/>
              </w:rPr>
              <w:t>June 30, 2020</w:t>
            </w:r>
          </w:p>
        </w:tc>
      </w:tr>
      <w:tr>
        <w:trPr>
          <w:trHeight w:val="253"/>
        </w:trPr>
        <w:tc>
          <w:tcPr>
            <w:tcW w:w="1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63,358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47,221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128,990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77,611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67"/>
        </w:trPr>
        <w:tc>
          <w:tcPr>
            <w:tcW w:w="13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63"/>
              <w:spacing w:after="0"/>
              <w:rPr>
                <w:sz w:val="20"/>
                <w:szCs w:val="20"/>
                <w:color w:val="auto"/>
              </w:rPr>
            </w:pPr>
            <w:r>
              <w:rPr>
                <w:rFonts w:ascii="Arial" w:cs="Arial" w:eastAsia="Arial" w:hAnsi="Arial"/>
                <w:sz w:val="15"/>
                <w:szCs w:val="15"/>
                <w:color w:val="auto"/>
              </w:rPr>
              <w:t>19,961</w:t>
            </w:r>
          </w:p>
        </w:tc>
        <w:tc>
          <w:tcPr>
            <w:tcW w:w="840" w:type="dxa"/>
            <w:vAlign w:val="bottom"/>
          </w:tcPr>
          <w:p>
            <w:pPr>
              <w:jc w:val="right"/>
              <w:spacing w:after="0"/>
              <w:rPr>
                <w:sz w:val="20"/>
                <w:szCs w:val="20"/>
                <w:color w:val="auto"/>
              </w:rPr>
            </w:pPr>
            <w:r>
              <w:rPr>
                <w:rFonts w:ascii="Arial" w:cs="Arial" w:eastAsia="Arial" w:hAnsi="Arial"/>
                <w:sz w:val="15"/>
                <w:szCs w:val="15"/>
                <w:color w:val="auto"/>
              </w:rPr>
              <w:t>31.5 %</w:t>
            </w:r>
          </w:p>
        </w:tc>
        <w:tc>
          <w:tcPr>
            <w:tcW w:w="140" w:type="dxa"/>
            <w:vAlign w:val="bottom"/>
          </w:tcPr>
          <w:p>
            <w:pPr>
              <w:spacing w:after="0"/>
              <w:rPr>
                <w:sz w:val="23"/>
                <w:szCs w:val="23"/>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12,810</w:t>
            </w:r>
          </w:p>
        </w:tc>
        <w:tc>
          <w:tcPr>
            <w:tcW w:w="800" w:type="dxa"/>
            <w:vAlign w:val="bottom"/>
          </w:tcPr>
          <w:p>
            <w:pPr>
              <w:jc w:val="right"/>
              <w:spacing w:after="0"/>
              <w:rPr>
                <w:sz w:val="20"/>
                <w:szCs w:val="20"/>
                <w:color w:val="auto"/>
              </w:rPr>
            </w:pPr>
            <w:r>
              <w:rPr>
                <w:rFonts w:ascii="Arial" w:cs="Arial" w:eastAsia="Arial" w:hAnsi="Arial"/>
                <w:sz w:val="15"/>
                <w:szCs w:val="15"/>
                <w:color w:val="auto"/>
              </w:rPr>
              <w:t>27.1 %</w:t>
            </w:r>
          </w:p>
        </w:tc>
        <w:tc>
          <w:tcPr>
            <w:tcW w:w="120" w:type="dxa"/>
            <w:vAlign w:val="bottom"/>
          </w:tcPr>
          <w:p>
            <w:pPr>
              <w:spacing w:after="0"/>
              <w:rPr>
                <w:sz w:val="23"/>
                <w:szCs w:val="23"/>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3"/>
              <w:spacing w:after="0"/>
              <w:rPr>
                <w:sz w:val="20"/>
                <w:szCs w:val="20"/>
                <w:color w:val="auto"/>
              </w:rPr>
            </w:pPr>
            <w:r>
              <w:rPr>
                <w:rFonts w:ascii="Arial" w:cs="Arial" w:eastAsia="Arial" w:hAnsi="Arial"/>
                <w:sz w:val="15"/>
                <w:szCs w:val="15"/>
                <w:color w:val="auto"/>
              </w:rPr>
              <w:t>41,117</w:t>
            </w:r>
          </w:p>
        </w:tc>
        <w:tc>
          <w:tcPr>
            <w:tcW w:w="840" w:type="dxa"/>
            <w:vAlign w:val="bottom"/>
          </w:tcPr>
          <w:p>
            <w:pPr>
              <w:jc w:val="right"/>
              <w:spacing w:after="0"/>
              <w:rPr>
                <w:sz w:val="20"/>
                <w:szCs w:val="20"/>
                <w:color w:val="auto"/>
              </w:rPr>
            </w:pPr>
            <w:r>
              <w:rPr>
                <w:rFonts w:ascii="Arial" w:cs="Arial" w:eastAsia="Arial" w:hAnsi="Arial"/>
                <w:sz w:val="15"/>
                <w:szCs w:val="15"/>
                <w:color w:val="auto"/>
              </w:rPr>
              <w:t>31.9 %</w:t>
            </w:r>
          </w:p>
        </w:tc>
        <w:tc>
          <w:tcPr>
            <w:tcW w:w="140" w:type="dxa"/>
            <w:vAlign w:val="bottom"/>
          </w:tcPr>
          <w:p>
            <w:pPr>
              <w:spacing w:after="0"/>
              <w:rPr>
                <w:sz w:val="23"/>
                <w:szCs w:val="23"/>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143"/>
              <w:spacing w:after="0"/>
              <w:rPr>
                <w:sz w:val="20"/>
                <w:szCs w:val="20"/>
                <w:color w:val="auto"/>
              </w:rPr>
            </w:pPr>
            <w:r>
              <w:rPr>
                <w:rFonts w:ascii="Arial" w:cs="Arial" w:eastAsia="Arial" w:hAnsi="Arial"/>
                <w:sz w:val="15"/>
                <w:szCs w:val="15"/>
                <w:color w:val="auto"/>
              </w:rPr>
              <w:t>20,753</w:t>
            </w:r>
          </w:p>
        </w:tc>
        <w:tc>
          <w:tcPr>
            <w:tcW w:w="800" w:type="dxa"/>
            <w:vAlign w:val="bottom"/>
          </w:tcPr>
          <w:p>
            <w:pPr>
              <w:jc w:val="right"/>
              <w:spacing w:after="0"/>
              <w:rPr>
                <w:sz w:val="20"/>
                <w:szCs w:val="20"/>
                <w:color w:val="auto"/>
              </w:rPr>
            </w:pPr>
            <w:r>
              <w:rPr>
                <w:rFonts w:ascii="Arial" w:cs="Arial" w:eastAsia="Arial" w:hAnsi="Arial"/>
                <w:sz w:val="15"/>
                <w:szCs w:val="15"/>
                <w:color w:val="auto"/>
              </w:rPr>
              <w:t>26.7 %</w:t>
            </w:r>
          </w:p>
        </w:tc>
      </w:tr>
      <w:tr>
        <w:trPr>
          <w:trHeight w:val="273"/>
        </w:trPr>
        <w:tc>
          <w:tcPr>
            <w:tcW w:w="1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8,453</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13.3 %</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6,404</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13.6 %</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16,167</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12.5 %</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13,103</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16.9 %</w:t>
            </w:r>
          </w:p>
        </w:tc>
      </w:tr>
      <w:tr>
        <w:trPr>
          <w:trHeight w:val="177"/>
        </w:trPr>
        <w:tc>
          <w:tcPr>
            <w:tcW w:w="132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5"/>
        </w:trPr>
        <w:tc>
          <w:tcPr>
            <w:tcW w:w="1320" w:type="dxa"/>
            <w:vAlign w:val="bottom"/>
          </w:tcPr>
          <w:p>
            <w:pPr>
              <w:ind w:left="20"/>
              <w:spacing w:after="0"/>
              <w:rPr>
                <w:sz w:val="20"/>
                <w:szCs w:val="20"/>
                <w:color w:val="auto"/>
              </w:rPr>
            </w:pPr>
            <w:r>
              <w:rPr>
                <w:rFonts w:ascii="Arial" w:cs="Arial" w:eastAsia="Arial" w:hAnsi="Arial"/>
                <w:sz w:val="16"/>
                <w:szCs w:val="16"/>
                <w:color w:val="auto"/>
              </w:rPr>
              <w:t>income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63"/>
              <w:spacing w:after="0"/>
              <w:rPr>
                <w:sz w:val="20"/>
                <w:szCs w:val="20"/>
                <w:color w:val="auto"/>
              </w:rPr>
            </w:pPr>
            <w:r>
              <w:rPr>
                <w:rFonts w:ascii="Arial" w:cs="Arial" w:eastAsia="Arial" w:hAnsi="Arial"/>
                <w:sz w:val="15"/>
                <w:szCs w:val="15"/>
                <w:color w:val="auto"/>
              </w:rPr>
              <w:t>9,100</w:t>
            </w:r>
          </w:p>
        </w:tc>
        <w:tc>
          <w:tcPr>
            <w:tcW w:w="840" w:type="dxa"/>
            <w:vAlign w:val="bottom"/>
          </w:tcPr>
          <w:p>
            <w:pPr>
              <w:jc w:val="right"/>
              <w:spacing w:after="0"/>
              <w:rPr>
                <w:sz w:val="20"/>
                <w:szCs w:val="20"/>
                <w:color w:val="auto"/>
              </w:rPr>
            </w:pPr>
            <w:r>
              <w:rPr>
                <w:rFonts w:ascii="Arial" w:cs="Arial" w:eastAsia="Arial" w:hAnsi="Arial"/>
                <w:sz w:val="15"/>
                <w:szCs w:val="15"/>
                <w:color w:val="auto"/>
              </w:rPr>
              <w:t>14.4 %</w:t>
            </w:r>
          </w:p>
        </w:tc>
        <w:tc>
          <w:tcPr>
            <w:tcW w:w="14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3,998</w:t>
            </w:r>
          </w:p>
        </w:tc>
        <w:tc>
          <w:tcPr>
            <w:tcW w:w="800" w:type="dxa"/>
            <w:vAlign w:val="bottom"/>
          </w:tcPr>
          <w:p>
            <w:pPr>
              <w:jc w:val="right"/>
              <w:spacing w:after="0"/>
              <w:rPr>
                <w:sz w:val="20"/>
                <w:szCs w:val="20"/>
                <w:color w:val="auto"/>
              </w:rPr>
            </w:pPr>
            <w:r>
              <w:rPr>
                <w:rFonts w:ascii="Arial" w:cs="Arial" w:eastAsia="Arial" w:hAnsi="Arial"/>
                <w:sz w:val="15"/>
                <w:szCs w:val="15"/>
                <w:color w:val="auto"/>
              </w:rPr>
              <w:t>8.5 %</w:t>
            </w:r>
          </w:p>
        </w:tc>
        <w:tc>
          <w:tcPr>
            <w:tcW w:w="12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23"/>
              <w:spacing w:after="0"/>
              <w:rPr>
                <w:sz w:val="20"/>
                <w:szCs w:val="20"/>
                <w:color w:val="auto"/>
              </w:rPr>
            </w:pPr>
            <w:r>
              <w:rPr>
                <w:rFonts w:ascii="Arial" w:cs="Arial" w:eastAsia="Arial" w:hAnsi="Arial"/>
                <w:sz w:val="15"/>
                <w:szCs w:val="15"/>
                <w:color w:val="auto"/>
              </w:rPr>
              <w:t>20,134</w:t>
            </w:r>
          </w:p>
        </w:tc>
        <w:tc>
          <w:tcPr>
            <w:tcW w:w="840" w:type="dxa"/>
            <w:vAlign w:val="bottom"/>
          </w:tcPr>
          <w:p>
            <w:pPr>
              <w:jc w:val="right"/>
              <w:spacing w:after="0"/>
              <w:rPr>
                <w:sz w:val="20"/>
                <w:szCs w:val="20"/>
                <w:color w:val="auto"/>
              </w:rPr>
            </w:pPr>
            <w:r>
              <w:rPr>
                <w:rFonts w:ascii="Arial" w:cs="Arial" w:eastAsia="Arial" w:hAnsi="Arial"/>
                <w:sz w:val="15"/>
                <w:szCs w:val="15"/>
                <w:color w:val="auto"/>
              </w:rPr>
              <w:t>15.6 %</w:t>
            </w:r>
          </w:p>
        </w:tc>
        <w:tc>
          <w:tcPr>
            <w:tcW w:w="14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143"/>
              <w:spacing w:after="0"/>
              <w:rPr>
                <w:sz w:val="20"/>
                <w:szCs w:val="20"/>
                <w:color w:val="auto"/>
              </w:rPr>
            </w:pPr>
            <w:r>
              <w:rPr>
                <w:rFonts w:ascii="Arial" w:cs="Arial" w:eastAsia="Arial" w:hAnsi="Arial"/>
                <w:sz w:val="15"/>
                <w:szCs w:val="15"/>
                <w:color w:val="auto"/>
              </w:rPr>
              <w:t>2,834</w:t>
            </w:r>
          </w:p>
        </w:tc>
        <w:tc>
          <w:tcPr>
            <w:tcW w:w="800" w:type="dxa"/>
            <w:vAlign w:val="bottom"/>
          </w:tcPr>
          <w:p>
            <w:pPr>
              <w:jc w:val="right"/>
              <w:spacing w:after="0"/>
              <w:rPr>
                <w:sz w:val="20"/>
                <w:szCs w:val="20"/>
                <w:color w:val="auto"/>
              </w:rPr>
            </w:pPr>
            <w:r>
              <w:rPr>
                <w:rFonts w:ascii="Arial" w:cs="Arial" w:eastAsia="Arial" w:hAnsi="Arial"/>
                <w:sz w:val="15"/>
                <w:szCs w:val="15"/>
                <w:color w:val="auto"/>
              </w:rPr>
              <w:t>3.7 %</w:t>
            </w: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three months ended June 30, 2021 were $63.4 million, an increase of $16.1 million or 34.2%, compared to the same period in 2020. The increase in net sales for the three months ended June 30, 2021 is primarily due to significant increase in consumer demand across all Velocity Outdoor product lines.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for the quarter ended June 30, 2021 increased $7.2 million as compared to the quarter ended June 30, 2020. Gross profit as a percentage of net sales was 31.5% for the three months ended June 30, 2021 as compared to 27.1% in the three months ended June 30, 2020. The increase in gross profit as a percentage of net sales was primarily attributable to favorable sales product mix of airguns, archery equipment and consumables.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June 30, 2021 was $8.5 million, or 13.3% of net sales compared to $6.4 million, or 13.6% of net sales for the three months ended June 30, 2020. The increase in selling, general and administrative expense for the three months ended June 30, 2021 is primarily related to volume driven expenses that correlate to the increase in sales, as well as additional investments in marketing and additional professional fees.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June 30, 2021 was $9.1 million, an increase of $5.1 million when compared to income from operations of $4.0 million for the same period in 2020 based on the factors noted above.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six months ended June 30, 2021 were $129.0 million, an increase of $51.4 million or 66.2%, compared to the same period in 2020. The increase in net sales for the six months ended June 30, 2021 is primarily due to significant increase in consumer demand across all Velocity Outdoor product lines.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for the quarter ended June 30, 2021 increased $20.4 million as compared to the quarter ended June 30, 2020. Gross profit as a percentage of net sales was 31.9% for the six months ended June 30, 2021 as compared to 26.7% in the six months ended June 30, 2020. The increase in gross profit as a percentage of net sales was primarily attributable to favorable sales product mix of airguns, archery equipment and consumables.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six months ended June 30, 2021 was $16.2 million, or 12.5% of net sales compared to $13.1 million, or 16.9% of net sales for the six months ended June 30, 2020. The increase in selling, general and administrative expense for the six months ended June 30, 2021 is primarily related to volume driven expenses that correlate to the increase in sales, as well as additional investments in marketing.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six months ended June 30, 2021 was $ 20.1 million, an increase of $17.3 million when compared to income from operations of $2.8 million for the same period in 2020 based on the factors noted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Circuits</w:t>
      </w:r>
    </w:p>
    <w:p>
      <w:pPr>
        <w:spacing w:after="0" w:line="270" w:lineRule="exact"/>
        <w:rPr>
          <w:sz w:val="20"/>
          <w:szCs w:val="20"/>
          <w:color w:val="auto"/>
        </w:rPr>
      </w:pPr>
    </w:p>
    <w:tbl>
      <w:tblPr>
        <w:tblLayout w:type="fixed"/>
        <w:tblInd w:w="1080" w:type="dxa"/>
        <w:tblCellMar>
          <w:top w:w="0" w:type="dxa"/>
          <w:left w:w="0" w:type="dxa"/>
          <w:bottom w:w="0" w:type="dxa"/>
          <w:right w:w="0" w:type="dxa"/>
        </w:tblCellMar>
      </w:tblPr>
      <w:tr>
        <w:trPr>
          <w:trHeight w:val="218"/>
        </w:trPr>
        <w:tc>
          <w:tcPr>
            <w:tcW w:w="1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Six months ended</w:t>
            </w:r>
          </w:p>
        </w:tc>
        <w:tc>
          <w:tcPr>
            <w:tcW w:w="820" w:type="dxa"/>
            <w:vAlign w:val="bottom"/>
            <w:tcBorders>
              <w:bottom w:val="single" w:sz="8" w:color="auto"/>
            </w:tcBorders>
          </w:tcPr>
          <w:p>
            <w:pPr>
              <w:spacing w:after="0"/>
              <w:rPr>
                <w:sz w:val="18"/>
                <w:szCs w:val="18"/>
                <w:color w:val="auto"/>
              </w:rPr>
            </w:pPr>
          </w:p>
        </w:tc>
      </w:tr>
      <w:tr>
        <w:trPr>
          <w:trHeight w:val="250"/>
        </w:trPr>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ind w:left="16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Pr>
          <w:p>
            <w:pPr>
              <w:spacing w:after="0"/>
              <w:rPr>
                <w:sz w:val="21"/>
                <w:szCs w:val="21"/>
                <w:color w:val="auto"/>
              </w:rPr>
            </w:pPr>
          </w:p>
        </w:tc>
        <w:tc>
          <w:tcPr>
            <w:tcW w:w="1760" w:type="dxa"/>
            <w:vAlign w:val="bottom"/>
            <w:gridSpan w:val="3"/>
          </w:tcPr>
          <w:p>
            <w:pPr>
              <w:ind w:left="180"/>
              <w:spacing w:after="0"/>
              <w:rPr>
                <w:sz w:val="20"/>
                <w:szCs w:val="20"/>
                <w:color w:val="auto"/>
              </w:rPr>
            </w:pPr>
            <w:r>
              <w:rPr>
                <w:rFonts w:ascii="Arial" w:cs="Arial" w:eastAsia="Arial" w:hAnsi="Arial"/>
                <w:sz w:val="16"/>
                <w:szCs w:val="16"/>
                <w:b w:val="1"/>
                <w:bCs w:val="1"/>
                <w:color w:val="auto"/>
              </w:rPr>
              <w:t>June 30, 2020</w:t>
            </w:r>
          </w:p>
        </w:tc>
        <w:tc>
          <w:tcPr>
            <w:tcW w:w="220" w:type="dxa"/>
            <w:vAlign w:val="bottom"/>
          </w:tcPr>
          <w:p>
            <w:pPr>
              <w:spacing w:after="0"/>
              <w:rPr>
                <w:sz w:val="21"/>
                <w:szCs w:val="21"/>
                <w:color w:val="auto"/>
              </w:rPr>
            </w:pPr>
          </w:p>
        </w:tc>
        <w:tc>
          <w:tcPr>
            <w:tcW w:w="1820" w:type="dxa"/>
            <w:vAlign w:val="bottom"/>
            <w:gridSpan w:val="3"/>
          </w:tcPr>
          <w:p>
            <w:pPr>
              <w:ind w:left="18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Pr>
          <w:p>
            <w:pPr>
              <w:spacing w:after="0"/>
              <w:rPr>
                <w:sz w:val="21"/>
                <w:szCs w:val="21"/>
                <w:color w:val="auto"/>
              </w:rPr>
            </w:pPr>
          </w:p>
        </w:tc>
        <w:tc>
          <w:tcPr>
            <w:tcW w:w="164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June 30, 2020</w:t>
            </w:r>
          </w:p>
        </w:tc>
      </w:tr>
      <w:tr>
        <w:trPr>
          <w:trHeight w:val="253"/>
        </w:trPr>
        <w:tc>
          <w:tcPr>
            <w:tcW w:w="1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22,465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22,956</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44,027</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44,652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2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10,312</w:t>
            </w:r>
          </w:p>
        </w:tc>
        <w:tc>
          <w:tcPr>
            <w:tcW w:w="860" w:type="dxa"/>
            <w:vAlign w:val="bottom"/>
          </w:tcPr>
          <w:p>
            <w:pPr>
              <w:jc w:val="right"/>
              <w:spacing w:after="0"/>
              <w:rPr>
                <w:sz w:val="20"/>
                <w:szCs w:val="20"/>
                <w:color w:val="auto"/>
              </w:rPr>
            </w:pPr>
            <w:r>
              <w:rPr>
                <w:rFonts w:ascii="Arial" w:cs="Arial" w:eastAsia="Arial" w:hAnsi="Arial"/>
                <w:sz w:val="16"/>
                <w:szCs w:val="16"/>
                <w:color w:val="auto"/>
              </w:rPr>
              <w:t>45.9 %</w:t>
            </w:r>
          </w:p>
        </w:tc>
        <w:tc>
          <w:tcPr>
            <w:tcW w:w="14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10,371</w:t>
            </w:r>
          </w:p>
        </w:tc>
        <w:tc>
          <w:tcPr>
            <w:tcW w:w="820" w:type="dxa"/>
            <w:vAlign w:val="bottom"/>
          </w:tcPr>
          <w:p>
            <w:pPr>
              <w:jc w:val="right"/>
              <w:spacing w:after="0"/>
              <w:rPr>
                <w:sz w:val="20"/>
                <w:szCs w:val="20"/>
                <w:color w:val="auto"/>
              </w:rPr>
            </w:pPr>
            <w:r>
              <w:rPr>
                <w:rFonts w:ascii="Arial" w:cs="Arial" w:eastAsia="Arial" w:hAnsi="Arial"/>
                <w:sz w:val="16"/>
                <w:szCs w:val="16"/>
                <w:color w:val="auto"/>
              </w:rPr>
              <w:t>45.2 %</w:t>
            </w:r>
          </w:p>
        </w:tc>
        <w:tc>
          <w:tcPr>
            <w:tcW w:w="14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19,717</w:t>
            </w:r>
          </w:p>
        </w:tc>
        <w:tc>
          <w:tcPr>
            <w:tcW w:w="820" w:type="dxa"/>
            <w:vAlign w:val="bottom"/>
          </w:tcPr>
          <w:p>
            <w:pPr>
              <w:jc w:val="right"/>
              <w:spacing w:after="0"/>
              <w:rPr>
                <w:sz w:val="20"/>
                <w:szCs w:val="20"/>
                <w:color w:val="auto"/>
              </w:rPr>
            </w:pPr>
            <w:r>
              <w:rPr>
                <w:rFonts w:ascii="Arial" w:cs="Arial" w:eastAsia="Arial" w:hAnsi="Arial"/>
                <w:sz w:val="16"/>
                <w:szCs w:val="16"/>
                <w:color w:val="auto"/>
              </w:rPr>
              <w:t>44.8 %</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20,108</w:t>
            </w:r>
          </w:p>
        </w:tc>
        <w:tc>
          <w:tcPr>
            <w:tcW w:w="820" w:type="dxa"/>
            <w:vAlign w:val="bottom"/>
          </w:tcPr>
          <w:p>
            <w:pPr>
              <w:jc w:val="right"/>
              <w:spacing w:after="0"/>
              <w:rPr>
                <w:sz w:val="20"/>
                <w:szCs w:val="20"/>
                <w:color w:val="auto"/>
              </w:rPr>
            </w:pPr>
            <w:r>
              <w:rPr>
                <w:rFonts w:ascii="Arial" w:cs="Arial" w:eastAsia="Arial" w:hAnsi="Arial"/>
                <w:sz w:val="16"/>
                <w:szCs w:val="16"/>
                <w:color w:val="auto"/>
              </w:rPr>
              <w:t>45.0 %</w:t>
            </w:r>
          </w:p>
        </w:tc>
      </w:tr>
      <w:tr>
        <w:trPr>
          <w:trHeight w:val="273"/>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3,853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3,847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7,628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7,637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17.1 %</w:t>
            </w:r>
          </w:p>
        </w:tc>
      </w:tr>
      <w:tr>
        <w:trPr>
          <w:trHeight w:val="177"/>
        </w:trPr>
        <w:tc>
          <w:tcPr>
            <w:tcW w:w="128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5"/>
        </w:trPr>
        <w:tc>
          <w:tcPr>
            <w:tcW w:w="1280" w:type="dxa"/>
            <w:vAlign w:val="bottom"/>
          </w:tcPr>
          <w:p>
            <w:pPr>
              <w:ind w:left="20"/>
              <w:spacing w:after="0"/>
              <w:rPr>
                <w:sz w:val="20"/>
                <w:szCs w:val="20"/>
                <w:color w:val="auto"/>
              </w:rPr>
            </w:pPr>
            <w:r>
              <w:rPr>
                <w:rFonts w:ascii="Arial" w:cs="Arial" w:eastAsia="Arial" w:hAnsi="Arial"/>
                <w:sz w:val="16"/>
                <w:szCs w:val="16"/>
                <w:color w:val="auto"/>
              </w:rPr>
              <w:t>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6,324</w:t>
            </w:r>
          </w:p>
        </w:tc>
        <w:tc>
          <w:tcPr>
            <w:tcW w:w="860" w:type="dxa"/>
            <w:vAlign w:val="bottom"/>
          </w:tcPr>
          <w:p>
            <w:pPr>
              <w:jc w:val="right"/>
              <w:spacing w:after="0"/>
              <w:rPr>
                <w:sz w:val="20"/>
                <w:szCs w:val="20"/>
                <w:color w:val="auto"/>
              </w:rPr>
            </w:pPr>
            <w:r>
              <w:rPr>
                <w:rFonts w:ascii="Arial" w:cs="Arial" w:eastAsia="Arial" w:hAnsi="Arial"/>
                <w:sz w:val="16"/>
                <w:szCs w:val="16"/>
                <w:color w:val="auto"/>
              </w:rPr>
              <w:t>28.2 %</w:t>
            </w:r>
          </w:p>
        </w:tc>
        <w:tc>
          <w:tcPr>
            <w:tcW w:w="14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6,329</w:t>
            </w:r>
          </w:p>
        </w:tc>
        <w:tc>
          <w:tcPr>
            <w:tcW w:w="820" w:type="dxa"/>
            <w:vAlign w:val="bottom"/>
          </w:tcPr>
          <w:p>
            <w:pPr>
              <w:jc w:val="right"/>
              <w:spacing w:after="0"/>
              <w:rPr>
                <w:sz w:val="20"/>
                <w:szCs w:val="20"/>
                <w:color w:val="auto"/>
              </w:rPr>
            </w:pPr>
            <w:r>
              <w:rPr>
                <w:rFonts w:ascii="Arial" w:cs="Arial" w:eastAsia="Arial" w:hAnsi="Arial"/>
                <w:sz w:val="16"/>
                <w:szCs w:val="16"/>
                <w:color w:val="auto"/>
              </w:rPr>
              <w:t>27.6 %</w:t>
            </w:r>
          </w:p>
        </w:tc>
        <w:tc>
          <w:tcPr>
            <w:tcW w:w="14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11,819</w:t>
            </w:r>
          </w:p>
        </w:tc>
        <w:tc>
          <w:tcPr>
            <w:tcW w:w="820" w:type="dxa"/>
            <w:vAlign w:val="bottom"/>
          </w:tcPr>
          <w:p>
            <w:pPr>
              <w:jc w:val="right"/>
              <w:spacing w:after="0"/>
              <w:rPr>
                <w:sz w:val="20"/>
                <w:szCs w:val="20"/>
                <w:color w:val="auto"/>
              </w:rPr>
            </w:pPr>
            <w:r>
              <w:rPr>
                <w:rFonts w:ascii="Arial" w:cs="Arial" w:eastAsia="Arial" w:hAnsi="Arial"/>
                <w:sz w:val="16"/>
                <w:szCs w:val="16"/>
                <w:color w:val="auto"/>
              </w:rPr>
              <w:t>26.8 %</w:t>
            </w:r>
          </w:p>
        </w:tc>
        <w:tc>
          <w:tcPr>
            <w:tcW w:w="1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12,067</w:t>
            </w:r>
          </w:p>
        </w:tc>
        <w:tc>
          <w:tcPr>
            <w:tcW w:w="820" w:type="dxa"/>
            <w:vAlign w:val="bottom"/>
          </w:tcPr>
          <w:p>
            <w:pPr>
              <w:jc w:val="right"/>
              <w:spacing w:after="0"/>
              <w:rPr>
                <w:sz w:val="20"/>
                <w:szCs w:val="20"/>
                <w:color w:val="auto"/>
              </w:rPr>
            </w:pPr>
            <w:r>
              <w:rPr>
                <w:rFonts w:ascii="Arial" w:cs="Arial" w:eastAsia="Arial" w:hAnsi="Arial"/>
                <w:sz w:val="16"/>
                <w:szCs w:val="16"/>
                <w:color w:val="auto"/>
              </w:rPr>
              <w:t>27.0 %</w:t>
            </w: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Net sales for the three months ended June 30, 2021 were $22.5 million, a decrease of approximately $0.5 million or 2.1% compared to the three months ended June 30, 2020. The decrease in net sales for the quarter ended June 30, 2021 as compared to the quarter ended June 30, 2020 was primarily due to decreased sales in the Quick-Turn Small-Run PCBs product line.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as a percentage of net sales increased 70 basis points during the three months ended June 30, 2021 compared to the corresponding period in 2020 (45.9% at June 30, 2021 compared to 45.2% at June 30, 2020) primarily as a result of sales mix.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was approximately $3.9 million in the three months ended June 30, 2021 and $3.8 million in the three months ended June 30, 2020. Selling, general and administrative expense represented 17.2% of net sales for the three months ended June 30, 2021 and 16.8% of net sales in the corresponding period in 2020.</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both the three months ended June 30, 2021 and the three months ended June 30, 2020 was approximately $6.3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six months ended June 30, 2021 were $44.0 million, a decrease of approximately $0.6 million or 1.4% compared to the six months ended June 30, 2020. The decrease in net sales for the six months ended June 30, 2021 as compared to the six months ended June 30, 2020 was due to decreased sales in the Quick-Turn Small-Run PCBs product line of approximately $1.7 million. This was partially offset by an increase in the Long-Lead Time/Other product line of approximately $0.5 million, subcontract of approximately $0.4 million and decreased promotional allowances of approximately $0.2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as a percentage of net sales decreased 20 basis points during the six months ended June 30, 2021 compared to the corresponding period in 2020 (44.8% at June 30, 2021 compared to 45.0% at June 30, 2020) primarily as a result of sales mix.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was approximately $7.6 million in both the six months ended June 30, 2021 and the six months ended June 30, 2020. Selling, general and administrative expense represented 17.3% of net sales for the six months ended June 30, 2021 and 17.1% of net sales in the corresponding period in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six months ended June 30, 2021 was approximately $11.8 million compared to $12.1 million in the same period in 2020, a decrease of approximately $0.2 million, principally as a result of the factors described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Altor Solutions</w:t>
      </w:r>
    </w:p>
    <w:p>
      <w:pPr>
        <w:spacing w:after="0" w:line="257" w:lineRule="exact"/>
        <w:rPr>
          <w:sz w:val="20"/>
          <w:szCs w:val="20"/>
          <w:color w:val="auto"/>
        </w:rPr>
      </w:pPr>
    </w:p>
    <w:tbl>
      <w:tblPr>
        <w:tblLayout w:type="fixed"/>
        <w:tblInd w:w="1080" w:type="dxa"/>
        <w:tblCellMar>
          <w:top w:w="0" w:type="dxa"/>
          <w:left w:w="0" w:type="dxa"/>
          <w:bottom w:w="0" w:type="dxa"/>
          <w:right w:w="0" w:type="dxa"/>
        </w:tblCellMar>
      </w:tblPr>
      <w:tr>
        <w:trPr>
          <w:trHeight w:val="218"/>
        </w:trPr>
        <w:tc>
          <w:tcPr>
            <w:tcW w:w="1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6"/>
                <w:szCs w:val="16"/>
                <w:b w:val="1"/>
                <w:bCs w:val="1"/>
                <w:color w:val="auto"/>
              </w:rPr>
              <w:t>Six months ended</w:t>
            </w:r>
          </w:p>
        </w:tc>
        <w:tc>
          <w:tcPr>
            <w:tcW w:w="800" w:type="dxa"/>
            <w:vAlign w:val="bottom"/>
            <w:tcBorders>
              <w:bottom w:val="single" w:sz="8" w:color="auto"/>
            </w:tcBorders>
          </w:tcPr>
          <w:p>
            <w:pPr>
              <w:spacing w:after="0"/>
              <w:rPr>
                <w:sz w:val="18"/>
                <w:szCs w:val="18"/>
                <w:color w:val="auto"/>
              </w:rPr>
            </w:pPr>
          </w:p>
        </w:tc>
      </w:tr>
      <w:tr>
        <w:trPr>
          <w:trHeight w:val="250"/>
        </w:trPr>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3"/>
          </w:tcPr>
          <w:p>
            <w:pPr>
              <w:ind w:left="16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21"/>
                <w:szCs w:val="21"/>
                <w:color w:val="auto"/>
              </w:rPr>
            </w:pPr>
          </w:p>
        </w:tc>
        <w:tc>
          <w:tcPr>
            <w:tcW w:w="1760" w:type="dxa"/>
            <w:vAlign w:val="bottom"/>
            <w:gridSpan w:val="3"/>
          </w:tcPr>
          <w:p>
            <w:pPr>
              <w:ind w:left="180"/>
              <w:spacing w:after="0"/>
              <w:rPr>
                <w:sz w:val="20"/>
                <w:szCs w:val="20"/>
                <w:color w:val="auto"/>
              </w:rPr>
            </w:pPr>
            <w:r>
              <w:rPr>
                <w:rFonts w:ascii="Arial" w:cs="Arial" w:eastAsia="Arial" w:hAnsi="Arial"/>
                <w:sz w:val="16"/>
                <w:szCs w:val="16"/>
                <w:b w:val="1"/>
                <w:bCs w:val="1"/>
                <w:color w:val="auto"/>
              </w:rPr>
              <w:t>June 30, 2020</w:t>
            </w:r>
          </w:p>
        </w:tc>
        <w:tc>
          <w:tcPr>
            <w:tcW w:w="220" w:type="dxa"/>
            <w:vAlign w:val="bottom"/>
          </w:tcPr>
          <w:p>
            <w:pPr>
              <w:spacing w:after="0"/>
              <w:rPr>
                <w:sz w:val="21"/>
                <w:szCs w:val="21"/>
                <w:color w:val="auto"/>
              </w:rPr>
            </w:pPr>
          </w:p>
        </w:tc>
        <w:tc>
          <w:tcPr>
            <w:tcW w:w="1800" w:type="dxa"/>
            <w:vAlign w:val="bottom"/>
            <w:gridSpan w:val="3"/>
          </w:tcPr>
          <w:p>
            <w:pPr>
              <w:ind w:left="18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Pr>
          <w:p>
            <w:pPr>
              <w:spacing w:after="0"/>
              <w:rPr>
                <w:sz w:val="21"/>
                <w:szCs w:val="21"/>
                <w:color w:val="auto"/>
              </w:rPr>
            </w:pPr>
          </w:p>
        </w:tc>
        <w:tc>
          <w:tcPr>
            <w:tcW w:w="1620" w:type="dxa"/>
            <w:vAlign w:val="bottom"/>
            <w:gridSpan w:val="2"/>
          </w:tcPr>
          <w:p>
            <w:pPr>
              <w:jc w:val="right"/>
              <w:ind w:right="324"/>
              <w:spacing w:after="0"/>
              <w:rPr>
                <w:sz w:val="20"/>
                <w:szCs w:val="20"/>
                <w:color w:val="auto"/>
              </w:rPr>
            </w:pPr>
            <w:r>
              <w:rPr>
                <w:rFonts w:ascii="Arial" w:cs="Arial" w:eastAsia="Arial" w:hAnsi="Arial"/>
                <w:sz w:val="16"/>
                <w:szCs w:val="16"/>
                <w:b w:val="1"/>
                <w:bCs w:val="1"/>
                <w:color w:val="auto"/>
              </w:rPr>
              <w:t>June 30, 2020</w:t>
            </w:r>
          </w:p>
        </w:tc>
      </w:tr>
      <w:tr>
        <w:trPr>
          <w:trHeight w:val="253"/>
        </w:trPr>
        <w:tc>
          <w:tcPr>
            <w:tcW w:w="1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40,640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24,429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78,460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52,812</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67"/>
        </w:trPr>
        <w:tc>
          <w:tcPr>
            <w:tcW w:w="1320" w:type="dxa"/>
            <w:vAlign w:val="bottom"/>
          </w:tcPr>
          <w:p>
            <w:pPr>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63"/>
              <w:spacing w:after="0"/>
              <w:rPr>
                <w:sz w:val="20"/>
                <w:szCs w:val="20"/>
                <w:color w:val="auto"/>
              </w:rPr>
            </w:pPr>
            <w:r>
              <w:rPr>
                <w:rFonts w:ascii="Arial" w:cs="Arial" w:eastAsia="Arial" w:hAnsi="Arial"/>
                <w:sz w:val="15"/>
                <w:szCs w:val="15"/>
                <w:color w:val="auto"/>
              </w:rPr>
              <w:t>9,258</w:t>
            </w:r>
          </w:p>
        </w:tc>
        <w:tc>
          <w:tcPr>
            <w:tcW w:w="860" w:type="dxa"/>
            <w:vAlign w:val="bottom"/>
          </w:tcPr>
          <w:p>
            <w:pPr>
              <w:jc w:val="right"/>
              <w:spacing w:after="0"/>
              <w:rPr>
                <w:sz w:val="20"/>
                <w:szCs w:val="20"/>
                <w:color w:val="auto"/>
              </w:rPr>
            </w:pPr>
            <w:r>
              <w:rPr>
                <w:rFonts w:ascii="Arial" w:cs="Arial" w:eastAsia="Arial" w:hAnsi="Arial"/>
                <w:sz w:val="15"/>
                <w:szCs w:val="15"/>
                <w:color w:val="auto"/>
              </w:rPr>
              <w:t>22.8 %</w:t>
            </w:r>
          </w:p>
        </w:tc>
        <w:tc>
          <w:tcPr>
            <w:tcW w:w="180" w:type="dxa"/>
            <w:vAlign w:val="bottom"/>
          </w:tcPr>
          <w:p>
            <w:pPr>
              <w:spacing w:after="0"/>
              <w:rPr>
                <w:sz w:val="23"/>
                <w:szCs w:val="23"/>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7,316</w:t>
            </w:r>
          </w:p>
        </w:tc>
        <w:tc>
          <w:tcPr>
            <w:tcW w:w="820" w:type="dxa"/>
            <w:vAlign w:val="bottom"/>
          </w:tcPr>
          <w:p>
            <w:pPr>
              <w:jc w:val="right"/>
              <w:spacing w:after="0"/>
              <w:rPr>
                <w:sz w:val="20"/>
                <w:szCs w:val="20"/>
                <w:color w:val="auto"/>
              </w:rPr>
            </w:pPr>
            <w:r>
              <w:rPr>
                <w:rFonts w:ascii="Arial" w:cs="Arial" w:eastAsia="Arial" w:hAnsi="Arial"/>
                <w:sz w:val="15"/>
                <w:szCs w:val="15"/>
                <w:color w:val="auto"/>
              </w:rPr>
              <w:t>29.9 %</w:t>
            </w:r>
          </w:p>
        </w:tc>
        <w:tc>
          <w:tcPr>
            <w:tcW w:w="140" w:type="dxa"/>
            <w:vAlign w:val="bottom"/>
          </w:tcPr>
          <w:p>
            <w:pPr>
              <w:spacing w:after="0"/>
              <w:rPr>
                <w:sz w:val="23"/>
                <w:szCs w:val="23"/>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19,342</w:t>
            </w:r>
          </w:p>
        </w:tc>
        <w:tc>
          <w:tcPr>
            <w:tcW w:w="820" w:type="dxa"/>
            <w:vAlign w:val="bottom"/>
          </w:tcPr>
          <w:p>
            <w:pPr>
              <w:jc w:val="right"/>
              <w:spacing w:after="0"/>
              <w:rPr>
                <w:sz w:val="20"/>
                <w:szCs w:val="20"/>
                <w:color w:val="auto"/>
              </w:rPr>
            </w:pPr>
            <w:r>
              <w:rPr>
                <w:rFonts w:ascii="Arial" w:cs="Arial" w:eastAsia="Arial" w:hAnsi="Arial"/>
                <w:sz w:val="15"/>
                <w:szCs w:val="15"/>
                <w:color w:val="auto"/>
              </w:rPr>
              <w:t>24.7 %</w:t>
            </w:r>
          </w:p>
        </w:tc>
        <w:tc>
          <w:tcPr>
            <w:tcW w:w="180" w:type="dxa"/>
            <w:vAlign w:val="bottom"/>
          </w:tcPr>
          <w:p>
            <w:pPr>
              <w:spacing w:after="0"/>
              <w:rPr>
                <w:sz w:val="23"/>
                <w:szCs w:val="23"/>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143"/>
              <w:spacing w:after="0"/>
              <w:rPr>
                <w:sz w:val="20"/>
                <w:szCs w:val="20"/>
                <w:color w:val="auto"/>
              </w:rPr>
            </w:pPr>
            <w:r>
              <w:rPr>
                <w:rFonts w:ascii="Arial" w:cs="Arial" w:eastAsia="Arial" w:hAnsi="Arial"/>
                <w:sz w:val="15"/>
                <w:szCs w:val="15"/>
                <w:color w:val="auto"/>
              </w:rPr>
              <w:t>15,981</w:t>
            </w:r>
          </w:p>
        </w:tc>
        <w:tc>
          <w:tcPr>
            <w:tcW w:w="800" w:type="dxa"/>
            <w:vAlign w:val="bottom"/>
          </w:tcPr>
          <w:p>
            <w:pPr>
              <w:jc w:val="right"/>
              <w:spacing w:after="0"/>
              <w:rPr>
                <w:sz w:val="20"/>
                <w:szCs w:val="20"/>
                <w:color w:val="auto"/>
              </w:rPr>
            </w:pPr>
            <w:r>
              <w:rPr>
                <w:rFonts w:ascii="Arial" w:cs="Arial" w:eastAsia="Arial" w:hAnsi="Arial"/>
                <w:sz w:val="15"/>
                <w:szCs w:val="15"/>
                <w:color w:val="auto"/>
              </w:rPr>
              <w:t>30.3 %</w:t>
            </w:r>
          </w:p>
        </w:tc>
      </w:tr>
      <w:tr>
        <w:trPr>
          <w:trHeight w:val="273"/>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3,469</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8.5 %</w:t>
            </w: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2,223</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9.1 %</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7,206</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9.2 %</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5,130</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9.7 %</w:t>
            </w:r>
          </w:p>
        </w:tc>
      </w:tr>
      <w:tr>
        <w:trPr>
          <w:trHeight w:val="177"/>
        </w:trPr>
        <w:tc>
          <w:tcPr>
            <w:tcW w:w="1320" w:type="dxa"/>
            <w:vAlign w:val="bottom"/>
          </w:tcPr>
          <w:p>
            <w:pPr>
              <w:spacing w:after="0" w:line="178" w:lineRule="exact"/>
              <w:rPr>
                <w:sz w:val="20"/>
                <w:szCs w:val="20"/>
                <w:color w:val="auto"/>
              </w:rPr>
            </w:pPr>
            <w:r>
              <w:rPr>
                <w:rFonts w:ascii="Arial" w:cs="Arial" w:eastAsia="Arial" w:hAnsi="Arial"/>
                <w:sz w:val="16"/>
                <w:szCs w:val="16"/>
                <w:color w:val="auto"/>
              </w:rPr>
              <w:t>Operating</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5"/>
        </w:trPr>
        <w:tc>
          <w:tcPr>
            <w:tcW w:w="1320" w:type="dxa"/>
            <w:vAlign w:val="bottom"/>
          </w:tcPr>
          <w:p>
            <w:pPr>
              <w:spacing w:after="0"/>
              <w:rPr>
                <w:sz w:val="20"/>
                <w:szCs w:val="20"/>
                <w:color w:val="auto"/>
              </w:rPr>
            </w:pPr>
            <w:r>
              <w:rPr>
                <w:rFonts w:ascii="Arial" w:cs="Arial" w:eastAsia="Arial" w:hAnsi="Arial"/>
                <w:sz w:val="16"/>
                <w:szCs w:val="16"/>
                <w:color w:val="auto"/>
              </w:rPr>
              <w:t>income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63"/>
              <w:spacing w:after="0"/>
              <w:rPr>
                <w:sz w:val="20"/>
                <w:szCs w:val="20"/>
                <w:color w:val="auto"/>
              </w:rPr>
            </w:pPr>
            <w:r>
              <w:rPr>
                <w:rFonts w:ascii="Arial" w:cs="Arial" w:eastAsia="Arial" w:hAnsi="Arial"/>
                <w:sz w:val="15"/>
                <w:szCs w:val="15"/>
                <w:color w:val="auto"/>
              </w:rPr>
              <w:t>3,548</w:t>
            </w:r>
          </w:p>
        </w:tc>
        <w:tc>
          <w:tcPr>
            <w:tcW w:w="860" w:type="dxa"/>
            <w:vAlign w:val="bottom"/>
          </w:tcPr>
          <w:p>
            <w:pPr>
              <w:jc w:val="right"/>
              <w:spacing w:after="0"/>
              <w:rPr>
                <w:sz w:val="20"/>
                <w:szCs w:val="20"/>
                <w:color w:val="auto"/>
              </w:rPr>
            </w:pPr>
            <w:r>
              <w:rPr>
                <w:rFonts w:ascii="Arial" w:cs="Arial" w:eastAsia="Arial" w:hAnsi="Arial"/>
                <w:sz w:val="15"/>
                <w:szCs w:val="15"/>
                <w:color w:val="auto"/>
              </w:rPr>
              <w:t>8.7 %</w:t>
            </w:r>
          </w:p>
        </w:tc>
        <w:tc>
          <w:tcPr>
            <w:tcW w:w="18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2,847</w:t>
            </w:r>
          </w:p>
        </w:tc>
        <w:tc>
          <w:tcPr>
            <w:tcW w:w="820" w:type="dxa"/>
            <w:vAlign w:val="bottom"/>
          </w:tcPr>
          <w:p>
            <w:pPr>
              <w:jc w:val="right"/>
              <w:spacing w:after="0"/>
              <w:rPr>
                <w:sz w:val="20"/>
                <w:szCs w:val="20"/>
                <w:color w:val="auto"/>
              </w:rPr>
            </w:pPr>
            <w:r>
              <w:rPr>
                <w:rFonts w:ascii="Arial" w:cs="Arial" w:eastAsia="Arial" w:hAnsi="Arial"/>
                <w:sz w:val="15"/>
                <w:szCs w:val="15"/>
                <w:color w:val="auto"/>
              </w:rPr>
              <w:t>11.7 %</w:t>
            </w:r>
          </w:p>
        </w:tc>
        <w:tc>
          <w:tcPr>
            <w:tcW w:w="14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8,232</w:t>
            </w:r>
          </w:p>
        </w:tc>
        <w:tc>
          <w:tcPr>
            <w:tcW w:w="820" w:type="dxa"/>
            <w:vAlign w:val="bottom"/>
          </w:tcPr>
          <w:p>
            <w:pPr>
              <w:jc w:val="right"/>
              <w:spacing w:after="0"/>
              <w:rPr>
                <w:sz w:val="20"/>
                <w:szCs w:val="20"/>
                <w:color w:val="auto"/>
              </w:rPr>
            </w:pPr>
            <w:r>
              <w:rPr>
                <w:rFonts w:ascii="Arial" w:cs="Arial" w:eastAsia="Arial" w:hAnsi="Arial"/>
                <w:sz w:val="15"/>
                <w:szCs w:val="15"/>
                <w:color w:val="auto"/>
              </w:rPr>
              <w:t>10.5 %</w:t>
            </w:r>
          </w:p>
        </w:tc>
        <w:tc>
          <w:tcPr>
            <w:tcW w:w="18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143"/>
              <w:spacing w:after="0"/>
              <w:rPr>
                <w:sz w:val="20"/>
                <w:szCs w:val="20"/>
                <w:color w:val="auto"/>
              </w:rPr>
            </w:pPr>
            <w:r>
              <w:rPr>
                <w:rFonts w:ascii="Arial" w:cs="Arial" w:eastAsia="Arial" w:hAnsi="Arial"/>
                <w:sz w:val="15"/>
                <w:szCs w:val="15"/>
                <w:color w:val="auto"/>
              </w:rPr>
              <w:t>6,359</w:t>
            </w:r>
          </w:p>
        </w:tc>
        <w:tc>
          <w:tcPr>
            <w:tcW w:w="800" w:type="dxa"/>
            <w:vAlign w:val="bottom"/>
          </w:tcPr>
          <w:p>
            <w:pPr>
              <w:jc w:val="right"/>
              <w:spacing w:after="0"/>
              <w:rPr>
                <w:sz w:val="20"/>
                <w:szCs w:val="20"/>
                <w:color w:val="auto"/>
              </w:rPr>
            </w:pPr>
            <w:r>
              <w:rPr>
                <w:rFonts w:ascii="Arial" w:cs="Arial" w:eastAsia="Arial" w:hAnsi="Arial"/>
                <w:sz w:val="15"/>
                <w:szCs w:val="15"/>
                <w:color w:val="auto"/>
              </w:rPr>
              <w:t>12.0 %</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quarter ended June 30, 2021 were $40.6 million, an increase of $16.2 million, or 66.4%, compared to the quarter ended June 30, 2020. The increase in net sales during the quarter was due to the acquisition of Polyfoam in July 2020 and organic growth in our appliance and cold chain customer sectors, as well as the continued recovery during the quarter from the effects of the COVID-19 pandemic experienced in the prior year.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was 22.8% and 29.9% for the three months ended June 30, 2021 and 2020, respectively. The decrease in gross profit as a percentage of net sales in the quarter ended June 30, 2021 was primarily due to labor wage increases in the fourth quarter of 2020, increases in the price of Altor's primary raw material, expanded polystyrene ("EPS"), and margin dilution due to the acquisition of Polyfoam, which has historically had lower margins than the legacy business.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June 30, 2021 was $3.5 million as compared to $2.2 million for the three months ended June 30, 2020, an increase of $1.2 million. The increase in selling, general and administrative expense in the second quarter of 2021 was due to the acquisition of Polyfoam and increased information technology and professional fees incurred during the quarter.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was $3.5 million in the three months ended June 30, 2021, an increase of $0.7 million as compared to the three months ended June 30, 2020, based on the factors noted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six months ended June 30, 2021 were $78.5 million, an increase of $25.6 million, or 48.6%, compared to the quarter ended June 30, 2020. The increase in net sales during the quarter was due to the acquisition of Polyfoam in July 2020 and the continued recovery during the quarter from the effects of the COVID-19 pandemic experienced in the prior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was 24.7% and 30.3% for the six months ended June 30, 2021 and 2020, respectively. The decrease in gross profit as a percentage of net sales in the quarter ended June 30, 2021 was primarily due to labor wage increases in the fourth quarter of 2020, increases in the price of Altor's primary raw material, EPS, during the first half of the year and margin dilution due to the acquisition of Polyfoam, which has historically had lower margins than the legacy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for the six months ended June 30, 2021 was $7.2 million as compared to $5.1 million for the six months ended June 30, 2020, an increase of $2.1 million. The increase in selling, general and administrative expense in the first half of 2021 was primarily due to the acquisition of Polyfoam, and increased information technology and professional fees incurred during the quarter.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was $8.2 million in the six months ended June 30, 2021, an increase of $1.9 million as compared to the six months ended June 30, 2020, based on the factors noted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w:t>
      </w:r>
    </w:p>
    <w:p>
      <w:pPr>
        <w:spacing w:after="0" w:line="257" w:lineRule="exact"/>
        <w:rPr>
          <w:sz w:val="20"/>
          <w:szCs w:val="20"/>
          <w:color w:val="auto"/>
        </w:rPr>
      </w:pPr>
    </w:p>
    <w:tbl>
      <w:tblPr>
        <w:tblLayout w:type="fixed"/>
        <w:tblInd w:w="1080" w:type="dxa"/>
        <w:tblCellMar>
          <w:top w:w="0" w:type="dxa"/>
          <w:left w:w="0" w:type="dxa"/>
          <w:bottom w:w="0" w:type="dxa"/>
          <w:right w:w="0" w:type="dxa"/>
        </w:tblCellMar>
      </w:tblPr>
      <w:tr>
        <w:trPr>
          <w:trHeight w:val="218"/>
        </w:trPr>
        <w:tc>
          <w:tcPr>
            <w:tcW w:w="1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343"/>
              <w:spacing w:after="0"/>
              <w:rPr>
                <w:sz w:val="20"/>
                <w:szCs w:val="20"/>
                <w:color w:val="auto"/>
              </w:rPr>
            </w:pPr>
            <w:r>
              <w:rPr>
                <w:rFonts w:ascii="Arial" w:cs="Arial" w:eastAsia="Arial" w:hAnsi="Arial"/>
                <w:sz w:val="16"/>
                <w:szCs w:val="16"/>
                <w:b w:val="1"/>
                <w:bCs w:val="1"/>
                <w:color w:val="auto"/>
              </w:rPr>
              <w:t>Six months ended</w:t>
            </w:r>
          </w:p>
        </w:tc>
        <w:tc>
          <w:tcPr>
            <w:tcW w:w="820" w:type="dxa"/>
            <w:vAlign w:val="bottom"/>
            <w:tcBorders>
              <w:bottom w:val="single" w:sz="8" w:color="auto"/>
            </w:tcBorders>
          </w:tcPr>
          <w:p>
            <w:pPr>
              <w:spacing w:after="0"/>
              <w:rPr>
                <w:sz w:val="18"/>
                <w:szCs w:val="18"/>
                <w:color w:val="auto"/>
              </w:rPr>
            </w:pPr>
          </w:p>
        </w:tc>
      </w:tr>
      <w:tr>
        <w:trPr>
          <w:trHeight w:val="250"/>
        </w:trPr>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Pr>
          <w:p>
            <w:pPr>
              <w:spacing w:after="0"/>
              <w:rPr>
                <w:sz w:val="21"/>
                <w:szCs w:val="21"/>
                <w:color w:val="auto"/>
              </w:rPr>
            </w:pPr>
          </w:p>
        </w:tc>
        <w:tc>
          <w:tcPr>
            <w:tcW w:w="1760" w:type="dxa"/>
            <w:vAlign w:val="bottom"/>
            <w:gridSpan w:val="3"/>
          </w:tcPr>
          <w:p>
            <w:pPr>
              <w:ind w:left="16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21"/>
                <w:szCs w:val="21"/>
                <w:color w:val="auto"/>
              </w:rPr>
            </w:pPr>
          </w:p>
        </w:tc>
        <w:tc>
          <w:tcPr>
            <w:tcW w:w="1800" w:type="dxa"/>
            <w:vAlign w:val="bottom"/>
            <w:gridSpan w:val="3"/>
          </w:tcPr>
          <w:p>
            <w:pPr>
              <w:ind w:left="18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Pr>
          <w:p>
            <w:pPr>
              <w:spacing w:after="0"/>
              <w:rPr>
                <w:sz w:val="21"/>
                <w:szCs w:val="21"/>
                <w:color w:val="auto"/>
              </w:rPr>
            </w:pPr>
          </w:p>
        </w:tc>
        <w:tc>
          <w:tcPr>
            <w:tcW w:w="1620" w:type="dxa"/>
            <w:vAlign w:val="bottom"/>
            <w:gridSpan w:val="2"/>
          </w:tcPr>
          <w:p>
            <w:pPr>
              <w:jc w:val="right"/>
              <w:ind w:right="324"/>
              <w:spacing w:after="0"/>
              <w:rPr>
                <w:sz w:val="20"/>
                <w:szCs w:val="20"/>
                <w:color w:val="auto"/>
              </w:rPr>
            </w:pPr>
            <w:r>
              <w:rPr>
                <w:rFonts w:ascii="Arial" w:cs="Arial" w:eastAsia="Arial" w:hAnsi="Arial"/>
                <w:sz w:val="16"/>
                <w:szCs w:val="16"/>
                <w:b w:val="1"/>
                <w:bCs w:val="1"/>
                <w:color w:val="auto"/>
              </w:rPr>
              <w:t>June 30, 2020</w:t>
            </w:r>
          </w:p>
        </w:tc>
      </w:tr>
      <w:tr>
        <w:trPr>
          <w:trHeight w:val="253"/>
        </w:trPr>
        <w:tc>
          <w:tcPr>
            <w:tcW w:w="1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32,556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24,270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65,041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53,828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67"/>
        </w:trPr>
        <w:tc>
          <w:tcPr>
            <w:tcW w:w="13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8,562</w:t>
            </w:r>
          </w:p>
        </w:tc>
        <w:tc>
          <w:tcPr>
            <w:tcW w:w="860" w:type="dxa"/>
            <w:vAlign w:val="bottom"/>
          </w:tcPr>
          <w:p>
            <w:pPr>
              <w:jc w:val="right"/>
              <w:spacing w:after="0"/>
              <w:rPr>
                <w:sz w:val="20"/>
                <w:szCs w:val="20"/>
                <w:color w:val="auto"/>
              </w:rPr>
            </w:pPr>
            <w:r>
              <w:rPr>
                <w:rFonts w:ascii="Arial" w:cs="Arial" w:eastAsia="Arial" w:hAnsi="Arial"/>
                <w:sz w:val="15"/>
                <w:szCs w:val="15"/>
                <w:color w:val="auto"/>
              </w:rPr>
              <w:t>26.3 %</w:t>
            </w:r>
          </w:p>
        </w:tc>
        <w:tc>
          <w:tcPr>
            <w:tcW w:w="160" w:type="dxa"/>
            <w:vAlign w:val="bottom"/>
          </w:tcPr>
          <w:p>
            <w:pPr>
              <w:spacing w:after="0"/>
              <w:rPr>
                <w:sz w:val="23"/>
                <w:szCs w:val="23"/>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6,148</w:t>
            </w:r>
          </w:p>
        </w:tc>
        <w:tc>
          <w:tcPr>
            <w:tcW w:w="820" w:type="dxa"/>
            <w:vAlign w:val="bottom"/>
          </w:tcPr>
          <w:p>
            <w:pPr>
              <w:jc w:val="right"/>
              <w:spacing w:after="0"/>
              <w:rPr>
                <w:sz w:val="20"/>
                <w:szCs w:val="20"/>
                <w:color w:val="auto"/>
              </w:rPr>
            </w:pPr>
            <w:r>
              <w:rPr>
                <w:rFonts w:ascii="Arial" w:cs="Arial" w:eastAsia="Arial" w:hAnsi="Arial"/>
                <w:sz w:val="15"/>
                <w:szCs w:val="15"/>
                <w:color w:val="auto"/>
              </w:rPr>
              <w:t>25.3 %</w:t>
            </w:r>
          </w:p>
        </w:tc>
        <w:tc>
          <w:tcPr>
            <w:tcW w:w="140" w:type="dxa"/>
            <w:vAlign w:val="bottom"/>
          </w:tcPr>
          <w:p>
            <w:pPr>
              <w:spacing w:after="0"/>
              <w:rPr>
                <w:sz w:val="23"/>
                <w:szCs w:val="23"/>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17,935</w:t>
            </w:r>
          </w:p>
        </w:tc>
        <w:tc>
          <w:tcPr>
            <w:tcW w:w="820" w:type="dxa"/>
            <w:vAlign w:val="bottom"/>
          </w:tcPr>
          <w:p>
            <w:pPr>
              <w:jc w:val="right"/>
              <w:spacing w:after="0"/>
              <w:rPr>
                <w:sz w:val="20"/>
                <w:szCs w:val="20"/>
                <w:color w:val="auto"/>
              </w:rPr>
            </w:pPr>
            <w:r>
              <w:rPr>
                <w:rFonts w:ascii="Arial" w:cs="Arial" w:eastAsia="Arial" w:hAnsi="Arial"/>
                <w:sz w:val="15"/>
                <w:szCs w:val="15"/>
                <w:color w:val="auto"/>
              </w:rPr>
              <w:t>27.6 %</w:t>
            </w:r>
          </w:p>
        </w:tc>
        <w:tc>
          <w:tcPr>
            <w:tcW w:w="180" w:type="dxa"/>
            <w:vAlign w:val="bottom"/>
          </w:tcPr>
          <w:p>
            <w:pPr>
              <w:spacing w:after="0"/>
              <w:rPr>
                <w:sz w:val="23"/>
                <w:szCs w:val="23"/>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14,062</w:t>
            </w:r>
          </w:p>
        </w:tc>
        <w:tc>
          <w:tcPr>
            <w:tcW w:w="820" w:type="dxa"/>
            <w:vAlign w:val="bottom"/>
          </w:tcPr>
          <w:p>
            <w:pPr>
              <w:jc w:val="right"/>
              <w:spacing w:after="0"/>
              <w:rPr>
                <w:sz w:val="20"/>
                <w:szCs w:val="20"/>
                <w:color w:val="auto"/>
              </w:rPr>
            </w:pPr>
            <w:r>
              <w:rPr>
                <w:rFonts w:ascii="Arial" w:cs="Arial" w:eastAsia="Arial" w:hAnsi="Arial"/>
                <w:sz w:val="15"/>
                <w:szCs w:val="15"/>
                <w:color w:val="auto"/>
              </w:rPr>
              <w:t>26.1 %</w:t>
            </w:r>
          </w:p>
        </w:tc>
      </w:tr>
      <w:tr>
        <w:trPr>
          <w:trHeight w:val="273"/>
        </w:trPr>
        <w:tc>
          <w:tcPr>
            <w:tcW w:w="1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5,130</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15.8 %</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3,770</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15.5 %</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10,572</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16.3 %</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9,096</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16.9 %</w:t>
            </w:r>
          </w:p>
        </w:tc>
      </w:tr>
      <w:tr>
        <w:trPr>
          <w:trHeight w:val="177"/>
        </w:trPr>
        <w:tc>
          <w:tcPr>
            <w:tcW w:w="134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5"/>
        </w:trPr>
        <w:tc>
          <w:tcPr>
            <w:tcW w:w="1340" w:type="dxa"/>
            <w:vAlign w:val="bottom"/>
          </w:tcPr>
          <w:p>
            <w:pPr>
              <w:ind w:left="20"/>
              <w:spacing w:after="0"/>
              <w:rPr>
                <w:sz w:val="20"/>
                <w:szCs w:val="20"/>
                <w:color w:val="auto"/>
              </w:rPr>
            </w:pPr>
            <w:r>
              <w:rPr>
                <w:rFonts w:ascii="Arial" w:cs="Arial" w:eastAsia="Arial" w:hAnsi="Arial"/>
                <w:sz w:val="16"/>
                <w:szCs w:val="16"/>
                <w:color w:val="auto"/>
              </w:rPr>
              <w:t>income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2,497</w:t>
            </w:r>
          </w:p>
        </w:tc>
        <w:tc>
          <w:tcPr>
            <w:tcW w:w="860" w:type="dxa"/>
            <w:vAlign w:val="bottom"/>
          </w:tcPr>
          <w:p>
            <w:pPr>
              <w:jc w:val="right"/>
              <w:spacing w:after="0"/>
              <w:rPr>
                <w:sz w:val="20"/>
                <w:szCs w:val="20"/>
                <w:color w:val="auto"/>
              </w:rPr>
            </w:pPr>
            <w:r>
              <w:rPr>
                <w:rFonts w:ascii="Arial" w:cs="Arial" w:eastAsia="Arial" w:hAnsi="Arial"/>
                <w:sz w:val="15"/>
                <w:szCs w:val="15"/>
                <w:color w:val="auto"/>
              </w:rPr>
              <w:t>7.7 %</w:t>
            </w:r>
          </w:p>
        </w:tc>
        <w:tc>
          <w:tcPr>
            <w:tcW w:w="16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1,443</w:t>
            </w:r>
          </w:p>
        </w:tc>
        <w:tc>
          <w:tcPr>
            <w:tcW w:w="820" w:type="dxa"/>
            <w:vAlign w:val="bottom"/>
          </w:tcPr>
          <w:p>
            <w:pPr>
              <w:jc w:val="right"/>
              <w:spacing w:after="0"/>
              <w:rPr>
                <w:sz w:val="20"/>
                <w:szCs w:val="20"/>
                <w:color w:val="auto"/>
              </w:rPr>
            </w:pPr>
            <w:r>
              <w:rPr>
                <w:rFonts w:ascii="Arial" w:cs="Arial" w:eastAsia="Arial" w:hAnsi="Arial"/>
                <w:sz w:val="15"/>
                <w:szCs w:val="15"/>
                <w:color w:val="auto"/>
              </w:rPr>
              <w:t>5.9 %</w:t>
            </w:r>
          </w:p>
        </w:tc>
        <w:tc>
          <w:tcPr>
            <w:tcW w:w="14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5,493</w:t>
            </w:r>
          </w:p>
        </w:tc>
        <w:tc>
          <w:tcPr>
            <w:tcW w:w="820" w:type="dxa"/>
            <w:vAlign w:val="bottom"/>
          </w:tcPr>
          <w:p>
            <w:pPr>
              <w:jc w:val="right"/>
              <w:spacing w:after="0"/>
              <w:rPr>
                <w:sz w:val="20"/>
                <w:szCs w:val="20"/>
                <w:color w:val="auto"/>
              </w:rPr>
            </w:pPr>
            <w:r>
              <w:rPr>
                <w:rFonts w:ascii="Arial" w:cs="Arial" w:eastAsia="Arial" w:hAnsi="Arial"/>
                <w:sz w:val="15"/>
                <w:szCs w:val="15"/>
                <w:color w:val="auto"/>
              </w:rPr>
              <w:t>8.4 %</w:t>
            </w:r>
          </w:p>
        </w:tc>
        <w:tc>
          <w:tcPr>
            <w:tcW w:w="18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3,096</w:t>
            </w:r>
          </w:p>
        </w:tc>
        <w:tc>
          <w:tcPr>
            <w:tcW w:w="820" w:type="dxa"/>
            <w:vAlign w:val="bottom"/>
          </w:tcPr>
          <w:p>
            <w:pPr>
              <w:jc w:val="right"/>
              <w:spacing w:after="0"/>
              <w:rPr>
                <w:sz w:val="20"/>
                <w:szCs w:val="20"/>
                <w:color w:val="auto"/>
              </w:rPr>
            </w:pPr>
            <w:r>
              <w:rPr>
                <w:rFonts w:ascii="Arial" w:cs="Arial" w:eastAsia="Arial" w:hAnsi="Arial"/>
                <w:sz w:val="15"/>
                <w:szCs w:val="15"/>
                <w:color w:val="auto"/>
              </w:rPr>
              <w:t>5.8 %</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three months ended June 30, 2021 were approximately $32.6 million, an increase of $ 8.3 million compared to the same period in 2020. International sales were $ 10.5 million in the three months ended June 30, 2021 and $9.0 million in the three months ended June 30, 2020. The increase in net sales is primarily a result of increased demand in defense and industrial markets driven in part by the acquisition of Ramco Electric Motors, Inc. in March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three months ended June 30, 2021 was approximately $8.6 million compared to approximately $6.1 million in the same period of 2020. Gross profit as a percentage of net sales increased to 26.3% for the quarter ended June 30, 2021 from 25.3% in the quarter ended June 30, 2020 principally due to increased volume and improved operational efficiencies.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in the three months ended June 30, 2021 was $5.1 million, an increase in expense of approximately $1.4 million compared to $3.8 million for the three months ended June 30, 2020. Selling, general and administrative expense was 15.8% of net sales in the three months ended June 30, 2021 and 15.5% in the three months ended June 30, 2020. The increase in selling general and administrative expense was due to higher staffing related costs, higher legal and environmental costs and an increase in travel related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June 30, 2021 was approximately $2.5 million, an increase of $1.1 million when compared to the same period in 2020, as a result of the factors noted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six months ended June 30, 2021 were approximately $65.0 million, an increase of $11.2 million compared to the same period in 2020. International sales were $21.6 million in the six months ended June 30, 2021 and $20.0 million in the six months ended June 30, 2020. The increase in net sales is primarily a result of increased demand in defense and industrial markets driven in part by the acquisition of Ramco Electric Motors, Inc. in March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six months ended June 30, 2021 was approximately $17.9 million compared to approximately $14.1 million in the same period of 2020. Gross profit as a percentage of net sales increased to 27.6% for the six months ended June 30, 2021 from 26.1% in the six months ended June 30, 2020 principally due to favorable material and labor costs driven by product mix and operational improvements.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in the six months ended June 30, 2021 was $10.6 million, an increase in expense of approximately $1.5 million compared to $9.1 million for the six months ended June 30, 2020. The increase in selling, general and administrative expense during the six months ended June 30, 2021 as compared to the six months ended June 30, 2020 is due to higher staffing related costs, acquisition costs and higher legal and environmental costs partially offset by lower travel related costs. Selling, general and administrative expense was 16.3% of net sales in the six months ended June 30, 2021 and 16.9% in the six months ended June 30,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six months ended June 30, 2021 was approximately $5.5 million, an increase of $2.4 million when compared to the same period in 2020, as a result of the factors noted above.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Sterno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6"/>
                <w:szCs w:val="16"/>
                <w:b w:val="1"/>
                <w:bCs w:val="1"/>
                <w:color w:val="auto"/>
              </w:rPr>
              <w:t>Six months ended</w:t>
            </w:r>
          </w:p>
        </w:tc>
        <w:tc>
          <w:tcPr>
            <w:tcW w:w="82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237"/>
        </w:trPr>
        <w:tc>
          <w:tcPr>
            <w:tcW w:w="1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20"/>
                <w:szCs w:val="20"/>
                <w:color w:val="auto"/>
              </w:rPr>
            </w:pPr>
          </w:p>
        </w:tc>
        <w:tc>
          <w:tcPr>
            <w:tcW w:w="1760" w:type="dxa"/>
            <w:vAlign w:val="bottom"/>
            <w:gridSpan w:val="3"/>
          </w:tcPr>
          <w:p>
            <w:pPr>
              <w:ind w:left="16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20"/>
                <w:szCs w:val="20"/>
                <w:color w:val="auto"/>
              </w:rPr>
            </w:pPr>
          </w:p>
        </w:tc>
        <w:tc>
          <w:tcPr>
            <w:tcW w:w="1860" w:type="dxa"/>
            <w:vAlign w:val="bottom"/>
            <w:gridSpan w:val="3"/>
          </w:tcPr>
          <w:p>
            <w:pPr>
              <w:ind w:left="22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20"/>
                <w:szCs w:val="20"/>
                <w:color w:val="auto"/>
              </w:rPr>
            </w:pPr>
          </w:p>
        </w:tc>
        <w:tc>
          <w:tcPr>
            <w:tcW w:w="2720" w:type="dxa"/>
            <w:vAlign w:val="bottom"/>
            <w:gridSpan w:val="3"/>
          </w:tcPr>
          <w:p>
            <w:pPr>
              <w:ind w:left="200"/>
              <w:spacing w:after="0"/>
              <w:rPr>
                <w:sz w:val="20"/>
                <w:szCs w:val="20"/>
                <w:color w:val="auto"/>
              </w:rPr>
            </w:pPr>
            <w:r>
              <w:rPr>
                <w:rFonts w:ascii="Arial" w:cs="Arial" w:eastAsia="Arial" w:hAnsi="Arial"/>
                <w:sz w:val="16"/>
                <w:szCs w:val="16"/>
                <w:b w:val="1"/>
                <w:bCs w:val="1"/>
                <w:color w:val="auto"/>
              </w:rPr>
              <w:t>June 30, 2020</w:t>
            </w:r>
          </w:p>
        </w:tc>
      </w:tr>
      <w:tr>
        <w:trPr>
          <w:trHeight w:val="253"/>
        </w:trPr>
        <w:tc>
          <w:tcPr>
            <w:tcW w:w="1060" w:type="dxa"/>
            <w:vAlign w:val="bottom"/>
          </w:tcPr>
          <w:p>
            <w:pPr>
              <w:spacing w:after="0"/>
              <w:rPr>
                <w:sz w:val="22"/>
                <w:szCs w:val="22"/>
                <w:color w:val="auto"/>
              </w:rPr>
            </w:pPr>
          </w:p>
        </w:tc>
        <w:tc>
          <w:tcPr>
            <w:tcW w:w="1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89,257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77,363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166,571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160,395</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040" w:type="dxa"/>
            <w:vAlign w:val="bottom"/>
          </w:tcPr>
          <w:p>
            <w:pPr>
              <w:spacing w:after="0"/>
              <w:rPr>
                <w:sz w:val="22"/>
                <w:szCs w:val="22"/>
                <w:color w:val="auto"/>
              </w:rPr>
            </w:pPr>
          </w:p>
        </w:tc>
      </w:tr>
      <w:tr>
        <w:trPr>
          <w:trHeight w:val="267"/>
        </w:trPr>
        <w:tc>
          <w:tcPr>
            <w:tcW w:w="106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19,161</w:t>
            </w:r>
          </w:p>
        </w:tc>
        <w:tc>
          <w:tcPr>
            <w:tcW w:w="840" w:type="dxa"/>
            <w:vAlign w:val="bottom"/>
          </w:tcPr>
          <w:p>
            <w:pPr>
              <w:jc w:val="right"/>
              <w:spacing w:after="0"/>
              <w:rPr>
                <w:sz w:val="20"/>
                <w:szCs w:val="20"/>
                <w:color w:val="auto"/>
              </w:rPr>
            </w:pPr>
            <w:r>
              <w:rPr>
                <w:rFonts w:ascii="Arial" w:cs="Arial" w:eastAsia="Arial" w:hAnsi="Arial"/>
                <w:sz w:val="15"/>
                <w:szCs w:val="15"/>
                <w:color w:val="auto"/>
              </w:rPr>
              <w:t>21.5 %</w:t>
            </w:r>
          </w:p>
        </w:tc>
        <w:tc>
          <w:tcPr>
            <w:tcW w:w="180" w:type="dxa"/>
            <w:vAlign w:val="bottom"/>
          </w:tcPr>
          <w:p>
            <w:pPr>
              <w:spacing w:after="0"/>
              <w:rPr>
                <w:sz w:val="23"/>
                <w:szCs w:val="23"/>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17,196</w:t>
            </w:r>
          </w:p>
        </w:tc>
        <w:tc>
          <w:tcPr>
            <w:tcW w:w="800" w:type="dxa"/>
            <w:vAlign w:val="bottom"/>
          </w:tcPr>
          <w:p>
            <w:pPr>
              <w:jc w:val="right"/>
              <w:spacing w:after="0"/>
              <w:rPr>
                <w:sz w:val="20"/>
                <w:szCs w:val="20"/>
                <w:color w:val="auto"/>
              </w:rPr>
            </w:pPr>
            <w:r>
              <w:rPr>
                <w:rFonts w:ascii="Arial" w:cs="Arial" w:eastAsia="Arial" w:hAnsi="Arial"/>
                <w:sz w:val="15"/>
                <w:szCs w:val="15"/>
                <w:color w:val="auto"/>
              </w:rPr>
              <w:t>22.2 %</w:t>
            </w:r>
          </w:p>
        </w:tc>
        <w:tc>
          <w:tcPr>
            <w:tcW w:w="160" w:type="dxa"/>
            <w:vAlign w:val="bottom"/>
          </w:tcPr>
          <w:p>
            <w:pPr>
              <w:spacing w:after="0"/>
              <w:rPr>
                <w:sz w:val="23"/>
                <w:szCs w:val="23"/>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35,441</w:t>
            </w:r>
          </w:p>
        </w:tc>
        <w:tc>
          <w:tcPr>
            <w:tcW w:w="820" w:type="dxa"/>
            <w:vAlign w:val="bottom"/>
          </w:tcPr>
          <w:p>
            <w:pPr>
              <w:jc w:val="right"/>
              <w:spacing w:after="0"/>
              <w:rPr>
                <w:sz w:val="20"/>
                <w:szCs w:val="20"/>
                <w:color w:val="auto"/>
              </w:rPr>
            </w:pPr>
            <w:r>
              <w:rPr>
                <w:rFonts w:ascii="Arial" w:cs="Arial" w:eastAsia="Arial" w:hAnsi="Arial"/>
                <w:sz w:val="15"/>
                <w:szCs w:val="15"/>
                <w:color w:val="auto"/>
              </w:rPr>
              <w:t>21.3 %</w:t>
            </w:r>
          </w:p>
        </w:tc>
        <w:tc>
          <w:tcPr>
            <w:tcW w:w="180" w:type="dxa"/>
            <w:vAlign w:val="bottom"/>
          </w:tcPr>
          <w:p>
            <w:pPr>
              <w:spacing w:after="0"/>
              <w:rPr>
                <w:sz w:val="23"/>
                <w:szCs w:val="23"/>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35,796</w:t>
            </w:r>
          </w:p>
        </w:tc>
        <w:tc>
          <w:tcPr>
            <w:tcW w:w="820" w:type="dxa"/>
            <w:vAlign w:val="bottom"/>
          </w:tcPr>
          <w:p>
            <w:pPr>
              <w:jc w:val="right"/>
              <w:spacing w:after="0"/>
              <w:rPr>
                <w:sz w:val="20"/>
                <w:szCs w:val="20"/>
                <w:color w:val="auto"/>
              </w:rPr>
            </w:pPr>
            <w:r>
              <w:rPr>
                <w:rFonts w:ascii="Arial" w:cs="Arial" w:eastAsia="Arial" w:hAnsi="Arial"/>
                <w:sz w:val="15"/>
                <w:szCs w:val="15"/>
                <w:color w:val="auto"/>
              </w:rPr>
              <w:t>22.3 %</w:t>
            </w:r>
          </w:p>
        </w:tc>
        <w:tc>
          <w:tcPr>
            <w:tcW w:w="1040" w:type="dxa"/>
            <w:vAlign w:val="bottom"/>
          </w:tcPr>
          <w:p>
            <w:pPr>
              <w:spacing w:after="0"/>
              <w:rPr>
                <w:sz w:val="23"/>
                <w:szCs w:val="23"/>
                <w:color w:val="auto"/>
              </w:rPr>
            </w:pPr>
          </w:p>
        </w:tc>
      </w:tr>
      <w:tr>
        <w:trPr>
          <w:trHeight w:val="273"/>
        </w:trPr>
        <w:tc>
          <w:tcPr>
            <w:tcW w:w="1060" w:type="dxa"/>
            <w:vAlign w:val="bottom"/>
          </w:tcPr>
          <w:p>
            <w:pPr>
              <w:spacing w:after="0"/>
              <w:rPr>
                <w:sz w:val="23"/>
                <w:szCs w:val="23"/>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8,205</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9.2 %</w:t>
            </w: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8,855</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15,823</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9.5 %</w:t>
            </w: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17,808</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11.1 %</w:t>
            </w:r>
          </w:p>
        </w:tc>
        <w:tc>
          <w:tcPr>
            <w:tcW w:w="1040" w:type="dxa"/>
            <w:vAlign w:val="bottom"/>
          </w:tcPr>
          <w:p>
            <w:pPr>
              <w:spacing w:after="0"/>
              <w:rPr>
                <w:sz w:val="23"/>
                <w:szCs w:val="23"/>
                <w:color w:val="auto"/>
              </w:rPr>
            </w:pPr>
          </w:p>
        </w:tc>
      </w:tr>
      <w:tr>
        <w:trPr>
          <w:trHeight w:val="177"/>
        </w:trPr>
        <w:tc>
          <w:tcPr>
            <w:tcW w:w="1060" w:type="dxa"/>
            <w:vAlign w:val="bottom"/>
          </w:tcPr>
          <w:p>
            <w:pPr>
              <w:spacing w:after="0"/>
              <w:rPr>
                <w:sz w:val="15"/>
                <w:szCs w:val="15"/>
                <w:color w:val="auto"/>
              </w:rPr>
            </w:pPr>
          </w:p>
        </w:tc>
        <w:tc>
          <w:tcPr>
            <w:tcW w:w="132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5"/>
        </w:trPr>
        <w:tc>
          <w:tcPr>
            <w:tcW w:w="106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6"/>
                <w:szCs w:val="16"/>
                <w:color w:val="auto"/>
              </w:rPr>
              <w:t>income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83"/>
              <w:spacing w:after="0"/>
              <w:rPr>
                <w:sz w:val="20"/>
                <w:szCs w:val="20"/>
                <w:color w:val="auto"/>
              </w:rPr>
            </w:pPr>
            <w:r>
              <w:rPr>
                <w:rFonts w:ascii="Arial" w:cs="Arial" w:eastAsia="Arial" w:hAnsi="Arial"/>
                <w:sz w:val="15"/>
                <w:szCs w:val="15"/>
                <w:color w:val="auto"/>
              </w:rPr>
              <w:t>6,578</w:t>
            </w:r>
          </w:p>
        </w:tc>
        <w:tc>
          <w:tcPr>
            <w:tcW w:w="840" w:type="dxa"/>
            <w:vAlign w:val="bottom"/>
          </w:tcPr>
          <w:p>
            <w:pPr>
              <w:jc w:val="right"/>
              <w:spacing w:after="0"/>
              <w:rPr>
                <w:sz w:val="20"/>
                <w:szCs w:val="20"/>
                <w:color w:val="auto"/>
              </w:rPr>
            </w:pPr>
            <w:r>
              <w:rPr>
                <w:rFonts w:ascii="Arial" w:cs="Arial" w:eastAsia="Arial" w:hAnsi="Arial"/>
                <w:sz w:val="15"/>
                <w:szCs w:val="15"/>
                <w:color w:val="auto"/>
              </w:rPr>
              <w:t>7.4 %</w:t>
            </w:r>
          </w:p>
        </w:tc>
        <w:tc>
          <w:tcPr>
            <w:tcW w:w="18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43"/>
              <w:spacing w:after="0"/>
              <w:rPr>
                <w:sz w:val="20"/>
                <w:szCs w:val="20"/>
                <w:color w:val="auto"/>
              </w:rPr>
            </w:pPr>
            <w:r>
              <w:rPr>
                <w:rFonts w:ascii="Arial" w:cs="Arial" w:eastAsia="Arial" w:hAnsi="Arial"/>
                <w:sz w:val="15"/>
                <w:szCs w:val="15"/>
                <w:color w:val="auto"/>
              </w:rPr>
              <w:t>3,963</w:t>
            </w:r>
          </w:p>
        </w:tc>
        <w:tc>
          <w:tcPr>
            <w:tcW w:w="800" w:type="dxa"/>
            <w:vAlign w:val="bottom"/>
          </w:tcPr>
          <w:p>
            <w:pPr>
              <w:jc w:val="right"/>
              <w:spacing w:after="0"/>
              <w:rPr>
                <w:sz w:val="20"/>
                <w:szCs w:val="20"/>
                <w:color w:val="auto"/>
              </w:rPr>
            </w:pPr>
            <w:r>
              <w:rPr>
                <w:rFonts w:ascii="Arial" w:cs="Arial" w:eastAsia="Arial" w:hAnsi="Arial"/>
                <w:sz w:val="15"/>
                <w:szCs w:val="15"/>
                <w:color w:val="auto"/>
              </w:rPr>
              <w:t>5.1 %</w:t>
            </w:r>
          </w:p>
        </w:tc>
        <w:tc>
          <w:tcPr>
            <w:tcW w:w="16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10,862</w:t>
            </w:r>
          </w:p>
        </w:tc>
        <w:tc>
          <w:tcPr>
            <w:tcW w:w="820" w:type="dxa"/>
            <w:vAlign w:val="bottom"/>
          </w:tcPr>
          <w:p>
            <w:pPr>
              <w:jc w:val="right"/>
              <w:spacing w:after="0"/>
              <w:rPr>
                <w:sz w:val="20"/>
                <w:szCs w:val="20"/>
                <w:color w:val="auto"/>
              </w:rPr>
            </w:pPr>
            <w:r>
              <w:rPr>
                <w:rFonts w:ascii="Arial" w:cs="Arial" w:eastAsia="Arial" w:hAnsi="Arial"/>
                <w:sz w:val="15"/>
                <w:szCs w:val="15"/>
                <w:color w:val="auto"/>
              </w:rPr>
              <w:t>6.5 %</w:t>
            </w:r>
          </w:p>
        </w:tc>
        <w:tc>
          <w:tcPr>
            <w:tcW w:w="18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43"/>
              <w:spacing w:after="0"/>
              <w:rPr>
                <w:sz w:val="20"/>
                <w:szCs w:val="20"/>
                <w:color w:val="auto"/>
              </w:rPr>
            </w:pPr>
            <w:r>
              <w:rPr>
                <w:rFonts w:ascii="Arial" w:cs="Arial" w:eastAsia="Arial" w:hAnsi="Arial"/>
                <w:sz w:val="15"/>
                <w:szCs w:val="15"/>
                <w:color w:val="auto"/>
              </w:rPr>
              <w:t>9,232</w:t>
            </w:r>
          </w:p>
        </w:tc>
        <w:tc>
          <w:tcPr>
            <w:tcW w:w="820" w:type="dxa"/>
            <w:vAlign w:val="bottom"/>
          </w:tcPr>
          <w:p>
            <w:pPr>
              <w:jc w:val="right"/>
              <w:spacing w:after="0"/>
              <w:rPr>
                <w:sz w:val="20"/>
                <w:szCs w:val="20"/>
                <w:color w:val="auto"/>
              </w:rPr>
            </w:pPr>
            <w:r>
              <w:rPr>
                <w:rFonts w:ascii="Arial" w:cs="Arial" w:eastAsia="Arial" w:hAnsi="Arial"/>
                <w:sz w:val="15"/>
                <w:szCs w:val="15"/>
                <w:color w:val="auto"/>
              </w:rPr>
              <w:t>5.8 %</w:t>
            </w:r>
          </w:p>
        </w:tc>
        <w:tc>
          <w:tcPr>
            <w:tcW w:w="1040" w:type="dxa"/>
            <w:vAlign w:val="bottom"/>
          </w:tcPr>
          <w:p>
            <w:pPr>
              <w:spacing w:after="0"/>
              <w:rPr>
                <w:sz w:val="16"/>
                <w:szCs w:val="16"/>
                <w:color w:val="auto"/>
              </w:rPr>
            </w:pPr>
          </w:p>
        </w:tc>
      </w:tr>
      <w:tr>
        <w:trPr>
          <w:trHeight w:val="823"/>
        </w:trPr>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jc w:val="right"/>
              <w:ind w:right="323"/>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2"/>
        </w:trPr>
        <w:tc>
          <w:tcPr>
            <w:tcW w:w="10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June 30, 2021 were approximately $89.3 million, an increase of $ 11.9 million, or 15.4%, compared to the same period in 2020. The net sales variance reflects an increase in sales at Sterno Products as we began to see a return of demand in the food service and hospitality industries during the current quarter. The increase in sales at Sterno Products quarter over quarter was offset by a decrease in sales at Rimports. During the prior year, Rimports saw strong sales growth at the onset of the COVID-19 pandemic since most resellers of Rimports products were not impacted by the retail store closures. Rimports continues to see strong consumer demand for their products at the retail level.</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decreased from 22.2% for the three months ended June 30, 2020 to 21.5% for the same period ended June 30, 2021. The decrease in gross profit in the second quarter of 2021 as compared to the second quarter of 2020 was primarily attributable to sales mix, and additional inventory reserves recorded in the second quarter of 2021 at Sterno Home.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June 30, 2021 was approximately $8.2 million as compared to $8.9 million for the three months ended June 30, 2020, a decrease of $0.7 million, reflecting lower salaries, commissions, and various cost savings initiatives implemented to address the effects of decreased demand from COVID-19. Selling, general and administrative expense represented 9.2% of net sales for the three months ended June 30, 2021 and 11.4% for the three months ended June 30,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three months ended June 30, 2021 was approximately $6.6 million, an increase of $2.6 million compared to the three months ended June 30, 2020 based on the factors noted above.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six months ended June 30, 2021 were approximately $166.6 million, an increase of $6.2 million, or 3.9%, compared to the same period in 2020. The increase in net sales reflects an increase in sales at each of our product groups, Sterno Products, Rimports and Sterno Home as compared to the first six months of 2020. Sterno Products began to see a return of demand in the food service and hospitality industries, while Rimports has continued to see strong consumer demand for their products at the retail level.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decreased from 22.3% for the six months ended June 30, 2020 to 21.3% for the same period ended June 30, 2021. The decrease in gross profit in the six months ended June 30, 2021 as compared to the six months ended June 30, 2020 was primarily attributable to sales mix, additional inventory reserves recorded in 2021, increases in raw material costs and freight, and the continuing impact of absorbing overheads on the reduced sales volume at Sterno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six months ended June 30, 2021 was approximately $15.8 million as compared to $17.8 million for the six months ended June 30, 2020, a decrease of $ 2.0 million, reflecting lower salaries, commissions, and various cost savings initiatives implemented to address the effects of decreased demand from COVID-19. Selling, general and administrative expense represented 9.5% of net sales for the six months ended June 30, 2021 and 11.1% for the six months ended June 30,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six months ended June 30, 2021 was approximately $10.9 million, an increase of $1.6 million compared to the six months ended June 30, 2020 based on the factors noted above.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June 30, 2021, we had approximately $110.2 million of cash and cash equivalents on hand, an increase of $39.4 million as compared to the year ended December 31, 2020. The majority of our cash is in non-interest bearing checking accounts or invested in short-term money market accounts and is maintained in accordance with the Company’s investment policy, which identifies allowable investments and specifies credit quality standards. The change in cash and cash equivalents is as follows: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49"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4"/>
          </w:tcPr>
          <w:p>
            <w:pPr>
              <w:jc w:val="right"/>
              <w:ind w:right="1324"/>
              <w:spacing w:after="0"/>
              <w:rPr>
                <w:sz w:val="20"/>
                <w:szCs w:val="20"/>
                <w:color w:val="auto"/>
              </w:rPr>
            </w:pPr>
            <w:r>
              <w:rPr>
                <w:rFonts w:ascii="Arial" w:cs="Arial" w:eastAsia="Arial" w:hAnsi="Arial"/>
                <w:sz w:val="15"/>
                <w:szCs w:val="15"/>
                <w:b w:val="1"/>
                <w:bCs w:val="1"/>
                <w:color w:val="auto"/>
              </w:rPr>
              <w:t>Six months ended</w:t>
            </w:r>
          </w:p>
        </w:tc>
      </w:tr>
      <w:tr>
        <w:trPr>
          <w:trHeight w:val="20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Pr>
          <w:p>
            <w:pPr>
              <w:spacing w:after="0"/>
              <w:rPr>
                <w:sz w:val="17"/>
                <w:szCs w:val="17"/>
                <w:color w:val="auto"/>
              </w:rPr>
            </w:pPr>
          </w:p>
        </w:tc>
        <w:tc>
          <w:tcPr>
            <w:tcW w:w="184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 2021</w:t>
            </w:r>
          </w:p>
        </w:tc>
        <w:tc>
          <w:tcPr>
            <w:tcW w:w="300" w:type="dxa"/>
            <w:vAlign w:val="bottom"/>
          </w:tcPr>
          <w:p>
            <w:pPr>
              <w:spacing w:after="0"/>
              <w:rPr>
                <w:sz w:val="17"/>
                <w:szCs w:val="17"/>
                <w:color w:val="auto"/>
              </w:rPr>
            </w:pPr>
          </w:p>
        </w:tc>
        <w:tc>
          <w:tcPr>
            <w:tcW w:w="1680" w:type="dxa"/>
            <w:vAlign w:val="bottom"/>
          </w:tcPr>
          <w:p>
            <w:pPr>
              <w:jc w:val="right"/>
              <w:ind w:right="404"/>
              <w:spacing w:after="0"/>
              <w:rPr>
                <w:sz w:val="20"/>
                <w:szCs w:val="20"/>
                <w:color w:val="auto"/>
              </w:rPr>
            </w:pPr>
            <w:r>
              <w:rPr>
                <w:rFonts w:ascii="Arial" w:cs="Arial" w:eastAsia="Arial" w:hAnsi="Arial"/>
                <w:sz w:val="15"/>
                <w:szCs w:val="15"/>
                <w:b w:val="1"/>
                <w:bCs w:val="1"/>
                <w:color w:val="auto"/>
              </w:rPr>
              <w:t>June 30, 2020</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provided by operating activities</w:t>
            </w: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109,434</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88,330</w:t>
            </w:r>
          </w:p>
        </w:tc>
      </w:tr>
    </w:tbl>
    <w:p>
      <w:pPr>
        <w:spacing w:after="0" w:line="3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six months ended June 30, 2021, cash flows provided by operating activities totaled approximately $109.4 million, which represents a $21.1 million increase compared to cash provided by operating activities of $ 88.3 million during the six-month period ended June 30, 2020. Cash used in operating activities for working capital for the six months ended June 30, 2021 was $ 5.7 million, as compared to cash provided by operating activities for working capital of $ 39.9 million for the six months ended June 30, 2020. We typically have a higher usage of cash for working capital in the first half of the year as most of our companies will build up inventories after the fourth quarter. In the current year, several of our businesses had higher inventory levels than normal given longer lead times due to supply chain issues. In the prior year, the onset of the COVID-19 pandemic in March led our businesses to implement a variety of steps to conserve cash and increase liquidity given the uncertainty in the economy, resulting in a lower usage of cash for working capital. The increase in cash used in operating activities for working capital in the first half of 2021 is more typical of our liquidity usage, and also reflects the acquisition of Marucci Sports and BOA in the second and fourth quarter, respectively, of the prior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49"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4"/>
          </w:tcPr>
          <w:p>
            <w:pPr>
              <w:ind w:left="1100"/>
              <w:spacing w:after="0"/>
              <w:rPr>
                <w:sz w:val="20"/>
                <w:szCs w:val="20"/>
                <w:color w:val="auto"/>
              </w:rPr>
            </w:pPr>
            <w:r>
              <w:rPr>
                <w:rFonts w:ascii="Arial" w:cs="Arial" w:eastAsia="Arial" w:hAnsi="Arial"/>
                <w:sz w:val="15"/>
                <w:szCs w:val="15"/>
                <w:b w:val="1"/>
                <w:bCs w:val="1"/>
                <w:color w:val="auto"/>
              </w:rPr>
              <w:t>Six months ended</w:t>
            </w:r>
          </w:p>
        </w:tc>
      </w:tr>
      <w:tr>
        <w:trPr>
          <w:trHeight w:val="20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Pr>
          <w:p>
            <w:pPr>
              <w:spacing w:after="0"/>
              <w:rPr>
                <w:sz w:val="17"/>
                <w:szCs w:val="17"/>
                <w:color w:val="auto"/>
              </w:rPr>
            </w:pPr>
          </w:p>
        </w:tc>
        <w:tc>
          <w:tcPr>
            <w:tcW w:w="184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 2021</w:t>
            </w:r>
          </w:p>
        </w:tc>
        <w:tc>
          <w:tcPr>
            <w:tcW w:w="300" w:type="dxa"/>
            <w:vAlign w:val="bottom"/>
          </w:tcPr>
          <w:p>
            <w:pPr>
              <w:spacing w:after="0"/>
              <w:rPr>
                <w:sz w:val="17"/>
                <w:szCs w:val="17"/>
                <w:color w:val="auto"/>
              </w:rPr>
            </w:pPr>
          </w:p>
        </w:tc>
        <w:tc>
          <w:tcPr>
            <w:tcW w:w="1680" w:type="dxa"/>
            <w:vAlign w:val="bottom"/>
          </w:tcPr>
          <w:p>
            <w:pPr>
              <w:jc w:val="right"/>
              <w:ind w:right="404"/>
              <w:spacing w:after="0"/>
              <w:rPr>
                <w:sz w:val="20"/>
                <w:szCs w:val="20"/>
                <w:color w:val="auto"/>
              </w:rPr>
            </w:pPr>
            <w:r>
              <w:rPr>
                <w:rFonts w:ascii="Arial" w:cs="Arial" w:eastAsia="Arial" w:hAnsi="Arial"/>
                <w:sz w:val="15"/>
                <w:szCs w:val="15"/>
                <w:b w:val="1"/>
                <w:bCs w:val="1"/>
                <w:color w:val="auto"/>
              </w:rPr>
              <w:t>June 30, 2020</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used in investing activities</w:t>
            </w: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5"/>
                <w:szCs w:val="15"/>
                <w:color w:val="auto"/>
              </w:rPr>
              <w:t>(52,696)</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(212,990)</w:t>
            </w:r>
          </w:p>
        </w:tc>
      </w:tr>
    </w:tbl>
    <w:p>
      <w:pPr>
        <w:spacing w:after="0" w:line="200" w:lineRule="exact"/>
        <w:rPr>
          <w:sz w:val="20"/>
          <w:szCs w:val="20"/>
          <w:color w:val="auto"/>
        </w:rPr>
      </w:pP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flows used in investing activities for the six months ended June 30, 2021 totaled $52.7 million, compared to cash used in investing activities of $213.0 million in the same period of 2020. In the first quarter of 2021, our Arnold subsidiary acquired an add-on acquisition for $34.2 million, while in the prior year, our investing activities reflect the acquisition of Marucci Sports in April 2020. Our spending on capital expenditures increased $5.7 million during the six months ended June 30, 2021 as compared to the six months ended June 30, 2020, with $17.8 million in capital expenditures in 2021 and $12.2 million in capital expenditures in 2020. The additional capital expenditures reflects our acquisitions of Marucci in the second quarter of 2020 and BOA in the fourth quarter of 2020. We expect capital expenditures for the full year of 2021 to be approximately $32 million to $41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90"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4"/>
          </w:tcPr>
          <w:p>
            <w:pPr>
              <w:ind w:left="1100"/>
              <w:spacing w:after="0"/>
              <w:rPr>
                <w:sz w:val="20"/>
                <w:szCs w:val="20"/>
                <w:color w:val="auto"/>
              </w:rPr>
            </w:pPr>
            <w:r>
              <w:rPr>
                <w:rFonts w:ascii="Arial" w:cs="Arial" w:eastAsia="Arial" w:hAnsi="Arial"/>
                <w:sz w:val="15"/>
                <w:szCs w:val="15"/>
                <w:b w:val="1"/>
                <w:bCs w:val="1"/>
                <w:color w:val="auto"/>
              </w:rPr>
              <w:t>Six months ended</w:t>
            </w:r>
          </w:p>
        </w:tc>
      </w:tr>
      <w:tr>
        <w:trPr>
          <w:trHeight w:val="20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Pr>
          <w:p>
            <w:pPr>
              <w:spacing w:after="0"/>
              <w:rPr>
                <w:sz w:val="17"/>
                <w:szCs w:val="17"/>
                <w:color w:val="auto"/>
              </w:rPr>
            </w:pPr>
          </w:p>
        </w:tc>
        <w:tc>
          <w:tcPr>
            <w:tcW w:w="184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 2021</w:t>
            </w:r>
          </w:p>
        </w:tc>
        <w:tc>
          <w:tcPr>
            <w:tcW w:w="300" w:type="dxa"/>
            <w:vAlign w:val="bottom"/>
          </w:tcPr>
          <w:p>
            <w:pPr>
              <w:spacing w:after="0"/>
              <w:rPr>
                <w:sz w:val="17"/>
                <w:szCs w:val="17"/>
                <w:color w:val="auto"/>
              </w:rPr>
            </w:pPr>
          </w:p>
        </w:tc>
        <w:tc>
          <w:tcPr>
            <w:tcW w:w="1680" w:type="dxa"/>
            <w:vAlign w:val="bottom"/>
          </w:tcPr>
          <w:p>
            <w:pPr>
              <w:jc w:val="right"/>
              <w:ind w:right="404"/>
              <w:spacing w:after="0"/>
              <w:rPr>
                <w:sz w:val="20"/>
                <w:szCs w:val="20"/>
                <w:color w:val="auto"/>
              </w:rPr>
            </w:pPr>
            <w:r>
              <w:rPr>
                <w:rFonts w:ascii="Arial" w:cs="Arial" w:eastAsia="Arial" w:hAnsi="Arial"/>
                <w:sz w:val="15"/>
                <w:szCs w:val="15"/>
                <w:b w:val="1"/>
                <w:bCs w:val="1"/>
                <w:color w:val="auto"/>
              </w:rPr>
              <w:t>June 30, 2020</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(used in) provided by financing activities</w:t>
            </w: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5"/>
                <w:szCs w:val="15"/>
                <w:color w:val="auto"/>
              </w:rPr>
              <w:t>(17,324)</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230,595</w:t>
            </w:r>
          </w:p>
        </w:tc>
      </w:tr>
    </w:tbl>
    <w:p>
      <w:pPr>
        <w:spacing w:after="0" w:line="200" w:lineRule="exact"/>
        <w:rPr>
          <w:sz w:val="20"/>
          <w:szCs w:val="20"/>
          <w:color w:val="auto"/>
        </w:rPr>
      </w:pP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flows used in financing activities totaled approximately $17.3 million during the six months ended June 30, 2021 compared to cash flows provided by financing activities of $230.6 million during the six months ended June 30, 2020. During the first quarter of 2021, we completed an offering of $1,000.0 million of our 2029 Senior Notes, and used the proceeds to pay down our 2018 Revolving Credit Facility and pay off the existing 2026 Senior Notes. Financing activities in both periods reflect the payment of our common and preferred share distributions. During the six months ended June 30, 2021, we made a distribution to the Allocation Member of $5.2 million related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58" w:name="page59"/>
    <w:bookmarkEnd w:id="58"/>
    <w:p>
      <w:pPr>
        <w:jc w:val="both"/>
        <w:spacing w:after="0" w:line="261" w:lineRule="auto"/>
        <w:rPr>
          <w:sz w:val="20"/>
          <w:szCs w:val="20"/>
          <w:color w:val="auto"/>
        </w:rPr>
      </w:pPr>
      <w:r>
        <w:rPr>
          <w:rFonts w:ascii="Arial" w:cs="Arial" w:eastAsia="Arial" w:hAnsi="Arial"/>
          <w:sz w:val="18"/>
          <w:szCs w:val="18"/>
          <w:color w:val="auto"/>
        </w:rPr>
        <w:t>to the five-year holding event of our Liberty and Ergobaby business, while in the prior year, we made a distribution to the Allocation Member of $9.1 million related to the five-year Holding event for our Sterno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Intercompany Debt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component of our acquisition financing strategy that we utilize in acquiring the businesses we own and manage is to provide both equity capital and debt capital, raised at the parent level through our existing credit facility. Our strategy of providing intercompany debt financing within the capital structure of the businesses that we acquire and manage allows us the ability to distribute cash to the parent company through monthly interest payments and amortization of the principal on these intercompany loans. Each loan to our businesses has a scheduled maturity and each business is entitled to repay all or a portion of the principal amount of the outstanding loans, without penalty, prior to maturity. Certain of our businesses have paid down their respective intercompany debt balances through the cash flow generated by these businesses and we have recapitalized, and expect to continue to recapitalize, these businesses in the normal course of our business. The recapitalization process involves funding the intercompany debt using either cash on hand at the parent or our applicable Credit Facility, and serves the purpose of optimizing the capital structure at our subsidiaries and providing the noncontrolling shareholders with a distribution on their ownership interest in a cash flow positive business.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fourth quarter of 2020, we amended the Arnold intercompany credit agreement to increase the revolving credit commitment available under the credit agreement, and to remove the requirement to meet the financial covenants through September 30, 2021. All of our subsidiaries were in compliance with the financial covenants included within their intercompany credit arrangements at June 30, 2021.</w:t>
      </w:r>
    </w:p>
    <w:p>
      <w:pPr>
        <w:spacing w:after="0" w:line="94" w:lineRule="exact"/>
        <w:rPr>
          <w:sz w:val="20"/>
          <w:szCs w:val="20"/>
          <w:color w:val="auto"/>
        </w:rPr>
      </w:pPr>
    </w:p>
    <w:p>
      <w:pPr>
        <w:jc w:val="center"/>
        <w:ind w:right="3720"/>
        <w:spacing w:after="0"/>
        <w:rPr>
          <w:sz w:val="20"/>
          <w:szCs w:val="20"/>
          <w:color w:val="auto"/>
        </w:rPr>
      </w:pPr>
      <w:r>
        <w:rPr>
          <w:rFonts w:ascii="Arial" w:cs="Arial" w:eastAsia="Arial" w:hAnsi="Arial"/>
          <w:sz w:val="18"/>
          <w:szCs w:val="18"/>
          <w:color w:val="auto"/>
        </w:rPr>
        <w:t>As of June 30, 2021, we had the following outstanding loans due from each of our businesses:</w:t>
      </w:r>
    </w:p>
    <w:p>
      <w:pPr>
        <w:spacing w:after="0" w:line="127" w:lineRule="exact"/>
        <w:rPr>
          <w:sz w:val="20"/>
          <w:szCs w:val="20"/>
          <w:color w:val="auto"/>
        </w:rPr>
      </w:pPr>
    </w:p>
    <w:p>
      <w:pPr>
        <w:ind w:left="3280"/>
        <w:spacing w:after="0"/>
        <w:rPr>
          <w:sz w:val="20"/>
          <w:szCs w:val="20"/>
          <w:color w:val="auto"/>
        </w:rPr>
      </w:pPr>
      <w:r>
        <w:rPr>
          <w:rFonts w:ascii="Arial" w:cs="Arial" w:eastAsia="Arial" w:hAnsi="Arial"/>
          <w:sz w:val="13"/>
          <w:szCs w:val="13"/>
          <w:i w:val="1"/>
          <w:iCs w:val="1"/>
          <w:color w:val="auto"/>
        </w:rPr>
        <w:t>(in thousands)</w:t>
      </w:r>
    </w:p>
    <w:p>
      <w:pPr>
        <w:spacing w:after="0" w:line="14" w:lineRule="exact"/>
        <w:rPr>
          <w:sz w:val="20"/>
          <w:szCs w:val="20"/>
          <w:color w:val="auto"/>
        </w:rPr>
      </w:pPr>
    </w:p>
    <w:tbl>
      <w:tblPr>
        <w:tblLayout w:type="fixed"/>
        <w:tblInd w:w="3280" w:type="dxa"/>
        <w:tblCellMar>
          <w:top w:w="0" w:type="dxa"/>
          <w:left w:w="0" w:type="dxa"/>
          <w:bottom w:w="0" w:type="dxa"/>
          <w:right w:w="0" w:type="dxa"/>
        </w:tblCellMar>
      </w:tblPr>
      <w:tr>
        <w:trPr>
          <w:trHeight w:val="225"/>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5.11</w:t>
            </w:r>
          </w:p>
        </w:tc>
        <w:tc>
          <w:tcPr>
            <w:tcW w:w="140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131,078</w:t>
            </w:r>
          </w:p>
        </w:tc>
      </w:tr>
      <w:tr>
        <w:trPr>
          <w:trHeight w:val="213"/>
        </w:trPr>
        <w:tc>
          <w:tcPr>
            <w:tcW w:w="2280" w:type="dxa"/>
            <w:vAlign w:val="bottom"/>
          </w:tcPr>
          <w:p>
            <w:pPr>
              <w:spacing w:after="0"/>
              <w:rPr>
                <w:sz w:val="20"/>
                <w:szCs w:val="20"/>
                <w:color w:val="auto"/>
              </w:rPr>
            </w:pPr>
            <w:r>
              <w:rPr>
                <w:rFonts w:ascii="Arial" w:cs="Arial" w:eastAsia="Arial" w:hAnsi="Arial"/>
                <w:sz w:val="16"/>
                <w:szCs w:val="16"/>
                <w:color w:val="auto"/>
              </w:rPr>
              <w:t>BOA</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93,649</w:t>
            </w:r>
          </w:p>
        </w:tc>
      </w:tr>
      <w:tr>
        <w:trPr>
          <w:trHeight w:val="219"/>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25,725</w:t>
            </w:r>
          </w:p>
        </w:tc>
      </w:tr>
      <w:tr>
        <w:trPr>
          <w:trHeight w:val="213"/>
        </w:trPr>
        <w:tc>
          <w:tcPr>
            <w:tcW w:w="2280" w:type="dxa"/>
            <w:vAlign w:val="bottom"/>
          </w:tcPr>
          <w:p>
            <w:pPr>
              <w:spacing w:after="0"/>
              <w:rPr>
                <w:sz w:val="20"/>
                <w:szCs w:val="20"/>
                <w:color w:val="auto"/>
              </w:rPr>
            </w:pPr>
            <w:r>
              <w:rPr>
                <w:rFonts w:ascii="Arial" w:cs="Arial" w:eastAsia="Arial" w:hAnsi="Arial"/>
                <w:sz w:val="16"/>
                <w:szCs w:val="16"/>
                <w:color w:val="auto"/>
              </w:rPr>
              <w:t>Liberty</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26,707</w:t>
            </w:r>
          </w:p>
        </w:tc>
      </w:tr>
      <w:tr>
        <w:trPr>
          <w:trHeight w:val="219"/>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42,875</w:t>
            </w:r>
          </w:p>
        </w:tc>
      </w:tr>
      <w:tr>
        <w:trPr>
          <w:trHeight w:val="213"/>
        </w:trPr>
        <w:tc>
          <w:tcPr>
            <w:tcW w:w="2280" w:type="dxa"/>
            <w:vAlign w:val="bottom"/>
          </w:tcPr>
          <w:p>
            <w:pPr>
              <w:spacing w:after="0"/>
              <w:rPr>
                <w:sz w:val="20"/>
                <w:szCs w:val="20"/>
                <w:color w:val="auto"/>
              </w:rPr>
            </w:pPr>
            <w:r>
              <w:rPr>
                <w:rFonts w:ascii="Arial" w:cs="Arial" w:eastAsia="Arial" w:hAnsi="Arial"/>
                <w:sz w:val="16"/>
                <w:szCs w:val="16"/>
                <w:color w:val="auto"/>
              </w:rPr>
              <w:t>Velocity Outdoor</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103,821</w:t>
            </w:r>
          </w:p>
        </w:tc>
      </w:tr>
      <w:tr>
        <w:trPr>
          <w:trHeight w:val="219"/>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Advanced Circuits</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89,112</w:t>
            </w:r>
          </w:p>
        </w:tc>
      </w:tr>
      <w:tr>
        <w:trPr>
          <w:trHeight w:val="213"/>
        </w:trPr>
        <w:tc>
          <w:tcPr>
            <w:tcW w:w="2280" w:type="dxa"/>
            <w:vAlign w:val="bottom"/>
          </w:tcPr>
          <w:p>
            <w:pPr>
              <w:spacing w:after="0"/>
              <w:rPr>
                <w:sz w:val="20"/>
                <w:szCs w:val="20"/>
                <w:color w:val="auto"/>
              </w:rPr>
            </w:pPr>
            <w:r>
              <w:rPr>
                <w:rFonts w:ascii="Arial" w:cs="Arial" w:eastAsia="Arial" w:hAnsi="Arial"/>
                <w:sz w:val="16"/>
                <w:szCs w:val="16"/>
                <w:color w:val="auto"/>
              </w:rPr>
              <w:t>Altor</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82,812</w:t>
            </w:r>
          </w:p>
        </w:tc>
      </w:tr>
      <w:tr>
        <w:trPr>
          <w:trHeight w:val="219"/>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65,242</w:t>
            </w:r>
          </w:p>
        </w:tc>
      </w:tr>
      <w:tr>
        <w:trPr>
          <w:trHeight w:val="210"/>
        </w:trPr>
        <w:tc>
          <w:tcPr>
            <w:tcW w:w="2280" w:type="dxa"/>
            <w:vAlign w:val="bottom"/>
          </w:tcPr>
          <w:p>
            <w:pPr>
              <w:spacing w:after="0"/>
              <w:rPr>
                <w:sz w:val="20"/>
                <w:szCs w:val="20"/>
                <w:color w:val="auto"/>
              </w:rPr>
            </w:pPr>
            <w:r>
              <w:rPr>
                <w:rFonts w:ascii="Arial" w:cs="Arial" w:eastAsia="Arial" w:hAnsi="Arial"/>
                <w:sz w:val="16"/>
                <w:szCs w:val="16"/>
                <w:color w:val="auto"/>
              </w:rPr>
              <w:t>Sterno</w:t>
            </w:r>
          </w:p>
        </w:tc>
        <w:tc>
          <w:tcPr>
            <w:tcW w:w="14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219,024</w:t>
            </w:r>
          </w:p>
        </w:tc>
      </w:tr>
    </w:tbl>
    <w:p>
      <w:pPr>
        <w:spacing w:after="0" w:line="3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primary source of cash is from the receipt of interest and principal on the outstanding loans to our businesses. Accordingly, we are dependent upon the earnings of and cash flow from these businesses, which are available for (i) operating expenses; (ii) payment of principal and interest under our 2021 Credit Facility and interest on our Senior Notes; (iii) payments to CGM due pursuant to the MSA and the LLC Agreement; (iv) cash distributions to our shareholders; and (v) investments in future acquisitions. Payments made under (iii) above are required to be paid before distributions to shareholders and may be significant and exceed the funds held by us, which may require us to dispose of assets or incur debt to fund such expenditures.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Credit Facility</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23, 2021, we entered into a Second Amended and Restated Credit Agreement to amend and restate the 2018 Credit Facility. The 2021 Credit Facility provides for revolving loans, swing line loans and letters of credit up to a maximum aggregate amount of $600 million and also permits the Company, prior to the applicable maturity date, to increase the revolving loan commitment and/or obtain term loans in an aggregate amount of up to $250 million, subject to certain restrictions and conditions. All amounts outstanding under the 2021 Revolving Credit Facility will become due on March 23, 2026, which is the maturity date of loans advanced under the Revolving Credit Facility.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April 2018, we entered into an Amended and Restated Credit Agreement (the "2018 Credit Facility") to amend and restate the 2014 Credit Facility. The 2018 Credit Facility provided for (i) revolving loans, swing line loans and letters of credit (the “2018 Revolving Credit Facility”) up to a maximum aggregate amount of $600 million, and (ii) a $ 500 million term loan (the “2018 Term Loan”). The 2018 Credit Facility also permitted the Company, prior to the applicable maturity date, to increase the revolving loan commitment and/or obtain term loans in an aggregate amount of up to $250 million, subject to certain restrictions and conditions. In 2019, we repaid the amounts due under the 2018 Term Loan. We used a portion of the proceeds from the issuance of the 2029 Notes offering to pay all amounts outstanding under the 2018 Revolving Credit Facility in March 2021.</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had $599.1 million in net availability under the 2021 Revolving Credit Facility at June 30, 2021. The outstanding borrowings under the 2021 Revolving Credit Facility include $0.9 million of outstanding letters of credit at June 30,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consummated the issuance and sale of $1,000 million aggregate principal amount of our 5.250% 2029 Notes offered pursuant to a private offering to qualified institutional buyers in accordance with Rule 144A under the Securities Act, and to non-U.S. persons under Regulation S under the Securities Act. The Notes were issued pursuant to an indenture, dated as of March 23, 2021 (the “Indenture”), between the Company and U.S. Bank National Association, as trustee. The Notes bear interest at the rate of 5.250% per annum and will mature on April 15, 2029. Interest on the Notes is payable in cash on April 15th and October 15th of each year. The 2029 Notes are general unsecured obligations of the Company and are not guaranteed by our subsidiaries.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proceeds from the sale of the 2029 Notes was used to repay debt outstanding under the 2018 Credit Facility in connection with entering into the 2021 Credit Facility, as described above, and to redeem our 8.000% Senior Notes due 2026 (the “2026 Notes”).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reflects required and actual financial ratios as of June 30, 2021 included as part of the affirmative covenants in our 2021 Credit Facility.</w:t>
      </w:r>
    </w:p>
    <w:p>
      <w:pPr>
        <w:spacing w:after="0" w:line="96"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480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 of Required Covenant Ratio</w:t>
            </w:r>
          </w:p>
        </w:tc>
        <w:tc>
          <w:tcPr>
            <w:tcW w:w="3680" w:type="dxa"/>
            <w:vAlign w:val="bottom"/>
            <w:gridSpan w:val="2"/>
          </w:tcPr>
          <w:p>
            <w:pPr>
              <w:ind w:left="20"/>
              <w:spacing w:after="0"/>
              <w:rPr>
                <w:sz w:val="20"/>
                <w:szCs w:val="20"/>
                <w:color w:val="auto"/>
              </w:rPr>
            </w:pPr>
            <w:r>
              <w:rPr>
                <w:rFonts w:ascii="Arial" w:cs="Arial" w:eastAsia="Arial" w:hAnsi="Arial"/>
                <w:sz w:val="15"/>
                <w:szCs w:val="15"/>
                <w:b w:val="1"/>
                <w:bCs w:val="1"/>
                <w:color w:val="auto"/>
              </w:rPr>
              <w:t>Covenant Ratio Requirement</w:t>
            </w:r>
          </w:p>
        </w:tc>
        <w:tc>
          <w:tcPr>
            <w:tcW w:w="1320" w:type="dxa"/>
            <w:vAlign w:val="bottom"/>
          </w:tcPr>
          <w:p>
            <w:pPr>
              <w:jc w:val="right"/>
              <w:ind w:right="144"/>
              <w:spacing w:after="0"/>
              <w:rPr>
                <w:sz w:val="20"/>
                <w:szCs w:val="20"/>
                <w:color w:val="auto"/>
              </w:rPr>
            </w:pPr>
            <w:r>
              <w:rPr>
                <w:rFonts w:ascii="Arial" w:cs="Arial" w:eastAsia="Arial" w:hAnsi="Arial"/>
                <w:sz w:val="15"/>
                <w:szCs w:val="15"/>
                <w:b w:val="1"/>
                <w:bCs w:val="1"/>
                <w:color w:val="auto"/>
              </w:rPr>
              <w:t>Actual Ratio</w:t>
            </w:r>
          </w:p>
        </w:tc>
      </w:tr>
      <w:tr>
        <w:trPr>
          <w:trHeight w:val="92"/>
        </w:trPr>
        <w:tc>
          <w:tcPr>
            <w:tcW w:w="414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2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r>
      <w:tr>
        <w:trPr>
          <w:trHeight w:val="20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Consolidated Fixed Charge Coverage Ratio</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Greater than or equal to 1.50:1.0</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4.98:1.0</w:t>
            </w:r>
          </w:p>
        </w:tc>
      </w:tr>
      <w:tr>
        <w:trPr>
          <w:trHeight w:val="199"/>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Consolidated Senior Secured Leverage Ratio</w:t>
            </w:r>
          </w:p>
        </w:tc>
        <w:tc>
          <w:tcPr>
            <w:tcW w:w="3680" w:type="dxa"/>
            <w:vAlign w:val="bottom"/>
            <w:gridSpan w:val="2"/>
          </w:tcPr>
          <w:p>
            <w:pPr>
              <w:ind w:left="20"/>
              <w:spacing w:after="0"/>
              <w:rPr>
                <w:sz w:val="20"/>
                <w:szCs w:val="20"/>
                <w:color w:val="auto"/>
              </w:rPr>
            </w:pPr>
            <w:r>
              <w:rPr>
                <w:rFonts w:ascii="Arial" w:cs="Arial" w:eastAsia="Arial" w:hAnsi="Arial"/>
                <w:sz w:val="15"/>
                <w:szCs w:val="15"/>
                <w:color w:val="auto"/>
              </w:rPr>
              <w:t>Less than or equal to 3.50:1.0</w:t>
            </w:r>
          </w:p>
        </w:tc>
        <w:tc>
          <w:tcPr>
            <w:tcW w:w="1320" w:type="dxa"/>
            <w:vAlign w:val="bottom"/>
          </w:tcPr>
          <w:p>
            <w:pPr>
              <w:jc w:val="right"/>
              <w:spacing w:after="0"/>
              <w:rPr>
                <w:sz w:val="20"/>
                <w:szCs w:val="20"/>
                <w:color w:val="auto"/>
              </w:rPr>
            </w:pPr>
            <w:r>
              <w:rPr>
                <w:rFonts w:ascii="Arial" w:cs="Arial" w:eastAsia="Arial" w:hAnsi="Arial"/>
                <w:sz w:val="15"/>
                <w:szCs w:val="15"/>
                <w:color w:val="auto"/>
              </w:rPr>
              <w:t>0.00:1.0</w:t>
            </w:r>
          </w:p>
        </w:tc>
      </w:tr>
      <w:tr>
        <w:trPr>
          <w:trHeight w:val="206"/>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Consolidated Total Leverage Ratio</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Less than or equal to 5.00:1.0</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2.64:1.0</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and periodic interest charges on outstanding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206"/>
        </w:trPr>
        <w:tc>
          <w:tcPr>
            <w:tcW w:w="542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24"/>
              <w:spacing w:after="0"/>
              <w:rPr>
                <w:sz w:val="20"/>
                <w:szCs w:val="20"/>
                <w:color w:val="auto"/>
              </w:rPr>
            </w:pPr>
            <w:r>
              <w:rPr>
                <w:rFonts w:ascii="Arial" w:cs="Arial" w:eastAsia="Arial" w:hAnsi="Arial"/>
                <w:sz w:val="15"/>
                <w:szCs w:val="15"/>
                <w:b w:val="1"/>
                <w:bCs w:val="1"/>
                <w:color w:val="auto"/>
              </w:rPr>
              <w:t>Six months ended June 30,</w:t>
            </w:r>
          </w:p>
        </w:tc>
        <w:tc>
          <w:tcPr>
            <w:tcW w:w="640" w:type="dxa"/>
            <w:vAlign w:val="bottom"/>
            <w:tcBorders>
              <w:bottom w:val="single" w:sz="8" w:color="auto"/>
            </w:tcBorders>
          </w:tcPr>
          <w:p>
            <w:pPr>
              <w:spacing w:after="0"/>
              <w:rPr>
                <w:sz w:val="17"/>
                <w:szCs w:val="17"/>
                <w:color w:val="auto"/>
              </w:rPr>
            </w:pPr>
          </w:p>
        </w:tc>
      </w:tr>
      <w:tr>
        <w:trPr>
          <w:trHeight w:val="200"/>
        </w:trPr>
        <w:tc>
          <w:tcPr>
            <w:tcW w:w="54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2020</w:t>
            </w:r>
          </w:p>
        </w:tc>
        <w:tc>
          <w:tcPr>
            <w:tcW w:w="640" w:type="dxa"/>
            <w:vAlign w:val="bottom"/>
            <w:tcBorders>
              <w:bottom w:val="single" w:sz="8" w:color="auto"/>
            </w:tcBorders>
          </w:tcPr>
          <w:p>
            <w:pPr>
              <w:spacing w:after="0"/>
              <w:rPr>
                <w:sz w:val="17"/>
                <w:szCs w:val="1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on credit facilities</w:t>
            </w:r>
          </w:p>
        </w:tc>
        <w:tc>
          <w:tcPr>
            <w:tcW w:w="1140" w:type="dxa"/>
            <w:vAlign w:val="bottom"/>
            <w:shd w:val="clear" w:color="auto" w:fill="CCEEFF"/>
          </w:tcPr>
          <w:p>
            <w:pPr>
              <w:jc w:val="right"/>
              <w:ind w:right="96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6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693</w:t>
            </w:r>
          </w:p>
        </w:tc>
      </w:tr>
      <w:tr>
        <w:trPr>
          <w:trHeight w:val="198"/>
        </w:trPr>
        <w:tc>
          <w:tcPr>
            <w:tcW w:w="5420" w:type="dxa"/>
            <w:vAlign w:val="bottom"/>
          </w:tcPr>
          <w:p>
            <w:pPr>
              <w:ind w:left="20"/>
              <w:spacing w:after="0"/>
              <w:rPr>
                <w:sz w:val="20"/>
                <w:szCs w:val="20"/>
                <w:color w:val="auto"/>
              </w:rPr>
            </w:pPr>
            <w:r>
              <w:rPr>
                <w:rFonts w:ascii="Arial" w:cs="Arial" w:eastAsia="Arial" w:hAnsi="Arial"/>
                <w:sz w:val="15"/>
                <w:szCs w:val="15"/>
                <w:color w:val="auto"/>
              </w:rPr>
              <w:t>Interest on Senior Notes</w:t>
            </w:r>
          </w:p>
        </w:tc>
        <w:tc>
          <w:tcPr>
            <w:tcW w:w="114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26,395</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18,400</w:t>
            </w: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Unused fee on Revolving Credit Facility</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743</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728</w:t>
            </w:r>
          </w:p>
        </w:tc>
      </w:tr>
      <w:tr>
        <w:trPr>
          <w:trHeight w:val="198"/>
        </w:trPr>
        <w:tc>
          <w:tcPr>
            <w:tcW w:w="5420" w:type="dxa"/>
            <w:vAlign w:val="bottom"/>
          </w:tcPr>
          <w:p>
            <w:pPr>
              <w:ind w:left="20"/>
              <w:spacing w:after="0"/>
              <w:rPr>
                <w:sz w:val="20"/>
                <w:szCs w:val="20"/>
                <w:color w:val="auto"/>
              </w:rPr>
            </w:pPr>
            <w:r>
              <w:rPr>
                <w:rFonts w:ascii="Arial" w:cs="Arial" w:eastAsia="Arial" w:hAnsi="Arial"/>
                <w:sz w:val="15"/>
                <w:szCs w:val="15"/>
                <w:color w:val="auto"/>
              </w:rPr>
              <w:t>Amortization of bond premium</w:t>
            </w: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(83)</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interest expense</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115</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164</w:t>
            </w:r>
          </w:p>
        </w:tc>
      </w:tr>
      <w:tr>
        <w:trPr>
          <w:trHeight w:val="198"/>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income</w:t>
            </w: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w:t>
            </w:r>
          </w:p>
        </w:tc>
      </w:tr>
      <w:tr>
        <w:trPr>
          <w:trHeight w:val="225"/>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Interest expense, net</w:t>
            </w:r>
          </w:p>
        </w:tc>
        <w:tc>
          <w:tcPr>
            <w:tcW w:w="1140" w:type="dxa"/>
            <w:vAlign w:val="bottom"/>
            <w:tcBorders>
              <w:bottom w:val="single" w:sz="8" w:color="auto"/>
            </w:tcBorders>
            <w:shd w:val="clear" w:color="auto" w:fill="CCEEFF"/>
          </w:tcPr>
          <w:p>
            <w:pPr>
              <w:jc w:val="right"/>
              <w:ind w:right="964"/>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28,752</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6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19,771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0" w:name="page61"/>
    <w:bookmarkEnd w:id="60"/>
    <w:p>
      <w:pPr>
        <w:spacing w:after="0" w:line="261" w:lineRule="auto"/>
        <w:rPr>
          <w:sz w:val="20"/>
          <w:szCs w:val="20"/>
          <w:color w:val="auto"/>
        </w:rPr>
      </w:pPr>
      <w:r>
        <w:rPr>
          <w:rFonts w:ascii="Arial" w:cs="Arial" w:eastAsia="Arial" w:hAnsi="Arial"/>
          <w:sz w:val="18"/>
          <w:szCs w:val="18"/>
          <w:color w:val="auto"/>
        </w:rPr>
        <w:t xml:space="preserve">The following table provides the effective interest rate of the Company’s outstanding long-term debt at June 30, 2021 and 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00" w:type="dxa"/>
            <w:vAlign w:val="bottom"/>
          </w:tcPr>
          <w:p>
            <w:pPr>
              <w:spacing w:after="0"/>
              <w:rPr>
                <w:sz w:val="17"/>
                <w:szCs w:val="17"/>
                <w:color w:val="auto"/>
              </w:rPr>
            </w:pPr>
          </w:p>
        </w:tc>
        <w:tc>
          <w:tcPr>
            <w:tcW w:w="23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5"/>
                <w:szCs w:val="15"/>
                <w:b w:val="1"/>
                <w:bCs w:val="1"/>
                <w:color w:val="auto"/>
              </w:rPr>
              <w:t>June 30, 2021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2020</w:t>
            </w:r>
          </w:p>
        </w:tc>
        <w:tc>
          <w:tcPr>
            <w:tcW w:w="880" w:type="dxa"/>
            <w:vAlign w:val="bottom"/>
            <w:tcBorders>
              <w:bottom w:val="single" w:sz="8" w:color="auto"/>
            </w:tcBorders>
          </w:tcPr>
          <w:p>
            <w:pPr>
              <w:spacing w:after="0"/>
              <w:rPr>
                <w:sz w:val="17"/>
                <w:szCs w:val="17"/>
                <w:color w:val="auto"/>
              </w:rPr>
            </w:pPr>
          </w:p>
        </w:tc>
      </w:tr>
      <w:tr>
        <w:trPr>
          <w:trHeight w:val="187"/>
        </w:trPr>
        <w:tc>
          <w:tcPr>
            <w:tcW w:w="46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Amount</w:t>
            </w:r>
          </w:p>
        </w:tc>
      </w:tr>
      <w:tr>
        <w:trPr>
          <w:trHeight w:val="209"/>
        </w:trPr>
        <w:tc>
          <w:tcPr>
            <w:tcW w:w="46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Senior Notes </w:t>
            </w:r>
            <w:r>
              <w:rPr>
                <w:rFonts w:ascii="Arial" w:cs="Arial" w:eastAsia="Arial" w:hAnsi="Arial"/>
                <w:sz w:val="23"/>
                <w:szCs w:val="23"/>
                <w:color w:val="auto"/>
                <w:vertAlign w:val="superscript"/>
              </w:rPr>
              <w:t>(1)</w:t>
            </w: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1,000,000</w:t>
            </w:r>
          </w:p>
        </w:tc>
        <w:tc>
          <w:tcPr>
            <w:tcW w:w="21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600,000</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2000" w:type="dxa"/>
            <w:vAlign w:val="bottom"/>
          </w:tcPr>
          <w:p>
            <w:pPr>
              <w:jc w:val="center"/>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120" w:type="dxa"/>
            <w:vAlign w:val="bottom"/>
            <w:gridSpan w:val="2"/>
          </w:tcPr>
          <w:p>
            <w:pPr>
              <w:jc w:val="center"/>
              <w:ind w:left="1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307,000</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premiums and debt issuance costs</w:t>
            </w: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(11,651)</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(7,540)</w:t>
            </w:r>
          </w:p>
        </w:tc>
      </w:tr>
      <w:tr>
        <w:trPr>
          <w:trHeight w:val="207"/>
        </w:trPr>
        <w:tc>
          <w:tcPr>
            <w:tcW w:w="4600" w:type="dxa"/>
            <w:vAlign w:val="bottom"/>
          </w:tcPr>
          <w:p>
            <w:pPr>
              <w:ind w:left="360"/>
              <w:spacing w:after="0"/>
              <w:rPr>
                <w:sz w:val="20"/>
                <w:szCs w:val="20"/>
                <w:color w:val="auto"/>
              </w:rPr>
            </w:pPr>
            <w:r>
              <w:rPr>
                <w:rFonts w:ascii="Arial" w:cs="Arial" w:eastAsia="Arial" w:hAnsi="Arial"/>
                <w:sz w:val="16"/>
                <w:szCs w:val="16"/>
                <w:color w:val="auto"/>
              </w:rPr>
              <w:t>Long-term debt</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988,349</w:t>
            </w: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899,460</w:t>
            </w:r>
          </w:p>
        </w:tc>
      </w:tr>
      <w:tr>
        <w:trPr>
          <w:trHeight w:val="23"/>
        </w:trPr>
        <w:tc>
          <w:tcPr>
            <w:tcW w:w="4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ind w:right="20" w:firstLine="8"/>
        <w:spacing w:after="0" w:line="220" w:lineRule="auto"/>
        <w:tabs>
          <w:tab w:leader="none" w:pos="206" w:val="left"/>
        </w:tabs>
        <w:numPr>
          <w:ilvl w:val="0"/>
          <w:numId w:val="21"/>
        </w:numPr>
        <w:rPr>
          <w:rFonts w:ascii="Arial" w:cs="Arial" w:eastAsia="Arial" w:hAnsi="Arial"/>
          <w:sz w:val="23"/>
          <w:szCs w:val="23"/>
          <w:b w:val="1"/>
          <w:bCs w:val="1"/>
          <w:color w:val="auto"/>
          <w:vertAlign w:val="superscript"/>
        </w:rPr>
      </w:pPr>
      <w:r>
        <w:rPr>
          <w:rFonts w:ascii="Arial" w:cs="Arial" w:eastAsia="Arial" w:hAnsi="Arial"/>
          <w:sz w:val="18"/>
          <w:szCs w:val="18"/>
          <w:color w:val="auto"/>
        </w:rPr>
        <w:t>On March 23, 2021, we issued $1,000 million in 5.250% Senior Notes, and used a portion of the proceeds to repay our 8.000% Senior Notes. The 8.000% Senior Notes were redeemed on April 1, 2021, and we paid interest on these through the date of redemption.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are provided as additional information to investors in order to provide them with an alternative method for assessing our financial condition and operating results. These measures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tables below reconcile the most directly comparable GAAP financial measures to Earnings before Interest, Income Taxes, Depreciation and Amortization ("EBITDA"), Adjusted EBITDA, and Cash Flow Available for Distribution and Reinvestment ("CAD").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Reconciliation of Net income (Loss) to EBITDA and Adjusted EBITDA</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 EBITDA is calculated as net income (loss) before interest expense, income tax expense (benefit), depreciation expense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expense. Amortization expenses consist of amortization of intangibles and debt charges, including debt issuance costs, discounts, etc.</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 Adjusted EBITDA is calculated utilizing the same calculation as described above in arriving at EBITDA further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by: (i) 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(iii) management fees, which reflect fees due quarterly to our Manager in connection with our MSA, as well as Integration Services Fees paid by newly acquired companies; (iv) impairment charges, which reflect write downs to goodwill or other intangible assets; and (v) items of other income or expense that are material to a subsidiary and non-recurring in nature.</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EBITDA and Adjusted EBITDA provide useful information to investors and reflect important financial measures as they exclude the effects of items which reflect the impact of long-term investment decisions, rather than the performance of near term operations. When compared to net income (loss) these financial measures are limited in that they do not reflect the periodic costs of certain capital assets used in generating revenues of our businesses or the non-cash charges associated with impairments. This presentation also allows investors to view the performance of our businesses in a manner similar to the methods used by us and the management of our businesses, provides additional insight into our operating results and provides a measure for evaluating targeted businesses for acquisition.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1" w:name="page62"/>
    <w:bookmarkEnd w:id="61"/>
    <w:p>
      <w:pPr>
        <w:jc w:val="both"/>
        <w:spacing w:after="0" w:line="256" w:lineRule="auto"/>
        <w:rPr>
          <w:sz w:val="20"/>
          <w:szCs w:val="20"/>
          <w:color w:val="auto"/>
        </w:rPr>
      </w:pPr>
      <w:r>
        <w:rPr>
          <w:rFonts w:ascii="Arial" w:cs="Arial" w:eastAsia="Arial" w:hAnsi="Arial"/>
          <w:sz w:val="18"/>
          <w:szCs w:val="18"/>
          <w:color w:val="auto"/>
        </w:rPr>
        <w:t>We believe that these measurements are also useful in measuring our ability to service debt and other payment obligations. EBITDA and Adjusted EBITDA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following tables reconcile EBITDA and Adjusted EBITDA to net income (loss), which we consider to be the most comparable GAAP financial measure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2" w:name="page63"/>
    <w:bookmarkEnd w:id="62"/>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989330</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40"/>
        <w:spacing w:after="0"/>
        <w:rPr>
          <w:sz w:val="20"/>
          <w:szCs w:val="20"/>
          <w:color w:val="auto"/>
        </w:rPr>
      </w:pPr>
      <w:r>
        <w:rPr>
          <w:rFonts w:ascii="Arial" w:cs="Arial" w:eastAsia="Arial" w:hAnsi="Arial"/>
          <w:sz w:val="18"/>
          <w:szCs w:val="18"/>
          <w:b w:val="1"/>
          <w:bCs w:val="1"/>
          <w:color w:val="auto"/>
        </w:rPr>
        <w:t>Adjusted EBITDA</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Six months ended June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40" w:type="dxa"/>
            <w:vAlign w:val="bottom"/>
            <w:tcBorders>
              <w:top w:val="single" w:sz="8" w:color="auto"/>
            </w:tcBorders>
            <w:vMerge w:val="restart"/>
          </w:tcPr>
          <w:p>
            <w:pPr>
              <w:ind w:left="1720"/>
              <w:spacing w:after="0"/>
              <w:rPr>
                <w:sz w:val="20"/>
                <w:szCs w:val="20"/>
                <w:color w:val="auto"/>
              </w:rPr>
            </w:pPr>
            <w:r>
              <w:rPr>
                <w:rFonts w:ascii="Arial" w:cs="Arial" w:eastAsia="Arial" w:hAnsi="Arial"/>
                <w:sz w:val="14"/>
                <w:szCs w:val="14"/>
                <w:b w:val="1"/>
                <w:bCs w:val="1"/>
                <w:color w:val="auto"/>
              </w:rPr>
              <w:t>Corporate</w:t>
            </w:r>
          </w:p>
        </w:tc>
        <w:tc>
          <w:tcPr>
            <w:tcW w:w="62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5.11</w:t>
            </w:r>
          </w:p>
        </w:tc>
        <w:tc>
          <w:tcPr>
            <w:tcW w:w="64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BOA</w:t>
            </w:r>
          </w:p>
        </w:tc>
        <w:tc>
          <w:tcPr>
            <w:tcW w:w="158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Ergobaby  Liberty</w:t>
            </w:r>
          </w:p>
        </w:tc>
        <w:tc>
          <w:tcPr>
            <w:tcW w:w="80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Marucci</w:t>
            </w:r>
          </w:p>
        </w:tc>
        <w:tc>
          <w:tcPr>
            <w:tcW w:w="14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Velocity</w:t>
            </w:r>
          </w:p>
        </w:tc>
        <w:tc>
          <w:tcPr>
            <w:tcW w:w="74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Altor</w:t>
            </w:r>
          </w:p>
        </w:tc>
        <w:tc>
          <w:tcPr>
            <w:tcW w:w="780" w:type="dxa"/>
            <w:vAlign w:val="bottom"/>
            <w:tcBorders>
              <w:top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Arnold</w:t>
            </w:r>
          </w:p>
        </w:tc>
        <w:tc>
          <w:tcPr>
            <w:tcW w:w="188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Sterno   Consolidated</w:t>
            </w:r>
          </w:p>
        </w:tc>
        <w:tc>
          <w:tcPr>
            <w:tcW w:w="0" w:type="dxa"/>
            <w:vAlign w:val="bottom"/>
          </w:tcPr>
          <w:p>
            <w:pPr>
              <w:spacing w:after="0"/>
              <w:rPr>
                <w:sz w:val="1"/>
                <w:szCs w:val="1"/>
                <w:color w:val="auto"/>
              </w:rPr>
            </w:pPr>
          </w:p>
        </w:tc>
      </w:tr>
      <w:tr>
        <w:trPr>
          <w:trHeight w:val="176"/>
        </w:trPr>
        <w:tc>
          <w:tcPr>
            <w:tcW w:w="25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800" w:type="dxa"/>
            <w:vAlign w:val="bottom"/>
          </w:tcPr>
          <w:p>
            <w:pPr>
              <w:ind w:left="300"/>
              <w:spacing w:after="0"/>
              <w:rPr>
                <w:sz w:val="20"/>
                <w:szCs w:val="20"/>
                <w:color w:val="auto"/>
              </w:rPr>
            </w:pPr>
            <w:r>
              <w:rPr>
                <w:rFonts w:ascii="Arial" w:cs="Arial" w:eastAsia="Arial" w:hAnsi="Arial"/>
                <w:sz w:val="14"/>
                <w:szCs w:val="14"/>
                <w:b w:val="1"/>
                <w:bCs w:val="1"/>
                <w:color w:val="auto"/>
              </w:rPr>
              <w:t>Sports</w:t>
            </w:r>
          </w:p>
        </w:tc>
        <w:tc>
          <w:tcPr>
            <w:tcW w:w="1440" w:type="dxa"/>
            <w:vAlign w:val="bottom"/>
          </w:tcPr>
          <w:p>
            <w:pPr>
              <w:ind w:left="200"/>
              <w:spacing w:after="0"/>
              <w:rPr>
                <w:sz w:val="20"/>
                <w:szCs w:val="20"/>
                <w:color w:val="auto"/>
              </w:rPr>
            </w:pPr>
            <w:r>
              <w:rPr>
                <w:rFonts w:ascii="Arial" w:cs="Arial" w:eastAsia="Arial" w:hAnsi="Arial"/>
                <w:sz w:val="14"/>
                <w:szCs w:val="14"/>
                <w:b w:val="1"/>
                <w:bCs w:val="1"/>
                <w:color w:val="auto"/>
              </w:rPr>
              <w:t>Outdoor  ACI</w:t>
            </w:r>
          </w:p>
        </w:tc>
        <w:tc>
          <w:tcPr>
            <w:tcW w:w="7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99516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ectPr>
          <w:pgSz w:w="11900" w:h="16838" w:orient="portrait"/>
          <w:cols w:equalWidth="0" w:num="1">
            <w:col w:w="11020"/>
          </w:cols>
          <w:pgMar w:left="220" w:top="1440" w:right="659" w:bottom="1440" w:gutter="0" w:footer="0" w:header="0"/>
        </w:sectPr>
      </w:pPr>
    </w:p>
    <w:p>
      <w:pPr>
        <w:spacing w:after="0"/>
        <w:tabs>
          <w:tab w:leader="none" w:pos="1540" w:val="left"/>
        </w:tabs>
        <w:rPr>
          <w:sz w:val="20"/>
          <w:szCs w:val="20"/>
          <w:color w:val="auto"/>
        </w:rPr>
      </w:pPr>
      <w:r>
        <w:rPr>
          <w:rFonts w:ascii="Arial" w:cs="Arial" w:eastAsia="Arial" w:hAnsi="Arial"/>
          <w:sz w:val="15"/>
          <w:szCs w:val="15"/>
          <w:b w:val="1"/>
          <w:bCs w:val="1"/>
          <w:color w:val="auto"/>
        </w:rPr>
        <w:t>ome (loss)</w:t>
      </w:r>
      <w:r>
        <w:rPr>
          <w:sz w:val="20"/>
          <w:szCs w:val="20"/>
          <w:color w:val="auto"/>
        </w:rPr>
        <w:tab/>
      </w:r>
      <w:r>
        <w:rPr>
          <w:rFonts w:ascii="Arial" w:cs="Arial" w:eastAsia="Arial" w:hAnsi="Arial"/>
          <w:sz w:val="14"/>
          <w:szCs w:val="14"/>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d for: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ision for income taxes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est expense, net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company interest</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5"/>
          <w:szCs w:val="15"/>
          <w:color w:val="auto"/>
        </w:rPr>
        <w:t>on debt extinguishment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eciation and amortization</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r (income) expense</w:t>
      </w:r>
    </w:p>
    <w:p>
      <w:pPr>
        <w:spacing w:after="0" w:line="30" w:lineRule="exact"/>
        <w:rPr>
          <w:sz w:val="20"/>
          <w:szCs w:val="20"/>
          <w:color w:val="auto"/>
        </w:rPr>
      </w:pPr>
    </w:p>
    <w:p>
      <w:pPr>
        <w:ind w:right="220" w:firstLine="33"/>
        <w:spacing w:after="0" w:line="231" w:lineRule="auto"/>
        <w:rPr>
          <w:sz w:val="20"/>
          <w:szCs w:val="20"/>
          <w:color w:val="auto"/>
        </w:rPr>
      </w:pPr>
      <w:r>
        <w:rPr>
          <w:rFonts w:ascii="Arial" w:cs="Arial" w:eastAsia="Arial" w:hAnsi="Arial"/>
          <w:sz w:val="15"/>
          <w:szCs w:val="15"/>
          <w:color w:val="auto"/>
        </w:rPr>
        <w:t>ontrolling shareholder compensation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5"/>
          <w:szCs w:val="15"/>
          <w:color w:val="auto"/>
        </w:rPr>
        <w:t>isition expenses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ration services fee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agement fees</w:t>
      </w:r>
    </w:p>
    <w:p>
      <w:pPr>
        <w:spacing w:after="0" w:line="39" w:lineRule="exact"/>
        <w:rPr>
          <w:sz w:val="20"/>
          <w:szCs w:val="20"/>
          <w:color w:val="auto"/>
        </w:rPr>
      </w:pPr>
    </w:p>
    <w:p>
      <w:pPr>
        <w:ind w:left="40"/>
        <w:spacing w:after="0"/>
        <w:tabs>
          <w:tab w:leader="none" w:pos="1540" w:val="left"/>
        </w:tabs>
        <w:rPr>
          <w:sz w:val="20"/>
          <w:szCs w:val="20"/>
          <w:color w:val="auto"/>
        </w:rPr>
      </w:pPr>
      <w:r>
        <w:rPr>
          <w:rFonts w:ascii="Arial" w:cs="Arial" w:eastAsia="Arial" w:hAnsi="Arial"/>
          <w:sz w:val="15"/>
          <w:szCs w:val="15"/>
          <w:b w:val="1"/>
          <w:bCs w:val="1"/>
          <w:i w:val="1"/>
          <w:iCs w:val="1"/>
          <w:color w:val="auto"/>
        </w:rPr>
        <w:t>d EBITDA</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(52,764)$</w:t>
            </w:r>
          </w:p>
        </w:tc>
        <w:tc>
          <w:tcPr>
            <w:tcW w:w="8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9,095</w:t>
            </w:r>
          </w:p>
        </w:tc>
        <w:tc>
          <w:tcPr>
            <w:tcW w:w="8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12,652$</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3,602$</w:t>
            </w:r>
          </w:p>
        </w:tc>
        <w:tc>
          <w:tcPr>
            <w:tcW w:w="80" w:type="dxa"/>
            <w:vAlign w:val="bottom"/>
          </w:tcPr>
          <w:p>
            <w:pPr>
              <w:spacing w:after="0"/>
              <w:rPr>
                <w:sz w:val="16"/>
                <w:szCs w:val="16"/>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7,574$</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7,250$</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10,589$</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6,545$</w:t>
            </w:r>
          </w:p>
        </w:tc>
        <w:tc>
          <w:tcPr>
            <w:tcW w:w="12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3,298$</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1,594$</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1,310$</w:t>
            </w:r>
          </w:p>
        </w:tc>
        <w:tc>
          <w:tcPr>
            <w:tcW w:w="80" w:type="dxa"/>
            <w:vAlign w:val="bottom"/>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10,745</w:t>
            </w:r>
          </w:p>
        </w:tc>
      </w:tr>
      <w:tr>
        <w:trPr>
          <w:trHeight w:val="405"/>
        </w:trPr>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3,027</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1,465</w:t>
            </w:r>
          </w:p>
        </w:tc>
        <w:tc>
          <w:tcPr>
            <w:tcW w:w="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1,028</w:t>
            </w:r>
          </w:p>
        </w:tc>
        <w:tc>
          <w:tcPr>
            <w:tcW w:w="8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2,607</w:t>
            </w:r>
          </w:p>
        </w:tc>
        <w:tc>
          <w:tcPr>
            <w:tcW w:w="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2,289</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3,047</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1,454</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1,531</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1,004</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260</w:t>
            </w:r>
          </w:p>
        </w:tc>
        <w:tc>
          <w:tcPr>
            <w:tcW w:w="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17,712</w:t>
            </w:r>
          </w:p>
        </w:tc>
      </w:tr>
      <w:tr>
        <w:trPr>
          <w:trHeight w:val="203"/>
        </w:trPr>
        <w:tc>
          <w:tcPr>
            <w:tcW w:w="720" w:type="dxa"/>
            <w:vAlign w:val="bottom"/>
          </w:tcPr>
          <w:p>
            <w:pPr>
              <w:jc w:val="right"/>
              <w:spacing w:after="0"/>
              <w:rPr>
                <w:sz w:val="20"/>
                <w:szCs w:val="20"/>
                <w:color w:val="auto"/>
              </w:rPr>
            </w:pPr>
            <w:r>
              <w:rPr>
                <w:rFonts w:ascii="Arial" w:cs="Arial" w:eastAsia="Arial" w:hAnsi="Arial"/>
                <w:sz w:val="14"/>
                <w:szCs w:val="14"/>
                <w:color w:val="auto"/>
              </w:rPr>
              <w:t>28,651</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28,752</w:t>
            </w:r>
          </w:p>
        </w:tc>
      </w:tr>
      <w:tr>
        <w:trPr>
          <w:trHeight w:val="203"/>
        </w:trPr>
        <w:tc>
          <w:tcPr>
            <w:tcW w:w="720" w:type="dxa"/>
            <w:vAlign w:val="bottom"/>
          </w:tcPr>
          <w:p>
            <w:pPr>
              <w:jc w:val="right"/>
              <w:spacing w:after="0"/>
              <w:rPr>
                <w:sz w:val="20"/>
                <w:szCs w:val="20"/>
                <w:color w:val="auto"/>
              </w:rPr>
            </w:pPr>
            <w:r>
              <w:rPr>
                <w:rFonts w:ascii="Arial" w:cs="Arial" w:eastAsia="Arial" w:hAnsi="Arial"/>
                <w:sz w:val="14"/>
                <w:szCs w:val="14"/>
                <w:color w:val="auto"/>
              </w:rPr>
              <w:t>(36,877)</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5,783</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4,362</w:t>
            </w:r>
          </w:p>
        </w:tc>
        <w:tc>
          <w:tcPr>
            <w:tcW w:w="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1,073</w:t>
            </w:r>
          </w:p>
        </w:tc>
        <w:tc>
          <w:tcPr>
            <w:tcW w:w="8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1,360</w:t>
            </w:r>
          </w:p>
        </w:tc>
        <w:tc>
          <w:tcPr>
            <w:tcW w:w="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1,193</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3,684</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3,692</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3,418</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2,815</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9,497</w:t>
            </w:r>
          </w:p>
        </w:tc>
        <w:tc>
          <w:tcPr>
            <w:tcW w:w="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720" w:type="dxa"/>
            <w:vAlign w:val="bottom"/>
          </w:tcPr>
          <w:p>
            <w:pPr>
              <w:jc w:val="right"/>
              <w:spacing w:after="0"/>
              <w:rPr>
                <w:sz w:val="20"/>
                <w:szCs w:val="20"/>
                <w:color w:val="auto"/>
              </w:rPr>
            </w:pPr>
            <w:r>
              <w:rPr>
                <w:rFonts w:ascii="Arial" w:cs="Arial" w:eastAsia="Arial" w:hAnsi="Arial"/>
                <w:sz w:val="14"/>
                <w:szCs w:val="14"/>
                <w:color w:val="auto"/>
              </w:rPr>
              <w:t>33,305</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33,305</w:t>
            </w:r>
          </w:p>
        </w:tc>
      </w:tr>
      <w:tr>
        <w:trPr>
          <w:trHeight w:val="201"/>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10,894</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9,884</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4,327</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948</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4,222</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6,328</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5,816</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3,817</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10,591</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58,287</w:t>
            </w:r>
          </w:p>
        </w:tc>
      </w:tr>
      <w:tr>
        <w:trPr>
          <w:trHeight w:val="184"/>
        </w:trPr>
        <w:tc>
          <w:tcPr>
            <w:tcW w:w="720" w:type="dxa"/>
            <w:vAlign w:val="bottom"/>
          </w:tcPr>
          <w:p>
            <w:pPr>
              <w:jc w:val="right"/>
              <w:spacing w:after="0"/>
              <w:rPr>
                <w:sz w:val="20"/>
                <w:szCs w:val="20"/>
                <w:color w:val="auto"/>
              </w:rPr>
            </w:pPr>
            <w:r>
              <w:rPr>
                <w:rFonts w:ascii="Arial" w:cs="Arial" w:eastAsia="Arial" w:hAnsi="Arial"/>
                <w:sz w:val="14"/>
                <w:szCs w:val="14"/>
                <w:color w:val="auto"/>
              </w:rPr>
              <w:t>(27,326)</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28,806</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28,363</w:t>
            </w:r>
          </w:p>
        </w:tc>
        <w:tc>
          <w:tcPr>
            <w:tcW w:w="8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10,030</w:t>
            </w:r>
          </w:p>
        </w:tc>
        <w:tc>
          <w:tcPr>
            <w:tcW w:w="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12,489</w:t>
            </w:r>
          </w:p>
        </w:tc>
        <w:tc>
          <w:tcPr>
            <w:tcW w:w="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14,958</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23,738</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12,792</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14,063</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9,230</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21,658</w:t>
            </w:r>
          </w:p>
        </w:tc>
        <w:tc>
          <w:tcPr>
            <w:tcW w:w="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148,801</w:t>
            </w:r>
          </w:p>
        </w:tc>
      </w:tr>
      <w:tr>
        <w:trPr>
          <w:trHeight w:val="203"/>
        </w:trPr>
        <w:tc>
          <w:tcPr>
            <w:tcW w:w="720" w:type="dxa"/>
            <w:vAlign w:val="bottom"/>
          </w:tcPr>
          <w:p>
            <w:pPr>
              <w:jc w:val="right"/>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(301)</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892</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2,613</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2,890</w:t>
            </w:r>
          </w:p>
        </w:tc>
      </w:tr>
      <w:tr>
        <w:trPr>
          <w:trHeight w:val="351"/>
        </w:trPr>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1,287</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1,083</w:t>
            </w:r>
          </w:p>
        </w:tc>
        <w:tc>
          <w:tcPr>
            <w:tcW w:w="8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807</w:t>
            </w:r>
          </w:p>
        </w:tc>
        <w:tc>
          <w:tcPr>
            <w:tcW w:w="8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551</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524</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513</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583</w:t>
            </w:r>
          </w:p>
        </w:tc>
        <w:tc>
          <w:tcPr>
            <w:tcW w:w="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5,618</w:t>
            </w:r>
          </w:p>
        </w:tc>
      </w:tr>
      <w:tr>
        <w:trPr>
          <w:trHeight w:val="203"/>
        </w:trPr>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310</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310</w:t>
            </w:r>
          </w:p>
        </w:tc>
      </w:tr>
      <w:tr>
        <w:trPr>
          <w:trHeight w:val="203"/>
        </w:trPr>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2,200</w:t>
            </w:r>
          </w:p>
        </w:tc>
        <w:tc>
          <w:tcPr>
            <w:tcW w:w="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3,200</w:t>
            </w:r>
          </w:p>
        </w:tc>
      </w:tr>
      <w:tr>
        <w:trPr>
          <w:trHeight w:val="203"/>
        </w:trPr>
        <w:tc>
          <w:tcPr>
            <w:tcW w:w="720" w:type="dxa"/>
            <w:vAlign w:val="bottom"/>
          </w:tcPr>
          <w:p>
            <w:pPr>
              <w:jc w:val="right"/>
              <w:spacing w:after="0"/>
              <w:rPr>
                <w:sz w:val="20"/>
                <w:szCs w:val="20"/>
                <w:color w:val="auto"/>
              </w:rPr>
            </w:pPr>
            <w:r>
              <w:rPr>
                <w:rFonts w:ascii="Arial" w:cs="Arial" w:eastAsia="Arial" w:hAnsi="Arial"/>
                <w:sz w:val="14"/>
                <w:szCs w:val="14"/>
                <w:color w:val="auto"/>
              </w:rPr>
              <w:t>898</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(2,300)</w:t>
            </w: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(1,069)</w:t>
            </w:r>
          </w:p>
        </w:tc>
      </w:tr>
      <w:tr>
        <w:trPr>
          <w:trHeight w:val="201"/>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19,231</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22,356</w:t>
            </w:r>
          </w:p>
        </w:tc>
      </w:tr>
      <w:tr>
        <w:trPr>
          <w:trHeight w:val="18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(7,048)$</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30,292$</w:t>
            </w:r>
          </w:p>
        </w:tc>
        <w:tc>
          <w:tcPr>
            <w:tcW w:w="8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32,226$</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11,087$</w:t>
            </w:r>
          </w:p>
        </w:tc>
        <w:tc>
          <w:tcPr>
            <w:tcW w:w="80" w:type="dxa"/>
            <w:vAlign w:val="bottom"/>
          </w:tcPr>
          <w:p>
            <w:pPr>
              <w:spacing w:after="0"/>
              <w:rPr>
                <w:sz w:val="15"/>
                <w:szCs w:val="15"/>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12,705$</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17,651$</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24,825$</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13,358$</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14,818$</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9,798$</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22,394$</w:t>
            </w: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182,106</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-1799590</wp:posOffset>
            </wp:positionV>
            <wp:extent cx="699516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-1542415</wp:posOffset>
            </wp:positionV>
            <wp:extent cx="699516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-1285240</wp:posOffset>
            </wp:positionV>
            <wp:extent cx="699516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-1028065</wp:posOffset>
            </wp:positionV>
            <wp:extent cx="699516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-676910</wp:posOffset>
            </wp:positionV>
            <wp:extent cx="699516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-419735</wp:posOffset>
            </wp:positionV>
            <wp:extent cx="699516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-1180465</wp:posOffset>
            </wp:positionH>
            <wp:positionV relativeFrom="paragraph">
              <wp:posOffset>-162560</wp:posOffset>
            </wp:positionV>
            <wp:extent cx="699516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140"/>
            <w:col w:w="9160"/>
          </w:cols>
          <w:pgMar w:left="220" w:top="1440"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92075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220" w:top="1440" w:right="659" w:bottom="1440" w:gutter="0" w:footer="0" w:header="0"/>
          <w:type w:val="continuous"/>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1195070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Adjusted EBITDA</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Six months ended June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vMerge w:val="restart"/>
          </w:tcPr>
          <w:p>
            <w:pPr>
              <w:ind w:left="240"/>
              <w:spacing w:after="0"/>
              <w:rPr>
                <w:sz w:val="20"/>
                <w:szCs w:val="20"/>
                <w:color w:val="auto"/>
              </w:rPr>
            </w:pPr>
            <w:r>
              <w:rPr>
                <w:rFonts w:ascii="Arial" w:cs="Arial" w:eastAsia="Arial" w:hAnsi="Arial"/>
                <w:sz w:val="14"/>
                <w:szCs w:val="14"/>
                <w:b w:val="1"/>
                <w:bCs w:val="1"/>
                <w:color w:val="auto"/>
              </w:rPr>
              <w:t>Corporate</w:t>
            </w:r>
          </w:p>
        </w:tc>
        <w:tc>
          <w:tcPr>
            <w:tcW w:w="64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5.11</w:t>
            </w:r>
          </w:p>
        </w:tc>
        <w:tc>
          <w:tcPr>
            <w:tcW w:w="840" w:type="dxa"/>
            <w:vAlign w:val="bottom"/>
            <w:tcBorders>
              <w:top w:val="single" w:sz="8" w:color="auto"/>
            </w:tcBorders>
            <w:gridSpan w:val="3"/>
            <w:vMerge w:val="restart"/>
          </w:tcPr>
          <w:p>
            <w:pPr>
              <w:jc w:val="right"/>
              <w:ind w:right="108"/>
              <w:spacing w:after="0"/>
              <w:rPr>
                <w:sz w:val="20"/>
                <w:szCs w:val="20"/>
                <w:color w:val="auto"/>
              </w:rPr>
            </w:pPr>
            <w:r>
              <w:rPr>
                <w:rFonts w:ascii="Arial" w:cs="Arial" w:eastAsia="Arial" w:hAnsi="Arial"/>
                <w:sz w:val="14"/>
                <w:szCs w:val="14"/>
                <w:b w:val="1"/>
                <w:bCs w:val="1"/>
                <w:color w:val="auto"/>
                <w:w w:val="99"/>
              </w:rPr>
              <w:t>Ergobaby</w:t>
            </w:r>
          </w:p>
        </w:tc>
        <w:tc>
          <w:tcPr>
            <w:tcW w:w="780" w:type="dxa"/>
            <w:vAlign w:val="bottom"/>
            <w:tcBorders>
              <w:top w:val="single" w:sz="8" w:color="auto"/>
            </w:tcBorders>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Liberty</w:t>
            </w:r>
          </w:p>
        </w:tc>
        <w:tc>
          <w:tcPr>
            <w:tcW w:w="800" w:type="dxa"/>
            <w:vAlign w:val="bottom"/>
            <w:tcBorders>
              <w:top w:val="single" w:sz="8" w:color="auto"/>
            </w:tcBorders>
            <w:gridSpan w:val="3"/>
          </w:tcPr>
          <w:p>
            <w:pPr>
              <w:jc w:val="right"/>
              <w:ind w:right="168"/>
              <w:spacing w:after="0" w:line="142" w:lineRule="exact"/>
              <w:rPr>
                <w:sz w:val="20"/>
                <w:szCs w:val="20"/>
                <w:color w:val="auto"/>
              </w:rPr>
            </w:pPr>
            <w:r>
              <w:rPr>
                <w:rFonts w:ascii="Arial" w:cs="Arial" w:eastAsia="Arial" w:hAnsi="Arial"/>
                <w:sz w:val="14"/>
                <w:szCs w:val="14"/>
                <w:b w:val="1"/>
                <w:bCs w:val="1"/>
                <w:color w:val="auto"/>
              </w:rPr>
              <w:t>Marucci</w:t>
            </w:r>
          </w:p>
        </w:tc>
        <w:tc>
          <w:tcPr>
            <w:tcW w:w="8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Velocity</w:t>
            </w:r>
          </w:p>
        </w:tc>
        <w:tc>
          <w:tcPr>
            <w:tcW w:w="7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ACI</w:t>
            </w:r>
          </w:p>
        </w:tc>
        <w:tc>
          <w:tcPr>
            <w:tcW w:w="68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w w:val="97"/>
              </w:rPr>
              <w:t>Altor</w:t>
            </w:r>
          </w:p>
        </w:tc>
        <w:tc>
          <w:tcPr>
            <w:tcW w:w="780" w:type="dxa"/>
            <w:vAlign w:val="bottom"/>
            <w:tcBorders>
              <w:top w:val="single" w:sz="8" w:color="auto"/>
            </w:tcBorders>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Arnold</w:t>
            </w:r>
          </w:p>
        </w:tc>
        <w:tc>
          <w:tcPr>
            <w:tcW w:w="1780" w:type="dxa"/>
            <w:vAlign w:val="bottom"/>
            <w:tcBorders>
              <w:top w:val="single" w:sz="8" w:color="auto"/>
            </w:tcBorders>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Sterno   Consolidated</w:t>
            </w: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Sports</w:t>
            </w:r>
          </w:p>
        </w:tc>
        <w:tc>
          <w:tcPr>
            <w:tcW w:w="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Outdoor</w:t>
            </w:r>
          </w:p>
        </w:tc>
        <w:tc>
          <w:tcPr>
            <w:tcW w:w="78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7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ome (loss)</w:t>
            </w:r>
          </w:p>
        </w:tc>
        <w:tc>
          <w:tcPr>
            <w:tcW w:w="360" w:type="dxa"/>
            <w:vAlign w:val="bottom"/>
            <w:tcBorders>
              <w:top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(3,521)$</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2,120$</w:t>
            </w: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1,160$</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3,460$</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(6,325)$</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(9,541)$</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7,312$</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2,146$</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1,472$</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(2,486)</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20"/>
                <w:szCs w:val="20"/>
                <w:color w:val="auto"/>
              </w:rPr>
            </w:pPr>
            <w:r>
              <w:rPr>
                <w:rFonts w:ascii="Arial" w:cs="Arial" w:eastAsia="Arial" w:hAnsi="Arial"/>
                <w:sz w:val="15"/>
                <w:szCs w:val="15"/>
                <w:color w:val="auto"/>
              </w:rPr>
              <w:t>d for:</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vision (benefit) for income taxes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6,328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1,819</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6,871</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20"/>
                <w:szCs w:val="20"/>
                <w:color w:val="auto"/>
              </w:rPr>
            </w:pPr>
            <w:r>
              <w:rPr>
                <w:rFonts w:ascii="Arial" w:cs="Arial" w:eastAsia="Arial" w:hAnsi="Arial"/>
                <w:sz w:val="15"/>
                <w:szCs w:val="15"/>
                <w:color w:val="auto"/>
              </w:rPr>
              <w:t>erest expense, net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19,651</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8"/>
              <w:spacing w:after="0"/>
              <w:rPr>
                <w:sz w:val="20"/>
                <w:szCs w:val="20"/>
                <w:color w:val="auto"/>
              </w:rPr>
            </w:pPr>
            <w:r>
              <w:rPr>
                <w:rFonts w:ascii="Arial" w:cs="Arial" w:eastAsia="Arial" w:hAnsi="Arial"/>
                <w:sz w:val="14"/>
                <w:szCs w:val="14"/>
                <w:color w:val="auto"/>
              </w:rPr>
              <w:t>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19,771</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20"/>
                <w:szCs w:val="20"/>
                <w:color w:val="auto"/>
              </w:rPr>
            </w:pPr>
            <w:r>
              <w:rPr>
                <w:rFonts w:ascii="Arial" w:cs="Arial" w:eastAsia="Arial" w:hAnsi="Arial"/>
                <w:sz w:val="15"/>
                <w:szCs w:val="15"/>
                <w:color w:val="auto"/>
              </w:rPr>
              <w:t>ercompany interest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(34,632)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8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532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4,791</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2,843</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3,513</w:t>
            </w: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2,882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9,585</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8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preciation and amortization</w:t>
            </w:r>
          </w:p>
        </w:tc>
        <w:tc>
          <w:tcPr>
            <w:tcW w:w="3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10,639</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4,106</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4,717</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6,474</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1,347</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6,108</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3,320</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11,489</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49,321</w:t>
            </w:r>
          </w:p>
        </w:tc>
        <w:tc>
          <w:tcPr>
            <w:tcW w:w="0" w:type="dxa"/>
            <w:vAlign w:val="bottom"/>
          </w:tcPr>
          <w:p>
            <w:pPr>
              <w:spacing w:after="0"/>
              <w:rPr>
                <w:sz w:val="1"/>
                <w:szCs w:val="1"/>
                <w:color w:val="auto"/>
              </w:rPr>
            </w:pPr>
          </w:p>
        </w:tc>
      </w:tr>
      <w:tr>
        <w:trPr>
          <w:trHeight w:val="183"/>
        </w:trPr>
        <w:tc>
          <w:tcPr>
            <w:tcW w:w="1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7,370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(3,016)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8,128</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13,321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12,908</w:t>
            </w: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6,368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20,413</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73,477</w:t>
            </w:r>
          </w:p>
        </w:tc>
        <w:tc>
          <w:tcPr>
            <w:tcW w:w="0" w:type="dxa"/>
            <w:vAlign w:val="bottom"/>
          </w:tcPr>
          <w:p>
            <w:pPr>
              <w:spacing w:after="0"/>
              <w:rPr>
                <w:sz w:val="1"/>
                <w:szCs w:val="1"/>
                <w:color w:val="auto"/>
              </w:rPr>
            </w:pPr>
          </w:p>
        </w:tc>
      </w:tr>
      <w:tr>
        <w:trPr>
          <w:trHeight w:val="203"/>
        </w:trPr>
        <w:tc>
          <w:tcPr>
            <w:tcW w:w="1840" w:type="dxa"/>
            <w:vAlign w:val="bottom"/>
          </w:tcPr>
          <w:p>
            <w:pPr>
              <w:ind w:left="40"/>
              <w:spacing w:after="0"/>
              <w:rPr>
                <w:sz w:val="20"/>
                <w:szCs w:val="20"/>
                <w:color w:val="auto"/>
              </w:rPr>
            </w:pPr>
            <w:r>
              <w:rPr>
                <w:rFonts w:ascii="Arial" w:cs="Arial" w:eastAsia="Arial" w:hAnsi="Arial"/>
                <w:sz w:val="15"/>
                <w:szCs w:val="15"/>
                <w:color w:val="auto"/>
              </w:rPr>
              <w:t>er (income) expense</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(40)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1,067</w:t>
            </w:r>
          </w:p>
        </w:tc>
        <w:tc>
          <w:tcPr>
            <w:tcW w:w="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(567)</w:t>
            </w:r>
          </w:p>
        </w:tc>
        <w:tc>
          <w:tcPr>
            <w:tcW w:w="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1,725</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ncontrolling shareholder</w:t>
            </w: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20"/>
                <w:szCs w:val="20"/>
                <w:color w:val="auto"/>
              </w:rPr>
            </w:pPr>
            <w:r>
              <w:rPr>
                <w:rFonts w:ascii="Arial" w:cs="Arial" w:eastAsia="Arial" w:hAnsi="Arial"/>
                <w:sz w:val="15"/>
                <w:szCs w:val="15"/>
                <w:color w:val="auto"/>
              </w:rPr>
              <w:t>quisition expenses</w:t>
            </w:r>
          </w:p>
        </w:tc>
        <w:tc>
          <w:tcPr>
            <w:tcW w:w="3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8"/>
              <w:spacing w:after="0"/>
              <w:rPr>
                <w:sz w:val="20"/>
                <w:szCs w:val="20"/>
                <w:color w:val="auto"/>
              </w:rPr>
            </w:pPr>
            <w:r>
              <w:rPr>
                <w:rFonts w:ascii="Arial" w:cs="Arial" w:eastAsia="Arial" w:hAnsi="Arial"/>
                <w:sz w:val="14"/>
                <w:szCs w:val="14"/>
                <w:color w:val="auto"/>
              </w:rPr>
              <w:t>2,042</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2,042</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rPr>
                <w:sz w:val="20"/>
                <w:szCs w:val="20"/>
                <w:color w:val="auto"/>
              </w:rPr>
            </w:pPr>
            <w:r>
              <w:rPr>
                <w:rFonts w:ascii="Arial" w:cs="Arial" w:eastAsia="Arial" w:hAnsi="Arial"/>
                <w:sz w:val="15"/>
                <w:szCs w:val="15"/>
                <w:color w:val="auto"/>
              </w:rPr>
              <w:t>er</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203"/>
        </w:trPr>
        <w:tc>
          <w:tcPr>
            <w:tcW w:w="18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nagement fees</w:t>
            </w:r>
          </w:p>
        </w:tc>
        <w:tc>
          <w:tcPr>
            <w:tcW w:w="3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11,305</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250</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250</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13,777</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rPr>
                <w:sz w:val="20"/>
                <w:szCs w:val="20"/>
                <w:color w:val="auto"/>
              </w:rPr>
            </w:pPr>
            <w:r>
              <w:rPr>
                <w:rFonts w:ascii="Arial" w:cs="Arial" w:eastAsia="Arial" w:hAnsi="Arial"/>
                <w:sz w:val="15"/>
                <w:szCs w:val="15"/>
                <w:b w:val="1"/>
                <w:bCs w:val="1"/>
                <w:i w:val="1"/>
                <w:iCs w:val="1"/>
                <w:color w:val="auto"/>
              </w:rPr>
              <w:t>d EBITDA</w:t>
            </w:r>
          </w:p>
        </w:tc>
        <w:tc>
          <w:tcPr>
            <w:tcW w:w="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(6,937)$</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21,379$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7,631$</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10,490$</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13,835$</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13,231$</w:t>
            </w: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6,654$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21,171$</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95,564</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92075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220" w:top="1440" w:right="65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u w:val="single" w:color="auto"/>
          <w:color w:val="auto"/>
        </w:rPr>
        <w:t>Reconciliation of Cash Flow Available for Distribution and Reinvestment</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details cash receipts and payments that are not reflected on our income statement in order to provide an additional measure of management's estimate of cash flow available for distribution ("CAD"). CAD is a non-GAAP measure that we believe provides additional, useful information to our shareholders in order to enable them to evaluate our ability to make anticipated quarterly distributions. CAD is not meant to be a substitute for GAAP, and may be different from or otherwise inconsistent with non-GAAP financial measures used by other companies.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reconciles CAD to net income (loss) and cash flows provided by operating activities, which we consider to be the most directly comparable financial measure calculated and presented in accordance with GAAP.</w:t>
      </w:r>
    </w:p>
    <w:p>
      <w:pPr>
        <w:spacing w:after="0" w:line="56"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6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4"/>
          </w:tcPr>
          <w:p>
            <w:pPr>
              <w:jc w:val="right"/>
              <w:ind w:right="1303"/>
              <w:spacing w:after="0"/>
              <w:rPr>
                <w:sz w:val="20"/>
                <w:szCs w:val="20"/>
                <w:color w:val="auto"/>
              </w:rPr>
            </w:pPr>
            <w:r>
              <w:rPr>
                <w:rFonts w:ascii="Arial" w:cs="Arial" w:eastAsia="Arial" w:hAnsi="Arial"/>
                <w:sz w:val="15"/>
                <w:szCs w:val="15"/>
                <w:b w:val="1"/>
                <w:bCs w:val="1"/>
                <w:color w:val="auto"/>
              </w:rPr>
              <w:t>Six Months ended</w:t>
            </w:r>
          </w:p>
        </w:tc>
      </w:tr>
      <w:tr>
        <w:trPr>
          <w:trHeight w:val="200"/>
        </w:trPr>
        <w:tc>
          <w:tcPr>
            <w:tcW w:w="6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7"/>
                <w:szCs w:val="17"/>
                <w:color w:val="auto"/>
              </w:rPr>
            </w:pPr>
          </w:p>
        </w:tc>
        <w:tc>
          <w:tcPr>
            <w:tcW w:w="178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 2021</w:t>
            </w:r>
          </w:p>
        </w:tc>
        <w:tc>
          <w:tcPr>
            <w:tcW w:w="300" w:type="dxa"/>
            <w:vAlign w:val="bottom"/>
          </w:tcPr>
          <w:p>
            <w:pPr>
              <w:spacing w:after="0"/>
              <w:rPr>
                <w:sz w:val="17"/>
                <w:szCs w:val="17"/>
                <w:color w:val="auto"/>
              </w:rPr>
            </w:pPr>
          </w:p>
        </w:tc>
        <w:tc>
          <w:tcPr>
            <w:tcW w:w="1680" w:type="dxa"/>
            <w:vAlign w:val="bottom"/>
          </w:tcPr>
          <w:p>
            <w:pPr>
              <w:jc w:val="right"/>
              <w:ind w:right="423"/>
              <w:spacing w:after="0"/>
              <w:rPr>
                <w:sz w:val="20"/>
                <w:szCs w:val="20"/>
                <w:color w:val="auto"/>
              </w:rPr>
            </w:pPr>
            <w:r>
              <w:rPr>
                <w:rFonts w:ascii="Arial" w:cs="Arial" w:eastAsia="Arial" w:hAnsi="Arial"/>
                <w:sz w:val="15"/>
                <w:szCs w:val="15"/>
                <w:b w:val="1"/>
                <w:bCs w:val="1"/>
                <w:color w:val="auto"/>
              </w:rPr>
              <w:t>June 30, 2020</w:t>
            </w:r>
          </w:p>
        </w:tc>
      </w:tr>
      <w:tr>
        <w:trPr>
          <w:trHeight w:val="19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10,745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(2,486)</w:t>
            </w:r>
          </w:p>
        </w:tc>
      </w:tr>
      <w:tr>
        <w:trPr>
          <w:trHeight w:val="198"/>
        </w:trPr>
        <w:tc>
          <w:tcPr>
            <w:tcW w:w="6740" w:type="dxa"/>
            <w:vAlign w:val="bottom"/>
          </w:tcPr>
          <w:p>
            <w:pPr>
              <w:ind w:left="340"/>
              <w:spacing w:after="0"/>
              <w:rPr>
                <w:sz w:val="20"/>
                <w:szCs w:val="20"/>
                <w:color w:val="auto"/>
              </w:rPr>
            </w:pPr>
            <w:r>
              <w:rPr>
                <w:rFonts w:ascii="Arial" w:cs="Arial" w:eastAsia="Arial" w:hAnsi="Arial"/>
                <w:sz w:val="15"/>
                <w:szCs w:val="15"/>
                <w:color w:val="auto"/>
              </w:rPr>
              <w:t>Adjustment to reconcile net income (loss) to cash provided by operating activities:</w:t>
            </w: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67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Depreciation and amortization</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56,879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48,186</w:t>
            </w:r>
          </w:p>
        </w:tc>
      </w:tr>
      <w:tr>
        <w:trPr>
          <w:trHeight w:val="198"/>
        </w:trPr>
        <w:tc>
          <w:tcPr>
            <w:tcW w:w="6740" w:type="dxa"/>
            <w:vAlign w:val="bottom"/>
          </w:tcPr>
          <w:p>
            <w:pPr>
              <w:ind w:left="680"/>
              <w:spacing w:after="0"/>
              <w:rPr>
                <w:sz w:val="20"/>
                <w:szCs w:val="20"/>
                <w:color w:val="auto"/>
              </w:rPr>
            </w:pPr>
            <w:r>
              <w:rPr>
                <w:rFonts w:ascii="Arial" w:cs="Arial" w:eastAsia="Arial" w:hAnsi="Arial"/>
                <w:sz w:val="15"/>
                <w:szCs w:val="15"/>
                <w:color w:val="auto"/>
              </w:rPr>
              <w:t>Amortization of debt issuance costs and premium</w:t>
            </w:r>
          </w:p>
        </w:tc>
        <w:tc>
          <w:tcPr>
            <w:tcW w:w="300" w:type="dxa"/>
            <w:vAlign w:val="bottom"/>
          </w:tcPr>
          <w:p>
            <w:pPr>
              <w:spacing w:after="0"/>
              <w:rPr>
                <w:sz w:val="17"/>
                <w:szCs w:val="17"/>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1,325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1,079</w:t>
            </w:r>
          </w:p>
        </w:tc>
      </w:tr>
      <w:tr>
        <w:trPr>
          <w:trHeight w:val="220"/>
        </w:trPr>
        <w:tc>
          <w:tcPr>
            <w:tcW w:w="67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Loss on debt extinguishment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8"/>
        </w:trPr>
        <w:tc>
          <w:tcPr>
            <w:tcW w:w="6740" w:type="dxa"/>
            <w:vAlign w:val="bottom"/>
          </w:tcPr>
          <w:p>
            <w:pPr>
              <w:ind w:left="680"/>
              <w:spacing w:after="0"/>
              <w:rPr>
                <w:sz w:val="20"/>
                <w:szCs w:val="20"/>
                <w:color w:val="auto"/>
              </w:rPr>
            </w:pPr>
            <w:r>
              <w:rPr>
                <w:rFonts w:ascii="Arial" w:cs="Arial" w:eastAsia="Arial" w:hAnsi="Arial"/>
                <w:sz w:val="15"/>
                <w:szCs w:val="15"/>
                <w:color w:val="auto"/>
              </w:rPr>
              <w:t>Noncontrolling shareholder charges</w:t>
            </w:r>
          </w:p>
        </w:tc>
        <w:tc>
          <w:tcPr>
            <w:tcW w:w="300" w:type="dxa"/>
            <w:vAlign w:val="bottom"/>
          </w:tcPr>
          <w:p>
            <w:pPr>
              <w:spacing w:after="0"/>
              <w:rPr>
                <w:sz w:val="17"/>
                <w:szCs w:val="17"/>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5,618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3,945</w:t>
            </w:r>
          </w:p>
        </w:tc>
      </w:tr>
      <w:tr>
        <w:trPr>
          <w:trHeight w:val="207"/>
        </w:trPr>
        <w:tc>
          <w:tcPr>
            <w:tcW w:w="67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Provision for receivable and inventory reserves</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3,526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2,519</w:t>
            </w:r>
          </w:p>
        </w:tc>
      </w:tr>
      <w:tr>
        <w:trPr>
          <w:trHeight w:val="198"/>
        </w:trPr>
        <w:tc>
          <w:tcPr>
            <w:tcW w:w="6740" w:type="dxa"/>
            <w:vAlign w:val="bottom"/>
          </w:tcPr>
          <w:p>
            <w:pPr>
              <w:ind w:left="680"/>
              <w:spacing w:after="0"/>
              <w:rPr>
                <w:sz w:val="20"/>
                <w:szCs w:val="20"/>
                <w:color w:val="auto"/>
              </w:rPr>
            </w:pPr>
            <w:r>
              <w:rPr>
                <w:rFonts w:ascii="Arial" w:cs="Arial" w:eastAsia="Arial" w:hAnsi="Arial"/>
                <w:sz w:val="15"/>
                <w:szCs w:val="15"/>
                <w:color w:val="auto"/>
              </w:rPr>
              <w:t>Deferred taxes</w:t>
            </w:r>
          </w:p>
        </w:tc>
        <w:tc>
          <w:tcPr>
            <w:tcW w:w="300" w:type="dxa"/>
            <w:vAlign w:val="bottom"/>
          </w:tcPr>
          <w:p>
            <w:pPr>
              <w:spacing w:after="0"/>
              <w:rPr>
                <w:sz w:val="17"/>
                <w:szCs w:val="17"/>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1,715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(5,933)</w:t>
            </w:r>
          </w:p>
        </w:tc>
      </w:tr>
      <w:tr>
        <w:trPr>
          <w:trHeight w:val="207"/>
        </w:trPr>
        <w:tc>
          <w:tcPr>
            <w:tcW w:w="67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Other</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1,155</w:t>
            </w:r>
          </w:p>
        </w:tc>
      </w:tr>
      <w:tr>
        <w:trPr>
          <w:trHeight w:val="198"/>
        </w:trPr>
        <w:tc>
          <w:tcPr>
            <w:tcW w:w="674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Changes in operating assets and liabilities</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(5,709)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39,865</w:t>
            </w:r>
          </w:p>
        </w:tc>
      </w:tr>
      <w:tr>
        <w:trPr>
          <w:trHeight w:val="200"/>
        </w:trPr>
        <w:tc>
          <w:tcPr>
            <w:tcW w:w="6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109,434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88,330</w:t>
            </w:r>
          </w:p>
        </w:tc>
      </w:tr>
      <w:tr>
        <w:trPr>
          <w:trHeight w:val="198"/>
        </w:trPr>
        <w:tc>
          <w:tcPr>
            <w:tcW w:w="6740" w:type="dxa"/>
            <w:vAlign w:val="bottom"/>
          </w:tcPr>
          <w:p>
            <w:pPr>
              <w:ind w:left="20"/>
              <w:spacing w:after="0"/>
              <w:rPr>
                <w:sz w:val="20"/>
                <w:szCs w:val="20"/>
                <w:color w:val="auto"/>
              </w:rPr>
            </w:pPr>
            <w:r>
              <w:rPr>
                <w:rFonts w:ascii="Arial" w:cs="Arial" w:eastAsia="Arial" w:hAnsi="Arial"/>
                <w:sz w:val="15"/>
                <w:szCs w:val="15"/>
                <w:color w:val="auto"/>
              </w:rPr>
              <w:t>Plus:</w:t>
            </w: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7"/>
        </w:trPr>
        <w:tc>
          <w:tcPr>
            <w:tcW w:w="6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Unused fee on revolving credit facility</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743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w:t>
            </w:r>
          </w:p>
        </w:tc>
      </w:tr>
      <w:tr>
        <w:trPr>
          <w:trHeight w:val="229"/>
        </w:trPr>
        <w:tc>
          <w:tcPr>
            <w:tcW w:w="6740" w:type="dxa"/>
            <w:vAlign w:val="bottom"/>
          </w:tcPr>
          <w:p>
            <w:pPr>
              <w:ind w:left="340"/>
              <w:spacing w:after="0" w:line="230" w:lineRule="exact"/>
              <w:rPr>
                <w:sz w:val="20"/>
                <w:szCs w:val="20"/>
                <w:color w:val="auto"/>
              </w:rPr>
            </w:pPr>
            <w:r>
              <w:rPr>
                <w:rFonts w:ascii="Arial" w:cs="Arial" w:eastAsia="Arial" w:hAnsi="Arial"/>
                <w:sz w:val="15"/>
                <w:szCs w:val="15"/>
                <w:color w:val="auto"/>
              </w:rPr>
              <w:t xml:space="preserve">Integration services fee </w:t>
            </w:r>
            <w:r>
              <w:rPr>
                <w:rFonts w:ascii="Arial" w:cs="Arial" w:eastAsia="Arial" w:hAnsi="Arial"/>
                <w:sz w:val="21"/>
                <w:szCs w:val="21"/>
                <w:color w:val="auto"/>
                <w:vertAlign w:val="superscript"/>
              </w:rPr>
              <w:t>(1)</w:t>
            </w:r>
          </w:p>
        </w:tc>
        <w:tc>
          <w:tcPr>
            <w:tcW w:w="300" w:type="dxa"/>
            <w:vAlign w:val="bottom"/>
          </w:tcPr>
          <w:p>
            <w:pPr>
              <w:spacing w:after="0"/>
              <w:rPr>
                <w:sz w:val="19"/>
                <w:szCs w:val="19"/>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3,200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6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Successful acquisition costs</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2,042</w:t>
            </w:r>
          </w:p>
        </w:tc>
      </w:tr>
      <w:tr>
        <w:trPr>
          <w:trHeight w:val="198"/>
        </w:trPr>
        <w:tc>
          <w:tcPr>
            <w:tcW w:w="6740" w:type="dxa"/>
            <w:vAlign w:val="bottom"/>
          </w:tcPr>
          <w:p>
            <w:pPr>
              <w:ind w:left="340"/>
              <w:spacing w:after="0"/>
              <w:rPr>
                <w:sz w:val="20"/>
                <w:szCs w:val="20"/>
                <w:color w:val="auto"/>
              </w:rPr>
            </w:pPr>
            <w:r>
              <w:rPr>
                <w:rFonts w:ascii="Arial" w:cs="Arial" w:eastAsia="Arial" w:hAnsi="Arial"/>
                <w:sz w:val="15"/>
                <w:szCs w:val="15"/>
                <w:color w:val="auto"/>
              </w:rPr>
              <w:t>Changes in operating assets and liabilities</w:t>
            </w:r>
          </w:p>
        </w:tc>
        <w:tc>
          <w:tcPr>
            <w:tcW w:w="300" w:type="dxa"/>
            <w:vAlign w:val="bottom"/>
          </w:tcPr>
          <w:p>
            <w:pPr>
              <w:spacing w:after="0"/>
              <w:rPr>
                <w:sz w:val="17"/>
                <w:szCs w:val="17"/>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5,709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8"/>
        </w:trPr>
        <w:tc>
          <w:tcPr>
            <w:tcW w:w="6740" w:type="dxa"/>
            <w:vAlign w:val="bottom"/>
          </w:tcPr>
          <w:p>
            <w:pPr>
              <w:ind w:left="340"/>
              <w:spacing w:after="0"/>
              <w:rPr>
                <w:sz w:val="20"/>
                <w:szCs w:val="20"/>
                <w:color w:val="auto"/>
              </w:rPr>
            </w:pPr>
            <w:r>
              <w:rPr>
                <w:rFonts w:ascii="Arial" w:cs="Arial" w:eastAsia="Arial" w:hAnsi="Arial"/>
                <w:sz w:val="15"/>
                <w:szCs w:val="15"/>
                <w:color w:val="auto"/>
              </w:rPr>
              <w:t>Changes in operating assets and liabilities</w:t>
            </w:r>
          </w:p>
        </w:tc>
        <w:tc>
          <w:tcPr>
            <w:tcW w:w="30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39,865</w:t>
            </w:r>
          </w:p>
        </w:tc>
      </w:tr>
      <w:tr>
        <w:trPr>
          <w:trHeight w:val="207"/>
        </w:trPr>
        <w:tc>
          <w:tcPr>
            <w:tcW w:w="6740" w:type="dxa"/>
            <w:vAlign w:val="bottom"/>
            <w:shd w:val="clear" w:color="auto" w:fill="CCEEFF"/>
          </w:tcPr>
          <w:p>
            <w:pPr>
              <w:ind w:left="340"/>
              <w:spacing w:after="0" w:line="207" w:lineRule="exact"/>
              <w:rPr>
                <w:sz w:val="20"/>
                <w:szCs w:val="20"/>
                <w:color w:val="auto"/>
              </w:rPr>
            </w:pPr>
            <w:r>
              <w:rPr>
                <w:rFonts w:ascii="Arial" w:cs="Arial" w:eastAsia="Arial" w:hAnsi="Arial"/>
                <w:sz w:val="15"/>
                <w:szCs w:val="15"/>
                <w:color w:val="auto"/>
              </w:rPr>
              <w:t xml:space="preserve">Maintenance capital expenditures: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8"/>
        </w:trPr>
        <w:tc>
          <w:tcPr>
            <w:tcW w:w="6740" w:type="dxa"/>
            <w:vAlign w:val="bottom"/>
          </w:tcPr>
          <w:p>
            <w:pPr>
              <w:ind w:left="680"/>
              <w:spacing w:after="0"/>
              <w:rPr>
                <w:sz w:val="20"/>
                <w:szCs w:val="20"/>
                <w:color w:val="auto"/>
              </w:rPr>
            </w:pPr>
            <w:r>
              <w:rPr>
                <w:rFonts w:ascii="Arial" w:cs="Arial" w:eastAsia="Arial" w:hAnsi="Arial"/>
                <w:sz w:val="15"/>
                <w:szCs w:val="15"/>
                <w:color w:val="auto"/>
              </w:rPr>
              <w:t>Compass Group Diversified Holdings LLC</w:t>
            </w:r>
          </w:p>
        </w:tc>
        <w:tc>
          <w:tcPr>
            <w:tcW w:w="30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67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5.11</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784</w:t>
            </w:r>
          </w:p>
        </w:tc>
      </w:tr>
      <w:tr>
        <w:trPr>
          <w:trHeight w:val="213"/>
        </w:trPr>
        <w:tc>
          <w:tcPr>
            <w:tcW w:w="6740" w:type="dxa"/>
            <w:vAlign w:val="bottom"/>
          </w:tcPr>
          <w:p>
            <w:pPr>
              <w:ind w:left="680"/>
              <w:spacing w:after="0"/>
              <w:rPr>
                <w:sz w:val="20"/>
                <w:szCs w:val="20"/>
                <w:color w:val="auto"/>
              </w:rPr>
            </w:pPr>
            <w:r>
              <w:rPr>
                <w:rFonts w:ascii="Arial" w:cs="Arial" w:eastAsia="Arial" w:hAnsi="Arial"/>
                <w:sz w:val="15"/>
                <w:szCs w:val="15"/>
                <w:color w:val="auto"/>
              </w:rPr>
              <w:t>BOA</w:t>
            </w:r>
          </w:p>
        </w:tc>
        <w:tc>
          <w:tcPr>
            <w:tcW w:w="300" w:type="dxa"/>
            <w:vAlign w:val="bottom"/>
          </w:tcPr>
          <w:p>
            <w:pPr>
              <w:spacing w:after="0"/>
              <w:rPr>
                <w:sz w:val="18"/>
                <w:szCs w:val="18"/>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593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67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Advanced Circuits</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r>
      <w:tr>
        <w:trPr>
          <w:trHeight w:val="198"/>
        </w:trPr>
        <w:tc>
          <w:tcPr>
            <w:tcW w:w="6740" w:type="dxa"/>
            <w:vAlign w:val="bottom"/>
          </w:tcPr>
          <w:p>
            <w:pPr>
              <w:ind w:left="680"/>
              <w:spacing w:after="0"/>
              <w:rPr>
                <w:sz w:val="20"/>
                <w:szCs w:val="20"/>
                <w:color w:val="auto"/>
              </w:rPr>
            </w:pPr>
            <w:r>
              <w:rPr>
                <w:rFonts w:ascii="Arial" w:cs="Arial" w:eastAsia="Arial" w:hAnsi="Arial"/>
                <w:sz w:val="15"/>
                <w:szCs w:val="15"/>
                <w:color w:val="auto"/>
              </w:rPr>
              <w:t>Altor Solutions</w:t>
            </w:r>
          </w:p>
        </w:tc>
        <w:tc>
          <w:tcPr>
            <w:tcW w:w="300" w:type="dxa"/>
            <w:vAlign w:val="bottom"/>
          </w:tcPr>
          <w:p>
            <w:pPr>
              <w:spacing w:after="0"/>
              <w:rPr>
                <w:sz w:val="17"/>
                <w:szCs w:val="17"/>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1,253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975</w:t>
            </w:r>
          </w:p>
        </w:tc>
      </w:tr>
      <w:tr>
        <w:trPr>
          <w:trHeight w:val="207"/>
        </w:trPr>
        <w:tc>
          <w:tcPr>
            <w:tcW w:w="67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Arnold</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1,630</w:t>
            </w:r>
          </w:p>
        </w:tc>
      </w:tr>
      <w:tr>
        <w:trPr>
          <w:trHeight w:val="198"/>
        </w:trPr>
        <w:tc>
          <w:tcPr>
            <w:tcW w:w="6740" w:type="dxa"/>
            <w:vAlign w:val="bottom"/>
          </w:tcPr>
          <w:p>
            <w:pPr>
              <w:ind w:left="680"/>
              <w:spacing w:after="0"/>
              <w:rPr>
                <w:sz w:val="20"/>
                <w:szCs w:val="20"/>
                <w:color w:val="auto"/>
              </w:rPr>
            </w:pPr>
            <w:r>
              <w:rPr>
                <w:rFonts w:ascii="Arial" w:cs="Arial" w:eastAsia="Arial" w:hAnsi="Arial"/>
                <w:sz w:val="15"/>
                <w:szCs w:val="15"/>
                <w:color w:val="auto"/>
              </w:rPr>
              <w:t>Ergobaby</w:t>
            </w:r>
          </w:p>
        </w:tc>
        <w:tc>
          <w:tcPr>
            <w:tcW w:w="30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124</w:t>
            </w:r>
          </w:p>
        </w:tc>
      </w:tr>
      <w:tr>
        <w:trPr>
          <w:trHeight w:val="207"/>
        </w:trPr>
        <w:tc>
          <w:tcPr>
            <w:tcW w:w="67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Liberty</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w:t>
            </w:r>
          </w:p>
        </w:tc>
      </w:tr>
      <w:tr>
        <w:trPr>
          <w:trHeight w:val="198"/>
        </w:trPr>
        <w:tc>
          <w:tcPr>
            <w:tcW w:w="6740" w:type="dxa"/>
            <w:vAlign w:val="bottom"/>
          </w:tcPr>
          <w:p>
            <w:pPr>
              <w:ind w:left="680"/>
              <w:spacing w:after="0"/>
              <w:rPr>
                <w:sz w:val="20"/>
                <w:szCs w:val="20"/>
                <w:color w:val="auto"/>
              </w:rPr>
            </w:pPr>
            <w:r>
              <w:rPr>
                <w:rFonts w:ascii="Arial" w:cs="Arial" w:eastAsia="Arial" w:hAnsi="Arial"/>
                <w:sz w:val="15"/>
                <w:szCs w:val="15"/>
                <w:color w:val="auto"/>
              </w:rPr>
              <w:t>Marucci Sports</w:t>
            </w:r>
          </w:p>
        </w:tc>
        <w:tc>
          <w:tcPr>
            <w:tcW w:w="300" w:type="dxa"/>
            <w:vAlign w:val="bottom"/>
          </w:tcPr>
          <w:p>
            <w:pPr>
              <w:spacing w:after="0"/>
              <w:rPr>
                <w:sz w:val="17"/>
                <w:szCs w:val="17"/>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1,804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207"/>
        </w:trPr>
        <w:tc>
          <w:tcPr>
            <w:tcW w:w="67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Sterno</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915</w:t>
            </w:r>
          </w:p>
        </w:tc>
      </w:tr>
      <w:tr>
        <w:trPr>
          <w:trHeight w:val="198"/>
        </w:trPr>
        <w:tc>
          <w:tcPr>
            <w:tcW w:w="6740" w:type="dxa"/>
            <w:vAlign w:val="bottom"/>
          </w:tcPr>
          <w:p>
            <w:pPr>
              <w:ind w:left="680"/>
              <w:spacing w:after="0"/>
              <w:rPr>
                <w:sz w:val="20"/>
                <w:szCs w:val="20"/>
                <w:color w:val="auto"/>
              </w:rPr>
            </w:pPr>
            <w:r>
              <w:rPr>
                <w:rFonts w:ascii="Arial" w:cs="Arial" w:eastAsia="Arial" w:hAnsi="Arial"/>
                <w:sz w:val="15"/>
                <w:szCs w:val="15"/>
                <w:color w:val="auto"/>
              </w:rPr>
              <w:t>Velocity Outdoor</w:t>
            </w:r>
          </w:p>
        </w:tc>
        <w:tc>
          <w:tcPr>
            <w:tcW w:w="300" w:type="dxa"/>
            <w:vAlign w:val="bottom"/>
          </w:tcPr>
          <w:p>
            <w:pPr>
              <w:spacing w:after="0"/>
              <w:rPr>
                <w:sz w:val="17"/>
                <w:szCs w:val="17"/>
                <w:color w:val="auto"/>
              </w:rPr>
            </w:pP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2,087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1,673</w:t>
            </w:r>
          </w:p>
        </w:tc>
      </w:tr>
      <w:tr>
        <w:trPr>
          <w:trHeight w:val="207"/>
        </w:trPr>
        <w:tc>
          <w:tcPr>
            <w:tcW w:w="6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3,526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1,919</w:t>
            </w:r>
          </w:p>
        </w:tc>
      </w:tr>
      <w:tr>
        <w:trPr>
          <w:trHeight w:val="198"/>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Preferred share distribution</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12,091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11,587</w:t>
            </w:r>
          </w:p>
        </w:tc>
      </w:tr>
      <w:tr>
        <w:trPr>
          <w:trHeight w:val="22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Estimated cash flow available for distribution and reinvestment</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92,822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31,192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6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80" w:type="dxa"/>
            <w:vAlign w:val="bottom"/>
          </w:tcPr>
          <w:p>
            <w:pPr>
              <w:spacing w:after="0"/>
              <w:rPr>
                <w:sz w:val="8"/>
                <w:szCs w:val="8"/>
                <w:color w:val="auto"/>
              </w:rPr>
            </w:pPr>
          </w:p>
        </w:tc>
      </w:tr>
      <w:tr>
        <w:trPr>
          <w:trHeight w:val="203"/>
        </w:trPr>
        <w:tc>
          <w:tcPr>
            <w:tcW w:w="6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 paid in April 2021/2020</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(21,564)</w:t>
            </w:r>
          </w:p>
        </w:tc>
      </w:tr>
      <w:tr>
        <w:trPr>
          <w:trHeight w:val="19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Distribution paid in July 2021/ 2020</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(23,364)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(23,364)</w:t>
            </w:r>
          </w:p>
        </w:tc>
      </w:tr>
      <w:tr>
        <w:trPr>
          <w:trHeight w:val="221"/>
        </w:trPr>
        <w:tc>
          <w:tcPr>
            <w:tcW w:w="6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(46,728)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(44,928)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420" w:right="20" w:hanging="250"/>
        <w:spacing w:after="0" w:line="216" w:lineRule="auto"/>
        <w:tabs>
          <w:tab w:leader="none" w:pos="348" w:val="left"/>
        </w:tabs>
        <w:numPr>
          <w:ilvl w:val="0"/>
          <w:numId w:val="22"/>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fees paid by newly acquired companies to the Manager for integration services performed during the first year of ownership, payable quarterly.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65" w:name="page66"/>
    <w:bookmarkEnd w:id="65"/>
    <w:p>
      <w:pPr>
        <w:jc w:val="both"/>
        <w:ind w:left="420" w:hanging="250"/>
        <w:spacing w:after="0" w:line="225" w:lineRule="auto"/>
        <w:tabs>
          <w:tab w:leader="none" w:pos="596" w:val="left"/>
        </w:tabs>
        <w:numPr>
          <w:ilvl w:val="0"/>
          <w:numId w:val="23"/>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maintenance capital expenditures that were funded from operating cash flow, net of proceeds from the sale of property, plant and equipment, and excludes growth capital expenditures of approximately $6.9 million for the six months ended June 30, 2021 and $5.6 million for the six months ended June 30,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produce the highest net sales during our fiscal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entered into the MSA with CGM effective May 16, 2006. The MSA provides for, among other things, CGM to perform services for the Company in exchange for a management fee paid quarterly and equal to 0.5% of the Company's adjusted net assets, as defined in the MSA. In March 2020, as a proactive measure to provide the Company with additional cash liquidity in light of the COVID-19 pandemic, the Company elected to draw down $200 million on our 2018 Revolving Credit Facility. The Company and CGM entered into a waiver agreement whereby CGM agreed to waive the portion of the management fee attributable to the cash balances held at the Company as of March 31, 2020. In addition, as a result of an expected decline in earnings and cash flows in the second quarter of 2020, CGM agreed to waive 50% of the management fee calculated at June 30, 2020 that was paid in July 2020. Further, for the third quarter of 2020, the Company and CGM entered into a waiver agreement whereby CGM agreed to waive the portion of the management fee attributable to the cash balances held at the Company as of September 30, 2020. CGM has also entered into a waiver of the MSA for a period through December 31, 2021 to receive a 1% annual management fee related to BOA, rather than the 2% called for under the MSA. In the first quarter of 2021, the Company and CGM entered into a waiver agreement whereby CGM agreed to waive the portion of the management fee related to the amount of the proceeds deposited with the Trustee that was in excess of the amount payable related to the 2026 Senior Notes at March 31,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Marucci Sports, which was acquired in April 2020, entered into an ISA with CGM whereby Marucci paid an integration service fee of $2.0 million quarterly over a twelve month period as services are rendered beginning in the quarter ended September 30, 2020. BOA, which was acquired in October 2020, entered into an Integration Services Agreement ("ISA") with CGM whereby BOA will pay CGM an integration service fee of $4.4 million quarterly over a twelve month period as services are rendered, beginning in the quarter ended December 31, 2020. Under the ISAs, CGM provides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 Allocation Payments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ten-year anniversary of Liberty occurred in March 2020 and the ten-year anniversary of Ergobaby occurred in September 2020. Both of these represented a Holding Event, and the holders of the Allocation Interests elected to defer the distribution until after the end of 2020. The profit allocation payment of $3.3 million related to the Liberty Holding Event and the profit allocation of $2.0 million related to the Ergobaby Holding Event were both paid in January 2021. The fifteen-year anniversary of ACI occurred in May 2021 which represented a Holding Event. The Company declared and paid a distribution to the Holders of $12.1 million in July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5.11 via the executive's 40% ownership interest in the vendor. During the three and six months ended June 30, 2021, 5.11 purchased approximately $0.4 million and $0.8 million, respectively, in inventory from the vendor.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7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BOA had approximately $11.8 million and $21.6 million, respectively, in purchases from this supplier during the three and six months ended June 30,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no special purpose entities or off-balance sheet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Long-term contractual obligations, except for our long-term debt obligations and operating lease liabilities, are generally not recognized in our consolidated balance sheet. Contractual obligations associated with ongoing business and financing activities will require cash payments in future periods. A table summarizing the amounts and estimated timing of these future cash payments as of December 31, 2020 was provided in the Company's annual report on Form 10-K for the year ended December 31, 2020. The only significant change related to our contractual obligations since December 31, 2020 relates to our long-term debt obligations. In March 2021, we issued our 2029 Senior Notes, resulting in proceeds of $1,000 million, which were used to repay the $600 million principal amount outstanding on our 2026 Senior Notes on April 1, 2021, and to repay our 2018 Revolving Credit Facility. The 2029 Senior Notes pay interest at 5.250%, as opposed to the 2026 Senior Notes which paid interest at 8.000%. In connection with the repayment of the 2018 Revolving Credit Facility, we entered into the 2021 Credit Facility provides for revolving loans, swing line loans and letters of credit up to a maximum aggregate amount of $600 million and also permits the Company, prior to the applicable maturity date, to increase the revolving loan commitment and/or obtain term loans in an aggregate amount of up to $250 million, subject to certain restrictions and conditions.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our financial statements in conformity with GAAP requires management to adopt accounting policies and make estimates and judgments that affect the amounts reported in the financial statements and accompanying notes. Actual results could differ from these estimates under different assumptions and judgments and uncertainties, and potentially could result in materially different results under different conditions. These critical accounting policies and estimates are reviewed periodically by our independent auditors and the audit committee of our board of directors.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Except as set forth below, our critical accounting estimates have not changed materially from those disclosed in Management’s Discussion and Analysis of Financial Condition and Results of Operations included in our Annual Report on Form 10-K, for the year ended December 31, 2020, as filed with the SEC on February 24,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Indefinite-lived Intangible Asset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Goodwill represents the excess amount of the purchase price over the fair value of the assets acquired. Our goodwill and indefinite lived intangible assets are tested for impairment on an annual basis as of March 31</w:t>
      </w:r>
      <w:r>
        <w:rPr>
          <w:rFonts w:ascii="Arial" w:cs="Arial" w:eastAsia="Arial" w:hAnsi="Arial"/>
          <w:sz w:val="23"/>
          <w:szCs w:val="23"/>
          <w:color w:val="auto"/>
          <w:vertAlign w:val="superscript"/>
        </w:rPr>
        <w:t>st</w:t>
      </w:r>
      <w:r>
        <w:rPr>
          <w:rFonts w:ascii="Arial" w:cs="Arial" w:eastAsia="Arial" w:hAnsi="Arial"/>
          <w:sz w:val="18"/>
          <w:szCs w:val="18"/>
          <w:color w:val="auto"/>
        </w:rPr>
        <w:t>, and if current events or circumstances require, on an interim basis. Goodwill is allocated to various reporting units, which are generally an operating segment or one level below the operating segment. Each of our businesses represents a reporting unit.</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use a qualitative approach to test goodwill for impairment by first assessing qualitative factors to determine whether it is more-likely-than-not that the fair value of a reporting unit is greater than its carrying amount as a basis for determining whether it is necessary to perform the goodwill impairment testing.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If qualitative factors are not sufficient to determine that the fair value of a reporting unit is more likely than not to exceed its carrying value, we will perform a quantitative test of the reporting unit whereby we estimate the fair value of the reporting unit using an income approach or market approach, or a weighting of the two methods. Under the income approach, we estimate the fair value of our reporting unit based on the present value of future cash flows. Cash flow projections are based on management's estimate of revenue growth rates and operating margins and take into consideration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7" w:name="page68"/>
    <w:bookmarkEnd w:id="67"/>
    <w:p>
      <w:pPr>
        <w:jc w:val="both"/>
        <w:spacing w:after="0" w:line="253" w:lineRule="auto"/>
        <w:rPr>
          <w:sz w:val="20"/>
          <w:szCs w:val="20"/>
          <w:color w:val="auto"/>
        </w:rPr>
      </w:pPr>
      <w:r>
        <w:rPr>
          <w:rFonts w:ascii="Arial" w:cs="Arial" w:eastAsia="Arial" w:hAnsi="Arial"/>
          <w:sz w:val="18"/>
          <w:szCs w:val="18"/>
          <w:color w:val="auto"/>
        </w:rPr>
        <w:t>industry and market conditions as well as company specific economic factors. The discount rate used is based on the weighted average cost of capital adjusted for the relevant risk associated with the business and the uncertainty associated with the reporting unit's ability to execute on the projected cash flows. Under the market approach, we estimate fair value based on market multiples of revenue and earnings derived from comparable public companies with operating characteristics that are similar to the reporting unit. When market comparables are not meaningful or available, we estimate the fair value of the reporting unit using only the income approach.</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2021 Annual Impairment Testing - </w:t>
      </w:r>
      <w:r>
        <w:rPr>
          <w:rFonts w:ascii="Arial" w:cs="Arial" w:eastAsia="Arial" w:hAnsi="Arial"/>
          <w:sz w:val="18"/>
          <w:szCs w:val="18"/>
          <w:color w:val="auto"/>
        </w:rPr>
        <w:t>For our annual impairment testing at March 31, 2021, we performed a qualitative assessment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units.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As a result of the current COVID-19 pandemic, we have considered how we expect COVID-19 to impact our future operating results and short and long term financial condition as part of our qualitative assessment, including the effects on our end customers, potential short-term supply chain constraints, and the continued restrictions imposed by government and regulatory authorities. The results of the qualitative analysis indicated that it was more-likely-than-not that the fair value of each of our reporting units except Arnold exceeded their carrying value. Based on our analysis, we determined that the Arnold operating segment required quantitative testing because we could not conclude that the fair value of this reporting unit significantly exceeded the carrying value based on qualitative factors alone.</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performed the quantitative tests of Arnold using an income approach to determine the fair value of the reporting units. We do not believe that the market approach results in relevant data points for market multiples or data from comparable companies since most of Arnold's competitors are privately held and do not publish data that can be used in an income approach. In developing the prospective financial information used in the income approach, we considered recent market conditions, taking into consideration the uncertainty associated with the COVID-19 pandemic and its economic fallout. The prospective financial information considers reporting unit specific facts and circumstances and is our best estimate of operational results and cash flows for the Arnold reporting unit as of the date of our impairment testing. The discount rate used in the income approach was 13.0%, and the results of the quantitative impairment testing indicated that the fair value of the Arnold reporting unit exceeded the carrying value by approximately 272%. The prospective financial information that is used to determine the fair values of the Arnold reporting unit requires us to make assumptions regarding future operational results including revenue growth rates and gross margins. If we do not achieve the forecasted revenue growth rates and gross margins, the results of the quantitative testing could change, potentially leading to additional testing and impairment at the reporting unit that was tested quantitatively.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a qualitative approach to test indefinite 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Our indefinite-lived intangible assets consist of trade names with a carrying value of approximately $ 60.0 million. The results of the qualitative analysis of our reporting unit's indefinite-lived intangible assets, which we completed as of March 31, 2021, indicated that the fair value of the indefinite lived intangible assets exceeded their carrying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2">
        <w:r>
          <w:rPr>
            <w:rFonts w:ascii="Arial" w:cs="Arial" w:eastAsia="Arial" w:hAnsi="Arial"/>
            <w:sz w:val="18"/>
            <w:szCs w:val="18"/>
            <w:u w:val="single" w:color="auto"/>
            <w:color w:val="0000FF"/>
          </w:rPr>
          <w:t>Note A - "Presentation and Principles of Consolidation"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consolidated financial statements for a discussion of recent accounting pronouncements.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our market risk since December 31, 2020. For a further discussion of our exposure to market risk, refer to the section entitled "Quantitative and Qualitative Disclosures about Market Risk" that was disclosed in Part II, Item 7A of our Annual Report on Form 10-K for the year ended December 31, 2020, as filed with the SEC on February 24, 2021.</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required by Securities Exchange Act of 1934, as amended (the "Exchange Act") Rule 13a-15(b), Holdings’ Regular Trustees and the Company’s management, including the Chief Executive Officer and Chief Financial Officer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8" w:name="page69"/>
    <w:bookmarkEnd w:id="68"/>
    <w:p>
      <w:pPr>
        <w:jc w:val="both"/>
        <w:spacing w:after="0" w:line="254" w:lineRule="auto"/>
        <w:rPr>
          <w:sz w:val="20"/>
          <w:szCs w:val="20"/>
          <w:color w:val="auto"/>
        </w:rPr>
      </w:pPr>
      <w:r>
        <w:rPr>
          <w:rFonts w:ascii="Arial" w:cs="Arial" w:eastAsia="Arial" w:hAnsi="Arial"/>
          <w:sz w:val="18"/>
          <w:szCs w:val="18"/>
          <w:color w:val="auto"/>
        </w:rPr>
        <w:t>of the Company, conducted an evaluation of the effectiveness of Holdings’ and the Company’s disclosure controls and procedures (as defined in Exchange Act Rules 13a-15(e) and 15d-15(e)), as of June 30, 2021. Based on that evaluation, the Holdings’ Regular Trustees and the Chief Executive Officer and Chief Financial Officer of the Company concluded that Holdings’ and the Company’s disclosure controls and procedures were effective as of June 30, 2021.</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Exchange Act Rules 13a-15(f) and 15d-15(f))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those legal proceedings associated with the Company’s and Holdings’ business together with legal proceedings for the businesses discussed in the section entitled "Legal Proceedings" that was disclosed in Part I, Item 3 of our Annual Report on Form 10-K for the year ended December 31, 2020, as filed with the SEC on February 24,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risk factors disclosed in our Annual Report on Form 10-K for the fiscal year ended December 31, 2020 should be considered together with information included in this Quarterly Report on Form 10-Q for the quarter ended June 30, 2021 and should not be considered the only risks to which we are exposed. Additional risks and uncertainties not currently known to us or that we currently believe are immaterial also may impair our business, including our results of operations, liquidity and financial condition. We believe there have been no material changes from the risk factors previously disclosed in our Annual Report on Form 10-K for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ITEM 6.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460" w:type="dxa"/>
            <w:vAlign w:val="bottom"/>
            <w:gridSpan w:val="10"/>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12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45"/>
        </w:trPr>
        <w:tc>
          <w:tcPr>
            <w:tcW w:w="1200" w:type="dxa"/>
            <w:vAlign w:val="bottom"/>
          </w:tcPr>
          <w:p>
            <w:pPr>
              <w:ind w:left="120"/>
              <w:spacing w:after="0"/>
              <w:rPr>
                <w:sz w:val="20"/>
                <w:szCs w:val="20"/>
                <w:color w:val="auto"/>
              </w:rPr>
            </w:pPr>
            <w:r>
              <w:rPr>
                <w:rFonts w:ascii="Arial" w:cs="Arial" w:eastAsia="Arial" w:hAnsi="Arial"/>
                <w:sz w:val="16"/>
                <w:szCs w:val="16"/>
                <w:color w:val="auto"/>
              </w:rPr>
              <w:t>2.1</w:t>
            </w:r>
          </w:p>
        </w:tc>
        <w:tc>
          <w:tcPr>
            <w:tcW w:w="1240" w:type="dxa"/>
            <w:vAlign w:val="bottom"/>
          </w:tcPr>
          <w:p>
            <w:pPr>
              <w:spacing w:after="0"/>
              <w:rPr>
                <w:sz w:val="24"/>
                <w:szCs w:val="24"/>
                <w:color w:val="auto"/>
              </w:rPr>
            </w:pPr>
          </w:p>
        </w:tc>
        <w:tc>
          <w:tcPr>
            <w:tcW w:w="8460" w:type="dxa"/>
            <w:vAlign w:val="bottom"/>
            <w:gridSpan w:val="10"/>
          </w:tcPr>
          <w:p>
            <w:pPr>
              <w:spacing w:after="0"/>
              <w:rPr>
                <w:rFonts w:ascii="Arial" w:cs="Arial" w:eastAsia="Arial" w:hAnsi="Arial"/>
                <w:sz w:val="16"/>
                <w:szCs w:val="16"/>
                <w:color w:val="0000FF"/>
              </w:rPr>
            </w:pPr>
            <w:hyperlink r:id="rId105">
              <w:r>
                <w:rPr>
                  <w:rFonts w:ascii="Arial" w:cs="Arial" w:eastAsia="Arial" w:hAnsi="Arial"/>
                  <w:sz w:val="16"/>
                  <w:szCs w:val="16"/>
                  <w:color w:val="0000FF"/>
                </w:rPr>
                <w:t>Stock Purchase Agreement, dated July 16, 2021, by and among (i) Liberty Safe Holding Corporation; (ii)</w:t>
              </w:r>
            </w:hyperlink>
          </w:p>
        </w:tc>
      </w:tr>
      <w:tr>
        <w:trPr>
          <w:trHeight w:val="142"/>
        </w:trPr>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Independence Buyer, Inc.; (iii); Compass Group Diversified Holdings LLC, as the Sellers Representative;</w:t>
              </w:r>
            </w:hyperlink>
          </w:p>
        </w:tc>
        <w:tc>
          <w:tcPr>
            <w:tcW w:w="1020" w:type="dxa"/>
            <w:vAlign w:val="bottom"/>
            <w:tcBorders>
              <w:bottom w:val="single" w:sz="8" w:color="0000FF"/>
            </w:tcBorders>
            <w:gridSpan w:val="4"/>
          </w:tcPr>
          <w:p>
            <w:pPr>
              <w:ind w:left="80"/>
              <w:spacing w:after="0" w:line="142" w:lineRule="exact"/>
              <w:rPr>
                <w:rFonts w:ascii="Arial" w:cs="Arial" w:eastAsia="Arial" w:hAnsi="Arial"/>
                <w:sz w:val="16"/>
                <w:szCs w:val="16"/>
                <w:color w:val="0000FF"/>
                <w:w w:val="99"/>
              </w:rPr>
            </w:pPr>
            <w:hyperlink r:id="rId105">
              <w:r>
                <w:rPr>
                  <w:rFonts w:ascii="Arial" w:cs="Arial" w:eastAsia="Arial" w:hAnsi="Arial"/>
                  <w:sz w:val="16"/>
                  <w:szCs w:val="16"/>
                  <w:color w:val="0000FF"/>
                  <w:w w:val="99"/>
                </w:rPr>
                <w:t>and (iv) each</w:t>
              </w:r>
            </w:hyperlink>
          </w:p>
        </w:tc>
      </w:tr>
      <w:tr>
        <w:trPr>
          <w:trHeight w:val="142"/>
        </w:trPr>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60" w:type="dxa"/>
            <w:vAlign w:val="bottom"/>
            <w:gridSpan w:val="10"/>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Stockholder and Optionholder of Liberty Safe Holding Corporation (incorporated by reference to Exhibit 2.1 of the</w:t>
              </w:r>
            </w:hyperlink>
          </w:p>
        </w:tc>
      </w:tr>
      <w:tr>
        <w:trPr>
          <w:trHeight w:val="142"/>
        </w:trPr>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10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Form 8-K filed on July 19, 2021 (File No. 000-34927).</w:t>
              </w:r>
            </w:hyperlink>
          </w:p>
        </w:tc>
        <w:tc>
          <w:tcPr>
            <w:tcW w:w="360" w:type="dxa"/>
            <w:vAlign w:val="bottom"/>
          </w:tcPr>
          <w:p>
            <w:pPr>
              <w:spacing w:after="0"/>
              <w:rPr>
                <w:sz w:val="12"/>
                <w:szCs w:val="12"/>
                <w:color w:val="auto"/>
              </w:rPr>
            </w:pPr>
          </w:p>
        </w:tc>
      </w:tr>
      <w:tr>
        <w:trPr>
          <w:trHeight w:val="20"/>
        </w:trPr>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345"/>
        </w:trPr>
        <w:tc>
          <w:tcPr>
            <w:tcW w:w="1200" w:type="dxa"/>
            <w:vAlign w:val="bottom"/>
          </w:tcPr>
          <w:p>
            <w:pPr>
              <w:ind w:left="120"/>
              <w:spacing w:after="0"/>
              <w:rPr>
                <w:sz w:val="20"/>
                <w:szCs w:val="20"/>
                <w:color w:val="auto"/>
              </w:rPr>
            </w:pPr>
            <w:r>
              <w:rPr>
                <w:rFonts w:ascii="Arial" w:cs="Arial" w:eastAsia="Arial" w:hAnsi="Arial"/>
                <w:sz w:val="16"/>
                <w:szCs w:val="16"/>
                <w:color w:val="auto"/>
              </w:rPr>
              <w:t>31.1*</w:t>
            </w:r>
          </w:p>
        </w:tc>
        <w:tc>
          <w:tcPr>
            <w:tcW w:w="1240" w:type="dxa"/>
            <w:vAlign w:val="bottom"/>
          </w:tcPr>
          <w:p>
            <w:pPr>
              <w:spacing w:after="0"/>
              <w:rPr>
                <w:sz w:val="24"/>
                <w:szCs w:val="24"/>
                <w:color w:val="auto"/>
              </w:rPr>
            </w:pPr>
          </w:p>
        </w:tc>
        <w:tc>
          <w:tcPr>
            <w:tcW w:w="5560" w:type="dxa"/>
            <w:vAlign w:val="bottom"/>
            <w:tcBorders>
              <w:bottom w:val="single" w:sz="8" w:color="0000FF"/>
            </w:tcBorders>
            <w:gridSpan w:val="4"/>
          </w:tcPr>
          <w:p>
            <w:pPr>
              <w:spacing w:after="0"/>
              <w:rPr>
                <w:rFonts w:ascii="Arial" w:cs="Arial" w:eastAsia="Arial" w:hAnsi="Arial"/>
                <w:sz w:val="16"/>
                <w:szCs w:val="16"/>
                <w:color w:val="0000FF"/>
              </w:rPr>
            </w:pPr>
            <w:hyperlink w:anchor="page74">
              <w:r>
                <w:rPr>
                  <w:rFonts w:ascii="Arial" w:cs="Arial" w:eastAsia="Arial" w:hAnsi="Arial"/>
                  <w:sz w:val="16"/>
                  <w:szCs w:val="16"/>
                  <w:color w:val="0000FF"/>
                </w:rPr>
                <w:t>Rule 13a-14(a)/15d-14(a) Certification of Chief Executive Officer of Registrant</w:t>
              </w:r>
            </w:hyperlink>
          </w:p>
        </w:tc>
        <w:tc>
          <w:tcPr>
            <w:tcW w:w="2900" w:type="dxa"/>
            <w:vAlign w:val="bottom"/>
            <w:gridSpan w:val="6"/>
          </w:tcPr>
          <w:p>
            <w:pPr>
              <w:spacing w:after="0"/>
              <w:rPr>
                <w:sz w:val="24"/>
                <w:szCs w:val="24"/>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31.2*</w:t>
            </w:r>
          </w:p>
        </w:tc>
        <w:tc>
          <w:tcPr>
            <w:tcW w:w="1240" w:type="dxa"/>
            <w:vAlign w:val="bottom"/>
          </w:tcPr>
          <w:p>
            <w:pPr>
              <w:spacing w:after="0"/>
              <w:rPr>
                <w:sz w:val="24"/>
                <w:szCs w:val="24"/>
                <w:color w:val="auto"/>
              </w:rPr>
            </w:pPr>
          </w:p>
        </w:tc>
        <w:tc>
          <w:tcPr>
            <w:tcW w:w="7380" w:type="dxa"/>
            <w:vAlign w:val="bottom"/>
            <w:tcBorders>
              <w:bottom w:val="single" w:sz="8" w:color="0000FF"/>
            </w:tcBorders>
            <w:gridSpan w:val="5"/>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Rule 13a-14(a)/15d-14(a) Rule 13a-14(a)/15d-14(a) Certification of Chief Financial Officer of Registrant</w:t>
              </w:r>
            </w:hyperlink>
          </w:p>
        </w:tc>
        <w:tc>
          <w:tcPr>
            <w:tcW w:w="1080" w:type="dxa"/>
            <w:vAlign w:val="bottom"/>
            <w:gridSpan w:val="5"/>
          </w:tcPr>
          <w:p>
            <w:pPr>
              <w:spacing w:after="0"/>
              <w:rPr>
                <w:sz w:val="24"/>
                <w:szCs w:val="24"/>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1240" w:type="dxa"/>
            <w:vAlign w:val="bottom"/>
          </w:tcPr>
          <w:p>
            <w:pPr>
              <w:spacing w:after="0"/>
              <w:rPr>
                <w:sz w:val="24"/>
                <w:szCs w:val="24"/>
                <w:color w:val="auto"/>
              </w:rPr>
            </w:pPr>
          </w:p>
        </w:tc>
        <w:tc>
          <w:tcPr>
            <w:tcW w:w="8460" w:type="dxa"/>
            <w:vAlign w:val="bottom"/>
            <w:gridSpan w:val="10"/>
          </w:tcPr>
          <w:p>
            <w:pPr>
              <w:spacing w:after="0"/>
              <w:rPr>
                <w:rFonts w:ascii="Arial" w:cs="Arial" w:eastAsia="Arial" w:hAnsi="Arial"/>
                <w:sz w:val="16"/>
                <w:szCs w:val="16"/>
                <w:color w:val="0000FF"/>
              </w:rPr>
            </w:pPr>
            <w:hyperlink w:anchor="page76">
              <w:r>
                <w:rPr>
                  <w:rFonts w:ascii="Arial" w:cs="Arial" w:eastAsia="Arial" w:hAnsi="Arial"/>
                  <w:sz w:val="16"/>
                  <w:szCs w:val="16"/>
                  <w:color w:val="0000FF"/>
                </w:rPr>
                <w:t>Certification of Chief Executive Officer of Registrant pursuant to 18 U.S.C. Section 1350, as adopted pursuant to</w:t>
              </w:r>
            </w:hyperlink>
          </w:p>
        </w:tc>
      </w:tr>
      <w:tr>
        <w:trPr>
          <w:trHeight w:val="142"/>
        </w:trPr>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76">
              <w:r>
                <w:rPr>
                  <w:rFonts w:ascii="Arial" w:cs="Arial" w:eastAsia="Arial" w:hAnsi="Arial"/>
                  <w:sz w:val="16"/>
                  <w:szCs w:val="16"/>
                  <w:color w:val="0000FF"/>
                </w:rPr>
                <w:t>Section 906 of the Sarbanes-Oxley Act of 2002</w:t>
              </w:r>
            </w:hyperlink>
          </w:p>
        </w:tc>
        <w:tc>
          <w:tcPr>
            <w:tcW w:w="4640" w:type="dxa"/>
            <w:vAlign w:val="bottom"/>
            <w:tcBorders>
              <w:top w:val="single" w:sz="8" w:color="0000FF"/>
            </w:tcBorders>
            <w:gridSpan w:val="6"/>
          </w:tcPr>
          <w:p>
            <w:pPr>
              <w:spacing w:after="0"/>
              <w:rPr>
                <w:sz w:val="12"/>
                <w:szCs w:val="12"/>
                <w:color w:val="auto"/>
              </w:rPr>
            </w:pPr>
          </w:p>
        </w:tc>
        <w:tc>
          <w:tcPr>
            <w:tcW w:w="440" w:type="dxa"/>
            <w:vAlign w:val="bottom"/>
            <w:gridSpan w:val="2"/>
          </w:tcPr>
          <w:p>
            <w:pPr>
              <w:spacing w:after="0"/>
              <w:rPr>
                <w:sz w:val="12"/>
                <w:szCs w:val="12"/>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1240" w:type="dxa"/>
            <w:vAlign w:val="bottom"/>
          </w:tcPr>
          <w:p>
            <w:pPr>
              <w:spacing w:after="0"/>
              <w:rPr>
                <w:sz w:val="24"/>
                <w:szCs w:val="24"/>
                <w:color w:val="auto"/>
              </w:rPr>
            </w:pPr>
          </w:p>
        </w:tc>
        <w:tc>
          <w:tcPr>
            <w:tcW w:w="8460" w:type="dxa"/>
            <w:vAlign w:val="bottom"/>
            <w:gridSpan w:val="10"/>
          </w:tcPr>
          <w:p>
            <w:pPr>
              <w:spacing w:after="0"/>
              <w:rPr>
                <w:rFonts w:ascii="Arial" w:cs="Arial" w:eastAsia="Arial" w:hAnsi="Arial"/>
                <w:sz w:val="16"/>
                <w:szCs w:val="16"/>
                <w:color w:val="0000FF"/>
              </w:rPr>
            </w:pPr>
            <w:hyperlink w:anchor="page77">
              <w:r>
                <w:rPr>
                  <w:rFonts w:ascii="Arial" w:cs="Arial" w:eastAsia="Arial" w:hAnsi="Arial"/>
                  <w:sz w:val="16"/>
                  <w:szCs w:val="16"/>
                  <w:color w:val="0000FF"/>
                </w:rPr>
                <w:t>Certification of Chief Financial Officer of Registrant pursuant to 18 U.S.C. Section 1350, as adopted pursuant to</w:t>
              </w:r>
            </w:hyperlink>
          </w:p>
        </w:tc>
      </w:tr>
      <w:tr>
        <w:trPr>
          <w:trHeight w:val="142"/>
        </w:trPr>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w:anchor="page77">
              <w:r>
                <w:rPr>
                  <w:rFonts w:ascii="Arial" w:cs="Arial" w:eastAsia="Arial" w:hAnsi="Arial"/>
                  <w:sz w:val="16"/>
                  <w:szCs w:val="16"/>
                  <w:color w:val="0000FF"/>
                </w:rPr>
                <w:t>Section 906 of the Sarbanes-Oxley Act of 2002</w:t>
              </w:r>
            </w:hyperlink>
          </w:p>
        </w:tc>
        <w:tc>
          <w:tcPr>
            <w:tcW w:w="4600" w:type="dxa"/>
            <w:vAlign w:val="bottom"/>
            <w:tcBorders>
              <w:top w:val="single" w:sz="8" w:color="0000FF"/>
            </w:tcBorders>
            <w:gridSpan w:val="5"/>
          </w:tcPr>
          <w:p>
            <w:pPr>
              <w:spacing w:after="0"/>
              <w:rPr>
                <w:sz w:val="12"/>
                <w:szCs w:val="12"/>
                <w:color w:val="auto"/>
              </w:rPr>
            </w:pPr>
          </w:p>
        </w:tc>
        <w:tc>
          <w:tcPr>
            <w:tcW w:w="480" w:type="dxa"/>
            <w:vAlign w:val="bottom"/>
            <w:gridSpan w:val="3"/>
          </w:tcPr>
          <w:p>
            <w:pPr>
              <w:spacing w:after="0"/>
              <w:rPr>
                <w:sz w:val="12"/>
                <w:szCs w:val="12"/>
                <w:color w:val="auto"/>
              </w:rPr>
            </w:pPr>
          </w:p>
        </w:tc>
      </w:tr>
      <w:tr>
        <w:trPr>
          <w:trHeight w:val="468"/>
        </w:trPr>
        <w:tc>
          <w:tcPr>
            <w:tcW w:w="244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460" w:type="dxa"/>
            <w:vAlign w:val="bottom"/>
            <w:gridSpan w:val="10"/>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w:t>
            </w:r>
          </w:p>
        </w:tc>
      </w:tr>
      <w:tr>
        <w:trPr>
          <w:trHeight w:val="195"/>
        </w:trPr>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60" w:type="dxa"/>
            <w:vAlign w:val="bottom"/>
            <w:gridSpan w:val="10"/>
          </w:tcPr>
          <w:p>
            <w:pPr>
              <w:spacing w:after="0"/>
              <w:rPr>
                <w:sz w:val="20"/>
                <w:szCs w:val="20"/>
                <w:color w:val="auto"/>
              </w:rPr>
            </w:pPr>
            <w:r>
              <w:rPr>
                <w:rFonts w:ascii="Arial" w:cs="Arial" w:eastAsia="Arial" w:hAnsi="Arial"/>
                <w:sz w:val="16"/>
                <w:szCs w:val="16"/>
                <w:color w:val="auto"/>
              </w:rPr>
              <w:t>XBRL tags are embedded within the Inline XBRL document.</w:t>
            </w:r>
          </w:p>
        </w:tc>
      </w:tr>
      <w:tr>
        <w:trPr>
          <w:trHeight w:val="486"/>
        </w:trPr>
        <w:tc>
          <w:tcPr>
            <w:tcW w:w="244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460" w:type="dxa"/>
            <w:vAlign w:val="bottom"/>
            <w:gridSpan w:val="10"/>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486"/>
        </w:trPr>
        <w:tc>
          <w:tcPr>
            <w:tcW w:w="244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460" w:type="dxa"/>
            <w:vAlign w:val="bottom"/>
            <w:gridSpan w:val="10"/>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486"/>
        </w:trPr>
        <w:tc>
          <w:tcPr>
            <w:tcW w:w="244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460" w:type="dxa"/>
            <w:vAlign w:val="bottom"/>
            <w:gridSpan w:val="10"/>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486"/>
        </w:trPr>
        <w:tc>
          <w:tcPr>
            <w:tcW w:w="244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460" w:type="dxa"/>
            <w:vAlign w:val="bottom"/>
            <w:gridSpan w:val="10"/>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486"/>
        </w:trPr>
        <w:tc>
          <w:tcPr>
            <w:tcW w:w="244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460" w:type="dxa"/>
            <w:vAlign w:val="bottom"/>
            <w:gridSpan w:val="10"/>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473"/>
        </w:trPr>
        <w:tc>
          <w:tcPr>
            <w:tcW w:w="1200" w:type="dxa"/>
            <w:vAlign w:val="bottom"/>
          </w:tcPr>
          <w:p>
            <w:pPr>
              <w:spacing w:after="0"/>
              <w:rPr>
                <w:sz w:val="20"/>
                <w:szCs w:val="20"/>
                <w:color w:val="auto"/>
              </w:rPr>
            </w:pPr>
            <w:r>
              <w:rPr>
                <w:rFonts w:ascii="Arial" w:cs="Arial" w:eastAsia="Arial" w:hAnsi="Arial"/>
                <w:sz w:val="16"/>
                <w:szCs w:val="16"/>
                <w:color w:val="auto"/>
              </w:rPr>
              <w:t>104</w:t>
            </w:r>
          </w:p>
        </w:tc>
        <w:tc>
          <w:tcPr>
            <w:tcW w:w="1240" w:type="dxa"/>
            <w:vAlign w:val="bottom"/>
          </w:tcPr>
          <w:p>
            <w:pPr>
              <w:spacing w:after="0"/>
              <w:rPr>
                <w:sz w:val="24"/>
                <w:szCs w:val="24"/>
                <w:color w:val="auto"/>
              </w:rPr>
            </w:pPr>
          </w:p>
        </w:tc>
        <w:tc>
          <w:tcPr>
            <w:tcW w:w="8460" w:type="dxa"/>
            <w:vAlign w:val="bottom"/>
            <w:gridSpan w:val="10"/>
          </w:tcPr>
          <w:p>
            <w:pPr>
              <w:spacing w:after="0"/>
              <w:rPr>
                <w:sz w:val="20"/>
                <w:szCs w:val="20"/>
                <w:color w:val="auto"/>
              </w:rPr>
            </w:pPr>
            <w:r>
              <w:rPr>
                <w:rFonts w:ascii="Arial" w:cs="Arial" w:eastAsia="Arial" w:hAnsi="Arial"/>
                <w:sz w:val="16"/>
                <w:szCs w:val="16"/>
                <w:color w:val="auto"/>
              </w:rPr>
              <w:t>Cover page formatted as Inline XBRL and contained in Exhibit 101</w:t>
            </w:r>
          </w:p>
        </w:tc>
      </w:tr>
    </w:tbl>
    <w:p>
      <w:pPr>
        <w:spacing w:after="0" w:line="129" w:lineRule="exact"/>
        <w:rPr>
          <w:sz w:val="20"/>
          <w:szCs w:val="20"/>
          <w:color w:val="auto"/>
        </w:rPr>
      </w:pPr>
    </w:p>
    <w:p>
      <w:pPr>
        <w:ind w:left="1400" w:hanging="1394"/>
        <w:spacing w:after="0"/>
        <w:tabs>
          <w:tab w:leader="none" w:pos="1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jc w:val="both"/>
        <w:ind w:left="1400" w:hanging="1394"/>
        <w:spacing w:after="0" w:line="221" w:lineRule="auto"/>
        <w:tabs>
          <w:tab w:leader="none" w:pos="14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1018" w:right="6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79"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COMPASS DIVERSIFIED HOLDINGS</w:t>
      </w:r>
    </w:p>
    <w:p>
      <w:pPr>
        <w:spacing w:after="0" w:line="302" w:lineRule="exact"/>
        <w:rPr>
          <w:sz w:val="20"/>
          <w:szCs w:val="20"/>
          <w:color w:val="auto"/>
        </w:rPr>
      </w:pPr>
    </w:p>
    <w:tbl>
      <w:tblPr>
        <w:tblLayout w:type="fixed"/>
        <w:tblInd w:w="5980" w:type="dxa"/>
        <w:tblCellMar>
          <w:top w:w="0" w:type="dxa"/>
          <w:left w:w="0" w:type="dxa"/>
          <w:bottom w:w="0" w:type="dxa"/>
          <w:right w:w="0" w:type="dxa"/>
        </w:tblCellMar>
      </w:tblPr>
      <w:tr>
        <w:trPr>
          <w:trHeight w:val="198"/>
        </w:trPr>
        <w:tc>
          <w:tcPr>
            <w:tcW w:w="1060" w:type="dxa"/>
            <w:vAlign w:val="bottom"/>
          </w:tcPr>
          <w:p>
            <w:pPr>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Ryan J. Faulkingham</w:t>
            </w:r>
          </w:p>
        </w:tc>
      </w:tr>
      <w:tr>
        <w:trPr>
          <w:trHeight w:val="207"/>
        </w:trPr>
        <w:tc>
          <w:tcPr>
            <w:tcW w:w="1060" w:type="dxa"/>
            <w:vAlign w:val="bottom"/>
          </w:tcPr>
          <w:p>
            <w:pPr>
              <w:spacing w:after="0"/>
              <w:rPr>
                <w:sz w:val="17"/>
                <w:szCs w:val="17"/>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Ryan J. Faulkingham</w:t>
            </w:r>
          </w:p>
        </w:tc>
      </w:tr>
      <w:tr>
        <w:trPr>
          <w:trHeight w:val="216"/>
        </w:trPr>
        <w:tc>
          <w:tcPr>
            <w:tcW w:w="106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Regular Trustee</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79"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COMPASS GROUP DIVERSIFIED HOLDINGS LLC</w:t>
      </w:r>
    </w:p>
    <w:p>
      <w:pPr>
        <w:spacing w:after="0" w:line="302" w:lineRule="exact"/>
        <w:rPr>
          <w:sz w:val="20"/>
          <w:szCs w:val="20"/>
          <w:color w:val="auto"/>
        </w:rPr>
      </w:pPr>
    </w:p>
    <w:p>
      <w:pPr>
        <w:ind w:left="5980"/>
        <w:spacing w:after="0"/>
        <w:tabs>
          <w:tab w:leader="none" w:pos="7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10795</wp:posOffset>
            </wp:positionV>
            <wp:extent cx="26403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6"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Ryan J. Faulkingham</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6"/>
          <w:szCs w:val="16"/>
          <w:i w:val="1"/>
          <w:iCs w:val="1"/>
          <w:color w:val="auto"/>
        </w:rPr>
        <w:t>Chief Financial Officer</w:t>
      </w:r>
    </w:p>
    <w:p>
      <w:pPr>
        <w:ind w:left="70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2021</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5"/>
        </w:trPr>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00" w:type="dxa"/>
            <w:vAlign w:val="bottom"/>
            <w:gridSpan w:val="9"/>
          </w:tcPr>
          <w:p>
            <w:pPr>
              <w:ind w:left="14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01"/>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540" w:type="dxa"/>
            <w:vAlign w:val="bottom"/>
            <w:gridSpan w:val="11"/>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2.1</w:t>
            </w:r>
          </w:p>
        </w:tc>
        <w:tc>
          <w:tcPr>
            <w:tcW w:w="1100" w:type="dxa"/>
            <w:vAlign w:val="bottom"/>
          </w:tcPr>
          <w:p>
            <w:pPr>
              <w:spacing w:after="0"/>
              <w:rPr>
                <w:sz w:val="24"/>
                <w:szCs w:val="24"/>
                <w:color w:val="auto"/>
              </w:rPr>
            </w:pPr>
          </w:p>
        </w:tc>
        <w:tc>
          <w:tcPr>
            <w:tcW w:w="8540" w:type="dxa"/>
            <w:vAlign w:val="bottom"/>
            <w:gridSpan w:val="11"/>
          </w:tcPr>
          <w:p>
            <w:pPr>
              <w:spacing w:after="0"/>
              <w:rPr>
                <w:rFonts w:ascii="Arial" w:cs="Arial" w:eastAsia="Arial" w:hAnsi="Arial"/>
                <w:sz w:val="16"/>
                <w:szCs w:val="16"/>
                <w:color w:val="0000FF"/>
              </w:rPr>
            </w:pPr>
            <w:hyperlink r:id="rId105">
              <w:r>
                <w:rPr>
                  <w:rFonts w:ascii="Arial" w:cs="Arial" w:eastAsia="Arial" w:hAnsi="Arial"/>
                  <w:sz w:val="16"/>
                  <w:szCs w:val="16"/>
                  <w:color w:val="0000FF"/>
                </w:rPr>
                <w:t>Stock Purchase Agreement, dated July 16, 2021, by and among (i) Liberty Safe Holding Corporation; (ii) Independence</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2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Buyer, Inc.; (iii); Compass Group Diversified Holdings LLC, as the Sellers Representative; and (iv) each Stockholder</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30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and Optionholder of Liberty Safe Holding Corporation (incorporated by reference to Exhibit 2.1 of the Form 8-K filed</w:t>
              </w:r>
            </w:hyperlink>
          </w:p>
        </w:tc>
        <w:tc>
          <w:tcPr>
            <w:tcW w:w="240" w:type="dxa"/>
            <w:vAlign w:val="bottom"/>
            <w:gridSpan w:val="3"/>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on</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8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July 19, 2021 (File No. 000-34927).</w:t>
              </w:r>
            </w:hyperlink>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31.1*</w:t>
            </w:r>
          </w:p>
        </w:tc>
        <w:tc>
          <w:tcPr>
            <w:tcW w:w="1100" w:type="dxa"/>
            <w:vAlign w:val="bottom"/>
          </w:tcPr>
          <w:p>
            <w:pPr>
              <w:spacing w:after="0"/>
              <w:rPr>
                <w:sz w:val="24"/>
                <w:szCs w:val="24"/>
                <w:color w:val="auto"/>
              </w:rPr>
            </w:pPr>
          </w:p>
        </w:tc>
        <w:tc>
          <w:tcPr>
            <w:tcW w:w="8540" w:type="dxa"/>
            <w:vAlign w:val="bottom"/>
            <w:gridSpan w:val="11"/>
          </w:tcPr>
          <w:p>
            <w:pPr>
              <w:spacing w:after="0"/>
              <w:rPr>
                <w:rFonts w:ascii="Arial" w:cs="Arial" w:eastAsia="Arial" w:hAnsi="Arial"/>
                <w:sz w:val="16"/>
                <w:szCs w:val="16"/>
                <w:color w:val="0000FF"/>
              </w:rPr>
            </w:pPr>
            <w:hyperlink w:anchor="page74">
              <w:r>
                <w:rPr>
                  <w:rFonts w:ascii="Arial" w:cs="Arial" w:eastAsia="Arial" w:hAnsi="Arial"/>
                  <w:sz w:val="16"/>
                  <w:szCs w:val="16"/>
                  <w:color w:val="0000FF"/>
                </w:rPr>
                <w:t>Rule 13a-14(a)/15d-14(a) Certification of Chief Executive Officer of Registrant</w:t>
              </w:r>
            </w:hyperlink>
          </w:p>
        </w:tc>
        <w:tc>
          <w:tcPr>
            <w:tcW w:w="0" w:type="dxa"/>
            <w:vAlign w:val="bottom"/>
          </w:tcPr>
          <w:p>
            <w:pPr>
              <w:spacing w:after="0"/>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31.2*</w:t>
            </w:r>
          </w:p>
        </w:tc>
        <w:tc>
          <w:tcPr>
            <w:tcW w:w="1100" w:type="dxa"/>
            <w:vAlign w:val="bottom"/>
          </w:tcPr>
          <w:p>
            <w:pPr>
              <w:spacing w:after="0"/>
              <w:rPr>
                <w:sz w:val="24"/>
                <w:szCs w:val="24"/>
                <w:color w:val="auto"/>
              </w:rPr>
            </w:pPr>
          </w:p>
        </w:tc>
        <w:tc>
          <w:tcPr>
            <w:tcW w:w="5560" w:type="dxa"/>
            <w:vAlign w:val="bottom"/>
            <w:tcBorders>
              <w:top w:val="single" w:sz="8" w:color="0000FF"/>
            </w:tcBorders>
            <w:gridSpan w:val="5"/>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Rule 13a-14(a)/15d-14(a) Certification of Chief Financial Officer of Registrant</w:t>
              </w:r>
            </w:hyperlink>
          </w:p>
        </w:tc>
        <w:tc>
          <w:tcPr>
            <w:tcW w:w="29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b w:val="1"/>
                <w:bCs w:val="1"/>
                <w:color w:val="auto"/>
                <w:vertAlign w:val="superscript"/>
              </w:rPr>
              <w:t>+</w:t>
            </w:r>
          </w:p>
        </w:tc>
        <w:tc>
          <w:tcPr>
            <w:tcW w:w="1100" w:type="dxa"/>
            <w:vAlign w:val="bottom"/>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8540" w:type="dxa"/>
            <w:vAlign w:val="bottom"/>
            <w:gridSpan w:val="11"/>
          </w:tcPr>
          <w:p>
            <w:pPr>
              <w:spacing w:after="0"/>
              <w:rPr>
                <w:rFonts w:ascii="Arial" w:cs="Arial" w:eastAsia="Arial" w:hAnsi="Arial"/>
                <w:sz w:val="16"/>
                <w:szCs w:val="16"/>
                <w:color w:val="0000FF"/>
              </w:rPr>
            </w:pPr>
            <w:hyperlink w:anchor="page76">
              <w:r>
                <w:rPr>
                  <w:rFonts w:ascii="Arial" w:cs="Arial" w:eastAsia="Arial" w:hAnsi="Arial"/>
                  <w:sz w:val="16"/>
                  <w:szCs w:val="16"/>
                  <w:color w:val="0000FF"/>
                </w:rPr>
                <w:t>Certification of Chief Executive Officer of Registrant pursuant to 18 U.S.C. Section 1350, as adopted pursuant to</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w:anchor="page76">
              <w:r>
                <w:rPr>
                  <w:rFonts w:ascii="Arial" w:cs="Arial" w:eastAsia="Arial" w:hAnsi="Arial"/>
                  <w:sz w:val="16"/>
                  <w:szCs w:val="16"/>
                  <w:color w:val="0000FF"/>
                </w:rPr>
                <w:t>Section 906 of the Sarbanes-Oxley Act of 2002</w:t>
              </w:r>
            </w:hyperlink>
          </w:p>
        </w:tc>
        <w:tc>
          <w:tcPr>
            <w:tcW w:w="4660" w:type="dxa"/>
            <w:vAlign w:val="bottom"/>
            <w:tcBorders>
              <w:top w:val="single" w:sz="8" w:color="0000FF"/>
            </w:tcBorders>
            <w:gridSpan w:val="4"/>
          </w:tcPr>
          <w:p>
            <w:pPr>
              <w:spacing w:after="0"/>
              <w:rPr>
                <w:sz w:val="12"/>
                <w:szCs w:val="12"/>
                <w:color w:val="auto"/>
              </w:rPr>
            </w:pPr>
          </w:p>
        </w:tc>
        <w:tc>
          <w:tcPr>
            <w:tcW w:w="5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b w:val="1"/>
                <w:bCs w:val="1"/>
                <w:color w:val="auto"/>
                <w:vertAlign w:val="superscript"/>
              </w:rPr>
              <w:t>+</w:t>
            </w:r>
          </w:p>
        </w:tc>
        <w:tc>
          <w:tcPr>
            <w:tcW w:w="1100" w:type="dxa"/>
            <w:vAlign w:val="bottom"/>
          </w:tcPr>
          <w:p>
            <w:pPr>
              <w:spacing w:after="0"/>
              <w:rPr>
                <w:sz w:val="24"/>
                <w:szCs w:val="24"/>
                <w:color w:val="auto"/>
              </w:rPr>
            </w:pPr>
          </w:p>
        </w:tc>
        <w:tc>
          <w:tcPr>
            <w:tcW w:w="8540" w:type="dxa"/>
            <w:vAlign w:val="bottom"/>
            <w:gridSpan w:val="11"/>
          </w:tcPr>
          <w:p>
            <w:pPr>
              <w:spacing w:after="0"/>
              <w:rPr>
                <w:rFonts w:ascii="Arial" w:cs="Arial" w:eastAsia="Arial" w:hAnsi="Arial"/>
                <w:sz w:val="16"/>
                <w:szCs w:val="16"/>
                <w:color w:val="0000FF"/>
              </w:rPr>
            </w:pPr>
            <w:hyperlink w:anchor="page77">
              <w:r>
                <w:rPr>
                  <w:rFonts w:ascii="Arial" w:cs="Arial" w:eastAsia="Arial" w:hAnsi="Arial"/>
                  <w:sz w:val="16"/>
                  <w:szCs w:val="16"/>
                  <w:color w:val="0000FF"/>
                </w:rPr>
                <w:t>Certification of Chief Financial Officer of Registrant pursuant to 18 U.S.C. Section 1350, as adopted pursuant to</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w:anchor="page77">
              <w:r>
                <w:rPr>
                  <w:rFonts w:ascii="Arial" w:cs="Arial" w:eastAsia="Arial" w:hAnsi="Arial"/>
                  <w:sz w:val="16"/>
                  <w:szCs w:val="16"/>
                  <w:color w:val="0000FF"/>
                </w:rPr>
                <w:t>Section 906 of the Sarbanes-Oxley Act of 2002</w:t>
              </w:r>
            </w:hyperlink>
          </w:p>
        </w:tc>
        <w:tc>
          <w:tcPr>
            <w:tcW w:w="4600" w:type="dxa"/>
            <w:vAlign w:val="bottom"/>
            <w:tcBorders>
              <w:top w:val="single" w:sz="8" w:color="0000FF"/>
            </w:tcBorders>
            <w:gridSpan w:val="3"/>
          </w:tcPr>
          <w:p>
            <w:pPr>
              <w:spacing w:after="0"/>
              <w:rPr>
                <w:sz w:val="12"/>
                <w:szCs w:val="12"/>
                <w:color w:val="auto"/>
              </w:rPr>
            </w:pPr>
          </w:p>
        </w:tc>
        <w:tc>
          <w:tcPr>
            <w:tcW w:w="5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468"/>
        </w:trPr>
        <w:tc>
          <w:tcPr>
            <w:tcW w:w="230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540" w:type="dxa"/>
            <w:vAlign w:val="bottom"/>
            <w:gridSpan w:val="11"/>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540" w:type="dxa"/>
            <w:vAlign w:val="bottom"/>
            <w:gridSpan w:val="11"/>
          </w:tcPr>
          <w:p>
            <w:pPr>
              <w:spacing w:after="0"/>
              <w:rPr>
                <w:sz w:val="20"/>
                <w:szCs w:val="20"/>
                <w:color w:val="auto"/>
              </w:rPr>
            </w:pPr>
            <w:r>
              <w:rPr>
                <w:rFonts w:ascii="Arial" w:cs="Arial" w:eastAsia="Arial" w:hAnsi="Arial"/>
                <w:sz w:val="16"/>
                <w:szCs w:val="16"/>
                <w:color w:val="auto"/>
              </w:rPr>
              <w:t>tags are embedded within the Inline XBRL document.</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54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540" w:type="dxa"/>
            <w:vAlign w:val="bottom"/>
            <w:gridSpan w:val="11"/>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54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54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54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473"/>
        </w:trPr>
        <w:tc>
          <w:tcPr>
            <w:tcW w:w="1200" w:type="dxa"/>
            <w:vAlign w:val="bottom"/>
          </w:tcPr>
          <w:p>
            <w:pPr>
              <w:spacing w:after="0"/>
              <w:rPr>
                <w:sz w:val="20"/>
                <w:szCs w:val="20"/>
                <w:color w:val="auto"/>
              </w:rPr>
            </w:pPr>
            <w:r>
              <w:rPr>
                <w:rFonts w:ascii="Arial" w:cs="Arial" w:eastAsia="Arial" w:hAnsi="Arial"/>
                <w:sz w:val="16"/>
                <w:szCs w:val="16"/>
                <w:color w:val="auto"/>
              </w:rPr>
              <w:t>104</w:t>
            </w:r>
          </w:p>
        </w:tc>
        <w:tc>
          <w:tcPr>
            <w:tcW w:w="1100" w:type="dxa"/>
            <w:vAlign w:val="bottom"/>
          </w:tcPr>
          <w:p>
            <w:pPr>
              <w:spacing w:after="0"/>
              <w:rPr>
                <w:sz w:val="24"/>
                <w:szCs w:val="24"/>
                <w:color w:val="auto"/>
              </w:rPr>
            </w:pPr>
          </w:p>
        </w:tc>
        <w:tc>
          <w:tcPr>
            <w:tcW w:w="8540" w:type="dxa"/>
            <w:vAlign w:val="bottom"/>
            <w:gridSpan w:val="11"/>
          </w:tcPr>
          <w:p>
            <w:pPr>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1360" w:hanging="1354"/>
        <w:spacing w:after="0"/>
        <w:tabs>
          <w:tab w:leader="none" w:pos="1360" w:val="left"/>
        </w:tabs>
        <w:numPr>
          <w:ilvl w:val="0"/>
          <w:numId w:val="26"/>
        </w:numPr>
        <w:rPr>
          <w:rFonts w:ascii="Arial" w:cs="Arial" w:eastAsia="Arial" w:hAnsi="Arial"/>
          <w:sz w:val="17"/>
          <w:szCs w:val="17"/>
          <w:color w:val="auto"/>
        </w:rPr>
      </w:pPr>
      <w:r>
        <w:rPr>
          <w:rFonts w:ascii="Arial" w:cs="Arial" w:eastAsia="Arial" w:hAnsi="Arial"/>
          <w:sz w:val="15"/>
          <w:szCs w:val="15"/>
          <w:color w:val="auto"/>
        </w:rPr>
        <w:t>Filed herewith.</w:t>
      </w:r>
    </w:p>
    <w:p>
      <w:pPr>
        <w:spacing w:after="0" w:line="86" w:lineRule="exact"/>
        <w:rPr>
          <w:sz w:val="20"/>
          <w:szCs w:val="20"/>
          <w:color w:val="auto"/>
        </w:rPr>
      </w:pPr>
    </w:p>
    <w:p>
      <w:pPr>
        <w:jc w:val="both"/>
        <w:ind w:left="1360" w:right="280" w:hanging="1354"/>
        <w:spacing w:after="0" w:line="213" w:lineRule="auto"/>
        <w:tabs>
          <w:tab w:leader="none" w:pos="1360" w:val="left"/>
        </w:tabs>
        <w:numPr>
          <w:ilvl w:val="0"/>
          <w:numId w:val="27"/>
        </w:numPr>
        <w:rPr>
          <w:rFonts w:ascii="Arial" w:cs="Arial" w:eastAsia="Arial" w:hAnsi="Arial"/>
          <w:sz w:val="17"/>
          <w:szCs w:val="17"/>
          <w:color w:val="auto"/>
        </w:rPr>
      </w:pPr>
      <w:r>
        <w:rPr>
          <w:rFonts w:ascii="Arial" w:cs="Arial" w:eastAsia="Arial" w:hAnsi="Arial"/>
          <w:sz w:val="15"/>
          <w:szCs w:val="15"/>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840"/>
          </w:cols>
          <w:pgMar w:left="340" w:top="883" w:right="71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I, Elias J. Sabo, certify that:</w:t>
      </w:r>
    </w:p>
    <w:p>
      <w:pPr>
        <w:spacing w:after="0" w:line="22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Compass Group Diversified Holdings LLC (the “registrant”);</w:t>
      </w:r>
    </w:p>
    <w:p>
      <w:pPr>
        <w:spacing w:after="0" w:line="221"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980" w:right="80" w:hanging="324"/>
        <w:spacing w:after="0" w:line="253" w:lineRule="auto"/>
        <w:tabs>
          <w:tab w:leader="none" w:pos="975"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980" w:right="480" w:hanging="324"/>
        <w:spacing w:after="0" w:line="253" w:lineRule="auto"/>
        <w:tabs>
          <w:tab w:leader="none" w:pos="975"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980" w:right="500" w:hanging="324"/>
        <w:spacing w:after="0" w:line="260" w:lineRule="auto"/>
        <w:tabs>
          <w:tab w:leader="none" w:pos="9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980" w:right="220" w:hanging="324"/>
        <w:spacing w:after="0" w:line="253" w:lineRule="auto"/>
        <w:tabs>
          <w:tab w:leader="none" w:pos="975"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980" w:right="160" w:hanging="324"/>
        <w:spacing w:after="0" w:line="260" w:lineRule="auto"/>
        <w:tabs>
          <w:tab w:leader="none" w:pos="975"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980" w:right="100" w:hanging="324"/>
        <w:spacing w:after="0" w:line="260" w:lineRule="auto"/>
        <w:tabs>
          <w:tab w:leader="none" w:pos="975"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July 29, 2021</w:t>
      </w:r>
    </w:p>
    <w:p>
      <w:pPr>
        <w:spacing w:after="0" w:line="135"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12700</wp:posOffset>
            </wp:positionV>
            <wp:extent cx="24688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4"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Elias J. Sabo</w:t>
      </w:r>
    </w:p>
    <w:p>
      <w:pPr>
        <w:spacing w:after="0" w:line="6" w:lineRule="exact"/>
        <w:rPr>
          <w:sz w:val="20"/>
          <w:szCs w:val="20"/>
          <w:color w:val="auto"/>
        </w:rPr>
      </w:pPr>
    </w:p>
    <w:p>
      <w:pPr>
        <w:ind w:left="7320"/>
        <w:spacing w:after="0"/>
        <w:rPr>
          <w:sz w:val="20"/>
          <w:szCs w:val="20"/>
          <w:color w:val="auto"/>
        </w:rPr>
      </w:pPr>
      <w:r>
        <w:rPr>
          <w:rFonts w:ascii="Arial" w:cs="Arial" w:eastAsia="Arial" w:hAnsi="Arial"/>
          <w:sz w:val="15"/>
          <w:szCs w:val="15"/>
          <w:i w:val="1"/>
          <w:iCs w:val="1"/>
          <w:color w:val="auto"/>
        </w:rPr>
        <w:t>Chief Executive Officer of</w:t>
      </w:r>
    </w:p>
    <w:p>
      <w:pPr>
        <w:ind w:left="7320"/>
        <w:spacing w:after="0" w:line="206" w:lineRule="auto"/>
        <w:rPr>
          <w:sz w:val="20"/>
          <w:szCs w:val="20"/>
          <w:color w:val="auto"/>
        </w:rPr>
      </w:pPr>
      <w:r>
        <w:rPr>
          <w:rFonts w:ascii="Arial" w:cs="Arial" w:eastAsia="Arial" w:hAnsi="Arial"/>
          <w:sz w:val="15"/>
          <w:szCs w:val="15"/>
          <w:i w:val="1"/>
          <w:iCs w:val="1"/>
          <w:color w:val="auto"/>
        </w:rPr>
        <w:t>Compass Group Diversified Holdings LLC</w:t>
      </w:r>
    </w:p>
    <w:p>
      <w:pPr>
        <w:ind w:left="732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240"/>
          </w:cols>
          <w:pgMar w:left="320" w:top="883"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Ryan J. Faulkingham, certify that:</w:t>
      </w:r>
    </w:p>
    <w:p>
      <w:pPr>
        <w:spacing w:after="0" w:line="223" w:lineRule="exact"/>
        <w:rPr>
          <w:sz w:val="20"/>
          <w:szCs w:val="20"/>
          <w:color w:val="auto"/>
        </w:rPr>
      </w:pPr>
    </w:p>
    <w:p>
      <w:pPr>
        <w:ind w:left="660" w:right="80" w:hanging="328"/>
        <w:spacing w:after="0" w:line="259"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Diversified Holdings and Compass Group Diversified Holdings LLC (each, the “registrant”);</w:t>
      </w:r>
    </w:p>
    <w:p>
      <w:pPr>
        <w:spacing w:after="0" w:line="199" w:lineRule="exact"/>
        <w:rPr>
          <w:rFonts w:ascii="Arial" w:cs="Arial" w:eastAsia="Arial" w:hAnsi="Arial"/>
          <w:sz w:val="17"/>
          <w:szCs w:val="17"/>
          <w:color w:val="auto"/>
        </w:rPr>
      </w:pPr>
    </w:p>
    <w:p>
      <w:pPr>
        <w:ind w:left="660" w:right="20" w:hanging="328"/>
        <w:spacing w:after="0" w:line="254"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7"/>
          <w:szCs w:val="17"/>
          <w:color w:val="auto"/>
        </w:rPr>
      </w:pPr>
    </w:p>
    <w:p>
      <w:pPr>
        <w:ind w:left="660" w:right="380" w:hanging="328"/>
        <w:spacing w:after="0" w:line="259"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7"/>
          <w:szCs w:val="17"/>
          <w:color w:val="auto"/>
        </w:rPr>
      </w:pPr>
    </w:p>
    <w:p>
      <w:pPr>
        <w:ind w:left="660" w:right="60" w:hanging="328"/>
        <w:spacing w:after="0" w:line="254"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7"/>
          <w:szCs w:val="17"/>
          <w:color w:val="auto"/>
        </w:rPr>
      </w:pPr>
    </w:p>
    <w:p>
      <w:pPr>
        <w:ind w:left="1300" w:right="180" w:hanging="320"/>
        <w:spacing w:after="0" w:line="254" w:lineRule="auto"/>
        <w:tabs>
          <w:tab w:leader="none" w:pos="12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7"/>
          <w:szCs w:val="17"/>
          <w:color w:val="auto"/>
        </w:rPr>
      </w:pPr>
    </w:p>
    <w:p>
      <w:pPr>
        <w:ind w:left="1300" w:right="40" w:hanging="320"/>
        <w:spacing w:after="0" w:line="254" w:lineRule="auto"/>
        <w:tabs>
          <w:tab w:leader="none" w:pos="12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7"/>
          <w:szCs w:val="17"/>
          <w:color w:val="auto"/>
        </w:rPr>
      </w:pPr>
    </w:p>
    <w:p>
      <w:pPr>
        <w:ind w:left="1300" w:right="80" w:hanging="320"/>
        <w:spacing w:after="0" w:line="254" w:lineRule="auto"/>
        <w:tabs>
          <w:tab w:leader="none" w:pos="1294"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7"/>
          <w:szCs w:val="17"/>
          <w:color w:val="auto"/>
        </w:rPr>
      </w:pPr>
    </w:p>
    <w:p>
      <w:pPr>
        <w:ind w:left="1300" w:right="300" w:hanging="320"/>
        <w:spacing w:after="0" w:line="254" w:lineRule="auto"/>
        <w:tabs>
          <w:tab w:leader="none" w:pos="12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7"/>
          <w:szCs w:val="17"/>
          <w:color w:val="auto"/>
        </w:rPr>
      </w:pPr>
    </w:p>
    <w:p>
      <w:pPr>
        <w:ind w:left="660" w:right="100" w:hanging="328"/>
        <w:spacing w:after="0" w:line="259"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7"/>
          <w:szCs w:val="17"/>
          <w:color w:val="auto"/>
        </w:rPr>
      </w:pPr>
    </w:p>
    <w:p>
      <w:pPr>
        <w:ind w:left="1300" w:right="160" w:hanging="320"/>
        <w:spacing w:after="0" w:line="259" w:lineRule="auto"/>
        <w:tabs>
          <w:tab w:leader="none" w:pos="12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7"/>
          <w:szCs w:val="17"/>
          <w:color w:val="auto"/>
        </w:rPr>
      </w:pPr>
    </w:p>
    <w:p>
      <w:pPr>
        <w:ind w:left="1300" w:right="380" w:hanging="320"/>
        <w:spacing w:after="0" w:line="259" w:lineRule="auto"/>
        <w:tabs>
          <w:tab w:leader="none" w:pos="129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July 29, 2021</w:t>
      </w:r>
    </w:p>
    <w:p>
      <w:pPr>
        <w:spacing w:after="0" w:line="142"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8255</wp:posOffset>
            </wp:positionV>
            <wp:extent cx="30003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4"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Ryan J. Faulkingham</w:t>
      </w:r>
    </w:p>
    <w:p>
      <w:pPr>
        <w:ind w:left="6500"/>
        <w:spacing w:after="0" w:line="224" w:lineRule="auto"/>
        <w:rPr>
          <w:sz w:val="20"/>
          <w:szCs w:val="20"/>
          <w:color w:val="auto"/>
        </w:rPr>
      </w:pPr>
      <w:r>
        <w:rPr>
          <w:rFonts w:ascii="Arial" w:cs="Arial" w:eastAsia="Arial" w:hAnsi="Arial"/>
          <w:sz w:val="17"/>
          <w:szCs w:val="17"/>
          <w:i w:val="1"/>
          <w:iCs w:val="1"/>
          <w:color w:val="auto"/>
        </w:rPr>
        <w:t>Regular Trustee of Compass Diversified Holdings and Chief</w:t>
      </w:r>
    </w:p>
    <w:p>
      <w:pPr>
        <w:ind w:left="6500"/>
        <w:spacing w:after="0" w:line="199" w:lineRule="auto"/>
        <w:rPr>
          <w:sz w:val="20"/>
          <w:szCs w:val="20"/>
          <w:color w:val="auto"/>
        </w:rPr>
      </w:pPr>
      <w:r>
        <w:rPr>
          <w:rFonts w:ascii="Arial" w:cs="Arial" w:eastAsia="Arial" w:hAnsi="Arial"/>
          <w:sz w:val="17"/>
          <w:szCs w:val="17"/>
          <w:i w:val="1"/>
          <w:iCs w:val="1"/>
          <w:color w:val="auto"/>
        </w:rPr>
        <w:t>Financial Officer of</w:t>
      </w:r>
    </w:p>
    <w:p>
      <w:pPr>
        <w:ind w:left="6500"/>
        <w:spacing w:after="0" w:line="198" w:lineRule="auto"/>
        <w:rPr>
          <w:sz w:val="20"/>
          <w:szCs w:val="20"/>
          <w:color w:val="auto"/>
        </w:rPr>
      </w:pPr>
      <w:r>
        <w:rPr>
          <w:rFonts w:ascii="Arial" w:cs="Arial" w:eastAsia="Arial" w:hAnsi="Arial"/>
          <w:sz w:val="17"/>
          <w:szCs w:val="17"/>
          <w:i w:val="1"/>
          <w:iCs w:val="1"/>
          <w:color w:val="auto"/>
        </w:rPr>
        <w:t>Compass Group Diversified Holdings LLC</w:t>
      </w:r>
    </w:p>
    <w:p>
      <w:pPr>
        <w:spacing w:after="0" w:line="1"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(Principal Financial and Accounting Officer</w:t>
      </w:r>
      <w:r>
        <w:rPr>
          <w:rFonts w:ascii="Arial" w:cs="Arial" w:eastAsia="Arial" w:hAnsi="Arial"/>
          <w:sz w:val="17"/>
          <w:szCs w:val="17"/>
          <w:i w:val="1"/>
          <w:iCs w:val="1"/>
          <w:color w:val="auto"/>
        </w:rPr>
        <w:t>)</w:t>
      </w:r>
    </w:p>
    <w:p>
      <w:pPr>
        <w:sectPr>
          <w:pgSz w:w="11900" w:h="16838" w:orient="portrait"/>
          <w:cols w:equalWidth="0" w:num="1">
            <w:col w:w="11240"/>
          </w:cols>
          <w:pgMar w:left="320" w:top="883"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ind w:right="20" w:firstLine="445"/>
        <w:spacing w:after="0" w:line="252" w:lineRule="auto"/>
        <w:rPr>
          <w:sz w:val="20"/>
          <w:szCs w:val="20"/>
          <w:color w:val="auto"/>
        </w:rPr>
      </w:pPr>
      <w:r>
        <w:rPr>
          <w:rFonts w:ascii="Arial" w:cs="Arial" w:eastAsia="Arial" w:hAnsi="Arial"/>
          <w:sz w:val="17"/>
          <w:szCs w:val="17"/>
          <w:color w:val="auto"/>
        </w:rPr>
        <w:t>In connection with the Quarterly Report of COMPASS GROUP DIVERSIFIED HOLDINGS LLC on Form 10-Q for the period ended June 30, 2021 as filed with the Securities and Exchange Commission on the date hereof (the “Report”), I, Elias J. Sabo, Chief Executive Officer of Compass Group Diversified Holdings LLC, certify, pursuant to 18 U.S.C. Section 1350, as adopted pursuant to Section 906 of the Sarbanes-Oxley Act of 2002, that to my knowledge:</w:t>
      </w:r>
    </w:p>
    <w:p>
      <w:pPr>
        <w:spacing w:after="0" w:line="138" w:lineRule="exact"/>
        <w:rPr>
          <w:sz w:val="20"/>
          <w:szCs w:val="20"/>
          <w:color w:val="auto"/>
        </w:rPr>
      </w:pPr>
    </w:p>
    <w:p>
      <w:pPr>
        <w:ind w:left="560" w:hanging="309"/>
        <w:spacing w:after="0"/>
        <w:tabs>
          <w:tab w:leader="none" w:pos="5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580" w:right="140" w:hanging="329"/>
        <w:spacing w:after="0" w:line="259" w:lineRule="auto"/>
        <w:tabs>
          <w:tab w:leader="none" w:pos="573"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Group Diversified Holdings LLC.</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940" w:type="dxa"/>
            <w:vAlign w:val="bottom"/>
          </w:tcPr>
          <w:p>
            <w:pPr>
              <w:spacing w:after="0"/>
              <w:rPr>
                <w:sz w:val="20"/>
                <w:szCs w:val="20"/>
                <w:color w:val="auto"/>
              </w:rPr>
            </w:pPr>
            <w:r>
              <w:rPr>
                <w:rFonts w:ascii="Arial" w:cs="Arial" w:eastAsia="Arial" w:hAnsi="Arial"/>
                <w:sz w:val="17"/>
                <w:szCs w:val="17"/>
                <w:color w:val="auto"/>
              </w:rPr>
              <w:t>Dated:   July 29, 2021</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Elias J. Sabo</w:t>
            </w:r>
          </w:p>
        </w:tc>
      </w:tr>
      <w:tr>
        <w:trPr>
          <w:trHeight w:val="208"/>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Elias J. Sabo</w:t>
            </w:r>
          </w:p>
        </w:tc>
      </w:tr>
      <w:tr>
        <w:trPr>
          <w:trHeight w:val="173"/>
        </w:trPr>
        <w:tc>
          <w:tcPr>
            <w:tcW w:w="6940" w:type="dxa"/>
            <w:vAlign w:val="bottom"/>
          </w:tcPr>
          <w:p>
            <w:pPr>
              <w:spacing w:after="0"/>
              <w:rPr>
                <w:sz w:val="15"/>
                <w:szCs w:val="15"/>
                <w:color w:val="auto"/>
              </w:rPr>
            </w:pPr>
          </w:p>
        </w:tc>
        <w:tc>
          <w:tcPr>
            <w:tcW w:w="4220" w:type="dxa"/>
            <w:vAlign w:val="bottom"/>
          </w:tcPr>
          <w:p>
            <w:pPr>
              <w:ind w:left="20"/>
              <w:spacing w:after="0" w:line="173" w:lineRule="exact"/>
              <w:rPr>
                <w:sz w:val="20"/>
                <w:szCs w:val="20"/>
                <w:color w:val="auto"/>
              </w:rPr>
            </w:pPr>
            <w:r>
              <w:rPr>
                <w:rFonts w:ascii="Arial" w:cs="Arial" w:eastAsia="Arial" w:hAnsi="Arial"/>
                <w:sz w:val="17"/>
                <w:szCs w:val="17"/>
                <w:color w:val="auto"/>
              </w:rPr>
              <w:t>Chief Executive Officer,</w:t>
            </w:r>
          </w:p>
        </w:tc>
      </w:tr>
      <w:tr>
        <w:trPr>
          <w:trHeight w:val="205"/>
        </w:trPr>
        <w:tc>
          <w:tcPr>
            <w:tcW w:w="6940" w:type="dxa"/>
            <w:vAlign w:val="bottom"/>
          </w:tcPr>
          <w:p>
            <w:pPr>
              <w:spacing w:after="0"/>
              <w:rPr>
                <w:sz w:val="17"/>
                <w:szCs w:val="17"/>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Compass Group Diversified Holdings LLC</w:t>
            </w:r>
          </w:p>
        </w:tc>
      </w:tr>
    </w:tbl>
    <w:p>
      <w:pPr>
        <w:spacing w:after="0" w:line="308" w:lineRule="exact"/>
        <w:rPr>
          <w:sz w:val="20"/>
          <w:szCs w:val="20"/>
          <w:color w:val="auto"/>
        </w:rPr>
      </w:pPr>
    </w:p>
    <w:p>
      <w:pPr>
        <w:ind w:right="40" w:firstLine="445"/>
        <w:spacing w:after="0" w:line="250" w:lineRule="auto"/>
        <w:rPr>
          <w:sz w:val="20"/>
          <w:szCs w:val="20"/>
          <w:color w:val="auto"/>
        </w:rPr>
      </w:pPr>
      <w:r>
        <w:rPr>
          <w:rFonts w:ascii="Arial" w:cs="Arial" w:eastAsia="Arial" w:hAnsi="Arial"/>
          <w:sz w:val="17"/>
          <w:szCs w:val="17"/>
          <w:color w:val="auto"/>
        </w:rPr>
        <w:t>The foregoing certification is being furnished to accompany Compass Group Diversified Holdings LLC’s Quarterly Report on Form 10-Q for the quarterly period ended June 30, 2021 solely pursuant to Section 906 of the Sarbanes-Oxley Act of 2002 and shall not be deemed filed as part of the Report or as a separate disclosure document and shall not be deemed incorporated by reference into any other filing of Compass Group Diversified Holdings LLC that incorporates the Report by reference. A signed original of this written certification required by Section 906 has been provided to Compass Group Diversified Holdings LLC and will be retained by Compass Group Diversified Holdings LLC and furnished to the Securities and Exchange Commission or its staff upon request.</w:t>
      </w:r>
    </w:p>
    <w:p>
      <w:pPr>
        <w:sectPr>
          <w:pgSz w:w="11900" w:h="16838" w:orient="portrait"/>
          <w:cols w:equalWidth="0" w:num="1">
            <w:col w:w="11240"/>
          </w:cols>
          <w:pgMar w:left="320" w:top="883"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7"/>
          <w:szCs w:val="17"/>
          <w:b w:val="1"/>
          <w:bCs w:val="1"/>
          <w:color w:val="auto"/>
        </w:rPr>
        <w:t>Exhibit 32.2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ind w:right="120" w:firstLine="445"/>
        <w:spacing w:after="0" w:line="252" w:lineRule="auto"/>
        <w:rPr>
          <w:sz w:val="20"/>
          <w:szCs w:val="20"/>
          <w:color w:val="auto"/>
        </w:rPr>
      </w:pPr>
      <w:r>
        <w:rPr>
          <w:rFonts w:ascii="Arial" w:cs="Arial" w:eastAsia="Arial" w:hAnsi="Arial"/>
          <w:sz w:val="17"/>
          <w:szCs w:val="17"/>
          <w:color w:val="auto"/>
        </w:rPr>
        <w:t>In connection with the Quarterly Report of COMPASS DIVERSIFIED HOLDINGS and COMPASS GROUP DIVERSIFIED HOLDINGS LLC on Form 10-Q for the period ended June 30, 2021 as filed with the Securities and Exchange Commission on the date hereof (the “Report”), I, Ryan J. Faulkingham, Regular Trustee of Compass Diversified Holdings and Chief Financial Officer of Compass Group Diversified Holdings LLC, certify, pursuant to 18 U.S.C. Section 1350, as adopted pursuant to Section 906 of the Sarbanes-Oxley Act of 2002, that to my knowledge:</w:t>
      </w:r>
    </w:p>
    <w:p>
      <w:pPr>
        <w:spacing w:after="0" w:line="138" w:lineRule="exact"/>
        <w:rPr>
          <w:sz w:val="20"/>
          <w:szCs w:val="20"/>
          <w:color w:val="auto"/>
        </w:rPr>
      </w:pPr>
    </w:p>
    <w:p>
      <w:pPr>
        <w:ind w:left="560" w:hanging="309"/>
        <w:spacing w:after="0"/>
        <w:tabs>
          <w:tab w:leader="none" w:pos="5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580" w:right="140" w:hanging="329"/>
        <w:spacing w:after="0" w:line="259" w:lineRule="auto"/>
        <w:tabs>
          <w:tab w:leader="none" w:pos="57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Diversified Holdings and Compass Group Diversified Holdings LLC.</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940" w:type="dxa"/>
            <w:vAlign w:val="bottom"/>
          </w:tcPr>
          <w:p>
            <w:pPr>
              <w:spacing w:after="0"/>
              <w:rPr>
                <w:sz w:val="20"/>
                <w:szCs w:val="20"/>
                <w:color w:val="auto"/>
              </w:rPr>
            </w:pPr>
            <w:r>
              <w:rPr>
                <w:rFonts w:ascii="Arial" w:cs="Arial" w:eastAsia="Arial" w:hAnsi="Arial"/>
                <w:sz w:val="17"/>
                <w:szCs w:val="17"/>
                <w:color w:val="auto"/>
              </w:rPr>
              <w:t>Dated:   July 29, 2021</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Ryan J. Faulkingham</w:t>
            </w:r>
          </w:p>
        </w:tc>
      </w:tr>
      <w:tr>
        <w:trPr>
          <w:trHeight w:val="208"/>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Ryan J. Faulkingham</w:t>
            </w:r>
          </w:p>
        </w:tc>
      </w:tr>
      <w:tr>
        <w:trPr>
          <w:trHeight w:val="173"/>
        </w:trPr>
        <w:tc>
          <w:tcPr>
            <w:tcW w:w="6940" w:type="dxa"/>
            <w:vAlign w:val="bottom"/>
          </w:tcPr>
          <w:p>
            <w:pPr>
              <w:spacing w:after="0"/>
              <w:rPr>
                <w:sz w:val="15"/>
                <w:szCs w:val="15"/>
                <w:color w:val="auto"/>
              </w:rPr>
            </w:pPr>
          </w:p>
        </w:tc>
        <w:tc>
          <w:tcPr>
            <w:tcW w:w="4220" w:type="dxa"/>
            <w:vAlign w:val="bottom"/>
          </w:tcPr>
          <w:p>
            <w:pPr>
              <w:ind w:left="20"/>
              <w:spacing w:after="0" w:line="173" w:lineRule="exact"/>
              <w:rPr>
                <w:sz w:val="20"/>
                <w:szCs w:val="20"/>
                <w:color w:val="auto"/>
              </w:rPr>
            </w:pPr>
            <w:r>
              <w:rPr>
                <w:rFonts w:ascii="Arial" w:cs="Arial" w:eastAsia="Arial" w:hAnsi="Arial"/>
                <w:sz w:val="17"/>
                <w:szCs w:val="17"/>
                <w:color w:val="auto"/>
              </w:rPr>
              <w:t>Regular Trustee, Compass Diversified Holdings and</w:t>
            </w:r>
          </w:p>
        </w:tc>
      </w:tr>
      <w:tr>
        <w:trPr>
          <w:trHeight w:val="162"/>
        </w:trPr>
        <w:tc>
          <w:tcPr>
            <w:tcW w:w="6940" w:type="dxa"/>
            <w:vAlign w:val="bottom"/>
          </w:tcPr>
          <w:p>
            <w:pPr>
              <w:spacing w:after="0"/>
              <w:rPr>
                <w:sz w:val="14"/>
                <w:szCs w:val="14"/>
                <w:color w:val="auto"/>
              </w:rPr>
            </w:pPr>
          </w:p>
        </w:tc>
        <w:tc>
          <w:tcPr>
            <w:tcW w:w="4220" w:type="dxa"/>
            <w:vAlign w:val="bottom"/>
          </w:tcPr>
          <w:p>
            <w:pPr>
              <w:ind w:left="20"/>
              <w:spacing w:after="0" w:line="162" w:lineRule="exact"/>
              <w:rPr>
                <w:sz w:val="20"/>
                <w:szCs w:val="20"/>
                <w:color w:val="auto"/>
              </w:rPr>
            </w:pPr>
            <w:r>
              <w:rPr>
                <w:rFonts w:ascii="Arial" w:cs="Arial" w:eastAsia="Arial" w:hAnsi="Arial"/>
                <w:sz w:val="17"/>
                <w:szCs w:val="17"/>
                <w:color w:val="auto"/>
              </w:rPr>
              <w:t>Chief Financial Officer,</w:t>
            </w:r>
          </w:p>
        </w:tc>
      </w:tr>
      <w:tr>
        <w:trPr>
          <w:trHeight w:val="205"/>
        </w:trPr>
        <w:tc>
          <w:tcPr>
            <w:tcW w:w="6940" w:type="dxa"/>
            <w:vAlign w:val="bottom"/>
          </w:tcPr>
          <w:p>
            <w:pPr>
              <w:spacing w:after="0"/>
              <w:rPr>
                <w:sz w:val="17"/>
                <w:szCs w:val="17"/>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Compass Group Diversified Holdings LLC</w:t>
            </w:r>
          </w:p>
        </w:tc>
      </w:tr>
    </w:tbl>
    <w:p>
      <w:pPr>
        <w:spacing w:after="0" w:line="308" w:lineRule="exact"/>
        <w:rPr>
          <w:sz w:val="20"/>
          <w:szCs w:val="20"/>
          <w:color w:val="auto"/>
        </w:rPr>
      </w:pPr>
    </w:p>
    <w:p>
      <w:pPr>
        <w:ind w:right="120" w:firstLine="445"/>
        <w:spacing w:after="0" w:line="250" w:lineRule="auto"/>
        <w:rPr>
          <w:sz w:val="20"/>
          <w:szCs w:val="20"/>
          <w:color w:val="auto"/>
        </w:rPr>
      </w:pPr>
      <w:r>
        <w:rPr>
          <w:rFonts w:ascii="Arial" w:cs="Arial" w:eastAsia="Arial" w:hAnsi="Arial"/>
          <w:sz w:val="17"/>
          <w:szCs w:val="17"/>
          <w:color w:val="auto"/>
        </w:rPr>
        <w:t>The foregoing certification is being furnished to accompany Compass Diversified Holdings’ and Compass Group Diversified Holdings LLC’s Quarterly Report on Form 10-Q for the quarterly period ended June 30, 2021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2"/>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05" Type="http://schemas.openxmlformats.org/officeDocument/2006/relationships/hyperlink" Target="http://www.sec.gov/Archives/edgar/data/1345126/000134512621000023/ex21stockpurchase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2021-07-29T16:43:17Z</dcterms:created>
  <dcterms:modified xsi:type="dcterms:W3CDTF">2021-07-29T16:43:17Z</dcterms:modified>
</cp:coreProperties>
</file>