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 File Number: 00134927</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CUSIP Number: 20451Q104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1316355</wp:posOffset>
            </wp:positionH>
            <wp:positionV relativeFrom="paragraph">
              <wp:posOffset>237490</wp:posOffset>
            </wp:positionV>
            <wp:extent cx="45173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1316355</wp:posOffset>
            </wp:positionH>
            <wp:positionV relativeFrom="paragraph">
              <wp:posOffset>74930</wp:posOffset>
            </wp:positionV>
            <wp:extent cx="45173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1316355</wp:posOffset>
            </wp:positionH>
            <wp:positionV relativeFrom="paragraph">
              <wp:posOffset>109855</wp:posOffset>
            </wp:positionV>
            <wp:extent cx="4517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1739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NOTIFICATION OF LATE FILING</w:t>
      </w:r>
    </w:p>
    <w:p>
      <w:pPr>
        <w:sectPr>
          <w:pgSz w:w="11900" w:h="16838" w:orient="portrait"/>
          <w:cols w:equalWidth="0" w:num="1">
            <w:col w:w="11240"/>
          </w:cols>
          <w:pgMar w:left="320" w:top="1440" w:right="339" w:bottom="1440" w:gutter="0" w:footer="0" w:header="0"/>
        </w:sectPr>
      </w:pPr>
    </w:p>
    <w:p>
      <w:pPr>
        <w:spacing w:after="0" w:line="139"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one)</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Form 10-K</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Form N-SAR</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321" w:lineRule="auto"/>
        <w:rPr>
          <w:sz w:val="20"/>
          <w:szCs w:val="20"/>
          <w:color w:val="auto"/>
        </w:rPr>
      </w:pPr>
      <w:r>
        <w:rPr>
          <w:rFonts w:ascii="Arial" w:cs="Arial" w:eastAsia="Arial" w:hAnsi="Arial"/>
          <w:sz w:val="16"/>
          <w:szCs w:val="16"/>
          <w:color w:val="auto"/>
        </w:rPr>
        <w:t>Form 20-F Form N-CSR</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Form 11-K</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356" w:lineRule="exact"/>
        <w:rPr>
          <w:sz w:val="24"/>
          <w:szCs w:val="24"/>
          <w:color w:val="auto"/>
        </w:rPr>
      </w:pPr>
    </w:p>
    <w:p>
      <w:pPr>
        <w:sectPr>
          <w:pgSz w:w="11900" w:h="16838" w:orient="portrait"/>
          <w:cols w:equalWidth="0" w:num="9">
            <w:col w:w="2020" w:space="420"/>
            <w:col w:w="160" w:space="480"/>
            <w:col w:w="940" w:space="480"/>
            <w:col w:w="140" w:space="420"/>
            <w:col w:w="940" w:space="520"/>
            <w:col w:w="140" w:space="300"/>
            <w:col w:w="760" w:space="520"/>
            <w:col w:w="140" w:space="200"/>
            <w:col w:w="2660"/>
          </w:cols>
          <w:pgMar w:left="320" w:top="1440" w:right="339" w:bottom="1440" w:gutter="0" w:footer="0" w:header="0"/>
          <w:type w:val="continuous"/>
        </w:sectPr>
      </w:pPr>
    </w:p>
    <w:p>
      <w:pPr>
        <w:ind w:left="2440"/>
        <w:spacing w:after="0"/>
        <w:rPr>
          <w:sz w:val="20"/>
          <w:szCs w:val="20"/>
          <w:color w:val="auto"/>
        </w:rPr>
      </w:pPr>
      <w:r>
        <w:rPr>
          <w:rFonts w:ascii="Arial" w:cs="Arial" w:eastAsia="Arial" w:hAnsi="Arial"/>
          <w:sz w:val="16"/>
          <w:szCs w:val="16"/>
          <w:color w:val="auto"/>
        </w:rPr>
        <w:t>For period ended: June 30, 2025</w:t>
      </w:r>
    </w:p>
    <w:p>
      <w:pPr>
        <w:spacing w:after="0" w:line="181" w:lineRule="exact"/>
        <w:rPr>
          <w:sz w:val="24"/>
          <w:szCs w:val="24"/>
          <w:color w:val="auto"/>
        </w:rPr>
      </w:pPr>
    </w:p>
    <w:p>
      <w:pPr>
        <w:ind w:left="3080" w:hanging="631"/>
        <w:spacing w:after="0"/>
        <w:tabs>
          <w:tab w:leader="none" w:pos="30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on Form 10-K</w:t>
      </w:r>
    </w:p>
    <w:p>
      <w:pPr>
        <w:spacing w:after="0" w:line="48" w:lineRule="exact"/>
        <w:rPr>
          <w:rFonts w:ascii="MS PGothic" w:cs="MS PGothic" w:eastAsia="MS PGothic" w:hAnsi="MS PGothic"/>
          <w:sz w:val="16"/>
          <w:szCs w:val="16"/>
          <w:color w:val="auto"/>
        </w:rPr>
      </w:pPr>
    </w:p>
    <w:p>
      <w:pPr>
        <w:ind w:left="3080" w:hanging="631"/>
        <w:spacing w:after="0"/>
        <w:tabs>
          <w:tab w:leader="none" w:pos="30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on Form 20-F</w:t>
      </w:r>
    </w:p>
    <w:p>
      <w:pPr>
        <w:spacing w:after="0" w:line="32" w:lineRule="exact"/>
        <w:rPr>
          <w:rFonts w:ascii="MS PGothic" w:cs="MS PGothic" w:eastAsia="MS PGothic" w:hAnsi="MS PGothic"/>
          <w:sz w:val="16"/>
          <w:szCs w:val="16"/>
          <w:color w:val="auto"/>
        </w:rPr>
      </w:pPr>
    </w:p>
    <w:p>
      <w:pPr>
        <w:ind w:left="3080" w:hanging="631"/>
        <w:spacing w:after="0"/>
        <w:tabs>
          <w:tab w:leader="none" w:pos="30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on Form 11-K</w:t>
      </w:r>
    </w:p>
    <w:p>
      <w:pPr>
        <w:spacing w:after="0" w:line="32" w:lineRule="exact"/>
        <w:rPr>
          <w:rFonts w:ascii="MS PGothic" w:cs="MS PGothic" w:eastAsia="MS PGothic" w:hAnsi="MS PGothic"/>
          <w:sz w:val="16"/>
          <w:szCs w:val="16"/>
          <w:color w:val="auto"/>
        </w:rPr>
      </w:pPr>
    </w:p>
    <w:p>
      <w:pPr>
        <w:ind w:left="3080" w:hanging="631"/>
        <w:spacing w:after="0"/>
        <w:tabs>
          <w:tab w:leader="none" w:pos="30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on Form 10-Q</w:t>
      </w:r>
    </w:p>
    <w:p>
      <w:pPr>
        <w:spacing w:after="0" w:line="32" w:lineRule="exact"/>
        <w:rPr>
          <w:rFonts w:ascii="MS PGothic" w:cs="MS PGothic" w:eastAsia="MS PGothic" w:hAnsi="MS PGothic"/>
          <w:sz w:val="16"/>
          <w:szCs w:val="16"/>
          <w:color w:val="auto"/>
        </w:rPr>
      </w:pPr>
    </w:p>
    <w:p>
      <w:pPr>
        <w:ind w:left="3080" w:hanging="631"/>
        <w:spacing w:after="0"/>
        <w:tabs>
          <w:tab w:leader="none" w:pos="30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on Form N-SAR</w:t>
      </w:r>
    </w:p>
    <w:p>
      <w:pPr>
        <w:spacing w:after="0" w:line="165" w:lineRule="exact"/>
        <w:rPr>
          <w:sz w:val="24"/>
          <w:szCs w:val="24"/>
          <w:color w:val="auto"/>
        </w:rPr>
      </w:pPr>
    </w:p>
    <w:p>
      <w:pPr>
        <w:ind w:left="2440"/>
        <w:spacing w:after="0"/>
        <w:rPr>
          <w:sz w:val="20"/>
          <w:szCs w:val="20"/>
          <w:color w:val="auto"/>
        </w:rPr>
      </w:pPr>
      <w:r>
        <w:rPr>
          <w:rFonts w:ascii="Arial" w:cs="Arial" w:eastAsia="Arial" w:hAnsi="Arial"/>
          <w:sz w:val="16"/>
          <w:szCs w:val="16"/>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149225</wp:posOffset>
            </wp:positionV>
            <wp:extent cx="708914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319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Nothing in the form shall be construed to imply that the Commission has verified any information contained herein.</w:t>
      </w:r>
    </w:p>
    <w:p>
      <w:pPr>
        <w:spacing w:after="0" w:line="358"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1316355</wp:posOffset>
            </wp:positionH>
            <wp:positionV relativeFrom="paragraph">
              <wp:posOffset>86360</wp:posOffset>
            </wp:positionV>
            <wp:extent cx="4517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 INFORMATION</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COMPASS DIVERSIFIED HOLDINGS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Full Name of Registrant</w:t>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COMPASS GROUP DIVERSIFIED HOLDINGS LLC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Full Name of Registrant</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Riverside Avenue, Second Floor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Address of Principal Executive Office </w:t>
      </w:r>
      <w:r>
        <w:rPr>
          <w:rFonts w:ascii="Arial" w:cs="Arial" w:eastAsia="Arial" w:hAnsi="Arial"/>
          <w:sz w:val="14"/>
          <w:szCs w:val="14"/>
          <w:b w:val="1"/>
          <w:bCs w:val="1"/>
          <w:i w:val="1"/>
          <w:iCs w:val="1"/>
          <w:color w:val="auto"/>
        </w:rPr>
        <w:t>(Street and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Westport, CT 06880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1316355</wp:posOffset>
            </wp:positionH>
            <wp:positionV relativeFrom="paragraph">
              <wp:posOffset>83185</wp:posOffset>
            </wp:positionV>
            <wp:extent cx="4517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12b-25(b) AND (c)</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143510</wp:posOffset>
            </wp:positionV>
            <wp:extent cx="8255" cy="1371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37160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reasons described in reasonable detail in Part III of this form could not be eliminated without unreasonable effort or expense;</w:t>
      </w:r>
    </w:p>
    <w:p>
      <w:pPr>
        <w:spacing w:after="0" w:line="200" w:lineRule="exact"/>
        <w:rPr>
          <w:sz w:val="20"/>
          <w:szCs w:val="20"/>
          <w:color w:val="auto"/>
        </w:rPr>
      </w:pPr>
    </w:p>
    <w:p>
      <w:pPr>
        <w:spacing w:after="0" w:line="362" w:lineRule="exact"/>
        <w:rPr>
          <w:sz w:val="20"/>
          <w:szCs w:val="20"/>
          <w:color w:val="auto"/>
        </w:rPr>
      </w:pPr>
    </w:p>
    <w:p>
      <w:pPr>
        <w:ind w:left="440" w:right="100" w:hanging="414"/>
        <w:spacing w:after="0" w:line="250" w:lineRule="auto"/>
        <w:tabs>
          <w:tab w:leader="none" w:pos="440" w:val="left"/>
        </w:tabs>
        <w:numPr>
          <w:ilvl w:val="0"/>
          <w:numId w:val="2"/>
        </w:numPr>
        <w:rPr>
          <w:rFonts w:ascii="MS PGothic" w:cs="MS PGothic" w:eastAsia="MS PGothic" w:hAnsi="MS PGothic"/>
          <w:sz w:val="15"/>
          <w:szCs w:val="15"/>
          <w:color w:val="auto"/>
        </w:rPr>
      </w:pPr>
      <w:r>
        <w:rPr>
          <w:rFonts w:ascii="Arial" w:cs="Arial" w:eastAsia="Arial" w:hAnsi="Arial"/>
          <w:sz w:val="17"/>
          <w:szCs w:val="17"/>
          <w:color w:val="auto"/>
        </w:rPr>
        <w:t>(b) The subject annual report, semi-annual report, transition report on Form 10-K, Form 20-F, 11-K, Form N-CEN or Form N-CSR,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347" w:lineRule="exact"/>
        <w:rPr>
          <w:rFonts w:ascii="MS PGothic" w:cs="MS PGothic" w:eastAsia="MS PGothic" w:hAnsi="MS PGothic"/>
          <w:sz w:val="15"/>
          <w:szCs w:val="15"/>
          <w:color w:val="auto"/>
        </w:rPr>
      </w:pPr>
    </w:p>
    <w:p>
      <w:pPr>
        <w:ind w:left="440"/>
        <w:spacing w:after="0"/>
        <w:rPr>
          <w:rFonts w:ascii="MS PGothic" w:cs="MS PGothic" w:eastAsia="MS PGothic" w:hAnsi="MS PGothic"/>
          <w:sz w:val="15"/>
          <w:szCs w:val="15"/>
          <w:color w:val="auto"/>
        </w:rPr>
      </w:pPr>
      <w:r>
        <w:rPr>
          <w:rFonts w:ascii="Arial" w:cs="Arial" w:eastAsia="Arial" w:hAnsi="Arial"/>
          <w:sz w:val="18"/>
          <w:szCs w:val="18"/>
          <w:color w:val="auto"/>
        </w:rPr>
        <w:t>(c ) 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300355</wp:posOffset>
            </wp:positionV>
            <wp:extent cx="4517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w:t>
      </w:r>
    </w:p>
    <w:p>
      <w:pPr>
        <w:spacing w:after="0" w:line="30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State below in reasonable detail the reasons why Forms 10-K, 20-F, 11-K, 10-Q, 10-D, N-CEN, N-CSR, or the transition report or portion thereof, could not be filed within the prescribed time period.</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Compass Diversified Holdings (“Holdings”) and Compass Group Diversified Holdings LLC (the “Company,” and together with Holdings, “CODI”) has determined that it is unable to file its Quarterly Report on Form 10-Q for the quarter ended June 30, 2025 (the “Second Quarter Report”) within the prescribed time period without unreasonable effort or expense because it needs additional time (i) for the Audit Committee (the “Audit Committee”) of the Board of Directors (the “Board”) of the Company to complete the investigation previously disclosed in CODI’s Current Report on Form 8-K filed with the Securities and Exchange Commission on May 7, 2025 (the “May 7 Form 8-K”), and (ii) for CODI to restate its financial statements for the fiscal years ended December 31, 2022, 2023, and 2024 and complete its financial statements for the fiscal quarters ended March 31, 2025 and June 30, 2025 in light of the findings of such investigation. The information contained in each of the May 7 Form 8-K and in CODI’s Current Report on Form 8-K filed with the Securities and Exchange Commission on June 25, 2025 (the “June 25 Form 8-K”) is hereby incorporated by reference. While the Audit Committee continues to work diligently to complete its investigation, CODI does not anticipate that it will be able to file the Second Quarter Report within the five-calendar day extension provided by Rule 12b-25(b). CODI will continue to work diligently to file the Second Quarter Report, as well as its Quarterly Report on Form 10-Q for the quarter ended March 31, 2025, as soon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381000</wp:posOffset>
            </wp:positionV>
            <wp:extent cx="4517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93"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54"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536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rPr>
              <w:t>Stephen Keller</w:t>
            </w:r>
          </w:p>
        </w:tc>
        <w:tc>
          <w:tcPr>
            <w:tcW w:w="4500" w:type="dxa"/>
            <w:vAlign w:val="bottom"/>
          </w:tcPr>
          <w:p>
            <w:pPr>
              <w:jc w:val="right"/>
              <w:ind w:right="1619"/>
              <w:spacing w:after="0"/>
              <w:rPr>
                <w:sz w:val="20"/>
                <w:szCs w:val="20"/>
                <w:color w:val="auto"/>
              </w:rPr>
            </w:pPr>
            <w:r>
              <w:rPr>
                <w:rFonts w:ascii="Arial" w:cs="Arial" w:eastAsia="Arial" w:hAnsi="Arial"/>
                <w:sz w:val="16"/>
                <w:szCs w:val="16"/>
                <w:b w:val="1"/>
                <w:bCs w:val="1"/>
                <w:color w:val="auto"/>
              </w:rPr>
              <w:t>(203) 221-1703</w:t>
            </w:r>
          </w:p>
        </w:tc>
      </w:tr>
      <w:tr>
        <w:trPr>
          <w:trHeight w:val="216"/>
        </w:trPr>
        <w:tc>
          <w:tcPr>
            <w:tcW w:w="4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(Name)</w:t>
            </w:r>
          </w:p>
        </w:tc>
        <w:tc>
          <w:tcPr>
            <w:tcW w:w="900" w:type="dxa"/>
            <w:vAlign w:val="bottom"/>
          </w:tcPr>
          <w:p>
            <w:pPr>
              <w:spacing w:after="0"/>
              <w:rPr>
                <w:sz w:val="18"/>
                <w:szCs w:val="18"/>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(Area Code) (Telephone Number)</w:t>
            </w: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207" w:lineRule="exact"/>
        <w:rPr>
          <w:sz w:val="20"/>
          <w:szCs w:val="20"/>
          <w:color w:val="auto"/>
        </w:rPr>
      </w:pPr>
    </w:p>
    <w:p>
      <w:pPr>
        <w:jc w:val="both"/>
        <w:ind w:firstLine="8"/>
        <w:spacing w:after="0" w:line="242" w:lineRule="exact"/>
        <w:tabs>
          <w:tab w:leader="none" w:pos="549"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Wingdings" w:cs="Wingdings" w:eastAsia="Wingdings" w:hAnsi="Wingdings"/>
          <w:sz w:val="21"/>
          <w:szCs w:val="21"/>
          <w:b w:val="1"/>
          <w:bCs w:val="1"/>
          <w:color w:val="auto"/>
        </w:rPr>
        <w:t>x</w:t>
      </w:r>
      <w:r>
        <w:rPr>
          <w:rFonts w:ascii="Arial" w:cs="Arial" w:eastAsia="Arial" w:hAnsi="Arial"/>
          <w:sz w:val="18"/>
          <w:szCs w:val="18"/>
          <w:color w:val="auto"/>
        </w:rPr>
        <w:t xml:space="preserve"> No</w:t>
      </w:r>
    </w:p>
    <w:p>
      <w:pPr>
        <w:spacing w:after="0" w:line="72"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22"/>
          <w:szCs w:val="22"/>
          <w:color w:val="auto"/>
        </w:rPr>
      </w:pPr>
      <w:r>
        <w:rPr>
          <w:rFonts w:ascii="Arial" w:cs="Arial" w:eastAsia="Arial" w:hAnsi="Arial"/>
          <w:sz w:val="18"/>
          <w:szCs w:val="18"/>
          <w:color w:val="auto"/>
        </w:rPr>
        <w:t>Quarterly Report on Form 10-Q for the quarter ended March 31, 2025.</w:t>
      </w:r>
    </w:p>
    <w:p>
      <w:pPr>
        <w:spacing w:after="0" w:line="200" w:lineRule="exact"/>
        <w:rPr>
          <w:rFonts w:ascii="Arial" w:cs="Arial" w:eastAsia="Arial" w:hAnsi="Arial"/>
          <w:sz w:val="22"/>
          <w:szCs w:val="22"/>
          <w:color w:val="auto"/>
        </w:rPr>
      </w:pPr>
    </w:p>
    <w:p>
      <w:pPr>
        <w:spacing w:after="0" w:line="263" w:lineRule="exact"/>
        <w:rPr>
          <w:rFonts w:ascii="Arial" w:cs="Arial" w:eastAsia="Arial" w:hAnsi="Arial"/>
          <w:sz w:val="22"/>
          <w:szCs w:val="22"/>
          <w:color w:val="auto"/>
        </w:rPr>
      </w:pPr>
    </w:p>
    <w:p>
      <w:pPr>
        <w:ind w:right="20" w:firstLine="8"/>
        <w:spacing w:after="0" w:line="268" w:lineRule="exact"/>
        <w:tabs>
          <w:tab w:leader="none" w:pos="43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Wingdings" w:cs="Wingdings" w:eastAsia="Wingdings" w:hAnsi="Wingdings"/>
          <w:sz w:val="21"/>
          <w:szCs w:val="21"/>
          <w:b w:val="1"/>
          <w:bCs w:val="1"/>
          <w:color w:val="auto"/>
        </w:rPr>
        <w:t>x</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ongoing investigation and restatement processes disclosed in its May 7 Form 8-K and June 25 Form 8-K, which disclosures are incorporated herein by reference, CODI has not completed its financial statements for the quarter ended June 30, 2025, and its financial statements for the quarter ended June 30, 2024 are subject to restatement. Accordingly, CODI cannot at this time provide an estimate of the anticipated changes in its results of operations for the quarter ended June 30, 2025 compared to its results of operations for the quarter ended June 30, 2024.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Form 12b-25 contains forward-looking statements within the meaning of Section 27A of the Securities Act of 1933, as amended, and Section 21E of the Securities Exchange Act of 1934, as amended, including without limitation CODI’s expectations as to the timing and outcome of the Lugano Holding, Inc. (“Lugano”) investigation, actions taken in response to the outcome of the investigation, the filing or delay of CODI’s periodic reports, the amount of any potential misstatements associated with Lugano and the impact any such misstatements may have on CODI’s previously issued financial statements or results of operations, CODI’s beliefs and expectations relating to the anticipated financial and other impacts of internal control failures and the items subject to investigation and restatement review, and the impacts of any material weaknesses identified and CODI’s remediation efforts and efforts to prepare financial statements. Such forward looking statements may be identified by, among other things, the use of forward-looking terminology such as “believe,” “expect,” “may,” “could,” “would,” “plan,” “intend,” “estimate,” “predict,” “potential,” “continue,” “should” or “anticipate” or the negative thereof or other variations thereon or comparable terminology, or by discussions of strategy that involve risks and uncertainties. These statements are based on beliefs and assumptions by the Board and management, and on information currently available to the Board and management. These statements involve risk and uncertainties that could cause CODI’s actual results and outcomes to differ, perhaps materially, including but not limited to: the discovery of additional information relevant to the investigation; the conclusions (and timing of those conclusions) concerning matters relating to the investigation; the timing of the review by, and the conclusions of, CODI’s independent registered public accounting firm regarding the investigation and CODI’s financial statements; a further material delay in CODI’s financial reporting or ability to hold an annual meeting of stockholders; the impacts of restatement reviews; the likelihood that the control deficiencies identified or that may be identified in the future will result in material weaknesses in CODI’s internal control over financial reporting; and civil litigation relating to the investigation, including CODI’s representations regarding its financial statements, and the possibility of future litigation or investigation relating to CODI’s internal controls, restatement reviews, the Lugano investigation, or related matters. Please see CODI’s Annual Report on Form 10-K for the year ended December 31, 2024 for other risk factors that you should consider in connection with such forward-looking statements. Investors are cautioned not to place undue reliance on forward-looking statements, which speak only as of the date such statements have been made. Except as required by applicable law, CODI does not undertake any</w:t>
      </w:r>
    </w:p>
    <w:p>
      <w:pPr>
        <w:sectPr>
          <w:pgSz w:w="11900" w:h="16838" w:orient="portrait"/>
          <w:cols w:equalWidth="0" w:num="1">
            <w:col w:w="11240"/>
          </w:cols>
          <w:pgMar w:left="320" w:top="1440" w:right="339" w:bottom="1440" w:gutter="0" w:footer="0" w:header="0"/>
        </w:sectPr>
      </w:pPr>
    </w:p>
    <w:bookmarkStart w:id="3" w:name="page4"/>
    <w:bookmarkEnd w:id="3"/>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public obligation to update any forward-looking statements to reflect events, circumstances, or new information after the date of this Form 12b-25,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203200</wp:posOffset>
            </wp:positionV>
            <wp:extent cx="4517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366395</wp:posOffset>
            </wp:positionV>
            <wp:extent cx="4517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COMPASS DIVERSIFIED HOLDINGS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(Name of Registrant as Specified in Charter)</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COMPASS GROUP DIVERSIFIED HOLDINGS LLC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(Name of Registrant as Specified in Charter)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800" w:type="dxa"/>
            <w:vAlign w:val="bottom"/>
          </w:tcPr>
          <w:p>
            <w:pPr>
              <w:spacing w:after="0"/>
              <w:rPr>
                <w:sz w:val="20"/>
                <w:szCs w:val="20"/>
                <w:color w:val="auto"/>
              </w:rPr>
            </w:pPr>
            <w:r>
              <w:rPr>
                <w:rFonts w:ascii="Arial" w:cs="Arial" w:eastAsia="Arial" w:hAnsi="Arial"/>
                <w:sz w:val="18"/>
                <w:szCs w:val="18"/>
                <w:color w:val="auto"/>
              </w:rPr>
              <w:t>Date: August 11, 2025</w:t>
            </w:r>
          </w:p>
        </w:tc>
        <w:tc>
          <w:tcPr>
            <w:tcW w:w="6200" w:type="dxa"/>
            <w:vAlign w:val="bottom"/>
            <w:gridSpan w:val="2"/>
          </w:tcPr>
          <w:p>
            <w:pPr>
              <w:ind w:left="1000"/>
              <w:spacing w:after="0"/>
              <w:rPr>
                <w:sz w:val="20"/>
                <w:szCs w:val="20"/>
                <w:color w:val="auto"/>
              </w:rPr>
            </w:pPr>
            <w:r>
              <w:rPr>
                <w:rFonts w:ascii="Arial" w:cs="Arial" w:eastAsia="Arial" w:hAnsi="Arial"/>
                <w:sz w:val="18"/>
                <w:szCs w:val="18"/>
                <w:color w:val="auto"/>
              </w:rPr>
              <w:t>COMPASS DIVERSIFIED HOLDINGS</w:t>
            </w:r>
          </w:p>
        </w:tc>
      </w:tr>
      <w:tr>
        <w:trPr>
          <w:trHeight w:val="428"/>
        </w:trPr>
        <w:tc>
          <w:tcPr>
            <w:tcW w:w="2800" w:type="dxa"/>
            <w:vAlign w:val="bottom"/>
          </w:tcPr>
          <w:p>
            <w:pPr>
              <w:spacing w:after="0"/>
              <w:rPr>
                <w:sz w:val="24"/>
                <w:szCs w:val="24"/>
                <w:color w:val="auto"/>
              </w:rPr>
            </w:pPr>
          </w:p>
        </w:tc>
        <w:tc>
          <w:tcPr>
            <w:tcW w:w="1680" w:type="dxa"/>
            <w:vAlign w:val="bottom"/>
          </w:tcPr>
          <w:p>
            <w:pPr>
              <w:ind w:left="10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Keller</w:t>
            </w:r>
          </w:p>
        </w:tc>
      </w:tr>
      <w:tr>
        <w:trPr>
          <w:trHeight w:val="308"/>
        </w:trPr>
        <w:tc>
          <w:tcPr>
            <w:tcW w:w="2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Stephen Keller</w:t>
            </w:r>
          </w:p>
        </w:tc>
      </w:tr>
      <w:tr>
        <w:trPr>
          <w:trHeight w:val="270"/>
        </w:trPr>
        <w:tc>
          <w:tcPr>
            <w:tcW w:w="28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Regular Trustee</w:t>
            </w:r>
          </w:p>
        </w:tc>
      </w:tr>
      <w:tr>
        <w:trPr>
          <w:trHeight w:val="486"/>
        </w:trPr>
        <w:tc>
          <w:tcPr>
            <w:tcW w:w="2800" w:type="dxa"/>
            <w:vAlign w:val="bottom"/>
          </w:tcPr>
          <w:p>
            <w:pPr>
              <w:spacing w:after="0"/>
              <w:rPr>
                <w:sz w:val="20"/>
                <w:szCs w:val="20"/>
                <w:color w:val="auto"/>
              </w:rPr>
            </w:pPr>
            <w:r>
              <w:rPr>
                <w:rFonts w:ascii="Arial" w:cs="Arial" w:eastAsia="Arial" w:hAnsi="Arial"/>
                <w:sz w:val="18"/>
                <w:szCs w:val="18"/>
                <w:color w:val="auto"/>
              </w:rPr>
              <w:t>Date: August 11, 2025</w:t>
            </w:r>
          </w:p>
        </w:tc>
        <w:tc>
          <w:tcPr>
            <w:tcW w:w="6200" w:type="dxa"/>
            <w:vAlign w:val="bottom"/>
            <w:gridSpan w:val="2"/>
          </w:tcPr>
          <w:p>
            <w:pPr>
              <w:ind w:left="1000"/>
              <w:spacing w:after="0"/>
              <w:rPr>
                <w:sz w:val="20"/>
                <w:szCs w:val="20"/>
                <w:color w:val="auto"/>
              </w:rPr>
            </w:pPr>
            <w:r>
              <w:rPr>
                <w:rFonts w:ascii="Arial" w:cs="Arial" w:eastAsia="Arial" w:hAnsi="Arial"/>
                <w:sz w:val="18"/>
                <w:szCs w:val="18"/>
                <w:color w:val="auto"/>
              </w:rPr>
              <w:t>COMPASS GROUP DIVERSIFIED HOLDINGS LLC</w:t>
            </w:r>
          </w:p>
        </w:tc>
      </w:tr>
      <w:tr>
        <w:trPr>
          <w:trHeight w:val="428"/>
        </w:trPr>
        <w:tc>
          <w:tcPr>
            <w:tcW w:w="2800" w:type="dxa"/>
            <w:vAlign w:val="bottom"/>
          </w:tcPr>
          <w:p>
            <w:pPr>
              <w:spacing w:after="0"/>
              <w:rPr>
                <w:sz w:val="24"/>
                <w:szCs w:val="24"/>
                <w:color w:val="auto"/>
              </w:rPr>
            </w:pPr>
          </w:p>
        </w:tc>
        <w:tc>
          <w:tcPr>
            <w:tcW w:w="1680" w:type="dxa"/>
            <w:vAlign w:val="bottom"/>
          </w:tcPr>
          <w:p>
            <w:pPr>
              <w:ind w:left="10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Keller</w:t>
            </w:r>
          </w:p>
        </w:tc>
      </w:tr>
      <w:tr>
        <w:trPr>
          <w:trHeight w:val="308"/>
        </w:trPr>
        <w:tc>
          <w:tcPr>
            <w:tcW w:w="2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Stephen Keller</w:t>
            </w:r>
          </w:p>
        </w:tc>
      </w:tr>
      <w:tr>
        <w:trPr>
          <w:trHeight w:val="270"/>
        </w:trPr>
        <w:tc>
          <w:tcPr>
            <w:tcW w:w="28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2025-08-11T05:17:01Z</dcterms:created>
  <dcterms:modified xsi:type="dcterms:W3CDTF">2025-08-11T05:17:01Z</dcterms:modified>
</cp:coreProperties>
</file>