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 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Washington, D.C. 20549 </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quarterly period ended June 30, 2026 </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Or</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jc w:val="center"/>
        <w:rPr/>
      </w:pPr>
      <w:r>
        <w:rPr>
          <w:rFonts w:ascii="Arial;sans-serif" w:hAnsi="Arial;sans-serif"/>
          <w:b/>
          <w:color w:val="000000"/>
          <w:sz w:val="18"/>
        </w:rPr>
        <w:t xml:space="preserve">For the transition period from </w:t>
      </w:r>
      <w:r>
        <w:rPr>
          <w:color w:val="000000"/>
          <w:u w:val="single"/>
        </w:rPr>
        <w:t>                    </w:t>
      </w:r>
      <w:r>
        <w:rPr>
          <w:color w:val="000000"/>
        </w:rPr>
        <w:t xml:space="preserve"> </w:t>
      </w:r>
      <w:r>
        <w:rPr>
          <w:rFonts w:ascii="Arial;sans-serif" w:hAnsi="Arial;sans-serif"/>
          <w:b/>
          <w:color w:val="000000"/>
          <w:sz w:val="18"/>
        </w:rPr>
        <w:t xml:space="preserve">to </w:t>
      </w:r>
      <w:r>
        <w:rPr>
          <w:color w:val="000000"/>
          <w:u w:val="single"/>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 xml:space="preserve">COMPASS DIVERSIFIED HOLDINGS </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(Exact name of registrant as specified in its charter)</w:t>
      </w:r>
    </w:p>
    <w:tbl>
      <w:tblPr>
        <w:tblW w:w="6918" w:type="dxa"/>
        <w:jc w:val="left"/>
        <w:tblInd w:w="0" w:type="dxa"/>
        <w:tblLayout w:type="fixed"/>
        <w:tblCellMar>
          <w:top w:w="28" w:type="dxa"/>
          <w:left w:w="28" w:type="dxa"/>
          <w:bottom w:w="28" w:type="dxa"/>
          <w:right w:w="28" w:type="dxa"/>
        </w:tblCellMar>
      </w:tblPr>
      <w:tblGrid>
        <w:gridCol w:w="124"/>
        <w:gridCol w:w="109"/>
        <w:gridCol w:w="109"/>
        <w:gridCol w:w="832"/>
        <w:gridCol w:w="832"/>
        <w:gridCol w:w="840"/>
        <w:gridCol w:w="109"/>
        <w:gridCol w:w="109"/>
        <w:gridCol w:w="109"/>
        <w:gridCol w:w="389"/>
        <w:gridCol w:w="389"/>
        <w:gridCol w:w="393"/>
        <w:gridCol w:w="109"/>
        <w:gridCol w:w="109"/>
        <w:gridCol w:w="109"/>
        <w:gridCol w:w="623"/>
        <w:gridCol w:w="623"/>
        <w:gridCol w:w="62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001-34927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57-6218917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COMPASS GROUP DIVERSIFIED HOLDINGS LLC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(Exact name of registrant as specified in its charter)</w:t>
      </w:r>
    </w:p>
    <w:tbl>
      <w:tblPr>
        <w:tblW w:w="6918" w:type="dxa"/>
        <w:jc w:val="left"/>
        <w:tblInd w:w="0" w:type="dxa"/>
        <w:tblLayout w:type="fixed"/>
        <w:tblCellMar>
          <w:top w:w="28" w:type="dxa"/>
          <w:left w:w="28" w:type="dxa"/>
          <w:bottom w:w="28" w:type="dxa"/>
          <w:right w:w="28" w:type="dxa"/>
        </w:tblCellMar>
      </w:tblPr>
      <w:tblGrid>
        <w:gridCol w:w="124"/>
        <w:gridCol w:w="109"/>
        <w:gridCol w:w="109"/>
        <w:gridCol w:w="832"/>
        <w:gridCol w:w="832"/>
        <w:gridCol w:w="840"/>
        <w:gridCol w:w="109"/>
        <w:gridCol w:w="109"/>
        <w:gridCol w:w="109"/>
        <w:gridCol w:w="389"/>
        <w:gridCol w:w="389"/>
        <w:gridCol w:w="393"/>
        <w:gridCol w:w="109"/>
        <w:gridCol w:w="109"/>
        <w:gridCol w:w="109"/>
        <w:gridCol w:w="623"/>
        <w:gridCol w:w="623"/>
        <w:gridCol w:w="62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001-34926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20-3812051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301 Riverside Avenue, Second Floor, Westport, CT 06880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(Address of principal executive office)</w:t>
      </w:r>
    </w:p>
    <w:p>
      <w:pPr>
        <w:pStyle w:val="TextBody"/>
        <w:bidi w:val="0"/>
        <w:spacing w:lineRule="auto" w:line="288" w:before="240" w:after="283"/>
        <w:jc w:val="center"/>
        <w:rPr/>
      </w:pPr>
      <w:r>
        <w:rPr>
          <w:rFonts w:ascii="Times New Roman;serif" w:hAnsi="Times New Roman;serif"/>
          <w:b w:val="false"/>
          <w:color w:val="000000"/>
          <w:sz w:val="20"/>
        </w:rPr>
        <w:t>(</w:t>
      </w:r>
      <w:r>
        <w:rPr>
          <w:rFonts w:ascii="Arial;sans-serif" w:hAnsi="Arial;sans-serif"/>
          <w:b/>
          <w:color w:val="000000"/>
          <w:sz w:val="18"/>
        </w:rPr>
        <w:t>203</w:t>
      </w:r>
      <w:r>
        <w:rPr>
          <w:rFonts w:ascii="Times New Roman;serif" w:hAnsi="Times New Roman;serif"/>
          <w:b w:val="false"/>
          <w:color w:val="000000"/>
          <w:sz w:val="20"/>
        </w:rPr>
        <w:t>)</w:t>
      </w:r>
      <w:r>
        <w:rPr>
          <w:color w:val="000000"/>
        </w:rPr>
        <w:t xml:space="preserve"> </w:t>
      </w:r>
      <w:r>
        <w:rPr>
          <w:rFonts w:ascii="Arial;sans-serif" w:hAnsi="Arial;sans-serif"/>
          <w:b/>
          <w:color w:val="000000"/>
          <w:sz w:val="18"/>
        </w:rPr>
        <w:t xml:space="preserve">221-1703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7"/>
        </w:rPr>
      </w:pPr>
      <w:r>
        <w:rPr>
          <w:rFonts w:ascii="Arial;sans-serif" w:hAnsi="Arial;sans-serif"/>
          <w:b w:val="false"/>
          <w:color w:val="000000"/>
          <w:sz w:val="17"/>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938"/>
        <w:gridCol w:w="1643"/>
        <w:gridCol w:w="1623"/>
        <w:gridCol w:w="109"/>
        <w:gridCol w:w="109"/>
        <w:gridCol w:w="109"/>
        <w:gridCol w:w="449"/>
        <w:gridCol w:w="449"/>
        <w:gridCol w:w="450"/>
        <w:gridCol w:w="109"/>
        <w:gridCol w:w="109"/>
        <w:gridCol w:w="109"/>
        <w:gridCol w:w="875"/>
        <w:gridCol w:w="875"/>
        <w:gridCol w:w="1249"/>
      </w:tblGrid>
      <w:tr>
        <w:trPr/>
        <w:tc>
          <w:tcPr>
            <w:tcW w:w="193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A Preferred 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B Preferred 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2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C Preferred Shares representing beneficial interests in Compass Diversified Holdings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C</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120" w:after="283"/>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    </w:t>
      </w:r>
      <w:r>
        <w:rPr>
          <w:rFonts w:ascii="Arial;sans-serif" w:hAnsi="Arial;sans-serif"/>
          <w:b w:val="false"/>
          <w:color w:val="000000"/>
          <w:sz w:val="16"/>
        </w:rPr>
        <w:t>No</w:t>
      </w:r>
      <w:r>
        <w:rPr>
          <w:color w:val="000000"/>
        </w:rPr>
        <w:t>  ☐</w:t>
      </w:r>
    </w:p>
    <w:p>
      <w:pPr>
        <w:pStyle w:val="TextBody"/>
        <w:bidi w:val="0"/>
        <w:spacing w:lineRule="auto" w:line="288" w:before="120" w:after="283"/>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    </w:t>
      </w:r>
      <w:r>
        <w:rPr>
          <w:rFonts w:ascii="Arial;sans-serif" w:hAnsi="Arial;sans-serif"/>
          <w:b w:val="false"/>
          <w:color w:val="000000"/>
          <w:sz w:val="16"/>
        </w:rPr>
        <w:t>No</w:t>
      </w:r>
      <w:r>
        <w:rPr>
          <w:color w:val="000000"/>
        </w:rPr>
        <w:t>  ☐</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731" w:type="dxa"/>
        <w:jc w:val="left"/>
        <w:tblInd w:w="0" w:type="dxa"/>
        <w:tblLayout w:type="fixed"/>
        <w:tblCellMar>
          <w:top w:w="28" w:type="dxa"/>
          <w:left w:w="28" w:type="dxa"/>
          <w:bottom w:w="28" w:type="dxa"/>
          <w:right w:w="28" w:type="dxa"/>
        </w:tblCellMar>
      </w:tblPr>
      <w:tblGrid>
        <w:gridCol w:w="124"/>
        <w:gridCol w:w="109"/>
        <w:gridCol w:w="109"/>
        <w:gridCol w:w="684"/>
        <w:gridCol w:w="684"/>
        <w:gridCol w:w="686"/>
        <w:gridCol w:w="109"/>
        <w:gridCol w:w="109"/>
        <w:gridCol w:w="109"/>
        <w:gridCol w:w="109"/>
        <w:gridCol w:w="109"/>
        <w:gridCol w:w="109"/>
        <w:gridCol w:w="109"/>
        <w:gridCol w:w="109"/>
        <w:gridCol w:w="109"/>
        <w:gridCol w:w="684"/>
        <w:gridCol w:w="684"/>
        <w:gridCol w:w="687"/>
        <w:gridCol w:w="109"/>
        <w:gridCol w:w="109"/>
        <w:gridCol w:w="109"/>
        <w:gridCol w:w="109"/>
        <w:gridCol w:w="109"/>
        <w:gridCol w:w="109"/>
        <w:gridCol w:w="539"/>
        <w:gridCol w:w="539"/>
        <w:gridCol w:w="541"/>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60" w:after="60"/>
        <w:jc w:val="left"/>
        <w:rPr/>
      </w:pPr>
      <w:r>
        <w:rPr>
          <w:rFonts w:ascii="Arial;sans-serif" w:hAnsi="Arial;sans-serif"/>
          <w:b w:val="false"/>
          <w:color w:val="000000"/>
          <w:sz w:val="16"/>
        </w:rPr>
        <w:t>Indicate by check mark whether the registrant is a shell company (as defined in Rule 12b-2 of the Exchange Act). </w:t>
      </w:r>
      <w:r>
        <w:rPr>
          <w:color w:val="000000"/>
        </w:rPr>
        <w:t>   </w:t>
      </w:r>
      <w:r>
        <w:rPr>
          <w:rFonts w:ascii="Arial;sans-serif" w:hAnsi="Arial;sans-serif"/>
          <w:b w:val="false"/>
          <w:color w:val="000000"/>
          <w:sz w:val="16"/>
        </w:rPr>
        <w:t>Yes</w:t>
      </w:r>
      <w:r>
        <w:rPr>
          <w:color w:val="000000"/>
        </w:rPr>
        <w:t>  ☐    </w:t>
      </w:r>
      <w:r>
        <w:rPr>
          <w:rFonts w:ascii="Arial;sans-serif" w:hAnsi="Arial;sans-serif"/>
          <w:b w:val="false"/>
          <w:color w:val="000000"/>
          <w:sz w:val="16"/>
        </w:rPr>
        <w:t>No</w:t>
      </w:r>
      <w:r>
        <w:rPr>
          <w:color w:val="000000"/>
        </w:rPr>
        <w:t>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center"/>
        <w:rPr/>
      </w:pPr>
      <w:r>
        <w:rPr>
          <w:rFonts w:ascii="Arial;sans-serif" w:hAnsi="Arial;sans-serif"/>
          <w:b w:val="false"/>
          <w:color w:val="000000"/>
          <w:sz w:val="17"/>
        </w:rPr>
        <w:t>As of August 6, 2026, there w</w:t>
      </w:r>
      <w:r>
        <w:rPr>
          <w:rFonts w:ascii="Arial;sans-serif" w:hAnsi="Arial;sans-serif"/>
          <w:b w:val="false"/>
          <w:color w:val="000000"/>
          <w:sz w:val="17"/>
          <w:shd w:fill="FFFFFF" w:val="clear"/>
        </w:rPr>
        <w:t>ere 75,235,966 Trust c</w:t>
      </w:r>
      <w:r>
        <w:rPr>
          <w:rFonts w:ascii="Arial;sans-serif" w:hAnsi="Arial;sans-serif"/>
          <w:b w:val="false"/>
          <w:color w:val="000000"/>
          <w:sz w:val="17"/>
        </w:rPr>
        <w:t>ommon shares of Compass Diversified Holdings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COMPASS DIVERSIFIED HOLDINGS</w:t>
      </w:r>
    </w:p>
    <w:p>
      <w:pPr>
        <w:pStyle w:val="TextBody"/>
        <w:bidi w:val="0"/>
        <w:spacing w:lineRule="auto" w:line="288" w:before="240" w:after="283"/>
        <w:jc w:val="center"/>
        <w:rPr>
          <w:rFonts w:ascii="Arial;sans-serif" w:hAnsi="Arial;sans-serif"/>
          <w:b/>
          <w:color w:val="000000"/>
          <w:sz w:val="22"/>
        </w:rPr>
      </w:pPr>
      <w:r>
        <w:rPr>
          <w:rFonts w:ascii="Arial;sans-serif" w:hAnsi="Arial;sans-serif"/>
          <w:b/>
          <w:color w:val="000000"/>
          <w:sz w:val="22"/>
        </w:rPr>
        <w:t>QUARTERLY REPORT ON FORM 10-Q</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For the period ended June 30, 2026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69"/>
        <w:gridCol w:w="320"/>
        <w:gridCol w:w="320"/>
        <w:gridCol w:w="320"/>
        <w:gridCol w:w="320"/>
        <w:gridCol w:w="320"/>
        <w:gridCol w:w="2430"/>
        <w:gridCol w:w="2285"/>
        <w:gridCol w:w="2305"/>
        <w:gridCol w:w="109"/>
        <w:gridCol w:w="109"/>
        <w:gridCol w:w="109"/>
        <w:gridCol w:w="259"/>
        <w:gridCol w:w="259"/>
        <w:gridCol w:w="371"/>
      </w:tblGrid>
      <w:tr>
        <w:trPr/>
        <w:tc>
          <w:tcPr>
            <w:tcW w:w="3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Page</w:t>
              <w:br/>
              <w:t>Number</w:t>
            </w:r>
          </w:p>
        </w:tc>
      </w:tr>
      <w:tr>
        <w:trPr/>
        <w:tc>
          <w:tcPr>
            <w:tcW w:w="898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29996918526446a59b54dc1fd0efe432_19">
              <w:r>
                <w:rPr>
                  <w:rStyle w:val="InternetLink"/>
                  <w:rFonts w:ascii="Arial;sans-serif" w:hAnsi="Arial;sans-serif"/>
                  <w:b w:val="false"/>
                  <w:color w:val="0000FF"/>
                  <w:sz w:val="19"/>
                  <w:u w:val="single"/>
                </w:rPr>
                <w:t>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29996918526446a59b54dc1fd0efe432_19">
              <w:r>
                <w:rPr>
                  <w:rStyle w:val="InternetLink"/>
                  <w:rFonts w:ascii="Arial;sans-serif" w:hAnsi="Arial;sans-serif"/>
                  <w:b w:val="false"/>
                  <w:color w:val="0000FF"/>
                  <w:sz w:val="19"/>
                  <w:u w:val="single"/>
                </w:rPr>
                <w:t>4</w:t>
              </w:r>
            </w:hyperlink>
          </w:p>
        </w:tc>
      </w:tr>
      <w:tr>
        <w:trP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PART I. 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ITEM 1. </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96918526446a59b54dc1fd0efe432_22">
              <w:r>
                <w:rPr>
                  <w:rStyle w:val="InternetLink"/>
                  <w:rFonts w:ascii="Arial;sans-serif" w:hAnsi="Arial;sans-serif"/>
                  <w:b w:val="false"/>
                  <w:color w:val="0000FF"/>
                  <w:sz w:val="19"/>
                  <w:u w:val="single"/>
                </w:rPr>
                <w:t>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96918526446a59b54dc1fd0efe432_28">
              <w:r>
                <w:rPr>
                  <w:rStyle w:val="InternetLink"/>
                  <w:rFonts w:ascii="Arial;sans-serif" w:hAnsi="Arial;sans-serif"/>
                  <w:b w:val="false"/>
                  <w:color w:val="0000FF"/>
                  <w:sz w:val="19"/>
                  <w:u w:val="single"/>
                </w:rPr>
                <w:t>CONDENSED 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996918526446a59b54dc1fd0efe432_28">
              <w:r>
                <w:rPr>
                  <w:rStyle w:val="InternetLink"/>
                  <w:rFonts w:ascii="Arial;sans-serif" w:hAnsi="Arial;sans-serif"/>
                  <w:b w:val="false"/>
                  <w:color w:val="0000FF"/>
                  <w:sz w:val="19"/>
                  <w:u w:val="single"/>
                </w:rPr>
                <w:t>7</w:t>
              </w:r>
            </w:hyperlink>
          </w:p>
        </w:tc>
      </w:tr>
      <w:tr>
        <w:trP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96918526446a59b54dc1fd0efe432_34">
              <w:r>
                <w:rPr>
                  <w:rStyle w:val="InternetLink"/>
                  <w:rFonts w:ascii="Arial;sans-serif" w:hAnsi="Arial;sans-serif"/>
                  <w:b w:val="false"/>
                  <w:color w:val="0000FF"/>
                  <w:sz w:val="19"/>
                  <w:u w:val="single"/>
                </w:rPr>
                <w:t>CONDENSED 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996918526446a59b54dc1fd0efe432_34">
              <w:r>
                <w:rPr>
                  <w:rStyle w:val="InternetLink"/>
                  <w:rFonts w:ascii="Arial;sans-serif" w:hAnsi="Arial;sans-serif"/>
                  <w:b w:val="false"/>
                  <w:color w:val="0000FF"/>
                  <w:sz w:val="19"/>
                  <w:u w:val="single"/>
                </w:rPr>
                <w:t>8</w:t>
              </w:r>
            </w:hyperlink>
          </w:p>
        </w:tc>
      </w:tr>
      <w:tr>
        <w:trP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96918526446a59b54dc1fd0efe432_37">
              <w:r>
                <w:rPr>
                  <w:rStyle w:val="InternetLink"/>
                  <w:rFonts w:ascii="Arial;sans-serif" w:hAnsi="Arial;sans-serif"/>
                  <w:b w:val="false"/>
                  <w:color w:val="0000FF"/>
                  <w:sz w:val="19"/>
                  <w:u w:val="single"/>
                </w:rPr>
                <w:t>CONDENSED CONSOLIDATED STATEMENTS OF COMPREHENSIVE INCOME (LOSS)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996918526446a59b54dc1fd0efe432_37">
              <w:r>
                <w:rPr>
                  <w:rStyle w:val="InternetLink"/>
                  <w:rFonts w:ascii="Arial;sans-serif" w:hAnsi="Arial;sans-serif"/>
                  <w:b w:val="false"/>
                  <w:color w:val="0000FF"/>
                  <w:sz w:val="19"/>
                  <w:u w:val="single"/>
                </w:rPr>
                <w:t>9</w:t>
              </w:r>
            </w:hyperlink>
          </w:p>
        </w:tc>
      </w:tr>
      <w:tr>
        <w:trP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96918526446a59b54dc1fd0efe432_40">
              <w:r>
                <w:rPr>
                  <w:rStyle w:val="InternetLink"/>
                  <w:rFonts w:ascii="Arial;sans-serif" w:hAnsi="Arial;sans-serif"/>
                  <w:b w:val="false"/>
                  <w:color w:val="0000FF"/>
                  <w:sz w:val="19"/>
                  <w:u w:val="single"/>
                </w:rPr>
                <w:t>CONDENSED CONSOLIDATED STATEMENTS OF STOCKHOLDERS'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996918526446a59b54dc1fd0efe432_40">
              <w:r>
                <w:rPr>
                  <w:rStyle w:val="InternetLink"/>
                  <w:rFonts w:ascii="Arial;sans-serif" w:hAnsi="Arial;sans-serif"/>
                  <w:b w:val="false"/>
                  <w:color w:val="0000FF"/>
                  <w:sz w:val="19"/>
                  <w:u w:val="single"/>
                </w:rPr>
                <w:t>10</w:t>
              </w:r>
            </w:hyperlink>
          </w:p>
        </w:tc>
      </w:tr>
      <w:tr>
        <w:trP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96918526446a59b54dc1fd0efe432_43">
              <w:r>
                <w:rPr>
                  <w:rStyle w:val="InternetLink"/>
                  <w:rFonts w:ascii="Arial;sans-serif" w:hAnsi="Arial;sans-serif"/>
                  <w:b w:val="false"/>
                  <w:color w:val="0000FF"/>
                  <w:sz w:val="19"/>
                  <w:u w:val="single"/>
                </w:rPr>
                <w:t>CONDENSED 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996918526446a59b54dc1fd0efe432_43">
              <w:r>
                <w:rPr>
                  <w:rStyle w:val="InternetLink"/>
                  <w:rFonts w:ascii="Arial;sans-serif" w:hAnsi="Arial;sans-serif"/>
                  <w:b w:val="false"/>
                  <w:color w:val="0000FF"/>
                  <w:sz w:val="19"/>
                  <w:u w:val="single"/>
                </w:rPr>
                <w:t>12</w:t>
              </w:r>
            </w:hyperlink>
          </w:p>
        </w:tc>
      </w:tr>
      <w:tr>
        <w:trP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96918526446a59b54dc1fd0efe432_46">
              <w:r>
                <w:rPr>
                  <w:rStyle w:val="InternetLink"/>
                  <w:rFonts w:ascii="Arial;sans-serif" w:hAnsi="Arial;sans-serif"/>
                  <w:b w:val="false"/>
                  <w:color w:val="0000FF"/>
                  <w:sz w:val="19"/>
                  <w:u w:val="singl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996918526446a59b54dc1fd0efe432_46">
              <w:r>
                <w:rPr>
                  <w:rStyle w:val="InternetLink"/>
                  <w:rFonts w:ascii="Arial;sans-serif" w:hAnsi="Arial;sans-serif"/>
                  <w:b w:val="false"/>
                  <w:color w:val="0000FF"/>
                  <w:sz w:val="19"/>
                  <w:u w:val="single"/>
                </w:rPr>
                <w:t>14</w:t>
              </w:r>
            </w:hyperlink>
          </w:p>
        </w:tc>
      </w:tr>
      <w:tr>
        <w:trP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2.</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96918526446a59b54dc1fd0efe432_106">
              <w:r>
                <w:rPr>
                  <w:rStyle w:val="InternetLink"/>
                  <w:rFonts w:ascii="Arial;sans-serif" w:hAnsi="Arial;sans-serif"/>
                  <w:b w:val="false"/>
                  <w:color w:val="0000FF"/>
                  <w:sz w:val="19"/>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996918526446a59b54dc1fd0efe432_106">
              <w:r>
                <w:rPr>
                  <w:rStyle w:val="InternetLink"/>
                  <w:rFonts w:ascii="Arial;sans-serif" w:hAnsi="Arial;sans-serif"/>
                  <w:b w:val="false"/>
                  <w:color w:val="0000FF"/>
                  <w:sz w:val="19"/>
                  <w:u w:val="single"/>
                </w:rPr>
                <w:t>44</w:t>
              </w:r>
            </w:hyperlink>
          </w:p>
        </w:tc>
      </w:tr>
      <w:tr>
        <w:trPr/>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3.</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96918526446a59b54dc1fd0efe432_196">
              <w:r>
                <w:rPr>
                  <w:rStyle w:val="InternetLink"/>
                  <w:rFonts w:ascii="Arial;sans-serif" w:hAnsi="Arial;sans-serif"/>
                  <w:b w:val="false"/>
                  <w:color w:val="0000FF"/>
                  <w:sz w:val="19"/>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996918526446a59b54dc1fd0efe432_196">
              <w:r>
                <w:rPr>
                  <w:rStyle w:val="InternetLink"/>
                  <w:rFonts w:ascii="Arial;sans-serif" w:hAnsi="Arial;sans-serif"/>
                  <w:b w:val="false"/>
                  <w:color w:val="0000FF"/>
                  <w:sz w:val="19"/>
                  <w:u w:val="single"/>
                </w:rPr>
                <w:t>79</w:t>
              </w:r>
            </w:hyperlink>
          </w:p>
        </w:tc>
      </w:tr>
      <w:tr>
        <w:trP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4.</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96918526446a59b54dc1fd0efe432_199">
              <w:r>
                <w:rPr>
                  <w:rStyle w:val="InternetLink"/>
                  <w:rFonts w:ascii="Arial;sans-serif" w:hAnsi="Arial;sans-serif"/>
                  <w:b w:val="false"/>
                  <w:color w:val="0000FF"/>
                  <w:sz w:val="19"/>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996918526446a59b54dc1fd0efe432_199">
              <w:r>
                <w:rPr>
                  <w:rStyle w:val="InternetLink"/>
                  <w:rFonts w:ascii="Arial;sans-serif" w:hAnsi="Arial;sans-serif"/>
                  <w:b w:val="false"/>
                  <w:color w:val="0000FF"/>
                  <w:sz w:val="19"/>
                  <w:u w:val="single"/>
                </w:rPr>
                <w:t>79</w:t>
              </w:r>
            </w:hyperlink>
          </w:p>
        </w:tc>
      </w:tr>
      <w:tr>
        <w:trP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PART II. 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996918526446a59b54dc1fd0efe432_202">
              <w:r>
                <w:rPr>
                  <w:rStyle w:val="InternetLink"/>
                  <w:rFonts w:ascii="Arial;sans-serif" w:hAnsi="Arial;sans-serif"/>
                  <w:b w:val="false"/>
                  <w:color w:val="0000FF"/>
                  <w:sz w:val="19"/>
                  <w:u w:val="single"/>
                </w:rPr>
                <w:t>81</w:t>
              </w:r>
            </w:hyperlink>
          </w:p>
        </w:tc>
      </w:tr>
      <w:tr>
        <w:trPr/>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96918526446a59b54dc1fd0efe432_205">
              <w:r>
                <w:rPr>
                  <w:rStyle w:val="InternetLink"/>
                  <w:rFonts w:ascii="Arial;sans-serif" w:hAnsi="Arial;sans-serif"/>
                  <w:b w:val="false"/>
                  <w:color w:val="0000FF"/>
                  <w:sz w:val="19"/>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996918526446a59b54dc1fd0efe432_205">
              <w:r>
                <w:rPr>
                  <w:rStyle w:val="InternetLink"/>
                  <w:rFonts w:ascii="Arial;sans-serif" w:hAnsi="Arial;sans-serif"/>
                  <w:b w:val="false"/>
                  <w:color w:val="0000FF"/>
                  <w:sz w:val="19"/>
                  <w:u w:val="single"/>
                </w:rPr>
                <w:t>81</w:t>
              </w:r>
            </w:hyperlink>
          </w:p>
        </w:tc>
      </w:tr>
      <w:tr>
        <w:trP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1A.</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96918526446a59b54dc1fd0efe432_208">
              <w:r>
                <w:rPr>
                  <w:rStyle w:val="InternetLink"/>
                  <w:rFonts w:ascii="Arial;sans-serif" w:hAnsi="Arial;sans-serif"/>
                  <w:b w:val="false"/>
                  <w:color w:val="0000FF"/>
                  <w:sz w:val="19"/>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996918526446a59b54dc1fd0efe432_208">
              <w:r>
                <w:rPr>
                  <w:rStyle w:val="InternetLink"/>
                  <w:rFonts w:ascii="Arial;sans-serif" w:hAnsi="Arial;sans-serif"/>
                  <w:b w:val="false"/>
                  <w:color w:val="0000FF"/>
                  <w:sz w:val="19"/>
                  <w:u w:val="single"/>
                </w:rPr>
                <w:t>81</w:t>
              </w:r>
            </w:hyperlink>
          </w:p>
        </w:tc>
      </w:tr>
      <w:tr>
        <w:trP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6.</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96918526446a59b54dc1fd0efe432_211">
              <w:r>
                <w:rPr>
                  <w:rStyle w:val="InternetLink"/>
                  <w:rFonts w:ascii="Arial;sans-serif" w:hAnsi="Arial;sans-serif"/>
                  <w:b w:val="false"/>
                  <w:color w:val="0000FF"/>
                  <w:sz w:val="19"/>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996918526446a59b54dc1fd0efe432_211">
              <w:r>
                <w:rPr>
                  <w:rStyle w:val="InternetLink"/>
                  <w:rFonts w:ascii="Arial;sans-serif" w:hAnsi="Arial;sans-serif"/>
                  <w:b w:val="false"/>
                  <w:color w:val="0000FF"/>
                  <w:sz w:val="19"/>
                  <w:u w:val="single"/>
                </w:rPr>
                <w:t>82</w:t>
              </w:r>
            </w:hyperlink>
          </w:p>
        </w:tc>
      </w:tr>
      <w:tr>
        <w:trP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9996918526446a59b54dc1fd0efe432_214">
              <w:r>
                <w:rPr>
                  <w:rStyle w:val="InternetLink"/>
                  <w:rFonts w:ascii="Arial;sans-serif" w:hAnsi="Arial;sans-serif"/>
                  <w:b w:val="false"/>
                  <w:color w:val="0000FF"/>
                  <w:sz w:val="19"/>
                  <w:u w:val="single"/>
                </w:rPr>
                <w:t>SIGNATURES</w:t>
              </w:r>
            </w:hyperlink>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996918526446a59b54dc1fd0efe432_214">
              <w:r>
                <w:rPr>
                  <w:rStyle w:val="InternetLink"/>
                  <w:rFonts w:ascii="Arial;sans-serif" w:hAnsi="Arial;sans-serif"/>
                  <w:b w:val="false"/>
                  <w:color w:val="0000FF"/>
                  <w:sz w:val="19"/>
                  <w:u w:val="single"/>
                </w:rPr>
                <w:t>85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 TO READER</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In reading this Quarterly Report on Form 10-Q, references to:</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the “Trust” and “Holdings” refer to Compass Diversified Holdings;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the “LLC” refers to Compass Group Diversified Holdings LLC;</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the "Company" refers to Compass Diversified Holdings and Compass Group Diversified Holdings LLC, collectively;</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businesses”, “operating segments”, “subsidiaries” and “reporting units” all refer to, collectively, the businesses controlled by the Company;</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the “Manager” refers to Compass Group Management LLC (“CGM”);</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the "Trust Agreement" refers to the Third Amended and Restated Trust Agreement of the Trust dated as of August 3, 2021, as further amended;</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the "2022 Credit Facility" refers to the third amended and restated credit agreement entered into on July 12, 2022, as further amended, among the LLC, the lenders from time to time party thereto, Bank of America, N.A., as Administrative Agent, Swing Line Lender and letter of credit issuer (the "agent");</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the "LLC Agreement" refers to the Sixth Amended and Restated Operating Agreement of the Company dated as of August 3, 2021, as further amended; </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the “Management Services Agreement” or “MSA” refer to the Management Services Agreement with CGM effective May 16, 2006, as amended; and</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"we," "us" and "our" refer to the Trust, the Company and the businesses together;</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the “2025 Form 10-K” refers to the Company’s Form 10-K for the fiscal year ended December 31, 2025 filed with the United States Securities and Exchange Commission (“SEC”) on February 27, 2026.</w:t>
      </w:r>
    </w:p>
    <w:p>
      <w:pPr>
        <w:pStyle w:val="TextBody"/>
        <w:bidi w:val="0"/>
        <w:spacing w:before="60" w:after="283"/>
        <w:jc w:val="left"/>
        <w:rPr/>
      </w:pPr>
      <w:r>
        <w:rPr/>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Explanatory Note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previously disclosed, in April 2025, the Audit Committee of the Company’s board of directors commenced an internal investigation into the financing, accounting, and inventory practices of Lugano Holding, Inc. (“Lugano”), a subsidiary and operating segment of the Company (the “Lugano Investigation”). The Lugano Investigation identified certain unrecorded financing arrangements and irregularities involving, among other things, sales, cost of sales, inventory, and accounts receivable recorded by Lugano.</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Lugano Investigation and related matters significantly affected the Company during 2025 and continued to affect the Company during the first and second quarters of 2026. In November 2025, Lugano and certain of its subsidiaries filed voluntary petitions for relief under Chapter 11 of the United States Bankruptcy Code and, as a result, Lugano was deconsolidated from the Company’s consolidated financial statements as of the bankruptcy filing date. The Company also incurred significant professional fees and other expenses related to the Lugano Investigation, the preparation of restated and delayed periodic financial statements, related litigation and investigations, financing arrangements and internal control remediation. In addition, the Company suspended its quarterly cash distribution on its common shares in 2025, and its ability to access the capital markets, including through its at-the-market equity programs, was limited in light of these events.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This Form 10-Q should be read in conjunction with the Company’s 2025 Form 10-K for additional information regarding the Lugano Investigation and restatement, the deconsolidation of Lugano, related financing arrangements, internal control remediation efforts and related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FORWARD-LOOKING STATEMENTS</w:t>
      </w:r>
    </w:p>
    <w:p>
      <w:pPr>
        <w:pStyle w:val="TextBody"/>
        <w:bidi w:val="0"/>
        <w:spacing w:lineRule="auto" w:line="288" w:before="120" w:after="283"/>
        <w:jc w:val="both"/>
        <w:rPr/>
      </w:pPr>
      <w:r>
        <w:rPr>
          <w:rFonts w:ascii="Arial;sans-serif" w:hAnsi="Arial;sans-serif"/>
          <w:b w:val="false"/>
          <w:color w:val="000000"/>
          <w:sz w:val="20"/>
        </w:rPr>
        <w:t>This Quarterly Report on Form 10-Q (this “Form 10-Q”), contains both historical and forward-looking statements. We may, in some cases, use words such as "project," "predict," "believe," "anticipate," "plan," "expect," "estimate," "intend," "should," "would," "could," "potentially," "may," or other words that convey uncertainty of future events or outcomes to identify these forward-looking statements. All statements other than statements of historical or current fact are “forward-looking statements” for purposes of federal and state securities laws. Forward-looking statements include, among other things, (i) statements as to our future performance or liquidity, such as expectations for our results of operations, net income, leverage, Adjusted EBITDA, and Adjusted Earnings, our deleveraging efforts and ability to make quarterly distributions, and (ii) our plans, strategies and objectives for future operations, including our business outlook and planned capital expenditures. Forward-looking statements in this Form 10-Q are subject to a number of risks and uncertainties, such as those disclosed or incorporated by reference in our filings with the SEC, including, but not limited to, those described under the sections entitled “Risk Factors” and “Management’s Discussion and Analysis of Financial Condition and Results of Operations” in both this Form 10-Q and our Annual Report on Form 10-K for the year ended December 31, 2025 filed with the United States Securities and Exchange Commission (“SEC”) February 27, 2026</w:t>
      </w:r>
      <w:r>
        <w:rPr>
          <w:color w:val="000000"/>
          <w:shd w:fill="FFFFFF" w:val="clear"/>
        </w:rPr>
        <w:t xml:space="preserve"> </w:t>
      </w:r>
      <w:r>
        <w:rPr>
          <w:rFonts w:ascii="Arial;sans-serif" w:hAnsi="Arial;sans-serif"/>
          <w:b w:val="false"/>
          <w:color w:val="000000"/>
          <w:sz w:val="20"/>
          <w:shd w:fill="FFFFFF" w:val="clear"/>
        </w:rPr>
        <w:t>as</w:t>
      </w:r>
      <w:r>
        <w:rPr>
          <w:color w:val="000000"/>
        </w:rPr>
        <w:t xml:space="preserve"> </w:t>
      </w:r>
      <w:r>
        <w:rPr>
          <w:rFonts w:ascii="Arial;sans-serif" w:hAnsi="Arial;sans-serif"/>
          <w:b w:val="false"/>
          <w:color w:val="000000"/>
          <w:sz w:val="20"/>
        </w:rPr>
        <w:t>such factors may be updated from time to time in our filings with the SEC. Many of these risks and uncertainties are beyond our control. Important factors that could cause our actual results, performance and achievements to differ materially from those estimates or projections contained in our forward-looking statements include, among other things: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litigation relating to our representations regarding our financial statements and litigation, enforcement actions or investigations relating to our internal controls, restatement reviews, matters related to the Lugano Investigation (as defined herein) and additional liabilities we are currently unaware of;</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likelihood that the control deficiencies identified or that may be identified in the future will result in additional material weaknesses in our internal control over financial reporting;</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our ability to maintain our credit agreements or incur additional borrowings on terms we deem attractive;</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 xml:space="preserve">the amount and timing of any recoveries on our intercompany loan to Lugano under the Settlement Agreement and proposed Plan of Liquidation, including the risk that the Plan of Liquidation may not be confirmed or become effective, that asset monetization or litigation recoveries may be lower or later than expected, or that the priority of allowed claims may reduce or eliminate recoveries; </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claims or causes of action asserted by third parties against us and/or our current or former directors and officers arising out of or relating to Lugano, the Lugano Investigation or the bankruptcy proceedings, including claims not released under the Settlement Agreement or the proposed Plan of Liquidation, which could result in substantial defense costs, potential liability or settlement payments;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and our Manager’s ability to retain or replace qualified employees of our subsidiaries and Manager;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difficulties and delays in identifying, integrating, and managing acquisitions or an inability to fully realize cost savings and other benefits related thereto;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our ability to successfully complete divestitures that we may execute and our ability to execute on our deleveraging strategy;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finance future acquisitions on acceptable terms;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board of director’s ability to cause, in its sole discretion, the Trust to be converted into a corporation;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board of director’s ability to reduce or eliminate distributions to our shareholders;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reliance on receipts from our subsidiaries to make distributions to our shareholders;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board of director’s ability to change the terms of the Company’s shares in its sole discretion;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provisions in our governing documents and the governing documents of the Trust which may limit a third party’s ability to acquire control of the Company and Trust;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potential for conflicts of interest to arise between the Company and the boards of directors of its respective businesses;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service our debt obligations;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indebtedness may limit our ability to obtain financing in the future, increase the cost of future borrowings, limit our ability to use operating cash, and increase our vulnerability to adverse economic conditions;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interest rate fluctuations;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potential for conflicts of interest in acquisition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possibility that we may be deemed to be an investment company under the Investment Company Act of 1940, as amended, if we cease to control and operate our businesses in the future;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dependence of some of our businesses on a limited number of customers for a significant percentage of revenue;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lack of long-term customer contracts;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to tariffs and import/export regulations;</w:t>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the impact of the Trust’s tax reclassification;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future changes to tax laws and the potential for the Trust to be taxed at rates higher than expected or for the Trust to fail to realize the anticipated benefits of its tax election;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discretionary and non-cumulative nature of distributions on Series A Preferred Shares;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subordination of our Series A, Series B, and Series C Preferred Shares to our existing and future indebtedness;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potential for members of management to allocate their time to the operations of other businesses;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potential for our Manager, its affiliates, and members of the Company’s management team to engage in activities that compete with us or our businesses;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difficulty in removing our Manager for poor performance;</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ability of our Manager to resign on 180 days’ notice and the possibility that we may be unable to find a suitable replacement in a timely fashion;</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our requirement to pay our Manager base management fees regardless of our performance;</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uncertainty with respect to determining the amount of the management fee that will be paid over time;</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uncertainty with respect to determining the amount of profit allocation that will be paid over time;</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payment of the management fee, fees under offsetting management services agreements, and profit allocation may significantly reduce the amount of earnings and cash available for shareholder distributions;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Manager’s influence and ability to increase its fees;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possibility that our management fees or profit allocation may induce our Manager to make suboptimal operations decisions;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obligation to pay management fees and profit allocation may cause the Company to liquidate assets or incur debt;</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potential material environmental liabilities arising from a subsidiary’s operations and the prior operations of predecessor companies;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potential for products liability and products safety claims against some of our businesses;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cybersecurity-related risks, including system failures, data breaches, and the unauthorized access to and use of our and our customers’ confidential information;</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goodwill impairment;</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disruptions to our business, operations, and supply chains, including as a result of natural disasters, inclement weather, accidents, transportation delays, and other events;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fluctuations in the cost and availability, and the possibility of shortages, of raw materials, components, or whole goods;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our ability to protect and enforce our intellectual property rights;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legal and regulatory environment in which we and our subsidiaries operate, particularly with respect to environmental regulations, products safety regulations, and products liability;</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risks inherent in operating a global business, including political and economic volatility, differing or conflicting cross-jurisdictional requirements, and import/export restrictions; and</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importance of maintaining the value and reputation of our branded consumer businesses.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Our actual results, performance, prospects or opportunities could differ materially from those expressed in or implied by the forward-looking statements. A description of the risks that could cause our actual results to differ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appears under the sections entitled “Risk Factors” and “Management’s Discussion and Analysis of Financial Condition and Results of Operations” in both this Form 10-Q and the 2025 Form 10-K.</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light of these risks, uncertainties and assumptions, you should not place undue reliance on any forward-looking statements. The forward-looking events discussed in this Form 10-Q may not occur. These forward-looking statements are made as of the date of this Form 10-Q. We undertake no obligation to update or revise any forward-looking statements to reflect subsequent events or circumstances, whether as a result of new information, future events or otherwise, except as required by law.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9"/>
        </w:rPr>
      </w:pPr>
      <w:r>
        <w:rPr>
          <w:rFonts w:ascii="Arial;sans-serif" w:hAnsi="Arial;sans-serif"/>
          <w:b/>
          <w:color w:val="000000"/>
          <w:sz w:val="19"/>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COMPASS DIVERSIFIED HOLDINGS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697"/>
        <w:gridCol w:w="2219"/>
        <w:gridCol w:w="2236"/>
        <w:gridCol w:w="109"/>
        <w:gridCol w:w="109"/>
        <w:gridCol w:w="109"/>
        <w:gridCol w:w="196"/>
        <w:gridCol w:w="871"/>
        <w:gridCol w:w="109"/>
        <w:gridCol w:w="109"/>
        <w:gridCol w:w="109"/>
        <w:gridCol w:w="109"/>
        <w:gridCol w:w="196"/>
        <w:gridCol w:w="871"/>
        <w:gridCol w:w="156"/>
      </w:tblGrid>
      <w:tr>
        <w:trPr/>
        <w:tc>
          <w:tcPr>
            <w:tcW w:w="2697"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202,887 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404,102 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from related parties (refer to Note 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Due from unconsolidated affiliate (refer to Note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845,159 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895,421 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892,811 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from unconsolidated affiliate, long-term (refer to Note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170,051 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2,752,438 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3,039,184 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163,265 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Current portion, long-term debt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349,619 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1,839,817 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171,896 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2,145,268 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2,465,521 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(refer to Note 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Trust preferred shares, 50,000 authorized; 20,109 shares issued and outstanding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Series A preferred shares, no par value; 4,678 shares issued and outstanding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Series B preferred shares, no par value; 7,524 shares issued and outstanding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Series C preferred shares, no par value; 7,907 shares issued and outstanding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6"/>
              </w:rPr>
              <w:t>Trust common shares, no par value, 500,000</w:t>
            </w:r>
            <w:r>
              <w:rPr>
                <w:color w:val="000000"/>
                <w:shd w:fill="CCEEFF" w:val="clear"/>
              </w:rPr>
              <w:t xml:space="preserve"> </w:t>
            </w:r>
            <w:r>
              <w:rPr>
                <w:rFonts w:ascii="Arial;sans-serif" w:hAnsi="Arial;sans-serif"/>
                <w:b w:val="false"/>
                <w:color w:val="000000"/>
                <w:sz w:val="16"/>
                <w:shd w:fill="CCEEFF" w:val="clear"/>
              </w:rPr>
              <w:t>authorized; 76,135 shares issued and 75,236 shares outstanding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shares,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Accumulated other comprehensive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(1,306,585)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 attributable to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442,024 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131,639 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573,663 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2,752,438 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3,039,184 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COMPASS DIVERSIFIED HOLDINGS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OPERATIONS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776"/>
        <w:gridCol w:w="1450"/>
        <w:gridCol w:w="1460"/>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77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w:t>
              <w:br/>
              <w:t> June 30,</w:t>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Net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424,042 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478,690 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850,897 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932,465 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270,149 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527,892 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199,963 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208,541 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389,321 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404,573 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266,347 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312,489 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37,898 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46,468 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operating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(23,797)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(69,947)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product division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Decrease in fair value of receivable due from unconsolidated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(63,419)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(110,635)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(80,777)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(130,531)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discontinued operations, net of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(77,972)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(127,682)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Net income (loss) from continuing operations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(46,472)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income (loss) attributable to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(81,210)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Amounts attributable to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(84,059)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discontinued operations,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 attributable to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(81,210)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Basic and diluted income (loss) per common share attributable to Holdings (refer to Note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Basic and diluted income (loss) per common share attributable to Holdings (refer to Note 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Basic and diluted weighted average number of shares of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distributions declared per Trust common share (refer to Note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0.50 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COMPASS DIVERSIFIED HOLDINGS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COMPREHENSIVE INCOME (LOSS)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1789"/>
        <w:gridCol w:w="1544"/>
        <w:gridCol w:w="1503"/>
        <w:gridCol w:w="109"/>
        <w:gridCol w:w="109"/>
        <w:gridCol w:w="109"/>
        <w:gridCol w:w="196"/>
        <w:gridCol w:w="646"/>
        <w:gridCol w:w="109"/>
        <w:gridCol w:w="109"/>
        <w:gridCol w:w="109"/>
        <w:gridCol w:w="109"/>
        <w:gridCol w:w="196"/>
        <w:gridCol w:w="706"/>
        <w:gridCol w:w="109"/>
        <w:gridCol w:w="109"/>
        <w:gridCol w:w="109"/>
        <w:gridCol w:w="109"/>
        <w:gridCol w:w="196"/>
        <w:gridCol w:w="646"/>
        <w:gridCol w:w="109"/>
        <w:gridCol w:w="109"/>
        <w:gridCol w:w="109"/>
        <w:gridCol w:w="109"/>
        <w:gridCol w:w="196"/>
        <w:gridCol w:w="796"/>
        <w:gridCol w:w="156"/>
      </w:tblGrid>
      <w:tr>
        <w:trPr/>
        <w:tc>
          <w:tcPr>
            <w:tcW w:w="1789"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w:t>
              <w:br/>
              <w:t> June 30,</w:t>
            </w:r>
          </w:p>
        </w:tc>
      </w:tr>
      <w:tr>
        <w:trPr/>
        <w:tc>
          <w:tcPr>
            <w:tcW w:w="4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 xml:space="preserve">Net income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(127,682)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Pension benefit liability,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(77,925)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(126,385)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(46,472)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Other comprehensive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 xml:space="preserve">Total comprehensive income (loss) attributable to Holdings, net of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(50,154)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(78,551)</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See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COMPASS DIVERSIFIED HOLDINGS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STOCKHOLDERS' EQUITY</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(Unaudited) </w:t>
      </w:r>
    </w:p>
    <w:tbl>
      <w:tblPr>
        <w:tblW w:w="15650" w:type="dxa"/>
        <w:jc w:val="center"/>
        <w:tblInd w:w="0" w:type="dxa"/>
        <w:tblLayout w:type="fixed"/>
        <w:tblCellMar>
          <w:top w:w="28" w:type="dxa"/>
          <w:left w:w="28" w:type="dxa"/>
          <w:bottom w:w="28" w:type="dxa"/>
          <w:right w:w="28" w:type="dxa"/>
        </w:tblCellMar>
      </w:tblPr>
      <w:tblGrid>
        <w:gridCol w:w="725"/>
        <w:gridCol w:w="291"/>
        <w:gridCol w:w="24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646"/>
        <w:gridCol w:w="109"/>
        <w:gridCol w:w="109"/>
        <w:gridCol w:w="109"/>
        <w:gridCol w:w="109"/>
        <w:gridCol w:w="196"/>
        <w:gridCol w:w="871"/>
        <w:gridCol w:w="109"/>
        <w:gridCol w:w="109"/>
        <w:gridCol w:w="109"/>
        <w:gridCol w:w="109"/>
        <w:gridCol w:w="287"/>
        <w:gridCol w:w="814"/>
        <w:gridCol w:w="160"/>
        <w:gridCol w:w="109"/>
        <w:gridCol w:w="109"/>
        <w:gridCol w:w="109"/>
        <w:gridCol w:w="209"/>
        <w:gridCol w:w="785"/>
        <w:gridCol w:w="117"/>
        <w:gridCol w:w="109"/>
        <w:gridCol w:w="109"/>
        <w:gridCol w:w="109"/>
        <w:gridCol w:w="196"/>
        <w:gridCol w:w="736"/>
        <w:gridCol w:w="109"/>
        <w:gridCol w:w="109"/>
        <w:gridCol w:w="109"/>
        <w:gridCol w:w="109"/>
        <w:gridCol w:w="109"/>
        <w:gridCol w:w="109"/>
        <w:gridCol w:w="109"/>
        <w:gridCol w:w="109"/>
        <w:gridCol w:w="211"/>
        <w:gridCol w:w="793"/>
        <w:gridCol w:w="167"/>
      </w:tblGrid>
      <w:tr>
        <w:trPr/>
        <w:tc>
          <w:tcPr>
            <w:tcW w:w="7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Trust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Trust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Stockholders' Equity Attributable</w:t>
              <w:br/>
              <w:t>to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Non-</w:t>
              <w:br/>
              <w:t>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 April 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680,736 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513,645 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(51,217)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(77,972)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Trust common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Trust preferred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Option activity attributable to noncontrolling shareholders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subsidiary stock option exercise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noncontrolling shareholder interest to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 Trust Common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 Trust Preferred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 June 30,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(1,141,951)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601,880 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(191,150)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410,730 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 April 1,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(1,347,058)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400,705 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530,396 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Option activity attributable to noncontrolling shareholders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subsidiary stock option exercise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noncontrolling shareholder interest to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 of product division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 Trust Preferred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 June 30, 2026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(1,275,684)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472,560 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607,170 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COMPASS DIVERSIFIED HOLDINGS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STOCKHOLDERS' EQUITY</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(Unaudited) </w:t>
      </w:r>
    </w:p>
    <w:tbl>
      <w:tblPr>
        <w:tblW w:w="15650" w:type="dxa"/>
        <w:jc w:val="center"/>
        <w:tblInd w:w="0" w:type="dxa"/>
        <w:tblLayout w:type="fixed"/>
        <w:tblCellMar>
          <w:top w:w="28" w:type="dxa"/>
          <w:left w:w="28" w:type="dxa"/>
          <w:bottom w:w="28" w:type="dxa"/>
          <w:right w:w="28" w:type="dxa"/>
        </w:tblCellMar>
      </w:tblPr>
      <w:tblGrid>
        <w:gridCol w:w="663"/>
        <w:gridCol w:w="320"/>
        <w:gridCol w:w="278"/>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646"/>
        <w:gridCol w:w="109"/>
        <w:gridCol w:w="109"/>
        <w:gridCol w:w="109"/>
        <w:gridCol w:w="109"/>
        <w:gridCol w:w="196"/>
        <w:gridCol w:w="871"/>
        <w:gridCol w:w="109"/>
        <w:gridCol w:w="109"/>
        <w:gridCol w:w="109"/>
        <w:gridCol w:w="109"/>
        <w:gridCol w:w="287"/>
        <w:gridCol w:w="814"/>
        <w:gridCol w:w="160"/>
        <w:gridCol w:w="109"/>
        <w:gridCol w:w="109"/>
        <w:gridCol w:w="109"/>
        <w:gridCol w:w="209"/>
        <w:gridCol w:w="785"/>
        <w:gridCol w:w="117"/>
        <w:gridCol w:w="109"/>
        <w:gridCol w:w="109"/>
        <w:gridCol w:w="109"/>
        <w:gridCol w:w="196"/>
        <w:gridCol w:w="736"/>
        <w:gridCol w:w="109"/>
        <w:gridCol w:w="109"/>
        <w:gridCol w:w="109"/>
        <w:gridCol w:w="109"/>
        <w:gridCol w:w="109"/>
        <w:gridCol w:w="109"/>
        <w:gridCol w:w="109"/>
        <w:gridCol w:w="109"/>
        <w:gridCol w:w="211"/>
        <w:gridCol w:w="793"/>
        <w:gridCol w:w="167"/>
      </w:tblGrid>
      <w:tr>
        <w:trPr/>
        <w:tc>
          <w:tcPr>
            <w:tcW w:w="6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Trust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Trust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Stockholders' Equity Attributable</w:t>
              <w:br/>
              <w:t>to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Non-</w:t>
              <w:br/>
              <w:t>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 January 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678,620 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530,574 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(81,210)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(127,682)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Trust common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Trust preferred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Option activity attributable to noncontrolling shareholders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subsidiary stock option exercise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noncontrolling shareholder interest to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 Trust Common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(37,618)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(37,618)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 Trust Preferred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(18,148)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(18,148)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 June 30,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(1,141,951)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601,880 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(191,150)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410,730 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 January 1,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442,024 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573,663 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loss,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Option activity attributable to noncontrolling shareholders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subsidiary stock option exercise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noncontrolling shareholder interest to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 of product division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 Trust Preferred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(19,429)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(19,429)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 June 30, 2026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(1,275,684)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472,560 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607,170 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07"/>
        <w:gridCol w:w="1699"/>
        <w:gridCol w:w="1709"/>
        <w:gridCol w:w="361"/>
        <w:gridCol w:w="1196"/>
        <w:gridCol w:w="201"/>
        <w:gridCol w:w="201"/>
        <w:gridCol w:w="201"/>
        <w:gridCol w:w="201"/>
        <w:gridCol w:w="361"/>
        <w:gridCol w:w="1490"/>
        <w:gridCol w:w="201"/>
        <w:gridCol w:w="109"/>
        <w:gridCol w:w="109"/>
        <w:gridCol w:w="159"/>
      </w:tblGrid>
      <w:tr>
        <w:trPr/>
        <w:tc>
          <w:tcPr>
            <w:tcW w:w="2007"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82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COMPASS DIVERSIFIED HOLDINGS</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CONDENSED CONSOLIDATED STATEMENTS OF CASH FLOWS </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5"/>
              </w:rPr>
            </w:pPr>
            <w:r>
              <w:rPr>
                <w:rFonts w:ascii="Arial;sans-serif" w:hAnsi="Arial;sans-serif"/>
                <w:b w:val="false"/>
                <w:i/>
                <w:color w:val="000000"/>
                <w:sz w:val="15"/>
              </w:rPr>
              <w:t>(in thousands)</w:t>
            </w:r>
          </w:p>
        </w:tc>
        <w:tc>
          <w:tcPr>
            <w:tcW w:w="17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flows from operating activities:</w:t>
            </w:r>
          </w:p>
        </w:tc>
        <w:tc>
          <w:tcPr>
            <w:tcW w:w="1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Net income (loss)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52,680 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(127,682)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2052"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discontinued operations</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(loss) from continuing operations</w:t>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51,043 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(130,531)</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Adjustments to reconcile net loss to net cash provided by (used in) operating activities:</w:t>
            </w:r>
          </w:p>
        </w:tc>
        <w:tc>
          <w:tcPr>
            <w:tcW w:w="1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Depreciation expense</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22,270 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23,363 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 - intangibles</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45,530 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46,468 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 - inventory step-up</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Amortization of debt issuance costs </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Decrease in fair value of receivable due from unconsolidated affiliate</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Noncontrolling stockholder stock based compensation</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5,839 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8,201 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for receivable and inventory reserves</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income taxes</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(4,125)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3,629 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product division</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(182,342)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sale-leaseback</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(10,234)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(1,897)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Changes in operating assets and liabilities, net of acquisitions:</w:t>
            </w:r>
          </w:p>
        </w:tc>
        <w:tc>
          <w:tcPr>
            <w:tcW w:w="1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receivable</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(1,844)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(12,980)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Inventories</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6,951 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(34,564)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current and non-current assets</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22,990 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payable and accrued expenses</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12,774 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(7,623)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Cash provided by (used in) operating activities </w:t>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53,617 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(64,508)</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2052"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2052"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flows from investing activities:</w:t>
            </w:r>
          </w:p>
        </w:tc>
        <w:tc>
          <w:tcPr>
            <w:tcW w:w="1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Acquisitions, net of cash acquired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Purchases of property and equipment</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(11,343)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(23,983)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sale of businesses</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290,191 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investing activities</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10,279 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Cash provided by (used in) investing activities </w:t>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289,127 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(22,187)</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2052"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2052"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39"/>
        <w:gridCol w:w="1604"/>
        <w:gridCol w:w="1614"/>
        <w:gridCol w:w="419"/>
        <w:gridCol w:w="1385"/>
        <w:gridCol w:w="232"/>
        <w:gridCol w:w="232"/>
        <w:gridCol w:w="232"/>
        <w:gridCol w:w="232"/>
        <w:gridCol w:w="419"/>
        <w:gridCol w:w="1385"/>
        <w:gridCol w:w="232"/>
        <w:gridCol w:w="109"/>
        <w:gridCol w:w="109"/>
        <w:gridCol w:w="162"/>
      </w:tblGrid>
      <w:tr>
        <w:trPr/>
        <w:tc>
          <w:tcPr>
            <w:tcW w:w="1839"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82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COMPASS DIVERSIFIED HOLDINGS</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CONDENSED CONSOLIDATED STATEMENTS OF CASH FLOWS </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5"/>
              </w:rPr>
            </w:pPr>
            <w:r>
              <w:rPr>
                <w:rFonts w:ascii="Arial;sans-serif" w:hAnsi="Arial;sans-serif"/>
                <w:b w:val="false"/>
                <w:i/>
                <w:color w:val="000000"/>
                <w:sz w:val="15"/>
              </w:rPr>
              <w:t>(in thousands)</w:t>
            </w:r>
          </w:p>
        </w:tc>
        <w:tc>
          <w:tcPr>
            <w:tcW w:w="2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flows from financing activities:</w:t>
            </w:r>
          </w:p>
        </w:tc>
        <w:tc>
          <w:tcPr>
            <w:tcW w:w="2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and expenses from issuance of Trust common shares, net</w:t>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and expenses from issuance of Trust preferred shares, net</w:t>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58,998 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Borrowings - revolving credit facility</w:t>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67,000 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73,500 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Repayments - revolving credit facility</w:t>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(65,000)</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(183,500)</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Borrowings - term loan</w:t>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200,000 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Repayments - term loan</w:t>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(292,750)</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Scheduled principal payments - term loan</w:t>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(7,500)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(7,500)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Subsidiary financing arrangements - borrowings</w:t>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27,092 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Subsidiary financing arrangements - repayments</w:t>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(8,360)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common shares</w:t>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(37,618)</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preferred shares</w:t>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(19,429)</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(18,148)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03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36"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03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36"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proceeds provided by noncontrolling shareholders</w:t>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5,140 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03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36"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Purchase of noncontrolling interest</w:t>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(9,895)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(6,468)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03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36"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Debt issuance costs</w:t>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provided by (used in) financing activities</w:t>
            </w:r>
          </w:p>
        </w:tc>
        <w:tc>
          <w:tcPr>
            <w:tcW w:w="1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(322,464)</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98,378 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currency impact on cash</w:t>
            </w:r>
          </w:p>
        </w:tc>
        <w:tc>
          <w:tcPr>
            <w:tcW w:w="1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(852)</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2,415 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increase in cash and cash equivalents</w:t>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19,428 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14,098 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Cash and cash equivalents — beginning of period</w:t>
            </w:r>
            <w:r>
              <w:rPr>
                <w:color w:val="000000"/>
              </w:rPr>
              <w:t xml:space="preserve"> </w:t>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68,015 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59,659 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Cash and cash equivalents — end of period</w:t>
            </w:r>
            <w:r>
              <w:rPr>
                <w:color w:val="000000"/>
              </w:rPr>
              <w:t xml:space="preserve">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87,443 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73,757 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Supplemental Cash Flow Disclosure:</w:t>
            </w:r>
          </w:p>
        </w:tc>
        <w:tc>
          <w:tcPr>
            <w:tcW w:w="2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Non-cash financing activities</w:t>
            </w:r>
            <w:r>
              <w:rPr>
                <w:color w:val="000000"/>
              </w:rPr>
              <w:t xml:space="preserve"> </w:t>
            </w:r>
            <w:r>
              <w:rPr>
                <w:rFonts w:ascii="Arial;sans-serif" w:hAnsi="Arial;sans-serif"/>
                <w:b/>
                <w:color w:val="000000"/>
                <w:sz w:val="13"/>
              </w:rPr>
              <w:t>(1)</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4,534 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color w:val="000000"/>
          <w:sz w:val="13"/>
        </w:rPr>
        <w:t xml:space="preserve">(1) </w:t>
      </w:r>
      <w:r>
        <w:rPr>
          <w:rFonts w:ascii="Arial;sans-serif" w:hAnsi="Arial;sans-serif"/>
          <w:b w:val="false"/>
          <w:color w:val="000000"/>
          <w:sz w:val="18"/>
        </w:rPr>
        <w:t>Represents the non-cash settlement of subsidiary financing arrangements.</w:t>
      </w:r>
    </w:p>
    <w:p>
      <w:pPr>
        <w:pStyle w:val="TextBody"/>
        <w:bidi w:val="0"/>
        <w:spacing w:before="240" w:after="283"/>
        <w:jc w:val="left"/>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June 30, 2026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 xml:space="preserve">Note A - Presentation and Principles of Consolidation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Compass Diversified Holdings, a Delaware statutory trust (the "Trust") and Compass Group Diversified Holdings LLC, a Delaware limited liability company (the "LLC"), were formed to acquire and manage a group of small and middle-market businesses headquartered in North America. Collectively, Compass Diversified Holdings and Compass Group Diversified Holdings, LLC are referred to as the "Company". In accordance with the Third Amended and Restated Trust Agreement, dated as of August 3, 2021 (as further amended and restated, the "Trust Agreement"), the Trust is sole owner of 100% of the Trust Interests (as defined in the LLC’s Sixth Amended and Restated Operating Agreement, dated as of August 3, 2021 (as further amended and restated, the "LLC Agreement")) of the LLC and, pursuant to the LLC Agreement, the LLC has, outstanding, the identical number of Trust Interests as the number of outstanding common shares of the Trust. The LLC is the operating entity with a board of directors and other corporate governance responsibilities, similar to that of a Delaware corporation. The Trust does not have operations independent of acting as the parent company of the LLC. Compass Group Management LLC, a Delaware limited liability Company ("CGM" or the "Manager"), manages the day to day operations of the LLC and oversees the management and operations of our businesses pursuant to a management services agreement (the "Management Services Agreement" or "MSA").</w:t>
      </w:r>
    </w:p>
    <w:p>
      <w:pPr>
        <w:pStyle w:val="TextBody"/>
        <w:bidi w:val="0"/>
        <w:spacing w:lineRule="auto" w:line="288" w:before="180" w:after="283"/>
        <w:jc w:val="both"/>
        <w:rPr/>
      </w:pPr>
      <w:r>
        <w:rPr>
          <w:rFonts w:ascii="Arial;sans-serif" w:hAnsi="Arial;sans-serif"/>
          <w:b w:val="false"/>
          <w:color w:val="000000"/>
          <w:sz w:val="20"/>
        </w:rPr>
        <w:t>The LLC is a controlling owner of eight businesses, or operating segments, at June 30, 2026. The segments are as follows: 5.11 Acquisition Corp. ("5.11"), Boa Holdings Inc. ("BOA"), Relentless Topco, Inc. ("PrimaLoft"), THP Topco, Inc. ("The Honey Pot Co." or "THP"), CBCP Products, LLC ("Velocity Outdoor" or "Velocity"), AMTAC Holdings LLC ("Arnold"), FFI Compass, Inc. ("Altor Solutions" or "Altor"), a</w:t>
      </w:r>
      <w:r>
        <w:rPr>
          <w:rFonts w:ascii="Arial;sans-serif" w:hAnsi="Arial;sans-serif"/>
          <w:b w:val="false"/>
          <w:color w:val="000000"/>
          <w:sz w:val="20"/>
          <w:shd w:fill="FFFFFF" w:val="clear"/>
        </w:rPr>
        <w:t>nd Rimports Holdings, Inc. ("Rimports"). Th</w:t>
      </w:r>
      <w:r>
        <w:rPr>
          <w:rFonts w:ascii="Arial;sans-serif" w:hAnsi="Arial;sans-serif"/>
          <w:b w:val="false"/>
          <w:color w:val="000000"/>
          <w:sz w:val="20"/>
        </w:rPr>
        <w:t xml:space="preserve">e segments are referred to interchangeably as “businesses”, “operating segments” or “subsidiaries” throughout the financial statements. During the second quarter of 2026, the Company completed the sale of Sterno’s food service business. Prior to the sale, Sterno distributed Rimports, its home fragrance business, to its stockholders, and Rimports remained a majority owned subsidiary of the LLC. Accordingly, Rimports is presented as the Company’s operating segment following the distribution, and the results of Sterno’s food service business through the date of sale and Rimports for all periods presented are included in continuing operations. Refer to </w:t>
      </w:r>
      <w:hyperlink w:anchor="i29996918526446a59b54dc1fd0efe432_52">
        <w:r>
          <w:rPr>
            <w:rStyle w:val="InternetLink"/>
            <w:rFonts w:ascii="Arial;sans-serif" w:hAnsi="Arial;sans-serif"/>
            <w:b w:val="false"/>
            <w:color w:val="0000FF"/>
            <w:sz w:val="20"/>
            <w:u w:val="single"/>
          </w:rPr>
          <w:t>Note B - "Dispositions"</w:t>
        </w:r>
      </w:hyperlink>
      <w:r>
        <w:rPr>
          <w:color w:val="000000"/>
        </w:rPr>
        <w:t xml:space="preserve"> </w:t>
      </w:r>
      <w:r>
        <w:rPr>
          <w:rFonts w:ascii="Arial;sans-serif" w:hAnsi="Arial;sans-serif"/>
          <w:b w:val="false"/>
          <w:color w:val="000000"/>
          <w:sz w:val="20"/>
        </w:rPr>
        <w:t xml:space="preserve">for further discussion of the sale of Sterno’s food service business and the Rimports distribution. Refer to </w:t>
      </w:r>
      <w:hyperlink w:anchor="i29996918526446a59b54dc1fd0efe432_94">
        <w:r>
          <w:rPr>
            <w:rStyle w:val="InternetLink"/>
            <w:rFonts w:ascii="Arial;sans-serif" w:hAnsi="Arial;sans-serif"/>
            <w:b w:val="false"/>
            <w:color w:val="0000FF"/>
            <w:sz w:val="20"/>
            <w:u w:val="single"/>
          </w:rPr>
          <w:t>Note O - "Operating Segment Data"</w:t>
        </w:r>
      </w:hyperlink>
      <w:r>
        <w:rPr>
          <w:color w:val="000000"/>
        </w:rPr>
        <w:t xml:space="preserve"> </w:t>
      </w:r>
      <w:r>
        <w:rPr>
          <w:rFonts w:ascii="Arial;sans-serif" w:hAnsi="Arial;sans-serif"/>
          <w:b w:val="false"/>
          <w:color w:val="000000"/>
          <w:sz w:val="20"/>
        </w:rPr>
        <w:t xml:space="preserve">for further discussion of the operating segments. </w:t>
      </w:r>
      <w:r>
        <w:rPr>
          <w:rFonts w:ascii="Arial;sans-serif" w:hAnsi="Arial;sans-serif"/>
          <w:b w:val="false"/>
          <w:color w:val="000000"/>
          <w:sz w:val="20"/>
          <w:shd w:fill="FFFFFF" w:val="clear"/>
        </w:rPr>
        <w:t xml:space="preserve">Lugano Holding, Inc. ("Lugano") was an operating segment of the Company until November 16, 2025 when Lugano was deconsolidated. Refer to </w:t>
      </w:r>
      <w:hyperlink w:anchor="i29996918526446a59b54dc1fd0efe432_52">
        <w:r>
          <w:rPr>
            <w:rStyle w:val="InternetLink"/>
            <w:rFonts w:ascii="Arial;sans-serif" w:hAnsi="Arial;sans-serif"/>
            <w:b w:val="false"/>
            <w:color w:val="0000FF"/>
            <w:sz w:val="20"/>
            <w:u w:val="single"/>
            <w:shd w:fill="FFFFFF" w:val="clear"/>
          </w:rPr>
          <w:t>Note B - "Dispositions"</w:t>
        </w:r>
      </w:hyperlink>
      <w:r>
        <w:rPr>
          <w:color w:val="000000"/>
          <w:shd w:fill="FFFFFF" w:val="clear"/>
        </w:rPr>
        <w:t xml:space="preserve"> </w:t>
      </w:r>
      <w:r>
        <w:rPr>
          <w:rFonts w:ascii="Arial;sans-serif" w:hAnsi="Arial;sans-serif"/>
          <w:b w:val="false"/>
          <w:color w:val="000000"/>
          <w:sz w:val="20"/>
          <w:shd w:fill="FFFFFF" w:val="clear"/>
        </w:rPr>
        <w:t xml:space="preserve">for further discussion of the accounting for Lugano.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Basis of Presentation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condensed consolidated financial statements for the three and six month periods ended June 30, 2026 and June 30, 2025 are unaudited, and in the opinion of management, contain all adjustments necessary for a fair presentation of the condensed consolidated financial statements. Such adjustments consist solely of normal recurring items. Interim results are not necessarily indicative of results for a full year or any subsequent interim period. The condensed consolidated financial statements and notes are prepared in accordance with accounting principles generally accepted in the United States of America ("U.S. GAAP" or "GAAP") and presented as permitted by Form 10-Q and do not contain certain information included in the annual consolidated financial statements and accompanying notes of the Company.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accompanying consolidated financial statements have been prepared on a going concern basis, which assumes the Company will continue to realize its assets and satisfy its liabilities in the ordinary course of business.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Correction of Prior Period Financial Statements</w:t>
      </w:r>
    </w:p>
    <w:p>
      <w:pPr>
        <w:pStyle w:val="TextBody"/>
        <w:bidi w:val="0"/>
        <w:spacing w:lineRule="auto" w:line="288" w:before="120" w:after="283"/>
        <w:jc w:val="both"/>
        <w:rPr/>
      </w:pPr>
      <w:r>
        <w:rPr>
          <w:rFonts w:ascii="Arial;sans-serif" w:hAnsi="Arial;sans-serif"/>
          <w:b w:val="false"/>
          <w:color w:val="000000"/>
          <w:sz w:val="20"/>
        </w:rPr>
        <w:t>During the second quarter ended June 30, 2026, the Company identified an immaterial classification misstatement related to the presentation of the gain of $10.2 million</w:t>
      </w:r>
      <w:r>
        <w:rPr>
          <w:color w:val="000000"/>
        </w:rPr>
        <w:t xml:space="preserve"> </w:t>
      </w:r>
      <w:r>
        <w:rPr>
          <w:rFonts w:ascii="Arial;sans-serif" w:hAnsi="Arial;sans-serif"/>
          <w:b w:val="false"/>
          <w:color w:val="000000"/>
          <w:sz w:val="20"/>
        </w:rPr>
        <w:t xml:space="preserve">recognized in connection with Altor’s January 23, 2026 sale-leaseback transaction, which was previously presented in other income (expense), net in the Company’s Quarterly Report on Form 10-Q for the quarterly period ended March 31, 2026 and corrected to be presented in other operating income within operating expenses in the condensed consolidated statements of operations. The correction reflects management’s determination that the gain is appropriately presented within operating results because the transaction related to Altor’s manufacturing facilities and underlying operating assets. This correction increased previously reported operating income by the amount of the sale-leaseback gain and decreased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income (expense), net by the same amount, with no effect on previously reported income from continuing operations before income taxes, net income, cash flows, or stockholders’ equity.</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Consolidation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condensed consolidated financial statements include the accounts of the Company, as well as the businesses acquired as of their respective acquisition date. All significant intercompany accounts and transactions have been eliminated in consolidation. Businesses or components that meet the criteria for discontinued operations are presented as discontinued operations for all periods presented.</w:t>
      </w:r>
    </w:p>
    <w:p>
      <w:pPr>
        <w:pStyle w:val="TextBody"/>
        <w:bidi w:val="0"/>
        <w:spacing w:lineRule="auto" w:line="288" w:before="120" w:after="283"/>
        <w:jc w:val="both"/>
        <w:rPr>
          <w:rFonts w:ascii="Arial;sans-serif" w:hAnsi="Arial;sans-serif"/>
          <w:b w:val="false"/>
          <w:i/>
          <w:color w:val="000000"/>
          <w:sz w:val="20"/>
          <w:u w:val="single"/>
        </w:rPr>
      </w:pPr>
      <w:r>
        <w:rPr>
          <w:rFonts w:ascii="Arial;sans-serif" w:hAnsi="Arial;sans-serif"/>
          <w:b w:val="false"/>
          <w:i/>
          <w:color w:val="000000"/>
          <w:sz w:val="20"/>
          <w:u w:val="single"/>
        </w:rPr>
        <w:t>Seasonality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results of operations of certain of our operating segments are subject to seasonal fluctuations due to the timing of recurring events, holidays, weather patterns, customer purchasing activity and other industry-specific factors. The impact of seasonality on our consolidated results may vary from period to period based on the relative size, mix and timing of acquisitions, dispositions and changes in the operating performance of our businesses. Historically, our consolidated net sales have generally been higher in the third and fourth quarters of the fiscal year; however, the degree of seasonality has varied in recent years as a result of changes in the composition of our businesses.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Recently Adopted Accounting Pronouncements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Income Taxes (Topic 740): Improvements to Income Tax Disclosures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December 2023, the FASB issued ASU No. 2023-09, Income Taxes (Topic 740): Improvements to Income Tax Disclosures. This guidance will require, among other things, the following for public business entities: (i) enhanced disclosures of specific categories of reconciling items included in the rate reconciliation, as well as additional information for any of these items meeting certain qualitative and quantitative thresholds; (ii) disclosure of the judgment used in categorizing them if not otherwise evident; and (iii) enhanced disclosures for income taxes paid, which includes federal, state, and foreign taxes, as well as for individual jurisdictions over a certain quantitative threshold. The amendments in ASU 2023-09 eliminate the requirement to disclose the nature and estimate of the range of the reasonably possible change in unrecognized tax benefits for the 12 months after the balance sheet date. The guidance is effective for annual periods beginning after December 15, 2024. The Company adopted ASU 2023-09 for the year ended December 31, 2025 and applied the new disclosure requirements prospectively to the 2025 annual period.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Recently Issued Accounting Pronouncements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Disaggregation of Income Statement Expenses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November 2024, the FASB issued ASU No. 2024-03, Income Statement - Reporting Comprehensive Income- Expense Disaggregation Disclosures (Subtopic 220-40). This guidance will require the disclosure of disaggregation of certain relevant expenses presented in the consolidated statements of operations, including inventory purchases, employee compensation, selling expense and depreciation expense. The guidance is effective for our annual period ending December 31, 2027 and interim periods thereafter. The Company is currently evaluating the impact this standard will have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0"/>
          <w:shd w:fill="FFFFFF" w:val="clear"/>
        </w:rPr>
      </w:pPr>
      <w:r>
        <w:rPr>
          <w:rFonts w:ascii="Arial;sans-serif" w:hAnsi="Arial;sans-serif"/>
          <w:b/>
          <w:color w:val="000000"/>
          <w:sz w:val="20"/>
          <w:shd w:fill="FFFFFF" w:val="clear"/>
        </w:rPr>
        <w:t>Note B — Dispositions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Sale of Sterno and Distribution of Rimports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March 28, 2026, the LLC, in its capacity as representative of the holders of common stock of SternoCandleLamp Holdings, Inc. (“Sterno”), a then-majority-owned subsidiary of the LLC, and, for the limited purposes of the Rimports Distribution described below, entered into a definitive Agreement and Plan of Merger (the “Sterno Agreement”) with WCHG Buyer, Inc. (“Parent”), WCHG Heat Merger Sub, Inc. (“Merger Sub”) and Sterno. Pursuant to the Sterno Agreement, Parent agreed to acquire Sterno through the merger of Merger Sub with and into Sterno, with Sterno surviving the merger as a wholly owned subsidiary of Parent.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Immediately prior to the closing of the merger, on April 30, 2026, Sterno completed the distribution of all of the limited liability company interests of its indirect wholly owned subsidiary Rimports, LLC (“Rimports”), which operates Sterno’s home fragrance business, to Rimports Holdings, Inc., the equity of which was, in turn, distributed pro rata to the Sterno stockholders, including the LLC (the “Rimports Distribution”), with Rimports remaining a majority owned subsidiary of the LLC. On May 1, 2026, the parties completed the merger pursuant to the Sterno Agreement, resulting in the sale of Sterno’s food service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purchase consideration for Sterno’s food service business was based on an enterprise value of $292.5 million and was subject to customary adjustments, including for transaction expenses, change-of-control payments, option termination payments and the net working capital, cash and debt balances of Sterno and its subsidiaries, excluding Rimports and its subsidiaries, at closing. Approximately $2.6 million of the closing proceeds were placed in escrow to satisfy post-closing purchase price true-ups, if any.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After allocation of the purchase consideration to Sterno’s noncontrolling stockholders and payment of transaction costs, CODI received approximately $282 million of total proceeds at closing, representing amounts received with respect to the Company’s outstanding loans to Sterno, including accrued interest, and its equity interests in Sterno. The Company used the proceeds received from the sale to repay outstanding borrowings under its senior credit facility.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Rimports Distribution represented a transfer of equity interests between entities under common control because the Company controlled Sterno, inclusive of Rimports, before the distribution and continues to control Rimports after the distribution. Accordingly, the Rimports Distribution was accounted for as a transaction between entities under common control at historical carrying amounts, and no gain or loss was recognized in the Company’s condensed consolidated financial statements as a result of the distribution.</w:t>
      </w:r>
    </w:p>
    <w:p>
      <w:pPr>
        <w:pStyle w:val="TextBody"/>
        <w:bidi w:val="0"/>
        <w:spacing w:lineRule="auto" w:line="288" w:before="120" w:after="283"/>
        <w:jc w:val="both"/>
        <w:rPr/>
      </w:pPr>
      <w:r>
        <w:rPr>
          <w:rFonts w:ascii="Arial;sans-serif" w:hAnsi="Arial;sans-serif"/>
          <w:b w:val="false"/>
          <w:color w:val="000000"/>
          <w:sz w:val="20"/>
        </w:rPr>
        <w:t>As of March 31, 2026, the Company had classified Sterno’s food service business as held for sale. Because the Company retained Rimports following the Rimports Distribution, the assets and liabilities of Rimports were excluded from the held-for-sale disposal group and continued to be presented within the Company’s condensed consolidated balance sheet. Upon completion of the sale on May 1, 2026, the Company deconsolidated Sterno’s food service business and recognized a gain on the sale of approximat</w:t>
      </w:r>
      <w:r>
        <w:rPr>
          <w:rFonts w:ascii="Arial;sans-serif" w:hAnsi="Arial;sans-serif"/>
          <w:b w:val="false"/>
          <w:color w:val="000000"/>
          <w:sz w:val="20"/>
          <w:shd w:fill="FFFFFF" w:val="clear"/>
        </w:rPr>
        <w:t xml:space="preserve">ely </w:t>
      </w:r>
      <w:r>
        <w:rPr>
          <w:rFonts w:ascii="Arial;sans-serif" w:hAnsi="Arial;sans-serif"/>
          <w:b w:val="false"/>
          <w:color w:val="000000"/>
          <w:sz w:val="20"/>
        </w:rPr>
        <w:t>$182.3 million</w:t>
      </w:r>
      <w:r>
        <w:rPr>
          <w:color w:val="000000"/>
          <w:shd w:fill="FFFFFF" w:val="clear"/>
        </w:rPr>
        <w:t xml:space="preserve"> </w:t>
      </w:r>
      <w:r>
        <w:rPr>
          <w:rFonts w:ascii="Arial;sans-serif" w:hAnsi="Arial;sans-serif"/>
          <w:b w:val="false"/>
          <w:color w:val="000000"/>
          <w:sz w:val="20"/>
          <w:shd w:fill="FFFFFF" w:val="clear"/>
        </w:rPr>
        <w:t>wit</w:t>
      </w:r>
      <w:r>
        <w:rPr>
          <w:rFonts w:ascii="Arial;sans-serif" w:hAnsi="Arial;sans-serif"/>
          <w:b w:val="false"/>
          <w:color w:val="000000"/>
          <w:sz w:val="20"/>
        </w:rPr>
        <w:t>hin income from continuing operations during the three months ended June 30, 2026.</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sale did not represent a strategic shift that had, or will have, a major effect on the Company’s operations or financial results and therefore did not qualify for discontinued operations presentation. Accordingly, the results of operations and cash flows of Sterno’s food service business through the date of sale, and Rimports for all periods presented, are included within continuing operations in the Company’s condensed consolidated statements of operations and cash flows.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Summarized results of operations of Sterno for the three and six months ended June 30, 2026 through the date of disposition and the three and six months ended June 30, 2025 are as follows (in thousands):</w:t>
      </w:r>
    </w:p>
    <w:tbl>
      <w:tblPr>
        <w:tblW w:w="10205" w:type="dxa"/>
        <w:jc w:val="center"/>
        <w:tblInd w:w="0" w:type="dxa"/>
        <w:tblLayout w:type="fixed"/>
        <w:tblCellMar>
          <w:top w:w="28" w:type="dxa"/>
          <w:left w:w="28" w:type="dxa"/>
          <w:bottom w:w="28" w:type="dxa"/>
          <w:right w:w="28" w:type="dxa"/>
        </w:tblCellMar>
      </w:tblPr>
      <w:tblGrid>
        <w:gridCol w:w="830"/>
        <w:gridCol w:w="669"/>
        <w:gridCol w:w="672"/>
        <w:gridCol w:w="109"/>
        <w:gridCol w:w="109"/>
        <w:gridCol w:w="109"/>
        <w:gridCol w:w="433"/>
        <w:gridCol w:w="1481"/>
        <w:gridCol w:w="223"/>
        <w:gridCol w:w="109"/>
        <w:gridCol w:w="109"/>
        <w:gridCol w:w="109"/>
        <w:gridCol w:w="274"/>
        <w:gridCol w:w="937"/>
        <w:gridCol w:w="141"/>
        <w:gridCol w:w="455"/>
        <w:gridCol w:w="1557"/>
        <w:gridCol w:w="235"/>
        <w:gridCol w:w="109"/>
        <w:gridCol w:w="109"/>
        <w:gridCol w:w="109"/>
        <w:gridCol w:w="254"/>
        <w:gridCol w:w="870"/>
        <w:gridCol w:w="193"/>
      </w:tblGrid>
      <w:tr>
        <w:trPr/>
        <w:tc>
          <w:tcPr>
            <w:tcW w:w="83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period April 1, 2026 through disposition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w:t>
              <w:br/>
              <w:t> June 30, 2025</w:t>
            </w:r>
          </w:p>
        </w:tc>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period January 1, 2026 through disposition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w:t>
              <w:br/>
              <w:t> June 30, 2025</w:t>
            </w:r>
          </w:p>
        </w:tc>
      </w:tr>
      <w:tr>
        <w:trPr/>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13,424 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41,223 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45,125 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71,546 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22,302 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11,936 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income from operations before income taxes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13"/>
        </w:rPr>
        <w:t xml:space="preserve">(1) </w:t>
      </w:r>
      <w:r>
        <w:rPr>
          <w:rFonts w:ascii="Arial;sans-serif" w:hAnsi="Arial;sans-serif"/>
          <w:b w:val="false"/>
          <w:color w:val="000000"/>
          <w:sz w:val="20"/>
        </w:rPr>
        <w:t>The results of operations for the periods from April 1, 2026 through disposition, January 1, 2026 through disposition, and the three and six months ended June 30, 2025, each exclude $0.3 million and $1.4 million, $2.2 million and $4.5 million, respectively, of intercompany interest expense which is eliminated in consolidation.</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Lugano</w:t>
      </w:r>
    </w:p>
    <w:p>
      <w:pPr>
        <w:pStyle w:val="TextBody"/>
        <w:bidi w:val="0"/>
        <w:spacing w:lineRule="auto" w:line="288" w:before="120" w:after="283"/>
        <w:jc w:val="both"/>
        <w:rPr>
          <w:rFonts w:ascii="Arial;sans-serif" w:hAnsi="Arial;sans-serif"/>
          <w:b w:val="false"/>
          <w:i/>
          <w:color w:val="000000"/>
          <w:sz w:val="20"/>
          <w:u w:val="single"/>
        </w:rPr>
      </w:pPr>
      <w:r>
        <w:rPr>
          <w:rFonts w:ascii="Arial;sans-serif" w:hAnsi="Arial;sans-serif"/>
          <w:b w:val="false"/>
          <w:i/>
          <w:color w:val="000000"/>
          <w:sz w:val="20"/>
          <w:u w:val="single"/>
        </w:rPr>
        <w:t>Deconsolidation</w:t>
      </w:r>
    </w:p>
    <w:p>
      <w:pPr>
        <w:pStyle w:val="TextBody"/>
        <w:bidi w:val="0"/>
        <w:spacing w:lineRule="auto" w:line="288" w:before="120" w:after="283"/>
        <w:jc w:val="both"/>
        <w:rPr/>
      </w:pPr>
      <w:r>
        <w:rPr>
          <w:rFonts w:ascii="Arial;sans-serif" w:hAnsi="Arial;sans-serif"/>
          <w:b w:val="false"/>
          <w:color w:val="000000"/>
          <w:sz w:val="20"/>
        </w:rPr>
        <w:t xml:space="preserve">On November 16, 2025, Lugano and certain of its subsidiaries filed a voluntary Chapter 11 petition under the United States Bankruptcy Code in the United States Bankruptcy Court for the District of Delaware (the “Lugano Bankruptcy”). The Lugano Bankruptcy resulted in the deconsolidation of Lugano as of the date of the bankruptcy filing. The Company retained its equity ownership of Lugano subsequent to the bankruptcy but has neither control </w:t>
      </w:r>
      <w:r>
        <w:rPr>
          <w:rFonts w:ascii="Arial;sans-serif" w:hAnsi="Arial;sans-serif"/>
          <w:b w:val="false"/>
          <w:color w:val="000000"/>
          <w:sz w:val="20"/>
          <w:shd w:fill="FFFFFF" w:val="clear"/>
        </w:rPr>
        <w:t>nor significant influence ov</w:t>
      </w:r>
      <w:r>
        <w:rPr>
          <w:rFonts w:ascii="Arial;sans-serif" w:hAnsi="Arial;sans-serif"/>
          <w:b w:val="false"/>
          <w:color w:val="000000"/>
          <w:sz w:val="20"/>
        </w:rPr>
        <w:t xml:space="preserve">er Lugano due to the bankruptcy filing. The Company elected the fair value option under Accounting Standards Codification ("ASC") 825 - </w:t>
      </w:r>
      <w:r>
        <w:rPr>
          <w:rFonts w:ascii="Arial;sans-serif" w:hAnsi="Arial;sans-serif"/>
          <w:b w:val="false"/>
          <w:i/>
          <w:color w:val="000000"/>
          <w:sz w:val="20"/>
        </w:rPr>
        <w:t>Financial Instruments</w:t>
      </w:r>
      <w:r>
        <w:rPr>
          <w:color w:val="000000"/>
        </w:rPr>
        <w:t xml:space="preserve"> </w:t>
      </w:r>
      <w:r>
        <w:rPr>
          <w:rFonts w:ascii="Arial;sans-serif" w:hAnsi="Arial;sans-serif"/>
          <w:b w:val="false"/>
          <w:color w:val="000000"/>
          <w:sz w:val="20"/>
        </w:rPr>
        <w:t xml:space="preserve">to account for its retained financial interest. Accordingly, the investment is measured at fair value on a recurring basis, with changes in fair value, if any, recognized in earnings each reporting period. As a result of this accounting election, the carrying value of the investment, and the related impact on the Company’s results of operations, may fluctuate from period to period 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val="false"/>
          <w:color w:val="000000"/>
          <w:sz w:val="20"/>
        </w:rPr>
        <w:t>to non</w:t>
        <w:noBreakHyphen/>
        <w:t>cash mark</w:t>
        <w:noBreakHyphen/>
        <w:t>to</w:t>
        <w:noBreakHyphen/>
        <w:t>market adjustments. These fair value adjustments do not impact the Company’s cash flows or liquidity.</w:t>
      </w:r>
      <w:r>
        <w:rPr>
          <w:color w:val="000000"/>
          <w:shd w:fill="FFFFFF" w:val="clear"/>
        </w:rPr>
        <w:t xml:space="preserv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Separately, prior to the bankruptcy filing, the Company had outstanding intercompany indebtedness owed by Lugano (the "Lugano intercompany loan"), including amounts that were secured by certain Lugano assets. Because intercompany balances are eliminated in consolidation, the fair value of intercompany indebtedness owed by Lugano to the Company was recognized upon deconsolidation in accordance with ASC 810. Any expected recovery (or lack thereof) on the secured claim is reflected through the measurement of the receivable/claim due from affiliate (including any impairment or allowance), rather than through the fair value of any retained equity interest. </w:t>
      </w:r>
    </w:p>
    <w:p>
      <w:pPr>
        <w:pStyle w:val="TextBody"/>
        <w:bidi w:val="0"/>
        <w:spacing w:lineRule="auto" w:line="288" w:before="180" w:after="283"/>
        <w:jc w:val="both"/>
        <w:rPr/>
      </w:pPr>
      <w:r>
        <w:rPr>
          <w:rFonts w:ascii="Arial;sans-serif" w:hAnsi="Arial;sans-serif"/>
          <w:b w:val="false"/>
          <w:color w:val="000000"/>
          <w:sz w:val="20"/>
        </w:rPr>
        <w:t>The Company recorded a receivable based on management's estimate of recoveries expected from the Lugano bankruptcy proceedings with respect to the Company’s senior secured receivable/claim against Lugano as of the deconsolidation date, measured using the fair value option under ASC 825. The receivable is remeasured at fair value at each reporting date, and changes in fair value are recognized in earnings in the period in which they occur. During the three months ended June 30, 2026, the estimated fair value of the receivable decreased from $97.0 million to $39.0 million following CODI’s entry on June 24, 2026 into a Settlement Agreement and Mutual Release and a Plan Support Agreement with Lugano, the official committee of unsecured creditors and the other parties thereto. Subject to creditor approval, bankruptcy court confirmation and effectiveness of the proposed Plan of Liquidation, CODI would be entitled to receive 34.79% of specified net inventory, tax-refund and insurance proceeds, 45% of net proceeds from specified litigation against a third party and 25% of net proceeds from certain other litigation claims. The Settlement Agreement will become effective and binding only upon satisfaction or waiver of its conditions, including the effective date of the Plan of Liquidation, and there can be no assurance as to confirmation, effectiveness, timing or the amount of recoveries. These revised recovery amounts and timing assumptions resulted in the $58.0 million decrease in fair value. At June 30, 2026, the receivable due from unconsolidated affiliate was estimated to have a value of $39.0 million, with $19.2 million classified as current and $19.8 million classified as noncurrent in the condensed consolidated balance sheet. At December 31, 2025, the receivable due from unconsolidated affiliate was estimated to have a value of $97.0 million, with $71.0 million classified as current and $26.0 million classified as noncurrent in the condensed consolidated balance sheet. The classification between current and noncurrent is based on management’s estimate of the timing of expected cash receipts from the Lugano bankruptcy proceedings. Refer to "</w:t>
      </w:r>
      <w:hyperlink w:anchor="i29996918526446a59b54dc1fd0efe432_79">
        <w:r>
          <w:rPr>
            <w:rStyle w:val="InternetLink"/>
            <w:rFonts w:ascii="Arial;sans-serif" w:hAnsi="Arial;sans-serif"/>
            <w:b w:val="false"/>
            <w:color w:val="0000FF"/>
            <w:sz w:val="20"/>
            <w:u w:val="single"/>
          </w:rPr>
          <w:t>Note J - Fair Value Measurements</w:t>
        </w:r>
      </w:hyperlink>
      <w:r>
        <w:rPr>
          <w:rFonts w:ascii="Arial;sans-serif" w:hAnsi="Arial;sans-serif"/>
          <w:b w:val="false"/>
          <w:color w:val="000000"/>
          <w:sz w:val="20"/>
        </w:rPr>
        <w:t>" for additional information.</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Lugano's results of operations that are included in the Company's consolidated results of operations for the period from January 1, 2025 through June 30, 2025:</w:t>
      </w:r>
    </w:p>
    <w:tbl>
      <w:tblPr>
        <w:tblW w:w="9457" w:type="dxa"/>
        <w:jc w:val="center"/>
        <w:tblInd w:w="0" w:type="dxa"/>
        <w:tblLayout w:type="fixed"/>
        <w:tblCellMar>
          <w:top w:w="28" w:type="dxa"/>
          <w:left w:w="28" w:type="dxa"/>
          <w:bottom w:w="28" w:type="dxa"/>
          <w:right w:w="28" w:type="dxa"/>
        </w:tblCellMar>
      </w:tblPr>
      <w:tblGrid>
        <w:gridCol w:w="1446"/>
        <w:gridCol w:w="1269"/>
        <w:gridCol w:w="1275"/>
        <w:gridCol w:w="109"/>
        <w:gridCol w:w="109"/>
        <w:gridCol w:w="109"/>
        <w:gridCol w:w="584"/>
        <w:gridCol w:w="2204"/>
        <w:gridCol w:w="301"/>
        <w:gridCol w:w="109"/>
        <w:gridCol w:w="109"/>
        <w:gridCol w:w="109"/>
        <w:gridCol w:w="313"/>
        <w:gridCol w:w="1183"/>
        <w:gridCol w:w="228"/>
      </w:tblGrid>
      <w:tr>
        <w:trPr/>
        <w:tc>
          <w:tcPr>
            <w:tcW w:w="144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w:t>
              <w:br/>
              <w:t> June 30, 2025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26,771 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53,616 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26,624 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(46,782)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(60,441)</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loss from operations before income taxes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(51,879)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(87,929)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(51,879)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(87,673)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13"/>
        </w:rPr>
        <w:t xml:space="preserve">(1) </w:t>
      </w:r>
      <w:r>
        <w:rPr>
          <w:rFonts w:ascii="Arial;sans-serif" w:hAnsi="Arial;sans-serif"/>
          <w:b w:val="false"/>
          <w:color w:val="000000"/>
          <w:sz w:val="20"/>
        </w:rPr>
        <w:t>The results of operations for the three and six months ended June 30, 2025 exclude $16.9 million and $32.8 million, respectively, of intercompany interest expense which is eliminated in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 xml:space="preserve">Note C — Revenue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Company recognizes revenue when a customer obtains control of promised goods or services. The amount of revenue recognized reflects the consideration to which the Company expects to be entitled to receive in exchange for these goods or services, and excludes any sales incentives or taxes collected from customers which are subsequently remitted to government authorities. </w:t>
      </w:r>
    </w:p>
    <w:p>
      <w:pPr>
        <w:pStyle w:val="TextBody"/>
        <w:bidi w:val="0"/>
        <w:spacing w:lineRule="auto" w:line="288" w:before="240" w:after="283"/>
        <w:jc w:val="both"/>
        <w:rPr/>
      </w:pPr>
      <w:r>
        <w:rPr>
          <w:rFonts w:ascii="Arial;sans-serif" w:hAnsi="Arial;sans-serif"/>
          <w:b/>
          <w:i/>
          <w:color w:val="000000"/>
          <w:sz w:val="20"/>
        </w:rPr>
        <w:t xml:space="preserve">Disaggregated Revenue - </w:t>
      </w:r>
      <w:r>
        <w:rPr>
          <w:rFonts w:ascii="Arial;sans-serif" w:hAnsi="Arial;sans-serif"/>
          <w:b w:val="false"/>
          <w:color w:val="000000"/>
          <w:sz w:val="20"/>
        </w:rPr>
        <w:t xml:space="preserve">The Company disaggregates revenue by operating segment and by geography for each strategic business unit which are categories that depict how the nature, amount and uncertainty of revenue and cash flows are affected by economic factors. The disaggregation in the tables below reflects where revenue is earned based on the shipping address of our customers unless otherwise noted. This disaggregation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represents how the Company evaluates its financial performance, as well as how the Company communicates its financial performance to the investors and other users of its financial statements. Each strategic business unit represents one of the Company’s reportable segments and offers different products and services. During the second quarter of 2026, the Company completed the sale of Sterno’s food service business. Prior to the sale, Sterno distributed Rimports, its home fragrance business, to its stockholders, and Rimports remained a majority owned subsidiary of the LLC. Accordingly, the disaggregation of revenue by reportable segment includes the results of Sterno’s food service business through the May 1, 2026 date of sale and the results of Rimports for all periods presented, including the three and six months ended June 30, 2025 and 2026. The results of operations of Lugano are included in the Company's consolidated results of operations for the period from January 1, 2025 through November 16, 2025 and therefore in the disaggregation of revenue by reportable segment in the table below only for the three and six months ended June 30, 2025.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provide disaggregation of revenue by reportable segment geography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583"/>
        <w:gridCol w:w="512"/>
        <w:gridCol w:w="521"/>
        <w:gridCol w:w="214"/>
        <w:gridCol w:w="842"/>
        <w:gridCol w:w="110"/>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318"/>
        <w:gridCol w:w="1089"/>
        <w:gridCol w:w="165"/>
        <w:gridCol w:w="109"/>
        <w:gridCol w:w="109"/>
        <w:gridCol w:w="109"/>
        <w:gridCol w:w="211"/>
        <w:gridCol w:w="826"/>
        <w:gridCol w:w="161"/>
      </w:tblGrid>
      <w:tr>
        <w:trPr/>
        <w:tc>
          <w:tcPr>
            <w:tcW w:w="58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June 30, 2026</w:t>
            </w:r>
          </w:p>
        </w:tc>
      </w:tr>
      <w:tr>
        <w:trPr/>
        <w:tc>
          <w:tcPr>
            <w:tcW w:w="1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Other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5.11</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126,499 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BOA </w:t>
            </w:r>
            <w:r>
              <w:rPr>
                <w:rFonts w:ascii="Arial;sans-serif" w:hAnsi="Arial;sans-serif"/>
                <w:b/>
                <w:color w:val="000000"/>
                <w:sz w:val="13"/>
              </w:rPr>
              <w:t>(1)</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PrimaLoft </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Arnold</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Rimports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298,817 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424,042 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1"/>
        <w:gridCol w:w="490"/>
        <w:gridCol w:w="503"/>
        <w:gridCol w:w="214"/>
        <w:gridCol w:w="841"/>
        <w:gridCol w:w="11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310"/>
        <w:gridCol w:w="1061"/>
        <w:gridCol w:w="161"/>
        <w:gridCol w:w="109"/>
        <w:gridCol w:w="109"/>
        <w:gridCol w:w="109"/>
        <w:gridCol w:w="211"/>
        <w:gridCol w:w="826"/>
        <w:gridCol w:w="159"/>
      </w:tblGrid>
      <w:tr>
        <w:trPr/>
        <w:tc>
          <w:tcPr>
            <w:tcW w:w="56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June 30, 2025</w:t>
            </w:r>
          </w:p>
        </w:tc>
      </w:tr>
      <w:tr>
        <w:trPr/>
        <w:tc>
          <w:tcPr>
            <w:tcW w:w="1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Other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5.11</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104,801 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BOA </w:t>
            </w:r>
            <w:r>
              <w:rPr>
                <w:rFonts w:ascii="Arial;sans-serif" w:hAnsi="Arial;sans-serif"/>
                <w:b/>
                <w:color w:val="000000"/>
                <w:sz w:val="13"/>
              </w:rPr>
              <w:t>(1)</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Lugano </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PrimaLoft </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Arnold</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Sterno</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369,273 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478,690 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38"/>
        <w:gridCol w:w="472"/>
        <w:gridCol w:w="481"/>
        <w:gridCol w:w="214"/>
        <w:gridCol w:w="839"/>
        <w:gridCol w:w="110"/>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302"/>
        <w:gridCol w:w="1033"/>
        <w:gridCol w:w="157"/>
        <w:gridCol w:w="109"/>
        <w:gridCol w:w="109"/>
        <w:gridCol w:w="109"/>
        <w:gridCol w:w="211"/>
        <w:gridCol w:w="826"/>
        <w:gridCol w:w="159"/>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 2026</w:t>
            </w:r>
          </w:p>
        </w:tc>
      </w:tr>
      <w:tr>
        <w:trPr/>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Other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5.11</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198,699 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250,470 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BOA </w:t>
            </w:r>
            <w:r>
              <w:rPr>
                <w:rFonts w:ascii="Arial;sans-serif" w:hAnsi="Arial;sans-serif"/>
                <w:b/>
                <w:color w:val="000000"/>
                <w:sz w:val="13"/>
              </w:rPr>
              <w:t>(1)</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PrimaLoft </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Arnold</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Rimports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623,578 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850,897 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61"/>
        <w:gridCol w:w="490"/>
        <w:gridCol w:w="503"/>
        <w:gridCol w:w="214"/>
        <w:gridCol w:w="841"/>
        <w:gridCol w:w="11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310"/>
        <w:gridCol w:w="1061"/>
        <w:gridCol w:w="161"/>
        <w:gridCol w:w="109"/>
        <w:gridCol w:w="109"/>
        <w:gridCol w:w="109"/>
        <w:gridCol w:w="211"/>
        <w:gridCol w:w="826"/>
        <w:gridCol w:w="159"/>
      </w:tblGrid>
      <w:tr>
        <w:trPr/>
        <w:tc>
          <w:tcPr>
            <w:tcW w:w="56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 2025</w:t>
            </w:r>
          </w:p>
        </w:tc>
      </w:tr>
      <w:tr>
        <w:trPr/>
        <w:tc>
          <w:tcPr>
            <w:tcW w:w="1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Other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5.11</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209,642 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260,812 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BOA </w:t>
            </w:r>
            <w:r>
              <w:rPr>
                <w:rFonts w:ascii="Arial;sans-serif" w:hAnsi="Arial;sans-serif"/>
                <w:b/>
                <w:color w:val="000000"/>
                <w:sz w:val="13"/>
              </w:rPr>
              <w:t>(1)</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Lugano </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PrimaLoft </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Arnold</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Sterno</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715,632 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932,465 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360"/>
        <w:jc w:val="both"/>
        <w:rPr/>
      </w:pPr>
      <w:r>
        <w:rPr>
          <w:rFonts w:ascii="Arial;sans-serif" w:hAnsi="Arial;sans-serif"/>
          <w:b/>
          <w:color w:val="000000"/>
          <w:sz w:val="12"/>
        </w:rPr>
        <w:t>(1)</w:t>
      </w:r>
      <w:r>
        <w:rPr>
          <w:rFonts w:ascii="Arial;sans-serif" w:hAnsi="Arial;sans-serif"/>
          <w:b w:val="false"/>
          <w:color w:val="000000"/>
          <w:sz w:val="20"/>
        </w:rPr>
        <w:t>For BOA, revenue reflects the location of the Brand Partners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D — Property, Plant and Equipment and Inventory</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Property, plant and equipment </w:t>
      </w:r>
    </w:p>
    <w:p>
      <w:pPr>
        <w:pStyle w:val="TextBody"/>
        <w:bidi w:val="0"/>
        <w:spacing w:lineRule="auto" w:line="288" w:before="120" w:after="283"/>
        <w:jc w:val="both"/>
        <w:rPr/>
      </w:pPr>
      <w:r>
        <w:rPr>
          <w:rFonts w:ascii="Arial;sans-serif" w:hAnsi="Arial;sans-serif"/>
          <w:b w:val="false"/>
          <w:color w:val="000000"/>
          <w:sz w:val="20"/>
        </w:rPr>
        <w:t xml:space="preserve">Property, plant and equipment is comprised of the following at June 30, 2026 and December 31, 2025 </w:t>
      </w:r>
      <w:r>
        <w:rPr>
          <w:rFonts w:ascii="Arial;sans-serif" w:hAnsi="Arial;sans-serif"/>
          <w:b w:val="false"/>
          <w:i/>
          <w:color w:val="000000"/>
          <w:sz w:val="20"/>
        </w:rPr>
        <w:t>(in thousands</w:t>
      </w:r>
      <w:r>
        <w:rPr>
          <w:rFonts w:ascii="Arial;sans-serif" w:hAnsi="Arial;sans-serif"/>
          <w:b w:val="false"/>
          <w:color w:val="000000"/>
          <w:sz w:val="20"/>
        </w:rPr>
        <w:t>):</w:t>
      </w:r>
      <w:r>
        <w:rPr>
          <w:color w:val="000000"/>
        </w:rPr>
        <w:t xml:space="preserve"> </w:t>
      </w:r>
    </w:p>
    <w:tbl>
      <w:tblPr>
        <w:tblW w:w="5832" w:type="dxa"/>
        <w:jc w:val="center"/>
        <w:tblInd w:w="0" w:type="dxa"/>
        <w:tblLayout w:type="fixed"/>
        <w:tblCellMar>
          <w:top w:w="28" w:type="dxa"/>
          <w:left w:w="28" w:type="dxa"/>
          <w:bottom w:w="28" w:type="dxa"/>
          <w:right w:w="28" w:type="dxa"/>
        </w:tblCellMar>
      </w:tblPr>
      <w:tblGrid>
        <w:gridCol w:w="984"/>
        <w:gridCol w:w="863"/>
        <w:gridCol w:w="868"/>
        <w:gridCol w:w="215"/>
        <w:gridCol w:w="844"/>
        <w:gridCol w:w="111"/>
        <w:gridCol w:w="109"/>
        <w:gridCol w:w="109"/>
        <w:gridCol w:w="109"/>
        <w:gridCol w:w="287"/>
        <w:gridCol w:w="1124"/>
        <w:gridCol w:w="209"/>
      </w:tblGrid>
      <w:tr>
        <w:trPr/>
        <w:tc>
          <w:tcPr>
            <w:tcW w:w="9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 and equipment</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263,780 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288,698 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Furniture, fixtures and other</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70,452 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Leasehold improvements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99,449 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 and land</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process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22,474 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458,657 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492,878 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(271,928)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(283,136)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186,729 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209,742 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Depreciation expense was $10.4 million and $22.3 million for the three and six months ended June 30, 2026 and $11.1 million and $23.4 million for the three and six months ended June 30,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 xml:space="preserve">Inventory </w:t>
      </w:r>
    </w:p>
    <w:p>
      <w:pPr>
        <w:pStyle w:val="TextBody"/>
        <w:bidi w:val="0"/>
        <w:spacing w:lineRule="auto" w:line="288" w:before="120" w:after="60"/>
        <w:jc w:val="left"/>
        <w:rPr/>
      </w:pPr>
      <w:r>
        <w:rPr>
          <w:rFonts w:ascii="Arial;sans-serif" w:hAnsi="Arial;sans-serif"/>
          <w:b w:val="false"/>
          <w:color w:val="000000"/>
          <w:sz w:val="20"/>
        </w:rPr>
        <w:t xml:space="preserve">Inventory is comprised of the following at June 30, 2026 and December 31, 2025 </w:t>
      </w:r>
      <w:r>
        <w:rPr>
          <w:rFonts w:ascii="Arial;sans-serif" w:hAnsi="Arial;sans-serif"/>
          <w:b w:val="false"/>
          <w:i/>
          <w:color w:val="000000"/>
          <w:sz w:val="20"/>
        </w:rPr>
        <w:t>(in thousands)</w:t>
      </w:r>
      <w:r>
        <w:rPr>
          <w:rFonts w:ascii="Arial;sans-serif" w:hAnsi="Arial;sans-serif"/>
          <w:b w:val="false"/>
          <w:color w:val="000000"/>
          <w:sz w:val="20"/>
        </w:rPr>
        <w:t>:</w:t>
      </w:r>
    </w:p>
    <w:tbl>
      <w:tblPr>
        <w:tblW w:w="5517" w:type="dxa"/>
        <w:jc w:val="center"/>
        <w:tblInd w:w="0" w:type="dxa"/>
        <w:tblLayout w:type="fixed"/>
        <w:tblCellMar>
          <w:top w:w="28" w:type="dxa"/>
          <w:left w:w="28" w:type="dxa"/>
          <w:bottom w:w="28" w:type="dxa"/>
          <w:right w:w="28" w:type="dxa"/>
        </w:tblCellMar>
      </w:tblPr>
      <w:tblGrid>
        <w:gridCol w:w="867"/>
        <w:gridCol w:w="763"/>
        <w:gridCol w:w="770"/>
        <w:gridCol w:w="215"/>
        <w:gridCol w:w="844"/>
        <w:gridCol w:w="111"/>
        <w:gridCol w:w="109"/>
        <w:gridCol w:w="109"/>
        <w:gridCol w:w="109"/>
        <w:gridCol w:w="287"/>
        <w:gridCol w:w="1124"/>
        <w:gridCol w:w="209"/>
      </w:tblGrid>
      <w:tr>
        <w:trPr/>
        <w:tc>
          <w:tcPr>
            <w:tcW w:w="8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Raw materials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65,782 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71,641 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Work-in-process</w:t>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19,442 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16,667 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317,680 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347,196 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obsolescence reserve</w:t>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(27,141)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(31,402)</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375,763 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404,102 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E — Goodwill and Other Intangible Assets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As a result of acquisitions of various businesses, the Company has significant intangible assets on its balance sheet that include goodwill and an indefinite-lived intangible. The Company’s goodwill and indefinite-lived intangibles are tested and reviewed for impairment annually as of March 31st or more frequently if facts and circumstances warrant by comparing the fair value of each reporting unit to its carrying value. Each of the Company’s businesses represent a reporting unit.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Goodwill</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Annual Impairment Testing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uses a qualitative approach to test goodwill and indefinite lived intangible assets for impairment by first assessing qualitative factors to determine whether it is more-likely-than-not that the fair value of a reporting unit is less than its carrying amount as a basis for determining whether it is necessary to perform quantitative goodwill impairment testing.</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2026 Annual Impairment Testing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Company’s annual goodwill impairment test as of March 31, 2026, the Company performed a qualitative assessment of its reporting units with goodwill balances to determine whether it was more-likely-than-not that the fair value of each reporting unit was less than its carrying amount. Based on this assessment, the Company concluded that it was more-likely-than-not that the fair value of each reporting unit exceeded its carrying amount, except the PrimaLoft reporting unit. As a result, the Company performed a quantitative goodwill impairment test for the PrimaLoft reporting unit.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estimated the fair value of the PrimaLoft reporting unit using a combination of the income approach (discounted cash flow method) and the market approach (guideline company multiples). Significant assumptions used in the quantitative test included, among others, projected revenue growth, operating margins, the terminal growth rate and the discount rate, each of which reflects management’s best estimates based on historical performance, current market conditions and expectations of future operating performance. The discount rate used in the income approach was 13.4%. The quantitative test indicated that the fair value of the PrimaLoft reporting unit was less than its carrying amount; accordingly, the Company recorded a goodwill impairment charge of $20.5 million during the three months ended March 31, 2026, which is included in operating income/(loss) in the consolidated statements of operations.</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2025 Annual Impairment Testing</w:t>
      </w:r>
    </w:p>
    <w:p>
      <w:pPr>
        <w:pStyle w:val="TextBody"/>
        <w:bidi w:val="0"/>
        <w:spacing w:lineRule="auto" w:line="288" w:before="120" w:after="283"/>
        <w:jc w:val="both"/>
        <w:rPr/>
      </w:pPr>
      <w:r>
        <w:rPr>
          <w:rFonts w:ascii="Arial;sans-serif" w:hAnsi="Arial;sans-serif"/>
          <w:b w:val="false"/>
          <w:color w:val="000000"/>
          <w:sz w:val="20"/>
          <w:shd w:fill="FFFFFF" w:val="clear"/>
        </w:rPr>
        <w:t>For the Company's annual impairment testing a</w:t>
      </w:r>
      <w:r>
        <w:rPr>
          <w:rFonts w:ascii="Arial;sans-serif" w:hAnsi="Arial;sans-serif"/>
          <w:b w:val="false"/>
          <w:color w:val="000000"/>
          <w:sz w:val="20"/>
        </w:rPr>
        <w:t>t March 31, 2025, the Company performed a qualitative assessment of our reporting units with goodwill balances. The results of the qualitative analysis indicated that it was more-likely-than-not that the fair value of each of the reporting units tested except the PrimaLoft reporting unit exceeded their carrying value. Based on the Company's analysis, the Company determined that the PrimaLoft reporting unit required quantitative testing because we could not conclude that the fair value of this reporting unit significantly exceeded the carrying value based on qualitative factors alone. The Company</w:t>
      </w:r>
      <w:r>
        <w:rPr>
          <w:color w:val="000000"/>
          <w:shd w:fill="FFFFFF" w:val="clear"/>
        </w:rPr>
        <w:t xml:space="preserve"> </w:t>
      </w:r>
      <w:r>
        <w:rPr>
          <w:rFonts w:ascii="Arial;sans-serif" w:hAnsi="Arial;sans-serif"/>
          <w:b w:val="false"/>
          <w:color w:val="000000"/>
          <w:sz w:val="20"/>
          <w:shd w:fill="FFFFFF" w:val="clear"/>
        </w:rPr>
        <w:t>performed a quantitative test of PrimaLoft using an income approach and a market approach to determine the fair value of the PrimaLoft reporting unit. The discount rate used in the income approach was 11.3%. The results of the testing indicated that the fair value of PrimaLoft exceeded the carrying value by 12.1%.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2025 Interim Impairment Testing</w:t>
      </w:r>
    </w:p>
    <w:p>
      <w:pPr>
        <w:pStyle w:val="TextBody"/>
        <w:bidi w:val="0"/>
        <w:spacing w:lineRule="auto" w:line="288" w:before="180" w:after="283"/>
        <w:jc w:val="both"/>
        <w:rPr/>
      </w:pPr>
      <w:r>
        <w:rPr>
          <w:rFonts w:ascii="Arial;sans-serif" w:hAnsi="Arial;sans-serif"/>
          <w:b w:val="false"/>
          <w:color w:val="000000"/>
          <w:sz w:val="20"/>
          <w:u w:val="single"/>
          <w:shd w:fill="FFFFFF" w:val="clear"/>
        </w:rPr>
        <w:t>Arnold</w:t>
      </w:r>
      <w:r>
        <w:rPr>
          <w:color w:val="000000"/>
          <w:shd w:fill="FFFFFF" w:val="clear"/>
        </w:rPr>
        <w:t xml:space="preserve"> </w:t>
      </w:r>
      <w:r>
        <w:rPr>
          <w:rFonts w:ascii="Arial;sans-serif" w:hAnsi="Arial;sans-serif"/>
          <w:b w:val="false"/>
          <w:i/>
          <w:color w:val="000000"/>
          <w:sz w:val="20"/>
          <w:shd w:fill="FFFFFF" w:val="clear"/>
        </w:rPr>
        <w:t xml:space="preserve">- </w:t>
      </w:r>
      <w:r>
        <w:rPr>
          <w:rFonts w:ascii="Arial;sans-serif" w:hAnsi="Arial;sans-serif"/>
          <w:b w:val="false"/>
          <w:color w:val="000000"/>
          <w:sz w:val="20"/>
        </w:rPr>
        <w:t xml:space="preserve">The Company performed an interim impairment test of goodwill at Arnold as of October 31, 2025. During 2025, Arnold was negatively impacted by both production delays related to facility transitions, and supply chain constraints caused by export controls and disruption in the market for rare earth minerals, a key component in certain of Arnold's products. As a result, the operating results of Arnold were below our forecast and prior year results for the business. While Arnold's backlog continued to grow, the production delays and supply chain disruption caused by the export controls led us to determine that a triggering event had occurred. </w:t>
      </w:r>
      <w:r>
        <w:rPr>
          <w:rFonts w:ascii="Arial;sans-serif" w:hAnsi="Arial;sans-serif"/>
          <w:b w:val="false"/>
          <w:color w:val="000000"/>
          <w:sz w:val="20"/>
          <w:shd w:fill="FFFFFF" w:val="clear"/>
        </w:rPr>
        <w:t xml:space="preserve">The Company used an income approach for the impairment test, whereby we estimated the fair value of the reporting unit based on the present value of future cash flows. Cash flow projections are based on management's estimate of revenue growth rates and operating margins and take into consideration industry and market conditions as well as company specific economic factors. The Company used a discount rate of 14.2% in the income approach. The results of the testing indicated that the fair value of Arnold exceeded the carrying value by 77%. </w:t>
      </w:r>
    </w:p>
    <w:p>
      <w:pPr>
        <w:pStyle w:val="TextBody"/>
        <w:bidi w:val="0"/>
        <w:spacing w:lineRule="auto" w:line="288" w:before="240" w:after="283"/>
        <w:jc w:val="both"/>
        <w:rPr/>
      </w:pPr>
      <w:r>
        <w:rPr>
          <w:rFonts w:ascii="Arial;sans-serif" w:hAnsi="Arial;sans-serif"/>
          <w:b w:val="false"/>
          <w:color w:val="000000"/>
          <w:sz w:val="20"/>
        </w:rPr>
        <w:t xml:space="preserve">The following is a summary of the net carrying amount of goodwill at June 30, 2026 and December 31, 2025, </w:t>
      </w:r>
      <w:r>
        <w:rPr>
          <w:rFonts w:ascii="Arial;sans-serif" w:hAnsi="Arial;sans-serif"/>
          <w:b w:val="false"/>
          <w:i/>
          <w:color w:val="000000"/>
          <w:sz w:val="20"/>
        </w:rPr>
        <w:t>(in thousands)</w:t>
      </w:r>
      <w:r>
        <w:rPr>
          <w:rFonts w:ascii="Arial;sans-serif" w:hAnsi="Arial;sans-serif"/>
          <w:b w:val="false"/>
          <w:color w:val="000000"/>
          <w:sz w:val="20"/>
        </w:rPr>
        <w:t>:</w:t>
      </w:r>
    </w:p>
    <w:tbl>
      <w:tblPr>
        <w:tblW w:w="6152" w:type="dxa"/>
        <w:jc w:val="center"/>
        <w:tblInd w:w="0" w:type="dxa"/>
        <w:tblLayout w:type="fixed"/>
        <w:tblCellMar>
          <w:top w:w="28" w:type="dxa"/>
          <w:left w:w="28" w:type="dxa"/>
          <w:bottom w:w="28" w:type="dxa"/>
          <w:right w:w="28" w:type="dxa"/>
        </w:tblCellMar>
      </w:tblPr>
      <w:tblGrid>
        <w:gridCol w:w="1052"/>
        <w:gridCol w:w="927"/>
        <w:gridCol w:w="930"/>
        <w:gridCol w:w="211"/>
        <w:gridCol w:w="976"/>
        <w:gridCol w:w="109"/>
        <w:gridCol w:w="109"/>
        <w:gridCol w:w="109"/>
        <w:gridCol w:w="109"/>
        <w:gridCol w:w="255"/>
        <w:gridCol w:w="1179"/>
        <w:gridCol w:w="186"/>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 gross carrying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shd w:fill="CCEEFF" w:val="clear"/>
              </w:rPr>
            </w:pPr>
            <w:r>
              <w:rPr>
                <w:rFonts w:ascii="Arial;sans-serif" w:hAnsi="Arial;sans-serif"/>
                <w:b w:val="false"/>
                <w:color w:val="000000"/>
                <w:sz w:val="18"/>
                <w:shd w:fill="CCEEFF" w:val="clear"/>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CCEEFF" w:val="clear"/>
              </w:rPr>
            </w:pPr>
            <w:r>
              <w:rPr>
                <w:rFonts w:ascii="Arial;sans-serif" w:hAnsi="Arial;sans-serif"/>
                <w:b w:val="false"/>
                <w:color w:val="000000"/>
                <w:sz w:val="18"/>
                <w:shd w:fill="CCEEFF" w:val="clear"/>
              </w:rPr>
              <w:t>1,006,729 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shd w:fill="CCEEFF" w:val="clear"/>
              </w:rPr>
            </w:pPr>
            <w:r>
              <w:rPr>
                <w:rFonts w:ascii="Arial;sans-serif" w:hAnsi="Arial;sans-serif"/>
                <w:b w:val="false"/>
                <w:color w:val="000000"/>
                <w:sz w:val="18"/>
                <w:shd w:fill="CCEEFF" w:val="clear"/>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CCEEFF" w:val="clear"/>
              </w:rPr>
            </w:pPr>
            <w:r>
              <w:rPr>
                <w:rFonts w:ascii="Arial;sans-serif" w:hAnsi="Arial;sans-serif"/>
                <w:b w:val="false"/>
                <w:color w:val="000000"/>
                <w:sz w:val="18"/>
                <w:shd w:fill="CCEEFF" w:val="clear"/>
              </w:rPr>
              <w:t>1,050,748 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Accumulated impairment losses </w:t>
            </w:r>
            <w:r>
              <w:rPr>
                <w:rFonts w:ascii="Arial;sans-serif" w:hAnsi="Arial;sans-serif"/>
                <w:b/>
                <w:color w:val="000000"/>
                <w:sz w:val="12"/>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(155,327)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 net carrying amount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895,421 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color w:val="000000"/>
          <w:sz w:val="12"/>
          <w:shd w:fill="FFFFFF" w:val="clear"/>
        </w:rPr>
        <w:t>(1)</w:t>
      </w:r>
      <w:r>
        <w:rPr>
          <w:color w:val="000000"/>
          <w:shd w:fill="FFFFFF" w:val="clear"/>
        </w:rPr>
        <w:t xml:space="preserve"> </w:t>
      </w:r>
      <w:r>
        <w:rPr>
          <w:rFonts w:ascii="Arial;sans-serif" w:hAnsi="Arial;sans-serif"/>
          <w:b w:val="false"/>
          <w:color w:val="000000"/>
          <w:sz w:val="20"/>
          <w:shd w:fill="FFFFFF" w:val="clear"/>
        </w:rPr>
        <w:t xml:space="preserve">Comprised of accumulated goodwill impairment expense of $72.7 million at Velocity, $24.9 million at Arnold and $78.3 million at PrimaLoft. </w:t>
      </w:r>
    </w:p>
    <w:p>
      <w:pPr>
        <w:pStyle w:val="TextBody"/>
        <w:bidi w:val="0"/>
        <w:spacing w:lineRule="auto" w:line="288" w:before="300" w:after="283"/>
        <w:jc w:val="both"/>
        <w:rPr/>
      </w:pPr>
      <w:r>
        <w:rPr>
          <w:rFonts w:ascii="Arial;sans-serif" w:hAnsi="Arial;sans-serif"/>
          <w:b w:val="false"/>
          <w:color w:val="000000"/>
          <w:sz w:val="20"/>
        </w:rPr>
        <w:t xml:space="preserve">The following is a reconciliation of the change in the carrying value of goodwill for the six months ended June 30, 2026 by operating segment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571"/>
        <w:gridCol w:w="500"/>
        <w:gridCol w:w="512"/>
        <w:gridCol w:w="109"/>
        <w:gridCol w:w="109"/>
        <w:gridCol w:w="109"/>
        <w:gridCol w:w="382"/>
        <w:gridCol w:w="1500"/>
        <w:gridCol w:w="197"/>
        <w:gridCol w:w="109"/>
        <w:gridCol w:w="109"/>
        <w:gridCol w:w="109"/>
        <w:gridCol w:w="109"/>
        <w:gridCol w:w="109"/>
        <w:gridCol w:w="321"/>
        <w:gridCol w:w="1208"/>
        <w:gridCol w:w="165"/>
        <w:gridCol w:w="109"/>
        <w:gridCol w:w="109"/>
        <w:gridCol w:w="109"/>
        <w:gridCol w:w="109"/>
        <w:gridCol w:w="109"/>
        <w:gridCol w:w="211"/>
        <w:gridCol w:w="789"/>
        <w:gridCol w:w="109"/>
        <w:gridCol w:w="109"/>
        <w:gridCol w:w="109"/>
        <w:gridCol w:w="109"/>
        <w:gridCol w:w="352"/>
        <w:gridCol w:w="1381"/>
        <w:gridCol w:w="263"/>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Balance at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Balance at June 30, 2026</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92,966 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92,966 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254,153 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254,153 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232,536 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212,036 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107,039 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107,039 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114,124 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114,124 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Arnold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39,267 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39,267 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Rimports</w:t>
            </w:r>
            <w:r>
              <w:rPr>
                <w:color w:val="000000"/>
              </w:rPr>
              <w:t xml:space="preserve"> </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55,336 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895,421 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(20,500)</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830,902 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pPr>
      <w:r>
        <w:rPr>
          <w:rFonts w:ascii="Arial;sans-serif" w:hAnsi="Arial;sans-serif"/>
          <w:b/>
          <w:color w:val="000000"/>
          <w:sz w:val="14"/>
        </w:rPr>
        <w:t>(1)</w:t>
      </w:r>
      <w:r>
        <w:rPr>
          <w:color w:val="000000"/>
        </w:rPr>
        <w:t xml:space="preserve"> </w:t>
      </w:r>
      <w:r>
        <w:rPr>
          <w:rFonts w:ascii="Arial;sans-serif" w:hAnsi="Arial;sans-serif"/>
          <w:b w:val="false"/>
          <w:color w:val="000000"/>
          <w:sz w:val="20"/>
          <w:shd w:fill="FFFFFF" w:val="clear"/>
        </w:rPr>
        <w:t>The Sterno food service product division was sold on May 1, 2026. The balance at June 30, 2026 represents the goodwill balance of the Rimports product division that remains after the sale of Sterno.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both"/>
        <w:rPr>
          <w:rFonts w:ascii="Arial;sans-serif" w:hAnsi="Arial;sans-serif"/>
          <w:b/>
          <w:i/>
          <w:color w:val="000000"/>
          <w:sz w:val="20"/>
        </w:rPr>
      </w:pPr>
      <w:r>
        <w:rPr>
          <w:rFonts w:ascii="Arial;sans-serif" w:hAnsi="Arial;sans-serif"/>
          <w:b/>
          <w:i/>
          <w:color w:val="000000"/>
          <w:sz w:val="20"/>
        </w:rPr>
        <w:t>Long lived assets</w:t>
      </w:r>
    </w:p>
    <w:p>
      <w:pPr>
        <w:pStyle w:val="TextBody"/>
        <w:bidi w:val="0"/>
        <w:spacing w:lineRule="auto" w:line="288" w:before="180" w:after="283"/>
        <w:ind w:left="0" w:right="0" w:hanging="360"/>
        <w:jc w:val="both"/>
        <w:rPr/>
      </w:pPr>
      <w:r>
        <w:rPr>
          <w:rFonts w:ascii="Arial;sans-serif" w:hAnsi="Arial;sans-serif"/>
          <w:b w:val="false"/>
          <w:color w:val="000000"/>
          <w:sz w:val="20"/>
        </w:rPr>
        <w:t>Other intangible assets are comprised of the following at June 30, 2026 and December 31, 2025</w:t>
      </w:r>
      <w:r>
        <w:rPr>
          <w:color w:val="000000"/>
        </w:rPr>
        <w:t xml:space="preserve">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544"/>
        <w:gridCol w:w="421"/>
        <w:gridCol w:w="423"/>
        <w:gridCol w:w="210"/>
        <w:gridCol w:w="934"/>
        <w:gridCol w:w="116"/>
        <w:gridCol w:w="109"/>
        <w:gridCol w:w="109"/>
        <w:gridCol w:w="109"/>
        <w:gridCol w:w="216"/>
        <w:gridCol w:w="853"/>
        <w:gridCol w:w="120"/>
        <w:gridCol w:w="109"/>
        <w:gridCol w:w="109"/>
        <w:gridCol w:w="109"/>
        <w:gridCol w:w="210"/>
        <w:gridCol w:w="789"/>
        <w:gridCol w:w="116"/>
        <w:gridCol w:w="109"/>
        <w:gridCol w:w="109"/>
        <w:gridCol w:w="109"/>
        <w:gridCol w:w="210"/>
        <w:gridCol w:w="934"/>
        <w:gridCol w:w="116"/>
        <w:gridCol w:w="109"/>
        <w:gridCol w:w="109"/>
        <w:gridCol w:w="109"/>
        <w:gridCol w:w="216"/>
        <w:gridCol w:w="853"/>
        <w:gridCol w:w="120"/>
        <w:gridCol w:w="109"/>
        <w:gridCol w:w="109"/>
        <w:gridCol w:w="109"/>
        <w:gridCol w:w="209"/>
        <w:gridCol w:w="787"/>
        <w:gridCol w:w="173"/>
      </w:tblGrid>
      <w:tr>
        <w:trPr/>
        <w:tc>
          <w:tcPr>
            <w:tcW w:w="54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Customer relationships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710,654 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(327,624)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383,030 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772,137 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(362,737)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409,400 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Technology and patents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201,756 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(100,188)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101,568 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201,049 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(92,853)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108,196 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Trade names, subject to amortization</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454,298 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(122,094)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332,204 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453,512 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(109,665)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343,847 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Non-compete agreements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(1,530)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contractual intangible assets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1,368,386 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(551,576)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816,810 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1,428,496 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(566,995)</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861,501 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Trade names, not subject to amortization </w:t>
            </w:r>
            <w:r>
              <w:rPr>
                <w:rFonts w:ascii="Arial;sans-serif" w:hAnsi="Arial;sans-serif"/>
                <w:b/>
                <w:color w:val="000000"/>
                <w:sz w:val="11"/>
              </w:rPr>
              <w:t>(1)</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30,810 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In-process research and development </w:t>
            </w:r>
            <w:r>
              <w:rPr>
                <w:rFonts w:ascii="Arial;sans-serif" w:hAnsi="Arial;sans-serif"/>
                <w:b/>
                <w:color w:val="000000"/>
                <w:sz w:val="11"/>
              </w:rPr>
              <w:t>(2)</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intangibles, net</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1,368,886 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(551,576)</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817,310 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1,459,806 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(566,995)</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892,811 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color w:val="000000"/>
          <w:sz w:val="13"/>
        </w:rPr>
        <w:t>(1)</w:t>
      </w:r>
      <w:r>
        <w:rPr>
          <w:color w:val="000000"/>
        </w:rPr>
        <w:t xml:space="preserve"> </w:t>
      </w:r>
      <w:r>
        <w:rPr>
          <w:rFonts w:ascii="Arial;sans-serif" w:hAnsi="Arial;sans-serif"/>
          <w:b w:val="false"/>
          <w:color w:val="000000"/>
          <w:sz w:val="20"/>
        </w:rPr>
        <w:t xml:space="preserve">Represents the indefinite-lived trade name related to the Sterno operating segment that was sold in May 2026. </w:t>
      </w:r>
    </w:p>
    <w:p>
      <w:pPr>
        <w:pStyle w:val="TextBody"/>
        <w:bidi w:val="0"/>
        <w:spacing w:lineRule="auto" w:line="288" w:before="240" w:after="283"/>
        <w:jc w:val="both"/>
        <w:rPr/>
      </w:pPr>
      <w:r>
        <w:rPr>
          <w:rFonts w:ascii="Arial;sans-serif" w:hAnsi="Arial;sans-serif"/>
          <w:b/>
          <w:color w:val="000000"/>
          <w:sz w:val="13"/>
        </w:rPr>
        <w:t xml:space="preserve">(2) </w:t>
      </w:r>
      <w:r>
        <w:rPr>
          <w:rFonts w:ascii="Arial;sans-serif" w:hAnsi="Arial;sans-serif"/>
          <w:b w:val="false"/>
          <w:color w:val="000000"/>
          <w:sz w:val="20"/>
        </w:rPr>
        <w:t xml:space="preserve">In-process research and development is considered indefinite-lived until the underlying technology becomes viable, at which point the intangible asset will be amortized over the expected useful life. </w:t>
      </w:r>
    </w:p>
    <w:p>
      <w:pPr>
        <w:pStyle w:val="TextBody"/>
        <w:bidi w:val="0"/>
        <w:spacing w:lineRule="auto" w:line="288" w:before="240" w:after="283"/>
        <w:jc w:val="both"/>
        <w:rPr/>
      </w:pPr>
      <w:r>
        <w:rPr>
          <w:rFonts w:ascii="Arial;sans-serif" w:hAnsi="Arial;sans-serif"/>
          <w:b w:val="false"/>
          <w:color w:val="000000"/>
          <w:sz w:val="20"/>
        </w:rPr>
        <w:t>Amortization expense related to intangible assets was $22.7 million</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$45.5 million for the three and six</w:t>
      </w:r>
      <w:r>
        <w:rPr>
          <w:color w:val="000000"/>
        </w:rPr>
        <w:t xml:space="preserve"> </w:t>
      </w:r>
      <w:r>
        <w:rPr>
          <w:rFonts w:ascii="Arial;sans-serif" w:hAnsi="Arial;sans-serif"/>
          <w:b w:val="false"/>
          <w:color w:val="000000"/>
          <w:sz w:val="20"/>
        </w:rPr>
        <w:t>months ended June 30, 2026 and $23.1 million</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$46.5 million for the three and six</w:t>
      </w:r>
      <w:r>
        <w:rPr>
          <w:color w:val="000000"/>
        </w:rPr>
        <w:t xml:space="preserve"> </w:t>
      </w:r>
      <w:r>
        <w:rPr>
          <w:rFonts w:ascii="Arial;sans-serif" w:hAnsi="Arial;sans-serif"/>
          <w:b w:val="false"/>
          <w:color w:val="000000"/>
          <w:sz w:val="20"/>
        </w:rPr>
        <w:t>months ended June 30, 2025, respectively.</w:t>
      </w:r>
    </w:p>
    <w:p>
      <w:pPr>
        <w:pStyle w:val="TextBody"/>
        <w:bidi w:val="0"/>
        <w:spacing w:lineRule="auto" w:line="288" w:before="240" w:after="283"/>
        <w:jc w:val="both"/>
        <w:rPr/>
      </w:pPr>
      <w:r>
        <w:rPr>
          <w:rFonts w:ascii="Arial;sans-serif" w:hAnsi="Arial;sans-serif"/>
          <w:b w:val="false"/>
          <w:color w:val="000000"/>
          <w:sz w:val="20"/>
        </w:rPr>
        <w:t xml:space="preserve">Estimated charges to amortization expense of intangible assets for the remainder of 2026 and the next four years, are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7118" w:type="dxa"/>
        <w:jc w:val="center"/>
        <w:tblInd w:w="0" w:type="dxa"/>
        <w:tblLayout w:type="fixed"/>
        <w:tblCellMar>
          <w:top w:w="28" w:type="dxa"/>
          <w:left w:w="28" w:type="dxa"/>
          <w:bottom w:w="28" w:type="dxa"/>
          <w:right w:w="28" w:type="dxa"/>
        </w:tblCellMar>
      </w:tblPr>
      <w:tblGrid>
        <w:gridCol w:w="226"/>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09"/>
        <w:gridCol w:w="154"/>
      </w:tblGrid>
      <w:tr>
        <w:trPr/>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Interim long-lived asset impairment testing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Lugano - As a result of the preliminary findings of the Lugano Investigation, the Company determined that a triggering event had occurred in the second quarter of 2025 and tested the long-lived assets of Lugano for impairment. The long-lived assets at Lugano were comprised of a tradename intangible asset, property, plant and equipment and right-of-use lease assets. The long-lived assets were assessed as definite lived assets to be held and used as of the impairment testing in the second quarter. The assessment of the recoverability of the carrying value of the Lugano assets resulted in an impairment loss of $29.5 million related to property, plant and equipment and $1.9 million related to right-of-use assets as of June 30, 2025. The impairment of the property, plant and equipment reflects the amount by which the carrying value of these assets exceed their estimated fair value, with fair value determined primarily through a market comparison method. The right-of-use asset related to a retail salon in Toronto, Canada. At the time of the triggering event, the Toronto retail salon had not yet opened and the Company's assessment determined that given the findings of the Lugano Investigation, it was unlikely that the Toronto salon would open in the near term. The impairment test for right-of-use assets involves comparing the right-of-use asset's carrying value to the undiscounted cash flows expected from its future use. Given the expectation that the Toronto retail salon would not open, no cash flows were expected from its future use and an impairment loss was recognized for the entire balance of the right-of-use asset associated with the Toronto salon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 xml:space="preserve">Note F — Warranties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Company’s BOA and Velocity Outdoor operating segments estimate their exposure to warranty claims based on both current and historical product sales data and warranty costs incurred. The Company assesses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val="false"/>
          <w:color w:val="000000"/>
          <w:sz w:val="20"/>
        </w:rPr>
        <w:t>adequacy of its recorded warranty liability quarterly and adjusts the amount as necessary. Warranty liability is included in accrued expenses in the accompanying consolidated balance sheets. A reconciliation of the change in the carrying value of the Company’s warranty liability for the six months ended June 30, 2026 and the year ended December 31, 2025 is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9595" w:type="dxa"/>
        <w:jc w:val="center"/>
        <w:tblInd w:w="0" w:type="dxa"/>
        <w:tblLayout w:type="fixed"/>
        <w:tblCellMar>
          <w:top w:w="28" w:type="dxa"/>
          <w:left w:w="28" w:type="dxa"/>
          <w:bottom w:w="28" w:type="dxa"/>
          <w:right w:w="28" w:type="dxa"/>
        </w:tblCellMar>
      </w:tblPr>
      <w:tblGrid>
        <w:gridCol w:w="1472"/>
        <w:gridCol w:w="1294"/>
        <w:gridCol w:w="1299"/>
        <w:gridCol w:w="598"/>
        <w:gridCol w:w="1747"/>
        <w:gridCol w:w="309"/>
        <w:gridCol w:w="109"/>
        <w:gridCol w:w="109"/>
        <w:gridCol w:w="109"/>
        <w:gridCol w:w="548"/>
        <w:gridCol w:w="1601"/>
        <w:gridCol w:w="400"/>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Warranty liability</w:t>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 2025</w:t>
            </w:r>
          </w:p>
        </w:tc>
      </w:tr>
      <w:tr>
        <w:trPr/>
        <w:tc>
          <w:tcPr>
            <w:tcW w:w="4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warranties issued during the period</w:t>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2,399 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Fulfillment of warranty obligations</w:t>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9"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1,338 </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1,293 </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2"/>
          <w:shd w:fill="FFFFFF" w:val="clear"/>
        </w:rPr>
      </w:pPr>
      <w:r>
        <w:rPr>
          <w:rFonts w:ascii="Arial;sans-serif" w:hAnsi="Arial;sans-serif"/>
          <w:b/>
          <w:color w:val="000000"/>
          <w:sz w:val="22"/>
          <w:shd w:fill="FFFFFF" w:val="clear"/>
        </w:rPr>
        <w:t>Note G — Debt</w:t>
      </w:r>
    </w:p>
    <w:p>
      <w:pPr>
        <w:pStyle w:val="TextBody"/>
        <w:bidi w:val="0"/>
        <w:spacing w:lineRule="auto" w:line="288" w:before="180" w:after="283"/>
        <w:jc w:val="both"/>
        <w:rPr/>
      </w:pPr>
      <w:r>
        <w:rPr>
          <w:rFonts w:ascii="Arial;sans-serif" w:hAnsi="Arial;sans-serif"/>
          <w:b w:val="false"/>
          <w:i/>
          <w:color w:val="000000"/>
          <w:sz w:val="20"/>
        </w:rPr>
        <w:t xml:space="preserve">2022 Credit </w:t>
      </w:r>
      <w:r>
        <w:rPr>
          <w:rFonts w:ascii="Arial;sans-serif" w:hAnsi="Arial;sans-serif"/>
          <w:b w:val="false"/>
          <w:i/>
          <w:color w:val="000000"/>
          <w:sz w:val="20"/>
          <w:shd w:fill="FFFFFF" w:val="clear"/>
        </w:rPr>
        <w:t>Facility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LLC is party to a Third Amended and Restated Credit Agreement, dated July 12, 2022, as amended from time to time, which we refer to as the “2022 Credit Facility.” As of June 30, 2026, the 2022 Credit Facility provided for revolving loans, swing line loans and letters of credit in an aggregate amount of up to $100.0 million, and term loans with an aggregate principal amount of $252.3 million outstanding. At June 30, 2026, there were $2.0 million of revolving borrowings and approximately $0.8 million of outstanding letters of credit under the 2022 Credit Facility, resulting in net availability of approximately $97.2 million. Amounts outstanding under the 2022 Credit Facility mature on July 12, 2027.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Borrowings bear interest at either a base rate or Term SOFR, plus an applicable margin based on the Company’s Consolidated Total Leverage Ratio, which applicable margin ranges from 0.50% to 2.25% for borrowings bearing interest based on the base rate and from 1.50% to 3.25% for borrowings bearing interest based on Term SOFR. The 2022 Credit Facility is secured by substantially all assets of the Company, including equity interests in, and loans to, its consolidated subsidiaries, and contains customary affirmative and negative covenants, financial covenants, restrictions on certain restricted payments and management fee payments, enhanced reporting requirements, and requirements to use net cash proceeds from certain dispositions and deleveraging transactions to repay indebtedness. In addition, on December 19, 2025, the LLC entered into a Fifth Amendment to the 2022 Credit Facility (the “Fifth Amendment”) and a related transaction letter (the “Transaction Letter”). Under the Transaction Letter, the applicable milestone fee is waived for a specific quarter if either the Consolidated Total Leverage Ratio is not greater than 4.50:1.00 or the Consolidated Senior Secured Leverage Ratio is not greater than 1:00:1:00. The milestone fees for the fiscal quarters ending June 30, 2026, September 30, 2026, December 31, 2026 and March 31, 2027, are $5.0 million, $6.5 million, $8.0 million and $9.5 million, respectively, subject to the terms and conditions of the Transaction Letter. At June 30, 2026, the Consolidated Senior Secured Leverage Ratio was 0.66:1.00. Accordingly, no milestone fee was payable for the quarter ended June 30, 2026. </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Senior Notes</w:t>
      </w:r>
    </w:p>
    <w:p>
      <w:pPr>
        <w:pStyle w:val="TextBody"/>
        <w:bidi w:val="0"/>
        <w:spacing w:lineRule="auto" w:line="288" w:before="120" w:after="283"/>
        <w:jc w:val="both"/>
        <w:rPr/>
      </w:pPr>
      <w:r>
        <w:rPr>
          <w:rFonts w:ascii="Arial;sans-serif" w:hAnsi="Arial;sans-serif"/>
          <w:b w:val="false"/>
          <w:color w:val="000000"/>
          <w:sz w:val="20"/>
        </w:rPr>
        <w:t xml:space="preserve">The Company has outstanding </w:t>
      </w:r>
      <w:r>
        <w:rPr>
          <w:rFonts w:ascii="Arial;sans-serif" w:hAnsi="Arial;sans-serif"/>
          <w:b w:val="false"/>
          <w:color w:val="000000"/>
          <w:sz w:val="20"/>
          <w:shd w:fill="FFFFFF" w:val="clear"/>
        </w:rPr>
        <w:t>$1,029.4 million</w:t>
      </w:r>
      <w:r>
        <w:rPr>
          <w:color w:val="000000"/>
        </w:rPr>
        <w:t xml:space="preserve"> </w:t>
      </w:r>
      <w:r>
        <w:rPr>
          <w:rFonts w:ascii="Arial;sans-serif" w:hAnsi="Arial;sans-serif"/>
          <w:b w:val="false"/>
          <w:color w:val="000000"/>
          <w:sz w:val="20"/>
        </w:rPr>
        <w:t xml:space="preserve">aggregate principal amount of 5.250% Senior Notes due April 15, 2029 (the “2029 Senior Notes”) and </w:t>
      </w:r>
      <w:r>
        <w:rPr>
          <w:rFonts w:ascii="Arial;sans-serif" w:hAnsi="Arial;sans-serif"/>
          <w:b w:val="false"/>
          <w:color w:val="000000"/>
          <w:sz w:val="20"/>
          <w:shd w:fill="FFFFFF" w:val="clear"/>
        </w:rPr>
        <w:t>$308.8 million</w:t>
      </w:r>
      <w:r>
        <w:rPr>
          <w:color w:val="000000"/>
        </w:rPr>
        <w:t xml:space="preserve"> </w:t>
      </w:r>
      <w:r>
        <w:rPr>
          <w:rFonts w:ascii="Arial;sans-serif" w:hAnsi="Arial;sans-serif"/>
          <w:b w:val="false"/>
          <w:color w:val="000000"/>
          <w:sz w:val="20"/>
        </w:rPr>
        <w:t xml:space="preserve">aggregate principal amount of 5.000% Senior Notes due January 15, 2032 (the “2032 Senior Notes”), which we refer to collectively as the “Senior Notes.” Interest on the 2029 Senior Notes is payable in cash semi-annually on April 15 and October 15 of each year, and interest on the 2032 Senior Notes is payable in cash semi-annually on January 15 and July 15 of each year. The outstanding principal amounts of the Senior Notes reflect paid-in-kind payments made in 2025 in connection with an indenture forbearance arrangement which was described in detail in the 2025 Form 10-K.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Senior Notes rank equal in right of payment with all of the Company’s existing and future senior unsecured indebtedness and senior in right of payment to all of the Company’s future subordinated indebtedness, if any. The Senior Notes are effectively subordinated to the Company’s existing and future secured indebtedness, including indebtedness under the 2022 Credit Facility, to the extent of the value of the assets securing such indebtedness. The indentures governing the Senior Notes contain customary restrictive covenants, subject to certain exceptions, including limitations on the incurrence of additional indebtedness, restricted payments, transactions with affiliates, asset sales, mergers and consolidations, subsidiary guarantees, liens, sale-leaseback transactions and certain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Lugano Financing Arrangements</w:t>
      </w:r>
    </w:p>
    <w:p>
      <w:pPr>
        <w:pStyle w:val="TextBody"/>
        <w:bidi w:val="0"/>
        <w:spacing w:lineRule="auto" w:line="288" w:before="180" w:after="283"/>
        <w:jc w:val="both"/>
        <w:rPr/>
      </w:pPr>
      <w:r>
        <w:rPr>
          <w:rFonts w:ascii="Arial;sans-serif" w:hAnsi="Arial;sans-serif"/>
          <w:b w:val="false"/>
          <w:color w:val="000000"/>
          <w:sz w:val="20"/>
        </w:rPr>
        <w:t xml:space="preserve">Lugano entered into various financing arrangements with third parties </w:t>
      </w:r>
      <w:r>
        <w:rPr>
          <w:rFonts w:ascii="Arial;sans-serif" w:hAnsi="Arial;sans-serif"/>
          <w:b w:val="false"/>
          <w:color w:val="000000"/>
          <w:sz w:val="20"/>
          <w:shd w:fill="FFFFFF" w:val="clear"/>
        </w:rPr>
        <w:t>that</w:t>
      </w:r>
      <w:r>
        <w:rPr>
          <w:color w:val="000000"/>
        </w:rPr>
        <w:t xml:space="preserve"> </w:t>
      </w:r>
      <w:r>
        <w:rPr>
          <w:rFonts w:ascii="Arial;sans-serif" w:hAnsi="Arial;sans-serif"/>
          <w:b w:val="false"/>
          <w:color w:val="000000"/>
          <w:sz w:val="20"/>
        </w:rPr>
        <w:t>were not recorded in the financial statements of Lugano as debt. In connection with the Lugano Investigation, the Company determined that the inventory and sales transactions recorded in connection with these financing agreements were invalid because they were inconsistent with the underlying substance of the agreements. These financing arrangements represented debt and the financing arrangements and related interest expense were recorded in the consolidated financial statements. Interest expense was determined based on documentation related to the underlying arrangement or, when no documentation existed related to the financing arrangement, imputed based on various factors associated with the arrangement. Lugano recorded $15.8 million in interest expense in the six months ended June 30, 2025 related to these financing arrangements which is included in interest expense in the consolidated statement of operations.</w:t>
      </w:r>
    </w:p>
    <w:p>
      <w:pPr>
        <w:pStyle w:val="TextBody"/>
        <w:bidi w:val="0"/>
        <w:spacing w:lineRule="auto" w:line="240" w:before="180" w:after="60"/>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Covenants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is subject to customary affirmative and restrictive covenants under the 2022 Credit Facility, including financial maintenance covenants. The following table reflects the financial covenant requirements and actual ratios as of June 30, 2026 under the 2022 Credit Facility, as amended by the Fifth Amendment:</w:t>
      </w:r>
    </w:p>
    <w:tbl>
      <w:tblPr>
        <w:tblW w:w="7732" w:type="dxa"/>
        <w:jc w:val="center"/>
        <w:tblInd w:w="0" w:type="dxa"/>
        <w:tblLayout w:type="fixed"/>
        <w:tblCellMar>
          <w:top w:w="28" w:type="dxa"/>
          <w:left w:w="28" w:type="dxa"/>
          <w:bottom w:w="28" w:type="dxa"/>
          <w:right w:w="28" w:type="dxa"/>
        </w:tblCellMar>
      </w:tblPr>
      <w:tblGrid>
        <w:gridCol w:w="1227"/>
        <w:gridCol w:w="1080"/>
        <w:gridCol w:w="1083"/>
        <w:gridCol w:w="109"/>
        <w:gridCol w:w="109"/>
        <w:gridCol w:w="109"/>
        <w:gridCol w:w="854"/>
        <w:gridCol w:w="854"/>
        <w:gridCol w:w="856"/>
        <w:gridCol w:w="109"/>
        <w:gridCol w:w="109"/>
        <w:gridCol w:w="109"/>
        <w:gridCol w:w="328"/>
        <w:gridCol w:w="328"/>
        <w:gridCol w:w="468"/>
      </w:tblGrid>
      <w:tr>
        <w:trPr/>
        <w:tc>
          <w:tcPr>
            <w:tcW w:w="122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Description of Required Covenant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Covenant Ratio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Actual Ratio</w:t>
            </w:r>
          </w:p>
        </w:tc>
      </w:tr>
      <w:tr>
        <w:trPr/>
        <w:tc>
          <w:tcPr>
            <w:tcW w:w="3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Consolidated Fixed Charge Coverage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Greater than or equal to 1.00:1.00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7"/>
              </w:rPr>
            </w:pPr>
            <w:r>
              <w:rPr>
                <w:rFonts w:ascii="Arial;sans-serif" w:hAnsi="Arial;sans-serif"/>
                <w:b w:val="false"/>
                <w:color w:val="000000"/>
                <w:sz w:val="17"/>
              </w:rPr>
              <w:t>1.60:1:00</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Consolidated Senior Secured Leverage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than or equal to 2.50: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7"/>
              </w:rPr>
            </w:pPr>
            <w:r>
              <w:rPr>
                <w:rFonts w:ascii="Arial;sans-serif" w:hAnsi="Arial;sans-serif"/>
                <w:b w:val="false"/>
                <w:color w:val="000000"/>
                <w:sz w:val="17"/>
              </w:rPr>
              <w:t>0.66:1:00</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Consolidated Total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than or equal to 5.75: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7"/>
              </w:rPr>
            </w:pPr>
            <w:r>
              <w:rPr>
                <w:rFonts w:ascii="Arial;sans-serif" w:hAnsi="Arial;sans-serif"/>
                <w:b w:val="false"/>
                <w:color w:val="000000"/>
                <w:sz w:val="17"/>
              </w:rPr>
              <w:t>4.82:1:00</w:t>
            </w:r>
          </w:p>
        </w:tc>
      </w:tr>
    </w:tbl>
    <w:p>
      <w:pPr>
        <w:pStyle w:val="TextBody"/>
        <w:bidi w:val="0"/>
        <w:spacing w:lineRule="auto" w:line="288" w:before="180" w:after="60"/>
        <w:jc w:val="both"/>
        <w:rPr/>
      </w:pPr>
      <w:r>
        <w:rPr>
          <w:rFonts w:ascii="Arial;sans-serif" w:hAnsi="Arial;sans-serif"/>
          <w:b w:val="false"/>
          <w:color w:val="000000"/>
          <w:sz w:val="20"/>
        </w:rPr>
        <w:t xml:space="preserve">The following table provides the Company’s outstanding long-term debt and effective interest rates at June 30, 2026 and December 31, 2025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259"/>
        <w:gridCol w:w="1055"/>
        <w:gridCol w:w="1068"/>
        <w:gridCol w:w="573"/>
        <w:gridCol w:w="573"/>
        <w:gridCol w:w="575"/>
        <w:gridCol w:w="109"/>
        <w:gridCol w:w="109"/>
        <w:gridCol w:w="109"/>
        <w:gridCol w:w="196"/>
        <w:gridCol w:w="871"/>
        <w:gridCol w:w="109"/>
        <w:gridCol w:w="109"/>
        <w:gridCol w:w="109"/>
        <w:gridCol w:w="109"/>
        <w:gridCol w:w="573"/>
        <w:gridCol w:w="573"/>
        <w:gridCol w:w="575"/>
        <w:gridCol w:w="109"/>
        <w:gridCol w:w="109"/>
        <w:gridCol w:w="109"/>
        <w:gridCol w:w="196"/>
        <w:gridCol w:w="871"/>
        <w:gridCol w:w="157"/>
      </w:tblGrid>
      <w:tr>
        <w:trPr/>
        <w:tc>
          <w:tcPr>
            <w:tcW w:w="125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rPr/>
        <w:tc>
          <w:tcPr>
            <w:tcW w:w="3382"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599" w:type="dxa"/>
            <w:gridSpan w:val="12"/>
            <w:tcBorders/>
          </w:tcPr>
          <w:p>
            <w:pPr>
              <w:pStyle w:val="TableContents"/>
              <w:bidi w:val="0"/>
              <w:spacing w:before="0" w:after="283"/>
              <w:jc w:val="left"/>
              <w:rPr>
                <w:sz w:val="4"/>
                <w:szCs w:val="4"/>
              </w:rPr>
            </w:pPr>
            <w:r>
              <w:rPr>
                <w:sz w:val="4"/>
                <w:szCs w:val="4"/>
              </w:rPr>
            </w:r>
          </w:p>
        </w:tc>
      </w:tr>
      <w:tr>
        <w:trPr/>
        <w:tc>
          <w:tcPr>
            <w:tcW w:w="3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Interest 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Interest 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2029 Senior Notes</w:t>
            </w:r>
          </w:p>
        </w:tc>
        <w:tc>
          <w:tcPr>
            <w:tcW w:w="1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1,029,371 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1,029,371 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2032 Senior Notes</w:t>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308,811 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2022 Credit Facility - Term Loan</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552,500 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2022 Credit Facility - Revolving Loans</w:t>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Unamortized premiums and debt issuance costs </w:t>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(13,365)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debt</w:t>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1,581,930 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1,877,317 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Current portion of long-term debt</w:t>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Long-term debt</w:t>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1,538,680 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1,839,817 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20"/>
        </w:rPr>
        <w:t>The contractual annual maturities of the Company's debt obligations at June 30, 2026 are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3092" w:type="dxa"/>
        <w:jc w:val="center"/>
        <w:tblInd w:w="0" w:type="dxa"/>
        <w:tblLayout w:type="fixed"/>
        <w:tblCellMar>
          <w:top w:w="28" w:type="dxa"/>
          <w:left w:w="28" w:type="dxa"/>
          <w:bottom w:w="28" w:type="dxa"/>
          <w:right w:w="28" w:type="dxa"/>
        </w:tblCellMar>
      </w:tblPr>
      <w:tblGrid>
        <w:gridCol w:w="560"/>
        <w:gridCol w:w="490"/>
        <w:gridCol w:w="494"/>
        <w:gridCol w:w="109"/>
        <w:gridCol w:w="109"/>
        <w:gridCol w:w="109"/>
        <w:gridCol w:w="196"/>
        <w:gridCol w:w="871"/>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1,029,371 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2031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1,592,432 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Arial;sans-serif" w:hAnsi="Arial;sans-serif"/>
          <w:b w:val="false"/>
          <w:color w:val="000000"/>
          <w:sz w:val="20"/>
        </w:rPr>
        <w:t>The Senior Notes consisted of the following carrying value and estimated fair value (</w:t>
      </w:r>
      <w:r>
        <w:rPr>
          <w:rFonts w:ascii="Arial;sans-serif" w:hAnsi="Arial;sans-serif"/>
          <w:b w:val="false"/>
          <w:i/>
          <w:color w:val="000000"/>
          <w:sz w:val="20"/>
        </w:rPr>
        <w:t>in thousands</w:t>
      </w:r>
      <w:r>
        <w:rPr>
          <w:rFonts w:ascii="Arial;sans-serif" w:hAnsi="Arial;sans-serif"/>
          <w:b w:val="false"/>
          <w:color w:val="000000"/>
          <w:sz w:val="20"/>
        </w:rPr>
        <w:t>):</w:t>
      </w:r>
    </w:p>
    <w:tbl>
      <w:tblPr>
        <w:tblW w:w="10151" w:type="dxa"/>
        <w:jc w:val="center"/>
        <w:tblInd w:w="0" w:type="dxa"/>
        <w:tblLayout w:type="fixed"/>
        <w:tblCellMar>
          <w:top w:w="28" w:type="dxa"/>
          <w:left w:w="28" w:type="dxa"/>
          <w:bottom w:w="28" w:type="dxa"/>
          <w:right w:w="28" w:type="dxa"/>
        </w:tblCellMar>
      </w:tblPr>
      <w:tblGrid>
        <w:gridCol w:w="532"/>
        <w:gridCol w:w="466"/>
        <w:gridCol w:w="471"/>
        <w:gridCol w:w="109"/>
        <w:gridCol w:w="109"/>
        <w:gridCol w:w="109"/>
        <w:gridCol w:w="459"/>
        <w:gridCol w:w="459"/>
        <w:gridCol w:w="461"/>
        <w:gridCol w:w="109"/>
        <w:gridCol w:w="109"/>
        <w:gridCol w:w="109"/>
        <w:gridCol w:w="278"/>
        <w:gridCol w:w="278"/>
        <w:gridCol w:w="277"/>
        <w:gridCol w:w="109"/>
        <w:gridCol w:w="109"/>
        <w:gridCol w:w="109"/>
        <w:gridCol w:w="789"/>
        <w:gridCol w:w="789"/>
        <w:gridCol w:w="791"/>
        <w:gridCol w:w="109"/>
        <w:gridCol w:w="109"/>
        <w:gridCol w:w="109"/>
        <w:gridCol w:w="230"/>
        <w:gridCol w:w="1022"/>
        <w:gridCol w:w="128"/>
        <w:gridCol w:w="109"/>
        <w:gridCol w:w="109"/>
        <w:gridCol w:w="109"/>
        <w:gridCol w:w="196"/>
        <w:gridCol w:w="736"/>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2032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January 15,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308,811 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274,842 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2029 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April 15,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5.250 </w:t>
            </w:r>
          </w:p>
        </w:tc>
        <w:tc>
          <w:tcPr>
            <w:tcW w:w="27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1,029,371 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975,329 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u w:val="single"/>
        </w:rPr>
      </w:pPr>
      <w:r>
        <w:rPr>
          <w:rFonts w:ascii="Arial;sans-serif" w:hAnsi="Arial;sans-serif"/>
          <w:b w:val="false"/>
          <w:color w:val="000000"/>
          <w:sz w:val="20"/>
          <w:u w:val="single"/>
        </w:rPr>
        <w:t>Debt Issuance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Deferred debt issuance costs represent the costs incurred in connection with the Company's financing arrangements. Debt issuance costs associated with the revolving loan commitments under the 2022 Credit Facility are recorded in other non-current assets because the commitments are available under a revolving credit arrangement. Debt issuance costs associated with term loans under the 2022 Credit Facility and the Senior Notes are recorded as a reduction of the related debt balances. Deferred debt issuance costs at June 30, 2026 included approximately $5.0 million of costs incurred in connection with the Fifth Amendment to the 2022 Credit Facility.</w:t>
      </w:r>
    </w:p>
    <w:p>
      <w:pPr>
        <w:pStyle w:val="TextBody"/>
        <w:bidi w:val="0"/>
        <w:spacing w:lineRule="auto" w:line="288" w:before="180" w:after="283"/>
        <w:jc w:val="both"/>
        <w:rPr/>
      </w:pPr>
      <w:r>
        <w:rPr>
          <w:rFonts w:ascii="Arial;sans-serif" w:hAnsi="Arial;sans-serif"/>
          <w:b w:val="false"/>
          <w:color w:val="000000"/>
          <w:sz w:val="20"/>
        </w:rPr>
        <w:t>The following table summarizes debt issuance costs at June 30, 2026 and December 31, 2025, and the balance sheet classification in each of the periods presented (</w:t>
      </w:r>
      <w:r>
        <w:rPr>
          <w:rFonts w:ascii="Arial;sans-serif" w:hAnsi="Arial;sans-serif"/>
          <w:b w:val="false"/>
          <w:i/>
          <w:color w:val="000000"/>
          <w:sz w:val="20"/>
        </w:rPr>
        <w:t>in thousands</w:t>
      </w:r>
      <w:r>
        <w:rPr>
          <w:rFonts w:ascii="Arial;sans-serif" w:hAnsi="Arial;sans-serif"/>
          <w:b w:val="false"/>
          <w:color w:val="000000"/>
          <w:sz w:val="20"/>
        </w:rPr>
        <w:t>):</w:t>
      </w:r>
      <w:r>
        <w:rPr>
          <w:color w:val="000000"/>
        </w:rPr>
        <w:t xml:space="preserve"> </w:t>
      </w:r>
    </w:p>
    <w:tbl>
      <w:tblPr>
        <w:tblW w:w="5711" w:type="dxa"/>
        <w:jc w:val="center"/>
        <w:tblInd w:w="0" w:type="dxa"/>
        <w:tblLayout w:type="fixed"/>
        <w:tblCellMar>
          <w:top w:w="28" w:type="dxa"/>
          <w:left w:w="28" w:type="dxa"/>
          <w:bottom w:w="28" w:type="dxa"/>
          <w:right w:w="28" w:type="dxa"/>
        </w:tblCellMar>
      </w:tblPr>
      <w:tblGrid>
        <w:gridCol w:w="940"/>
        <w:gridCol w:w="824"/>
        <w:gridCol w:w="831"/>
        <w:gridCol w:w="241"/>
        <w:gridCol w:w="795"/>
        <w:gridCol w:w="134"/>
        <w:gridCol w:w="109"/>
        <w:gridCol w:w="109"/>
        <w:gridCol w:w="109"/>
        <w:gridCol w:w="318"/>
        <w:gridCol w:w="1051"/>
        <w:gridCol w:w="250"/>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Deferred debt issuance costs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38,906 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38,906 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Accumulated amortization</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(25,943)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(21,849)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debt issuance costs, net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12,963 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17,057 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Balance sheet classification:</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noncurrent assets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3,692 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Long-term debt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13,365 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12,963 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17,057 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H — Stockholders’ Equity</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Trust Common Shares </w:t>
      </w:r>
    </w:p>
    <w:p>
      <w:pPr>
        <w:pStyle w:val="TextBody"/>
        <w:bidi w:val="0"/>
        <w:spacing w:lineRule="auto" w:line="288" w:before="120" w:after="283"/>
        <w:jc w:val="both"/>
        <w:rPr/>
      </w:pPr>
      <w:r>
        <w:rPr>
          <w:rFonts w:ascii="Arial;sans-serif" w:hAnsi="Arial;sans-serif"/>
          <w:b w:val="false"/>
          <w:color w:val="000000"/>
          <w:sz w:val="20"/>
        </w:rPr>
        <w:t>The Trust is authorized to issue 500,000,000 Trust common shares and the LLC is authorized to issue a corresponding number of Trust common interests. The Company will at all times have the identical number of Trust interests outstanding as Trust shares. Each Trust share represents an undivided beneficial interest in the Trust, and each Trust share is entitled to one vote per share on any matter with respect to which members of the LLC are entitled to vote. At June 30, 2026, the Trust had 76,135,000 common shares issued and 75,236,000 common shares outstanding. The Company did not issue any common shares under its at-the-market equity programs during the three months ended June 30, 2026, and, as a result of the commencement of the Lugano Investigation and related events, the Company determined during the quarter ended June 30, 2025 that it was unable to continue offering and selling common shares under this program.</w:t>
      </w:r>
      <w:r>
        <w:rPr>
          <w:color w:val="000000"/>
        </w:rPr>
        <w:t xml:space="preserve"> </w:t>
      </w:r>
      <w:r>
        <w:rPr>
          <w:rFonts w:ascii="Arial;sans-serif" w:hAnsi="Arial;sans-serif"/>
          <w:b w:val="false"/>
          <w:color w:val="000000"/>
          <w:sz w:val="20"/>
        </w:rPr>
        <w:t>The Company did not declare or pay any distributions on its common shares during the three months ended June 30, 2026, following the suspension of common share distributions in 2025.</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Trust Preferred Shares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Trust is authorized to issue up to 50,000,000 Trust preferred shares and the Company is authorized to issue a corresponding number of Trust preferred interests.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Trust has outstanding 7.250% Series A Preferred Shares, 7.875% Series B Preferred Shares and 7.875% Series C Preferred Shares, each representing beneficial interests in the Trust (collectively, the “Preferred Shares”). Each series of Preferred Shares has a liquidation preference of $25.00 per share. Distributions on the Series A Preferred Shares are discretionary and non-cumulative. When, and if declared by the Company's board of directors, distribution on the Series A Preferred Shares will be payable quarterly on January 30, April 30, July 30, and October 30 of each year, at a rate per annum of 7.250%. Distributions on the Series B Preferred Shares and Series 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Preferred Shares are cumulative and, when and as declared by the Company’s board of directors, are also payable quarterly in arrears on January 30, April 30, July 30 and October 30 of each year. The Series B Preferred Shares bear distributions at a fixed rate of 7.875% per annum until April 30, 2028, after which the distribution rate will reset quarterly at a floating rate equal to the applicable successor to three-month LIBOR plus a spread of 4.985% per annum. Distributions on the Series C Preferred Shares are payable at a rate per annum of 7.875%.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At June 30, 2026, accumulated and unpaid distributions were approximately $2.5 million on the Series B Preferred Shares and approximately $2.6 million on the Series C Preferred Shares. The Series A Preferred Shares and Series C Preferred Shares are currently redeemable at the Company’s option, in whole or in part, and the Series B Preferred Shares are redeemable at the Company’s option, in whole or in part, on or after April 30, 2028, in each case at a redemption price of $25.00 per share plus any applicable declared or accumulated and unpaid distributions to, but excluding, the redemption date. The Preferred Shares are not convertible into Trust common shares and have no voting rights, except in limited circumstances as provided in the applicable share designations.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Unless full cumulative distributions on the Series B Preferred Shares and Series C Preferred Shares have been declared and paid or set apart for payment for all past distribution periods, the Company may not declare or pay distributions on the Trust common shares. In addition, if the Company’s board of directors does not declare a distribution on the Series A Preferred Shares for a quarterly distribution period, the Company may not declare or pay distributions on the Trust common shares during the remainder of that quarterly distribution period.</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At-the-Market Equity Offering Program</w:t>
      </w:r>
    </w:p>
    <w:p>
      <w:pPr>
        <w:pStyle w:val="TextBody"/>
        <w:bidi w:val="0"/>
        <w:spacing w:lineRule="auto" w:line="288" w:before="120" w:after="283"/>
        <w:jc w:val="both"/>
        <w:rPr/>
      </w:pPr>
      <w:r>
        <w:rPr>
          <w:rFonts w:ascii="Arial;sans-serif" w:hAnsi="Arial;sans-serif"/>
          <w:b w:val="false"/>
          <w:color w:val="000000"/>
          <w:sz w:val="20"/>
        </w:rPr>
        <w:t xml:space="preserve">In 2024, the Company established at-the-market equity offering program for the Preferred Shares. </w:t>
      </w:r>
      <w:r>
        <w:rPr>
          <w:rFonts w:ascii="Arial;sans-serif" w:hAnsi="Arial;sans-serif"/>
          <w:b w:val="false"/>
          <w:color w:val="000000"/>
          <w:sz w:val="20"/>
          <w:shd w:fill="FFFFFF" w:val="clear"/>
        </w:rPr>
        <w:t xml:space="preserve">As a result of the commencement of the Lugano Investigation and related events, the Company determined during the quarter ended June 30, 2025 that it was unable to continue offering and selling its preferred shares under the Amended Preferred Sales Agreement. No preferred shares were sold during the </w:t>
      </w:r>
      <w:r>
        <w:rPr>
          <w:rFonts w:ascii="Arial;sans-serif" w:hAnsi="Arial;sans-serif"/>
          <w:b w:val="false"/>
          <w:color w:val="000000"/>
          <w:sz w:val="20"/>
        </w:rPr>
        <w:t>three and 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June 30, 2026</w:t>
      </w:r>
      <w:r>
        <w:rPr>
          <w:rFonts w:ascii="Arial;sans-serif" w:hAnsi="Arial;sans-serif"/>
          <w:b w:val="false"/>
          <w:color w:val="000000"/>
          <w:sz w:val="20"/>
          <w:shd w:fill="FFFFFF" w:val="clear"/>
        </w:rPr>
        <w:t>.</w:t>
      </w:r>
    </w:p>
    <w:p>
      <w:pPr>
        <w:pStyle w:val="TextBody"/>
        <w:bidi w:val="0"/>
        <w:spacing w:lineRule="auto" w:line="288" w:before="120" w:after="283"/>
        <w:jc w:val="both"/>
        <w:rPr/>
      </w:pPr>
      <w:r>
        <w:rPr>
          <w:rFonts w:ascii="Arial;sans-serif" w:hAnsi="Arial;sans-serif"/>
          <w:b w:val="false"/>
          <w:color w:val="000000"/>
          <w:sz w:val="20"/>
        </w:rPr>
        <w:t xml:space="preserve">The following table reflects the activity in the preferred share ATM program during the three and six months ended June 30, 2025 </w:t>
      </w:r>
      <w:r>
        <w:rPr>
          <w:rFonts w:ascii="Arial;sans-serif" w:hAnsi="Arial;sans-serif"/>
          <w:b w:val="false"/>
          <w:i/>
          <w:color w:val="000000"/>
          <w:sz w:val="20"/>
        </w:rPr>
        <w:t>(in thousands, except share data)</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345"/>
        <w:gridCol w:w="303"/>
        <w:gridCol w:w="304"/>
        <w:gridCol w:w="109"/>
        <w:gridCol w:w="109"/>
        <w:gridCol w:w="109"/>
        <w:gridCol w:w="428"/>
        <w:gridCol w:w="290"/>
        <w:gridCol w:w="292"/>
        <w:gridCol w:w="112"/>
        <w:gridCol w:w="112"/>
        <w:gridCol w:w="112"/>
        <w:gridCol w:w="264"/>
        <w:gridCol w:w="496"/>
        <w:gridCol w:w="116"/>
        <w:gridCol w:w="112"/>
        <w:gridCol w:w="112"/>
        <w:gridCol w:w="112"/>
        <w:gridCol w:w="383"/>
        <w:gridCol w:w="648"/>
        <w:gridCol w:w="213"/>
        <w:gridCol w:w="109"/>
        <w:gridCol w:w="109"/>
        <w:gridCol w:w="109"/>
        <w:gridCol w:w="628"/>
        <w:gridCol w:w="290"/>
        <w:gridCol w:w="292"/>
        <w:gridCol w:w="109"/>
        <w:gridCol w:w="109"/>
        <w:gridCol w:w="109"/>
        <w:gridCol w:w="200"/>
        <w:gridCol w:w="661"/>
        <w:gridCol w:w="111"/>
        <w:gridCol w:w="109"/>
        <w:gridCol w:w="109"/>
        <w:gridCol w:w="109"/>
        <w:gridCol w:w="283"/>
        <w:gridCol w:w="803"/>
        <w:gridCol w:w="158"/>
        <w:gridCol w:w="109"/>
        <w:gridCol w:w="109"/>
        <w:gridCol w:w="109"/>
        <w:gridCol w:w="109"/>
        <w:gridCol w:w="109"/>
        <w:gridCol w:w="172"/>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gridSpan w:val="4"/>
            <w:tcBorders/>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Number of Shares Sold</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Net Proceeds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Commissions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Number of Shares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Net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Commissions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Series A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4,748 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127,078 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Series B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29,839 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1,331,522 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Series C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4,426 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1,152,584 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26,285 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39,013 </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861 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2,611,184 </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59,008 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1,206 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shd w:fill="FFFFFF" w:val="clear"/>
        </w:rPr>
        <w:t xml:space="preserve">The Company incurred less than $0.1 million in total costs related to the preferred share ATM program during both the three and six months ended </w:t>
      </w:r>
      <w:r>
        <w:rPr>
          <w:rFonts w:ascii="Arial;sans-serif" w:hAnsi="Arial;sans-serif"/>
          <w:b w:val="false"/>
          <w:color w:val="000000"/>
          <w:sz w:val="20"/>
        </w:rPr>
        <w:t>June 30, 2025, respectively.</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Allocation Interests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holder of the Allocation Interests ( the "Holder"), Sostratus LLC, is entitled to receive distributions pursuant to a profit allocation formula upon the occurrence of certain events. The profit allocation is payable upon the sale of a business (a "Sale Event") and, at the election of the Holder, during the 30-day period following the fifth anniversary of the date upon which the Company acquired a controlling interest in a business (a "Holding Event"). The Company records distributions of the profit allocation upon occurrence of a Sale Event or Holding Event as dividends declared on Allocation Interests within stockholders’ equity when approved by the Company’s board of directors.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deconsolidation of Lugano in November 2025 represented a Sale Event; however the calculation of the profit allocation payment resulted in a negative amount. Therefore no profit allocation payment was due to the Holder. The negative amount will offset future profit allocation payments due to the Holder.</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sale of the Sterno food service product division in the second quarter of 2026 was a Sale Event. Although the sale of Sterno resulted in the calculation of a positive profit allocation distribution, no amount will be paid to the Holder as a result of the sale of Sterno as the amount of profit allocation payment due was not sufficient to exceed the high water mark in the profit allocation formula.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Reconciliation of net income (loss) available to common shares of Holdings</w:t>
      </w:r>
    </w:p>
    <w:p>
      <w:pPr>
        <w:pStyle w:val="TextBody"/>
        <w:bidi w:val="0"/>
        <w:spacing w:lineRule="auto" w:line="288" w:before="120" w:after="283"/>
        <w:jc w:val="both"/>
        <w:rPr/>
      </w:pPr>
      <w:r>
        <w:rPr>
          <w:rFonts w:ascii="Arial;sans-serif" w:hAnsi="Arial;sans-serif"/>
          <w:b w:val="false"/>
          <w:color w:val="000000"/>
          <w:sz w:val="20"/>
        </w:rPr>
        <w:t>The following table reconciles net income (loss) attributable to Holdings to net income (loss) attributable to the common shares of Holdings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776"/>
        <w:gridCol w:w="1536"/>
        <w:gridCol w:w="1541"/>
        <w:gridCol w:w="109"/>
        <w:gridCol w:w="109"/>
        <w:gridCol w:w="109"/>
        <w:gridCol w:w="196"/>
        <w:gridCol w:w="646"/>
        <w:gridCol w:w="109"/>
        <w:gridCol w:w="109"/>
        <w:gridCol w:w="109"/>
        <w:gridCol w:w="109"/>
        <w:gridCol w:w="196"/>
        <w:gridCol w:w="697"/>
        <w:gridCol w:w="109"/>
        <w:gridCol w:w="109"/>
        <w:gridCol w:w="109"/>
        <w:gridCol w:w="109"/>
        <w:gridCol w:w="196"/>
        <w:gridCol w:w="646"/>
        <w:gridCol w:w="109"/>
        <w:gridCol w:w="109"/>
        <w:gridCol w:w="109"/>
        <w:gridCol w:w="109"/>
        <w:gridCol w:w="196"/>
        <w:gridCol w:w="787"/>
        <w:gridCol w:w="157"/>
      </w:tblGrid>
      <w:tr>
        <w:trPr/>
        <w:tc>
          <w:tcPr>
            <w:tcW w:w="177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w:t>
              <w:br/>
              <w:t> June 30,</w:t>
            </w:r>
          </w:p>
        </w:tc>
      </w:tr>
      <w:tr>
        <w:trPr/>
        <w:tc>
          <w:tcPr>
            <w:tcW w:w="4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income</w:t>
            </w:r>
            <w:r>
              <w:rPr>
                <w:color w:val="000000"/>
              </w:rPr>
              <w:t xml:space="preserve"> </w:t>
            </w:r>
            <w:r>
              <w:rPr>
                <w:rFonts w:ascii="Arial;sans-serif" w:hAnsi="Arial;sans-serif"/>
                <w:b w:val="false"/>
                <w:i/>
                <w:color w:val="000000"/>
                <w:sz w:val="18"/>
              </w:rPr>
              <w:t>(</w:t>
            </w:r>
            <w:r>
              <w:rPr>
                <w:rFonts w:ascii="Arial;sans-serif" w:hAnsi="Arial;sans-serif"/>
                <w:b w:val="false"/>
                <w:color w:val="000000"/>
                <w:sz w:val="18"/>
              </w:rPr>
              <w:t>loss) from continuing operations attributable to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(54,022)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(84,059)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Distributions paid -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18,148 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Accrued distributions -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from continuing operations attributable to common shares of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(68,884)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24,116 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(107,355)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Earnings per share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calculates basic and diluted earnings per share using the two-class method which requires the Company to allocate to participating securities that have rights to earnings that otherwise would have been available only to Trust shareholders as a separate class of securities in calculating earnings per share. The Allocation Interests are considered participating securities that contain participating rights to receive profit allocations upon the occurrence of a Holding Event or Sale Event. The calculation of basic and diluted earnings per share for the three and six months ended June 30, 2026 and 2025 reflects the incremental increase during the period in the profit allocation distribution to Holder related to Holding Events. </w:t>
      </w:r>
    </w:p>
    <w:p>
      <w:pPr>
        <w:pStyle w:val="TextBody"/>
        <w:bidi w:val="0"/>
        <w:spacing w:lineRule="auto" w:line="288" w:before="180" w:after="283"/>
        <w:jc w:val="both"/>
        <w:rPr/>
      </w:pPr>
      <w:r>
        <w:rPr>
          <w:rFonts w:ascii="Arial;sans-serif" w:hAnsi="Arial;sans-serif"/>
          <w:b w:val="false"/>
          <w:color w:val="000000"/>
          <w:sz w:val="20"/>
        </w:rPr>
        <w:t xml:space="preserve">Basic and diluted earnings per share for the three and six months ended June 30, 2026 and 2025 attributable to the common shares of Holdings is calculated as follows </w:t>
      </w:r>
      <w:r>
        <w:rPr>
          <w:rFonts w:ascii="Arial;sans-serif" w:hAnsi="Arial;sans-serif"/>
          <w:b w:val="false"/>
          <w:i/>
          <w:color w:val="000000"/>
          <w:sz w:val="20"/>
        </w:rPr>
        <w:t>(in thousands, except per share data)</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798"/>
        <w:gridCol w:w="1525"/>
        <w:gridCol w:w="1530"/>
        <w:gridCol w:w="109"/>
        <w:gridCol w:w="109"/>
        <w:gridCol w:w="109"/>
        <w:gridCol w:w="196"/>
        <w:gridCol w:w="646"/>
        <w:gridCol w:w="109"/>
        <w:gridCol w:w="109"/>
        <w:gridCol w:w="109"/>
        <w:gridCol w:w="109"/>
        <w:gridCol w:w="196"/>
        <w:gridCol w:w="697"/>
        <w:gridCol w:w="109"/>
        <w:gridCol w:w="109"/>
        <w:gridCol w:w="109"/>
        <w:gridCol w:w="109"/>
        <w:gridCol w:w="196"/>
        <w:gridCol w:w="646"/>
        <w:gridCol w:w="109"/>
        <w:gridCol w:w="109"/>
        <w:gridCol w:w="109"/>
        <w:gridCol w:w="109"/>
        <w:gridCol w:w="196"/>
        <w:gridCol w:w="787"/>
        <w:gridCol w:w="157"/>
      </w:tblGrid>
      <w:tr>
        <w:trPr/>
        <w:tc>
          <w:tcPr>
            <w:tcW w:w="1798"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w:t>
              <w:br/>
              <w:t> June 30,</w:t>
            </w:r>
          </w:p>
        </w:tc>
      </w:tr>
      <w:tr>
        <w:trPr/>
        <w:tc>
          <w:tcPr>
            <w:tcW w:w="4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from continuing operations attributable to common shares of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(68,884)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(107,355)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Effect of contribution based profit - Holding Event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from continuing operations attributable to common shares of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(107,942)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attributable to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Effect of contribution based profit - Holding Event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attributable to common shares of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and 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Basic and diluted income (loss) per common share attributable to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(1.39)</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Distributions</w:t>
      </w:r>
    </w:p>
    <w:p>
      <w:pPr>
        <w:pStyle w:val="TextBody"/>
        <w:bidi w:val="0"/>
        <w:spacing w:lineRule="auto" w:line="288" w:before="120" w:after="283"/>
        <w:jc w:val="both"/>
        <w:rPr/>
      </w:pPr>
      <w:r>
        <w:rPr>
          <w:rFonts w:ascii="Arial;sans-serif" w:hAnsi="Arial;sans-serif"/>
          <w:b w:val="false"/>
          <w:color w:val="000000"/>
          <w:sz w:val="20"/>
        </w:rPr>
        <w:t>On May 27, 2025, the Company announced that it suspended the quarterly cash distribution historically paid to common shareholders. No common distributions were paid subsequent to April 24, 2025. The following table summarizes information related to our quarterly cash distributions on our Trust common and preferred shares (</w:t>
      </w:r>
      <w:r>
        <w:rPr>
          <w:rFonts w:ascii="Arial;sans-serif" w:hAnsi="Arial;sans-serif"/>
          <w:b w:val="false"/>
          <w:i/>
          <w:color w:val="000000"/>
          <w:sz w:val="20"/>
        </w:rPr>
        <w:t>in thousands, except per share data</w:t>
      </w:r>
      <w:r>
        <w:rPr>
          <w:rFonts w:ascii="Arial;sans-serif" w:hAnsi="Arial;sans-serif"/>
          <w:b w:val="false"/>
          <w:i/>
          <w:color w:val="000000"/>
          <w:sz w:val="16"/>
        </w:rPr>
        <w:t>):</w:t>
      </w:r>
    </w:p>
    <w:tbl>
      <w:tblPr>
        <w:tblW w:w="9165" w:type="dxa"/>
        <w:jc w:val="center"/>
        <w:tblInd w:w="0" w:type="dxa"/>
        <w:tblLayout w:type="fixed"/>
        <w:tblCellMar>
          <w:top w:w="28" w:type="dxa"/>
          <w:left w:w="28" w:type="dxa"/>
          <w:bottom w:w="28" w:type="dxa"/>
          <w:right w:w="28" w:type="dxa"/>
        </w:tblCellMar>
      </w:tblPr>
      <w:tblGrid>
        <w:gridCol w:w="245"/>
        <w:gridCol w:w="215"/>
        <w:gridCol w:w="216"/>
        <w:gridCol w:w="109"/>
        <w:gridCol w:w="109"/>
        <w:gridCol w:w="109"/>
        <w:gridCol w:w="824"/>
        <w:gridCol w:w="824"/>
        <w:gridCol w:w="826"/>
        <w:gridCol w:w="109"/>
        <w:gridCol w:w="109"/>
        <w:gridCol w:w="109"/>
        <w:gridCol w:w="719"/>
        <w:gridCol w:w="719"/>
        <w:gridCol w:w="721"/>
        <w:gridCol w:w="109"/>
        <w:gridCol w:w="109"/>
        <w:gridCol w:w="109"/>
        <w:gridCol w:w="394"/>
        <w:gridCol w:w="394"/>
        <w:gridCol w:w="396"/>
        <w:gridCol w:w="109"/>
        <w:gridCol w:w="109"/>
        <w:gridCol w:w="109"/>
        <w:gridCol w:w="399"/>
        <w:gridCol w:w="399"/>
        <w:gridCol w:w="566"/>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Cash Distribution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Cash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Payment Date</w:t>
            </w:r>
          </w:p>
        </w:tc>
      </w:tr>
      <w:tr>
        <w:trPr/>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before="0" w:after="0"/>
        <w:jc w:val="left"/>
        <w:rPr/>
      </w:pPr>
      <w:r>
        <w:rPr/>
      </w:r>
    </w:p>
    <w:tbl>
      <w:tblPr>
        <w:tblW w:w="9959" w:type="dxa"/>
        <w:jc w:val="center"/>
        <w:tblInd w:w="0" w:type="dxa"/>
        <w:tblLayout w:type="fixed"/>
        <w:tblCellMar>
          <w:top w:w="28" w:type="dxa"/>
          <w:left w:w="28" w:type="dxa"/>
          <w:bottom w:w="28" w:type="dxa"/>
          <w:right w:w="28" w:type="dxa"/>
        </w:tblCellMar>
      </w:tblPr>
      <w:tblGrid>
        <w:gridCol w:w="1139"/>
        <w:gridCol w:w="1004"/>
        <w:gridCol w:w="1007"/>
        <w:gridCol w:w="109"/>
        <w:gridCol w:w="109"/>
        <w:gridCol w:w="109"/>
        <w:gridCol w:w="211"/>
        <w:gridCol w:w="1036"/>
        <w:gridCol w:w="109"/>
        <w:gridCol w:w="109"/>
        <w:gridCol w:w="109"/>
        <w:gridCol w:w="109"/>
        <w:gridCol w:w="211"/>
        <w:gridCol w:w="721"/>
        <w:gridCol w:w="109"/>
        <w:gridCol w:w="109"/>
        <w:gridCol w:w="109"/>
        <w:gridCol w:w="109"/>
        <w:gridCol w:w="509"/>
        <w:gridCol w:w="509"/>
        <w:gridCol w:w="512"/>
        <w:gridCol w:w="109"/>
        <w:gridCol w:w="109"/>
        <w:gridCol w:w="109"/>
        <w:gridCol w:w="460"/>
        <w:gridCol w:w="460"/>
        <w:gridCol w:w="654"/>
      </w:tblGrid>
      <w:tr>
        <w:trPr/>
        <w:tc>
          <w:tcPr>
            <w:tcW w:w="113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Trust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January 1, 2025 - March 31,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24, 2025</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Series A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April 30, 2026 - July 29, 2026 </w:t>
            </w:r>
            <w:r>
              <w:rPr>
                <w:rFonts w:ascii="Arial;sans-serif" w:hAnsi="Arial;sans-serif"/>
                <w:b/>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2026</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January 30, 2026 - April 29, 2026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2026</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October 30, 2025 - January 29, 2026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2026</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July 30, 2025 - October 29,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30, 2025</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April 30, 2025 - July 29,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January 30, 2025 - April 29,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2025</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October 30, 2024 - January 29,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Series B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April 30, 2026 - July 29, 2026 </w:t>
            </w:r>
            <w:r>
              <w:rPr>
                <w:rFonts w:ascii="Arial;sans-serif" w:hAnsi="Arial;sans-serif"/>
                <w:b/>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2026</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January 30, 2026 - April 29, 2026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2026</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October 30, 2025 - January 29, 2026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2026</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July 30, 2025 - October 29,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30, 2025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April 30, 2025 - July 29,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2025</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30, 2025 - April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30, 2024 - January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2025</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Series C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April 30, 2026 - July 29, 2026 </w:t>
            </w:r>
            <w:r>
              <w:rPr>
                <w:rFonts w:ascii="Arial;sans-serif" w:hAnsi="Arial;sans-serif"/>
                <w:b/>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2026</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January 30, 2026 - April 29, 2026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2026</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October 30, 2025 - January 29, 2026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2026</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July 30, 2025 - October 29,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30, 2025</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30, 2025 - July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January 30, 2025 - April 29,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2025</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30, 2024 - January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2025</w:t>
            </w:r>
          </w:p>
        </w:tc>
      </w:tr>
    </w:tbl>
    <w:p>
      <w:pPr>
        <w:pStyle w:val="TextBody"/>
        <w:bidi w:val="0"/>
        <w:spacing w:lineRule="auto" w:line="288" w:before="120" w:after="240"/>
        <w:jc w:val="left"/>
        <w:rPr/>
      </w:pPr>
      <w:r>
        <w:rPr>
          <w:rFonts w:ascii="Arial;sans-serif" w:hAnsi="Arial;sans-serif"/>
          <w:b/>
          <w:color w:val="000000"/>
          <w:sz w:val="16"/>
        </w:rPr>
        <w:t xml:space="preserve">(1) </w:t>
      </w:r>
      <w:r>
        <w:rPr>
          <w:rFonts w:ascii="Arial;sans-serif" w:hAnsi="Arial;sans-serif"/>
          <w:b w:val="false"/>
          <w:color w:val="000000"/>
          <w:sz w:val="20"/>
        </w:rPr>
        <w:t>This distribution was</w:t>
      </w:r>
      <w:r>
        <w:rPr>
          <w:color w:val="000000"/>
        </w:rPr>
        <w:t xml:space="preserve"> </w:t>
      </w:r>
      <w:r>
        <w:rPr>
          <w:rFonts w:ascii="Arial;sans-serif" w:hAnsi="Arial;sans-serif"/>
          <w:b w:val="false"/>
          <w:color w:val="000000"/>
          <w:sz w:val="20"/>
        </w:rPr>
        <w:t>declared on July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Note I — Noncontrolling Interest </w:t>
      </w:r>
    </w:p>
    <w:p>
      <w:pPr>
        <w:pStyle w:val="TextBody"/>
        <w:bidi w:val="0"/>
        <w:spacing w:lineRule="auto" w:line="288" w:before="120" w:after="283"/>
        <w:jc w:val="both"/>
        <w:rPr/>
      </w:pPr>
      <w:r>
        <w:rPr>
          <w:rFonts w:ascii="Arial;sans-serif" w:hAnsi="Arial;sans-serif"/>
          <w:b w:val="false"/>
          <w:color w:val="000000"/>
          <w:sz w:val="20"/>
        </w:rPr>
        <w:t xml:space="preserve">Noncontrolling interest represents the portion of the Company’s majority owned subsidiaries' net income (loss) and equity that is owned by noncontrolling shareholders. </w:t>
      </w:r>
      <w:r>
        <w:rPr>
          <w:rFonts w:ascii="Arial;sans-serif" w:hAnsi="Arial;sans-serif"/>
          <w:b w:val="false"/>
          <w:color w:val="000000"/>
          <w:sz w:val="20"/>
          <w:shd w:fill="FFFFFF" w:val="clear"/>
        </w:rPr>
        <w:t>The following tables reflect the LLC’s ownership percentage of its majority owned operating segments a</w:t>
      </w:r>
      <w:r>
        <w:rPr>
          <w:rFonts w:ascii="Arial;sans-serif" w:hAnsi="Arial;sans-serif"/>
          <w:b w:val="false"/>
          <w:color w:val="000000"/>
          <w:sz w:val="20"/>
        </w:rPr>
        <w:t xml:space="preserve">nd related noncontrolling interest balances as of June 30, 2026 and December 31, 2025: </w:t>
      </w:r>
    </w:p>
    <w:tbl>
      <w:tblPr>
        <w:tblW w:w="5994" w:type="dxa"/>
        <w:jc w:val="center"/>
        <w:tblInd w:w="0" w:type="dxa"/>
        <w:tblLayout w:type="fixed"/>
        <w:tblCellMar>
          <w:top w:w="28" w:type="dxa"/>
          <w:left w:w="28" w:type="dxa"/>
          <w:bottom w:w="28" w:type="dxa"/>
          <w:right w:w="28" w:type="dxa"/>
        </w:tblCellMar>
      </w:tblPr>
      <w:tblGrid>
        <w:gridCol w:w="634"/>
        <w:gridCol w:w="512"/>
        <w:gridCol w:w="519"/>
        <w:gridCol w:w="255"/>
        <w:gridCol w:w="256"/>
        <w:gridCol w:w="236"/>
        <w:gridCol w:w="148"/>
        <w:gridCol w:w="148"/>
        <w:gridCol w:w="148"/>
        <w:gridCol w:w="255"/>
        <w:gridCol w:w="256"/>
        <w:gridCol w:w="228"/>
        <w:gridCol w:w="109"/>
        <w:gridCol w:w="109"/>
        <w:gridCol w:w="109"/>
        <w:gridCol w:w="255"/>
        <w:gridCol w:w="256"/>
        <w:gridCol w:w="236"/>
        <w:gridCol w:w="171"/>
        <w:gridCol w:w="171"/>
        <w:gridCol w:w="171"/>
        <w:gridCol w:w="255"/>
        <w:gridCol w:w="256"/>
        <w:gridCol w:w="301"/>
      </w:tblGrid>
      <w:tr>
        <w:trPr/>
        <w:tc>
          <w:tcPr>
            <w:tcW w:w="63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7"/>
              </w:rPr>
              <w:t xml:space="preserve">% Ownership </w:t>
            </w:r>
            <w:r>
              <w:rPr>
                <w:rFonts w:ascii="Arial;sans-serif" w:hAnsi="Arial;sans-serif"/>
                <w:b/>
                <w:color w:val="000000"/>
                <w:sz w:val="11"/>
              </w:rPr>
              <w:t>(1)</w:t>
            </w:r>
          </w:p>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7"/>
              </w:rPr>
              <w:t xml:space="preserve">% Ownership </w:t>
            </w:r>
            <w:r>
              <w:rPr>
                <w:rFonts w:ascii="Arial;sans-serif" w:hAnsi="Arial;sans-serif"/>
                <w:b/>
                <w:color w:val="000000"/>
                <w:sz w:val="11"/>
              </w:rPr>
              <w:t>(1)</w:t>
            </w:r>
          </w:p>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December 31, 2025</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Primary</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Fully</w:t>
              <w:b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Primary</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Fully</w:t>
              <w:br/>
              <w:t>Diluted</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5.11 </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Arnold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Rimports </w:t>
            </w:r>
            <w:r>
              <w:rPr>
                <w:rFonts w:ascii="Arial;sans-serif" w:hAnsi="Arial;sans-serif"/>
                <w:b/>
                <w:color w:val="000000"/>
                <w:sz w:val="12"/>
              </w:rPr>
              <w:t xml:space="preserve">(2) </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rFonts w:ascii="Arial;sans-serif" w:hAnsi="Arial;sans-serif"/>
          <w:b/>
          <w:color w:val="000000"/>
          <w:sz w:val="12"/>
        </w:rPr>
        <w:t>(1)</w:t>
      </w:r>
      <w:r>
        <w:rPr>
          <w:color w:val="000000"/>
        </w:rPr>
        <w:t xml:space="preserve">     </w:t>
      </w:r>
      <w:r>
        <w:rPr>
          <w:rFonts w:ascii="Arial;sans-serif" w:hAnsi="Arial;sans-serif"/>
          <w:b w:val="false"/>
          <w:color w:val="000000"/>
          <w:sz w:val="19"/>
        </w:rPr>
        <w:t>The principal difference between primary and diluted percentages of our operating segments is due to stock option issuances of subsidiary stock to management of the respective businesses.</w:t>
      </w:r>
    </w:p>
    <w:p>
      <w:pPr>
        <w:pStyle w:val="TextBody"/>
        <w:bidi w:val="0"/>
        <w:spacing w:lineRule="auto" w:line="288" w:before="180" w:after="283"/>
        <w:ind w:left="0" w:right="0" w:hanging="360"/>
        <w:jc w:val="both"/>
        <w:rPr/>
      </w:pPr>
      <w:r>
        <w:rPr>
          <w:rFonts w:ascii="Arial;sans-serif" w:hAnsi="Arial;sans-serif"/>
          <w:b/>
          <w:color w:val="000000"/>
          <w:sz w:val="12"/>
        </w:rPr>
        <w:t>(2)</w:t>
      </w:r>
      <w:r>
        <w:rPr>
          <w:color w:val="000000"/>
        </w:rPr>
        <w:t xml:space="preserve">     </w:t>
      </w:r>
      <w:r>
        <w:rPr>
          <w:rFonts w:ascii="Arial;sans-serif" w:hAnsi="Arial;sans-serif"/>
          <w:b w:val="false"/>
          <w:color w:val="000000"/>
          <w:sz w:val="19"/>
        </w:rPr>
        <w:t>As of December 31, 2025, the Company owned approximately 98.4% of Sterno on a primary basis, inclusive of its indirect ownership interest in Rimports. In connection with the Rimports Distribution completed immediately prior to the sale of Sterno’s food service business, the Sterno stockholders, including holders of in-the-money Sterno equity awards, received their proportionate interests in Rimports. As a result, as of June 30, 2026, the Company continued to own approximately 93.3% of Rimports on a primary and fully diluted basis and consolidates Rimports in its condensed consolidated financial statements, with the remaining ownership interest reflected as noncontrolling interest. Following the May 1, 2026 sale, the Company no longer owns an equity interest in Sterno’s food service business.</w:t>
      </w:r>
    </w:p>
    <w:tbl>
      <w:tblPr>
        <w:tblW w:w="4806" w:type="dxa"/>
        <w:jc w:val="center"/>
        <w:tblInd w:w="0" w:type="dxa"/>
        <w:tblLayout w:type="fixed"/>
        <w:tblCellMar>
          <w:top w:w="28" w:type="dxa"/>
          <w:left w:w="28" w:type="dxa"/>
          <w:bottom w:w="28" w:type="dxa"/>
          <w:right w:w="28" w:type="dxa"/>
        </w:tblCellMar>
      </w:tblPr>
      <w:tblGrid>
        <w:gridCol w:w="603"/>
        <w:gridCol w:w="529"/>
        <w:gridCol w:w="532"/>
        <w:gridCol w:w="218"/>
        <w:gridCol w:w="856"/>
        <w:gridCol w:w="112"/>
        <w:gridCol w:w="112"/>
        <w:gridCol w:w="112"/>
        <w:gridCol w:w="112"/>
        <w:gridCol w:w="286"/>
        <w:gridCol w:w="1125"/>
        <w:gridCol w:w="209"/>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Noncontrolling Interest Balances</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5.11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12,243 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14,605 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33,599 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43,417 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Arnold </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Rimports</w:t>
            </w:r>
            <w:r>
              <w:rPr>
                <w:color w:val="000000"/>
              </w:rPr>
              <w:t xml:space="preserve"> </w:t>
            </w:r>
            <w:r>
              <w:rPr>
                <w:rFonts w:ascii="Arial;sans-serif" w:hAnsi="Arial;sans-serif"/>
                <w:b/>
                <w:color w:val="000000"/>
                <w:sz w:val="12"/>
              </w:rPr>
              <w:t>(1)</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Allocation Interests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134,610 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131,639 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color w:val="000000"/>
          <w:sz w:val="12"/>
          <w:shd w:fill="FFFFFF" w:val="clear"/>
        </w:rPr>
        <w:t xml:space="preserve">(1) </w:t>
      </w:r>
      <w:r>
        <w:rPr>
          <w:rFonts w:ascii="Arial;sans-serif" w:hAnsi="Arial;sans-serif"/>
          <w:b w:val="false"/>
          <w:color w:val="000000"/>
          <w:sz w:val="19"/>
          <w:shd w:fill="FFFFFF" w:val="clear"/>
        </w:rPr>
        <w:t xml:space="preserve">The noncontrolling interest balance at Rimports as of December 31, 2025 reflected the ownership interest in Sterno held by minority shareholders. In connection with the Rimports Distribution completed immediately prior to the May 1, 2026 sale of Sterno’s food service business, Sterno’s shareholders, received their proportionate interests in Rimports. Accordingly, the noncontrolling interest balance at June 30, 2026 primarily reflects the ownership interest in Rimports held by minority shareholders.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J — Fair Value Measurement</w:t>
      </w:r>
    </w:p>
    <w:p>
      <w:pPr>
        <w:pStyle w:val="TextBody"/>
        <w:bidi w:val="0"/>
        <w:spacing w:lineRule="auto" w:line="288"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Recurring Fair Value Measurements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following tables present, by level within the fair value hierarchy, the Company's financial assets and liabilities that are measured at fair value on a recurring basis as of June 30, 2026 or December 31, 2025 according to the valuation technique utilized to determine their fair values. </w:t>
      </w:r>
    </w:p>
    <w:p>
      <w:pPr>
        <w:pStyle w:val="TextBody"/>
        <w:bidi w:val="0"/>
        <w:spacing w:before="120" w:after="283"/>
        <w:jc w:val="center"/>
        <w:rPr/>
      </w:pPr>
      <w:r>
        <w:rPr/>
      </w:r>
    </w:p>
    <w:tbl>
      <w:tblPr>
        <w:tblW w:w="7957" w:type="dxa"/>
        <w:jc w:val="center"/>
        <w:tblInd w:w="0" w:type="dxa"/>
        <w:tblLayout w:type="fixed"/>
        <w:tblCellMar>
          <w:top w:w="28" w:type="dxa"/>
          <w:left w:w="28" w:type="dxa"/>
          <w:bottom w:w="28" w:type="dxa"/>
          <w:right w:w="28" w:type="dxa"/>
        </w:tblCellMar>
      </w:tblPr>
      <w:tblGrid>
        <w:gridCol w:w="1194"/>
        <w:gridCol w:w="1050"/>
        <w:gridCol w:w="1055"/>
        <w:gridCol w:w="259"/>
        <w:gridCol w:w="856"/>
        <w:gridCol w:w="144"/>
        <w:gridCol w:w="109"/>
        <w:gridCol w:w="109"/>
        <w:gridCol w:w="109"/>
        <w:gridCol w:w="196"/>
        <w:gridCol w:w="406"/>
        <w:gridCol w:w="109"/>
        <w:gridCol w:w="109"/>
        <w:gridCol w:w="109"/>
        <w:gridCol w:w="109"/>
        <w:gridCol w:w="196"/>
        <w:gridCol w:w="406"/>
        <w:gridCol w:w="109"/>
        <w:gridCol w:w="109"/>
        <w:gridCol w:w="109"/>
        <w:gridCol w:w="109"/>
        <w:gridCol w:w="196"/>
        <w:gridCol w:w="646"/>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Fair Value Measurements at June 30, 2026</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shd w:fill="FFFFFF" w:val="clear"/>
              </w:rPr>
            </w:pPr>
            <w:r>
              <w:rPr>
                <w:rFonts w:ascii="Arial;sans-serif" w:hAnsi="Arial;sans-serif"/>
                <w:b/>
                <w:color w:val="000000"/>
                <w:sz w:val="17"/>
                <w:shd w:fill="FFFFFF" w:val="clear"/>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3</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Assets:</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Receivable due from unconsolidated affiliate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39,000 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recorded at fair value</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39,000 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7957" w:type="dxa"/>
        <w:jc w:val="center"/>
        <w:tblInd w:w="0" w:type="dxa"/>
        <w:tblLayout w:type="fixed"/>
        <w:tblCellMar>
          <w:top w:w="28" w:type="dxa"/>
          <w:left w:w="28" w:type="dxa"/>
          <w:bottom w:w="28" w:type="dxa"/>
          <w:right w:w="28" w:type="dxa"/>
        </w:tblCellMar>
      </w:tblPr>
      <w:tblGrid>
        <w:gridCol w:w="1194"/>
        <w:gridCol w:w="1050"/>
        <w:gridCol w:w="1055"/>
        <w:gridCol w:w="259"/>
        <w:gridCol w:w="856"/>
        <w:gridCol w:w="144"/>
        <w:gridCol w:w="109"/>
        <w:gridCol w:w="109"/>
        <w:gridCol w:w="109"/>
        <w:gridCol w:w="196"/>
        <w:gridCol w:w="406"/>
        <w:gridCol w:w="109"/>
        <w:gridCol w:w="109"/>
        <w:gridCol w:w="109"/>
        <w:gridCol w:w="109"/>
        <w:gridCol w:w="196"/>
        <w:gridCol w:w="406"/>
        <w:gridCol w:w="109"/>
        <w:gridCol w:w="109"/>
        <w:gridCol w:w="109"/>
        <w:gridCol w:w="109"/>
        <w:gridCol w:w="196"/>
        <w:gridCol w:w="646"/>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Fair Value Measurements at December 31, 2025</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shd w:fill="FFFFFF" w:val="clear"/>
              </w:rPr>
            </w:pPr>
            <w:r>
              <w:rPr>
                <w:rFonts w:ascii="Arial;sans-serif" w:hAnsi="Arial;sans-serif"/>
                <w:b/>
                <w:color w:val="000000"/>
                <w:sz w:val="17"/>
                <w:shd w:fill="FFFFFF" w:val="clear"/>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3</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Assets:</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Receivable due from unconsolidated affiliate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97,000 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recorded at fair value</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97,000 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Arial;sans-serif" w:hAnsi="Arial;sans-serif"/>
          <w:b w:val="false"/>
          <w:color w:val="000000"/>
          <w:sz w:val="20"/>
        </w:rPr>
        <w:t xml:space="preserve">The Company had no assets or liabilities Level 3 fair value measurements during the six months ended June 30, 2025. </w:t>
      </w:r>
      <w:r>
        <w:rPr>
          <w:rFonts w:ascii="Arial;sans-serif" w:hAnsi="Arial;sans-serif"/>
          <w:b w:val="false"/>
          <w:color w:val="000000"/>
          <w:sz w:val="20"/>
          <w:shd w:fill="FFFFFF" w:val="clear"/>
        </w:rPr>
        <w:t xml:space="preserve">A reconciliation of the change in the carrying value of the Company's Level 3 fair value measurement during the six months ended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is as follows:</w:t>
      </w:r>
    </w:p>
    <w:tbl>
      <w:tblPr>
        <w:tblW w:w="7931" w:type="dxa"/>
        <w:jc w:val="center"/>
        <w:tblInd w:w="0" w:type="dxa"/>
        <w:tblLayout w:type="fixed"/>
        <w:tblCellMar>
          <w:top w:w="28" w:type="dxa"/>
          <w:left w:w="28" w:type="dxa"/>
          <w:bottom w:w="28" w:type="dxa"/>
          <w:right w:w="28" w:type="dxa"/>
        </w:tblCellMar>
      </w:tblPr>
      <w:tblGrid>
        <w:gridCol w:w="1774"/>
        <w:gridCol w:w="1559"/>
        <w:gridCol w:w="1572"/>
        <w:gridCol w:w="109"/>
        <w:gridCol w:w="109"/>
        <w:gridCol w:w="109"/>
        <w:gridCol w:w="531"/>
        <w:gridCol w:w="1751"/>
        <w:gridCol w:w="417"/>
      </w:tblGrid>
      <w:tr>
        <w:trPr/>
        <w:tc>
          <w:tcPr>
            <w:tcW w:w="1774"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 2026</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Balance at January 1st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Change in fair value of receivable due from unconsolidated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(58,000)</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Balance at June 30th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39,000 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Valuation Techniques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has not changed its valuation techniques in measuring the fair value of any of its other financial assets and liabilities during the period. For details of the Company’s fair value measurement policies under the fair value hierarchy, refer to the 2025 Form 10-K.</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Nonrecurring Fair Value Measurements</w:t>
      </w:r>
    </w:p>
    <w:p>
      <w:pPr>
        <w:pStyle w:val="TextBody"/>
        <w:bidi w:val="0"/>
        <w:spacing w:lineRule="auto" w:line="288" w:before="120" w:after="283"/>
        <w:jc w:val="both"/>
        <w:rPr/>
      </w:pPr>
      <w:r>
        <w:rPr>
          <w:rFonts w:ascii="Arial;sans-serif" w:hAnsi="Arial;sans-serif"/>
          <w:b w:val="false"/>
          <w:color w:val="000000"/>
          <w:sz w:val="20"/>
        </w:rPr>
        <w:t xml:space="preserve">The following table provides the assets and liabilities carried at fair value measured on a non-recurring basis as of June 30, 2026 and December 31, 2025. Refer to </w:t>
      </w:r>
      <w:hyperlink w:anchor="i29996918526446a59b54dc1fd0efe432_61">
        <w:r>
          <w:rPr>
            <w:rStyle w:val="InternetLink"/>
            <w:rFonts w:ascii="Arial;sans-serif" w:hAnsi="Arial;sans-serif"/>
            <w:b w:val="false"/>
            <w:color w:val="0000FF"/>
            <w:sz w:val="20"/>
            <w:u w:val="single"/>
          </w:rPr>
          <w:t>"Note E - Goodwill and Intangible Assets"</w:t>
        </w:r>
      </w:hyperlink>
      <w:r>
        <w:rPr>
          <w:rFonts w:ascii="Arial;sans-serif" w:hAnsi="Arial;sans-serif"/>
          <w:b w:val="false"/>
          <w:color w:val="000000"/>
          <w:sz w:val="20"/>
        </w:rPr>
        <w:t xml:space="preserve">, for a description of the valuation techniques used to determine fair value of the assets measured on a non-recurring basis in the tables below. </w:t>
      </w:r>
    </w:p>
    <w:tbl>
      <w:tblPr>
        <w:tblW w:w="7874" w:type="dxa"/>
        <w:jc w:val="center"/>
        <w:tblInd w:w="0" w:type="dxa"/>
        <w:tblLayout w:type="fixed"/>
        <w:tblCellMar>
          <w:top w:w="28" w:type="dxa"/>
          <w:left w:w="28" w:type="dxa"/>
          <w:bottom w:w="28" w:type="dxa"/>
          <w:right w:w="28" w:type="dxa"/>
        </w:tblCellMar>
      </w:tblPr>
      <w:tblGrid>
        <w:gridCol w:w="571"/>
        <w:gridCol w:w="501"/>
        <w:gridCol w:w="503"/>
        <w:gridCol w:w="196"/>
        <w:gridCol w:w="736"/>
        <w:gridCol w:w="109"/>
        <w:gridCol w:w="109"/>
        <w:gridCol w:w="109"/>
        <w:gridCol w:w="109"/>
        <w:gridCol w:w="220"/>
        <w:gridCol w:w="220"/>
        <w:gridCol w:w="221"/>
        <w:gridCol w:w="109"/>
        <w:gridCol w:w="109"/>
        <w:gridCol w:w="109"/>
        <w:gridCol w:w="219"/>
        <w:gridCol w:w="219"/>
        <w:gridCol w:w="221"/>
        <w:gridCol w:w="109"/>
        <w:gridCol w:w="109"/>
        <w:gridCol w:w="109"/>
        <w:gridCol w:w="196"/>
        <w:gridCol w:w="736"/>
        <w:gridCol w:w="109"/>
        <w:gridCol w:w="109"/>
        <w:gridCol w:w="109"/>
        <w:gridCol w:w="109"/>
        <w:gridCol w:w="313"/>
        <w:gridCol w:w="1031"/>
        <w:gridCol w:w="245"/>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Expense</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Fair Value Measurements 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 - PrimaLoft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30" w:type="dxa"/>
        <w:jc w:val="center"/>
        <w:tblInd w:w="0" w:type="dxa"/>
        <w:tblLayout w:type="fixed"/>
        <w:tblCellMar>
          <w:top w:w="28" w:type="dxa"/>
          <w:left w:w="28" w:type="dxa"/>
          <w:bottom w:w="28" w:type="dxa"/>
          <w:right w:w="28" w:type="dxa"/>
        </w:tblCellMar>
      </w:tblPr>
      <w:tblGrid>
        <w:gridCol w:w="1082"/>
        <w:gridCol w:w="949"/>
        <w:gridCol w:w="954"/>
        <w:gridCol w:w="243"/>
        <w:gridCol w:w="504"/>
        <w:gridCol w:w="135"/>
        <w:gridCol w:w="135"/>
        <w:gridCol w:w="135"/>
        <w:gridCol w:w="135"/>
        <w:gridCol w:w="220"/>
        <w:gridCol w:w="220"/>
        <w:gridCol w:w="221"/>
        <w:gridCol w:w="135"/>
        <w:gridCol w:w="135"/>
        <w:gridCol w:w="135"/>
        <w:gridCol w:w="219"/>
        <w:gridCol w:w="219"/>
        <w:gridCol w:w="221"/>
        <w:gridCol w:w="135"/>
        <w:gridCol w:w="135"/>
        <w:gridCol w:w="135"/>
        <w:gridCol w:w="243"/>
        <w:gridCol w:w="504"/>
        <w:gridCol w:w="135"/>
        <w:gridCol w:w="109"/>
        <w:gridCol w:w="109"/>
        <w:gridCol w:w="109"/>
        <w:gridCol w:w="318"/>
        <w:gridCol w:w="1051"/>
        <w:gridCol w:w="250"/>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Expense</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Fair Value Measurements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(in thousands)</w:t>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Carrying</w:t>
            </w:r>
          </w:p>
          <w:p>
            <w:pPr>
              <w:pStyle w:val="TableContents"/>
              <w:bidi w:val="0"/>
              <w:spacing w:lineRule="auto" w:line="240" w:before="0" w:after="0"/>
              <w:jc w:val="center"/>
              <w:rPr/>
            </w:pPr>
            <w:r>
              <w:rPr>
                <w:rFonts w:ascii="Arial;sans-serif" w:hAnsi="Arial;sans-serif"/>
                <w:b/>
                <w:color w:val="000000"/>
                <w:sz w:val="17"/>
              </w:rPr>
              <w:t>Value</w:t>
            </w:r>
            <w:r>
              <w:rPr>
                <w:color w:val="000000"/>
              </w:rPr>
              <w:t xml:space="preserve"> </w:t>
            </w:r>
            <w:r>
              <w:rPr>
                <w:rFonts w:ascii="Arial;sans-serif" w:hAnsi="Arial;sans-serif"/>
                <w:b/>
                <w:color w:val="000000"/>
                <w:sz w:val="11"/>
              </w:rPr>
              <w:t>(1)</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1</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Property, plant and equipment - Lugano</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29,631 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Right-of-use asset - Lugano</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1,884 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color w:val="000000"/>
          <w:sz w:val="13"/>
        </w:rPr>
        <w:t>(1)</w:t>
      </w:r>
      <w:r>
        <w:rPr>
          <w:color w:val="000000"/>
        </w:rPr>
        <w:t xml:space="preserve"> </w:t>
      </w:r>
      <w:r>
        <w:rPr>
          <w:rFonts w:ascii="Arial;sans-serif" w:hAnsi="Arial;sans-serif"/>
          <w:b w:val="false"/>
          <w:color w:val="000000"/>
          <w:sz w:val="18"/>
        </w:rPr>
        <w:t>Lugano recorded impairment expense in the second quarter of 2025 related to long-lived assets. As a result of the deconsolidation of Lugano on November 16, 2025, the carrying value of the related assets as of December 31, 2025 was $0.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shd w:fill="FFFFFF" w:val="clear"/>
        </w:rPr>
      </w:pPr>
      <w:r>
        <w:rPr>
          <w:rFonts w:ascii="Arial;sans-serif" w:hAnsi="Arial;sans-serif"/>
          <w:b/>
          <w:color w:val="000000"/>
          <w:sz w:val="20"/>
          <w:shd w:fill="FFFFFF" w:val="clear"/>
        </w:rPr>
        <w:t>Note K — Income taxes</w:t>
      </w:r>
    </w:p>
    <w:p>
      <w:pPr>
        <w:pStyle w:val="TextBody"/>
        <w:bidi w:val="0"/>
        <w:spacing w:lineRule="auto" w:line="288" w:before="180" w:after="283"/>
        <w:jc w:val="both"/>
        <w:rPr/>
      </w:pPr>
      <w:r>
        <w:rPr>
          <w:rFonts w:ascii="Arial;sans-serif" w:hAnsi="Arial;sans-serif"/>
          <w:b w:val="false"/>
          <w:color w:val="000000"/>
          <w:sz w:val="20"/>
          <w:shd w:fill="FFFFFF" w:val="clear"/>
        </w:rPr>
        <w:t xml:space="preserve">The Company estimates its annual effective tax rate each fiscal quarter and applies that estimated rate to its interim </w:t>
      </w:r>
      <w:r>
        <w:rPr>
          <w:rFonts w:ascii="Arial;sans-serif" w:hAnsi="Arial;sans-serif"/>
          <w:b w:val="false"/>
          <w:color w:val="000000"/>
          <w:sz w:val="20"/>
        </w:rPr>
        <w:t xml:space="preserve">pre-tax earnings. In this regard, the Company reflects the full year’s estimated tax impact of certain unusual or infrequently occurring items and the effects of changes in tax laws or rates in the interim period in which they occur. The Company's parent, the Trust, is subject to entity-level U.S. federal, state and local corporate income taxes on the Company's earnings that flow through to the Trust.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computation of the annual estimated effective tax rate for each interim period requires certain assumptions, estimates, and significant judgment, including with respect to the projected operating income for the year, projections of income earned and taxes incurred in various jurisdictions, permanent and temporary differences and the likelihood of recovering deferred tax assets. The accounting estimates used to compute the provision for income taxes may change as new events occur, as additional information is obtained, as our tax structure changes or as the tax laws change. Certain foreign operations are subject to foreign income taxation under existing provisions of the laws of those jurisdictions.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Company recognizes interest and penalties related to unrecognized tax benefits within income tax expense. The Company accrues interest on all cumulative unrecognized tax benefits, reflecting financial exposure that spans both historical tax years and the current reporting period. During the current quarter, the Company identified that interest associated with certain previously recognized uncertain tax positions had not been accrued in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reporting periods. The Company recorded approximately $5.5 million of additional accrued interest during the quarter, substantially all of which relates to prior years. Management concluded that the adjustment was not material to any previously issued financial statements or the current interim period and, accordingly, recorded the adjustment as a component of income tax expense during the current quarter.</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reconciliation between the Federal Statutory Rate and the effective income tax rate for the six months ended June 30, 2026 and 2025 is as follows: </w:t>
      </w:r>
    </w:p>
    <w:tbl>
      <w:tblPr>
        <w:tblW w:w="6338" w:type="dxa"/>
        <w:jc w:val="center"/>
        <w:tblInd w:w="0" w:type="dxa"/>
        <w:tblLayout w:type="fixed"/>
        <w:tblCellMar>
          <w:top w:w="28" w:type="dxa"/>
          <w:left w:w="28" w:type="dxa"/>
          <w:bottom w:w="28" w:type="dxa"/>
          <w:right w:w="28" w:type="dxa"/>
        </w:tblCellMar>
      </w:tblPr>
      <w:tblGrid>
        <w:gridCol w:w="1334"/>
        <w:gridCol w:w="1176"/>
        <w:gridCol w:w="1180"/>
        <w:gridCol w:w="255"/>
        <w:gridCol w:w="256"/>
        <w:gridCol w:w="460"/>
        <w:gridCol w:w="185"/>
        <w:gridCol w:w="185"/>
        <w:gridCol w:w="185"/>
        <w:gridCol w:w="291"/>
        <w:gridCol w:w="294"/>
        <w:gridCol w:w="537"/>
      </w:tblGrid>
      <w:tr>
        <w:trPr/>
        <w:tc>
          <w:tcPr>
            <w:tcW w:w="133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Federal Statutory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State income taxes (net of Federal benefits) </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income taxes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Nontaxable or nondeductible items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Utilization of tax credits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valuation allowances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tax on foreign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unrecognized tax benefits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Tax effect - sale of Sterno </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50.7 </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L — Defined Benefit Plan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connection with the acquisition of Arnold, the company has a defined benefit plan covering substantially all of Arnold’s employees at its Lupfig, Switzerland location. The benefits are based on years of service and the employees’ highest average compensation during the specific period.</w:t>
      </w:r>
    </w:p>
    <w:p>
      <w:pPr>
        <w:pStyle w:val="TextBody"/>
        <w:bidi w:val="0"/>
        <w:spacing w:lineRule="auto" w:line="288" w:before="120" w:after="60"/>
        <w:jc w:val="both"/>
        <w:rPr/>
      </w:pPr>
      <w:r>
        <w:rPr>
          <w:rFonts w:ascii="Arial;sans-serif" w:hAnsi="Arial;sans-serif"/>
          <w:b w:val="false"/>
          <w:color w:val="000000"/>
          <w:sz w:val="20"/>
        </w:rPr>
        <w:t>The unfunded liability of $2.8 million is recognized in the consolidated balance sheet as a component of other non-current liabilities at June 30, 2026. Net periodic benefit cost consists of the following for the three and six months ended June 30, 2026 and 2025</w:t>
      </w:r>
      <w:r>
        <w:rPr>
          <w:color w:val="000000"/>
        </w:rPr>
        <w:t xml:space="preserve"> </w:t>
      </w:r>
      <w:r>
        <w:rPr>
          <w:rFonts w:ascii="Arial;sans-serif" w:hAnsi="Arial;sans-serif"/>
          <w:b w:val="false"/>
          <w:i/>
          <w:color w:val="000000"/>
          <w:sz w:val="20"/>
        </w:rPr>
        <w:t>(in thousands</w:t>
      </w:r>
      <w:r>
        <w:rPr>
          <w:rFonts w:ascii="Arial;sans-serif" w:hAnsi="Arial;sans-serif"/>
          <w:b w:val="false"/>
          <w:color w:val="000000"/>
          <w:sz w:val="20"/>
        </w:rPr>
        <w:t>):</w:t>
      </w:r>
    </w:p>
    <w:tbl>
      <w:tblPr>
        <w:tblW w:w="7955" w:type="dxa"/>
        <w:jc w:val="center"/>
        <w:tblInd w:w="0" w:type="dxa"/>
        <w:tblLayout w:type="fixed"/>
        <w:tblCellMar>
          <w:top w:w="28" w:type="dxa"/>
          <w:left w:w="28" w:type="dxa"/>
          <w:bottom w:w="28" w:type="dxa"/>
          <w:right w:w="28" w:type="dxa"/>
        </w:tblCellMar>
      </w:tblPr>
      <w:tblGrid>
        <w:gridCol w:w="1041"/>
        <w:gridCol w:w="915"/>
        <w:gridCol w:w="924"/>
        <w:gridCol w:w="273"/>
        <w:gridCol w:w="603"/>
        <w:gridCol w:w="141"/>
        <w:gridCol w:w="141"/>
        <w:gridCol w:w="141"/>
        <w:gridCol w:w="141"/>
        <w:gridCol w:w="273"/>
        <w:gridCol w:w="603"/>
        <w:gridCol w:w="141"/>
        <w:gridCol w:w="109"/>
        <w:gridCol w:w="109"/>
        <w:gridCol w:w="109"/>
        <w:gridCol w:w="249"/>
        <w:gridCol w:w="550"/>
        <w:gridCol w:w="128"/>
        <w:gridCol w:w="128"/>
        <w:gridCol w:w="128"/>
        <w:gridCol w:w="128"/>
        <w:gridCol w:w="249"/>
        <w:gridCol w:w="550"/>
        <w:gridCol w:w="181"/>
      </w:tblGrid>
      <w:tr>
        <w:trPr/>
        <w:tc>
          <w:tcPr>
            <w:tcW w:w="10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plan assets</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cost</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unrecognized loss</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settlement</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benefit cost</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20"/>
        </w:rPr>
        <w:t>During the six months ended June 30, 2026</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 xml:space="preserve">per the terms of the pension agreement, Arnold contributed approximately $0.3 million to the plan. For the remainder of 2026, the expected contribution to the </w:t>
      </w:r>
      <w:r>
        <w:rPr>
          <w:rFonts w:ascii="Arial;sans-serif" w:hAnsi="Arial;sans-serif"/>
          <w:b w:val="false"/>
          <w:color w:val="000000"/>
          <w:sz w:val="20"/>
          <w:shd w:fill="FFFFFF" w:val="clear"/>
        </w:rPr>
        <w:t>plan will be approximately $0.3 million.</w:t>
      </w:r>
    </w:p>
    <w:p>
      <w:pPr>
        <w:pStyle w:val="TextBody"/>
        <w:bidi w:val="0"/>
        <w:spacing w:lineRule="auto" w:line="288" w:before="180" w:after="283"/>
        <w:jc w:val="both"/>
        <w:rPr/>
      </w:pPr>
      <w:r>
        <w:rPr>
          <w:rFonts w:ascii="Arial;sans-serif" w:hAnsi="Arial;sans-serif"/>
          <w:b w:val="false"/>
          <w:color w:val="000000"/>
          <w:sz w:val="20"/>
          <w:shd w:fill="FFFFFF" w:val="clear"/>
        </w:rPr>
        <w:t xml:space="preserve">The plan assets are pooled with assets of other participating employers and are </w:t>
      </w:r>
      <w:r>
        <w:rPr>
          <w:rFonts w:ascii="Arial;sans-serif" w:hAnsi="Arial;sans-serif"/>
          <w:b w:val="false"/>
          <w:color w:val="000000"/>
          <w:sz w:val="20"/>
        </w:rPr>
        <w:t>not separable; therefore, the fair values of the pension plan assets at June 30, 2026 were considered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60"/>
        <w:jc w:val="left"/>
        <w:rPr>
          <w:rFonts w:ascii="Arial;sans-serif" w:hAnsi="Arial;sans-serif"/>
          <w:b/>
          <w:color w:val="000000"/>
          <w:sz w:val="20"/>
          <w:shd w:fill="FFFFFF" w:val="clear"/>
        </w:rPr>
      </w:pPr>
      <w:r>
        <w:rPr>
          <w:rFonts w:ascii="Arial;sans-serif" w:hAnsi="Arial;sans-serif"/>
          <w:b/>
          <w:color w:val="000000"/>
          <w:sz w:val="20"/>
          <w:shd w:fill="FFFFFF" w:val="clear"/>
        </w:rPr>
        <w:t xml:space="preserve">Note M - Commitments and Contingencies </w:t>
      </w:r>
    </w:p>
    <w:p>
      <w:pPr>
        <w:pStyle w:val="TextBody"/>
        <w:bidi w:val="0"/>
        <w:spacing w:lineRule="auto" w:line="288" w:before="180" w:after="283"/>
        <w:jc w:val="both"/>
        <w:rPr>
          <w:rFonts w:ascii="Arial;sans-serif" w:hAnsi="Arial;sans-serif"/>
          <w:b w:val="false"/>
          <w:color w:val="000000"/>
          <w:sz w:val="20"/>
          <w:u w:val="single"/>
        </w:rPr>
      </w:pPr>
      <w:r>
        <w:rPr>
          <w:rFonts w:ascii="Arial;sans-serif" w:hAnsi="Arial;sans-serif"/>
          <w:b w:val="false"/>
          <w:color w:val="000000"/>
          <w:sz w:val="20"/>
          <w:u w:val="single"/>
        </w:rPr>
        <w:t>Legal Matters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and its subsidiaries are subject to legal proceedings and claims that arise in the ordinary course of business. The Company accrues a liability for a loss contingency when it is both probable that a liability has been incurred and the amount of the loss can be reasonably estimated. For material loss contingencies that are reasonably possible or for which the amount of loss cannot be reasonably estimated, the Company discloses the nature of the contingency. The Lugano Investigation, the restatement of the Company’s previously issued consolidated financial statements and related matters may result in additional litigation, regulatory investigations and liabilities in future periods. </w:t>
      </w:r>
    </w:p>
    <w:p>
      <w:pPr>
        <w:pStyle w:val="TextBody"/>
        <w:bidi w:val="0"/>
        <w:spacing w:lineRule="auto" w:line="288" w:before="180" w:after="283"/>
        <w:jc w:val="both"/>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Securities Class Actions Involving the Company</w:t>
      </w:r>
    </w:p>
    <w:p>
      <w:pPr>
        <w:pStyle w:val="TextBody"/>
        <w:bidi w:val="0"/>
        <w:spacing w:lineRule="auto" w:line="288" w:before="120" w:after="283"/>
        <w:jc w:val="both"/>
        <w:rPr/>
      </w:pPr>
      <w:r>
        <w:rPr>
          <w:rFonts w:ascii="Arial;sans-serif" w:hAnsi="Arial;sans-serif"/>
          <w:b w:val="false"/>
          <w:color w:val="000000"/>
          <w:sz w:val="20"/>
          <w:shd w:fill="FFFFFF" w:val="clear"/>
        </w:rPr>
        <w:t xml:space="preserve">Following the Company’s announcement of the Lugano Investigation and restatement, several putative securities class actions were filed against the Company and certain of its officers and directors. The previously filed California actions were consolidated and later voluntarily dismissed so that the lead plaintiff could pursue its claims in the United States District Court for the District of Connecticut. The Connecticut action, originally captioned </w:t>
      </w:r>
      <w:r>
        <w:rPr>
          <w:rFonts w:ascii="Arial;sans-serif" w:hAnsi="Arial;sans-serif"/>
          <w:b w:val="false"/>
          <w:i/>
          <w:color w:val="000000"/>
          <w:sz w:val="20"/>
          <w:shd w:fill="FFFFFF" w:val="clear"/>
        </w:rPr>
        <w:t>Moreno v. Compass Diversified Holdings LLC, et al.</w:t>
      </w:r>
      <w:r>
        <w:rPr>
          <w:rFonts w:ascii="Arial;sans-serif" w:hAnsi="Arial;sans-serif"/>
          <w:b w:val="false"/>
          <w:color w:val="000000"/>
          <w:sz w:val="20"/>
          <w:shd w:fill="FFFFFF" w:val="clear"/>
        </w:rPr>
        <w:t xml:space="preserve">, now known as </w:t>
      </w:r>
      <w:r>
        <w:rPr>
          <w:rFonts w:ascii="Arial;sans-serif" w:hAnsi="Arial;sans-serif"/>
          <w:b w:val="false"/>
          <w:i/>
          <w:color w:val="000000"/>
          <w:sz w:val="20"/>
          <w:shd w:fill="FFFFFF" w:val="clear"/>
        </w:rPr>
        <w:t>In Re Compass Diversified Holdings Securities Litigation</w:t>
      </w:r>
      <w:r>
        <w:rPr>
          <w:rFonts w:ascii="Arial;sans-serif" w:hAnsi="Arial;sans-serif"/>
          <w:b w:val="false"/>
          <w:color w:val="000000"/>
          <w:sz w:val="20"/>
          <w:shd w:fill="FFFFFF" w:val="clear"/>
        </w:rPr>
        <w:t xml:space="preserve">, asserts claims under Sections 10(b) and 20(a) of the Exchange Act and Rule 10b-5. The lead plaintiff filed an amended complaint on February 6, 2026, and the defendants filed motions to dismiss on March 23, 2026. All motions are fully briefed. The Company believes it has defenses available and intends to vigorously defend the action. Management has determined that a loss is reasonably possible but cannot reasonably estimate a range of potential loss. </w:t>
      </w:r>
    </w:p>
    <w:p>
      <w:pPr>
        <w:pStyle w:val="TextBody"/>
        <w:bidi w:val="0"/>
        <w:spacing w:lineRule="auto" w:line="288" w:before="180" w:after="283"/>
        <w:jc w:val="both"/>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Derivative Actions Involving the Company</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Several shareholder derivative actions have been filed, purportedly on behalf of the Company, against certain current and former officers and directors. The derivative actions generally assert claims for breach of fiduciary duty and violations of the federal securities laws based on allegations related to Lugano and the restatement. The California derivative actions have been consolidated and stayed, and the Connecticut derivative actions have been consolidated and stayed, in each case pending further developments in the securities class action. A derivative action was also recently filed in Delaware Chancery Court. All derivative actions are in the early stages. The Company believes defenses are available and intends to vigorously defend these matters. Management has determined that a loss is reasonably possible but cannot reasonably estimate a range of potential loss.</w:t>
      </w:r>
    </w:p>
    <w:p>
      <w:pPr>
        <w:pStyle w:val="TextBody"/>
        <w:bidi w:val="0"/>
        <w:spacing w:lineRule="auto" w:line="288" w:before="180" w:after="283"/>
        <w:jc w:val="both"/>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 xml:space="preserve">External Investigations and Reviews </w:t>
      </w:r>
    </w:p>
    <w:p>
      <w:pPr>
        <w:pStyle w:val="TextBody"/>
        <w:bidi w:val="0"/>
        <w:spacing w:lineRule="auto" w:line="288" w:before="120" w:after="283"/>
        <w:jc w:val="both"/>
        <w:rPr/>
      </w:pPr>
      <w:r>
        <w:rPr>
          <w:rFonts w:ascii="Arial;sans-serif" w:hAnsi="Arial;sans-serif"/>
          <w:b w:val="false"/>
          <w:color w:val="000000"/>
          <w:sz w:val="20"/>
        </w:rPr>
        <w:t>As a result of the Company’s withdrawal of reliance on its 2024, 2023 and 2022 financial statements, delayed periodic reporting and the underlying conduct at Lugano, the Company is subject to ongoing investigations by the SEC and the U.S. Department of Justice. The investigative process is inherently uncertain, and the Company cannot predict the outcome of these investigations. The Company is cooperating with the ongoing investigations.</w:t>
      </w:r>
      <w:r>
        <w:rPr>
          <w:color w:val="000000"/>
          <w:shd w:fill="FFFFFF" w:val="clear"/>
        </w:rPr>
        <w:t xml:space="preserve"> </w:t>
      </w:r>
      <w:r>
        <w:rPr>
          <w:rFonts w:ascii="Arial;sans-serif" w:hAnsi="Arial;sans-serif"/>
          <w:b w:val="false"/>
          <w:color w:val="000000"/>
          <w:sz w:val="20"/>
          <w:shd w:fill="FFFFFF" w:val="clear"/>
        </w:rPr>
        <w:t>Management has determined that a loss is reasonably possible but cannot reasonably estimate a range of potential loss.</w:t>
      </w:r>
    </w:p>
    <w:p>
      <w:pPr>
        <w:pStyle w:val="TextBody"/>
        <w:bidi w:val="0"/>
        <w:spacing w:lineRule="auto" w:line="288" w:before="180" w:after="283"/>
        <w:jc w:val="both"/>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State Court Actions Naming Lugano and the Company as Defendants</w:t>
      </w:r>
    </w:p>
    <w:p>
      <w:pPr>
        <w:pStyle w:val="TextBody"/>
        <w:bidi w:val="0"/>
        <w:spacing w:lineRule="auto" w:line="288" w:before="120" w:after="283"/>
        <w:jc w:val="both"/>
        <w:rPr/>
      </w:pPr>
      <w:r>
        <w:rPr>
          <w:rFonts w:ascii="Arial;sans-serif" w:hAnsi="Arial;sans-serif"/>
          <w:b w:val="false"/>
          <w:color w:val="000000"/>
          <w:sz w:val="20"/>
          <w:shd w:fill="FFFFFF" w:val="clear"/>
        </w:rPr>
        <w:t xml:space="preserve">Certain state court actions have been filed naming Lugano and, in some cases, the Company or related entities. In Kraus v. Lugano Diamonds &amp; Jewelry, Inc., et al., the plaintiff seeks damages, plus interest and penalties. </w:t>
      </w:r>
      <w:r>
        <w:rPr>
          <w:rFonts w:ascii="Arial;sans-serif" w:hAnsi="Arial;sans-serif"/>
          <w:b w:val="false"/>
          <w:color w:val="000000"/>
          <w:sz w:val="20"/>
        </w:rPr>
        <w:t>The Trust was named as a defendant and the plaintiff sought leave to amend its complaint; before the court ruled on that request, it stayed the case with respect to all defendants.</w:t>
      </w:r>
      <w:r>
        <w:rPr>
          <w:color w:val="000000"/>
          <w:shd w:fill="FFFFFF" w:val="clear"/>
        </w:rPr>
        <w:t xml:space="preserve"> </w:t>
      </w:r>
      <w:r>
        <w:rPr>
          <w:rFonts w:ascii="Arial;sans-serif" w:hAnsi="Arial;sans-serif"/>
          <w:b w:val="false"/>
          <w:color w:val="000000"/>
          <w:sz w:val="20"/>
          <w:shd w:fill="FFFFFF" w:val="clear"/>
        </w:rPr>
        <w:t xml:space="preserve">In </w:t>
      </w:r>
      <w:r>
        <w:rPr>
          <w:rFonts w:ascii="Arial;sans-serif" w:hAnsi="Arial;sans-serif"/>
          <w:b w:val="false"/>
          <w:i/>
          <w:color w:val="000000"/>
          <w:sz w:val="20"/>
          <w:shd w:fill="FFFFFF" w:val="clear"/>
        </w:rPr>
        <w:t>Royal T Diamonds Group Ltd. v. Lugano Diamonds &amp; Jewelry Inc., et al.</w:t>
      </w:r>
      <w:r>
        <w:rPr>
          <w:rFonts w:ascii="Arial;sans-serif" w:hAnsi="Arial;sans-serif"/>
          <w:b w:val="false"/>
          <w:color w:val="000000"/>
          <w:sz w:val="20"/>
          <w:shd w:fill="FFFFFF" w:val="clear"/>
        </w:rPr>
        <w:t xml:space="preserve">, formerly filed by Champion Force Industrial Limited, </w:t>
      </w:r>
      <w:r>
        <w:rPr>
          <w:rFonts w:ascii="Arial;sans-serif" w:hAnsi="Arial;sans-serif"/>
          <w:b w:val="false"/>
          <w:color w:val="000000"/>
          <w:sz w:val="20"/>
        </w:rPr>
        <w:t>the plaintiff seeks damages, principally for unpaid goods. T</w:t>
      </w:r>
      <w:r>
        <w:rPr>
          <w:rFonts w:ascii="Arial;sans-serif" w:hAnsi="Arial;sans-serif"/>
          <w:b w:val="false"/>
          <w:color w:val="000000"/>
          <w:sz w:val="20"/>
          <w:shd w:fill="FFFFFF" w:val="clear"/>
        </w:rPr>
        <w:t xml:space="preserve">he court granted CODI’s motion to quash for lack of personal jurisdiction on March 26, 2026. The Company intends to avail itself of all available defenses in any matter in which it remains a party. Management has determined that a loss is reasonably possible but cannot reasonably estimate a range of possible loss, if any, that may result from these matters. </w:t>
      </w:r>
    </w:p>
    <w:p>
      <w:pPr>
        <w:pStyle w:val="TextBody"/>
        <w:bidi w:val="0"/>
        <w:spacing w:lineRule="auto" w:line="288" w:before="180" w:after="283"/>
        <w:jc w:val="both"/>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Lugano Chapter 11 Filing and Related Matters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November 16, 2025, Lugano and certain of its subsidiaries filed voluntary Chapter 11 petitions under the United States Bankruptcy Code in the United States Bankruptcy Court for the District of Delaware. As a result, Lugano was deconsolidated from the Company’s consolidated financial statements. On June 24, 2026, CODI entered into the Settlement Agreement and Plan Support Agreement described in Note B. Subject to creditor approval, bankruptcy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court confirmation and effectiveness of the proposed Plan of Liquidation, the Settlement Documents resolve claims that were alleged against CODI and its related parties by or on behalf of Lugano or its bankruptcy estate and provide for releases of CODI and its related parties from claims that could be asserted by or on behalf of Lugano or its bankruptcy estate. The Settlement Agreement is not binding until its conditions are satisfied or waived, including occurrence of the effective date of the Plan of Liquidation, and CODI may receive releases from certain creditors under the Plan of Liquidation. The Company cannot predict whether the Plan of Liquidation will be confirmed or become effective, the timing or amount of recoveries, or whether third parties may assert claims not covered by the releases. Any such matters could result in significant defense costs, settlement payments or judgments and could affect the timing and amount of recoveries in the bankruptcy proceedings. </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Tariff Refunds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February 2026, the U.S. Supreme Court issued a decision holding that tariffs imposed under the International Emergency Economic Powers Act ("IEEPA") were not authorized under the statute. As a result, the legal and regulatory framework surrounding certain IEEPA tariffs continues to evolve, including the process for seeking potential refunds of previously paid tariffs. Our subsidiaries have submitted claims for refunds related to certain eligible tariffs paid, however, the timing and approval of any refunds are uncertain and contingent upon further legal, regulatory, and administrative developments. Because significant uncertainty remains regarding the availability, timing, and amount of any potential recovery, the Company has not recognized a receivable or gain related to potential tariff refunds as of June 30, 2026. The Company will continue to monitor developments and recognize a receivable when amounts are realized or realizable.</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Leases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and its subsidiaries lease office and manufacturing facilities, computer equipment and software under various arrangements. Certain of the leases are subject to escalation clauses and renewal periods. The Company and its subsidiaries recognize lease expense, including predetermined fixed escalations, on a straight-line basis over the initial term of the lease including reasonably assured renewal periods from the time that the Company and its subsidiaries control the leased property. Leases with an initial term of 12 months or less are not recorded on the balance sheet; we recognize lease expense for these leases on a straight-line basis over the lease term. Certain of our subsidiaries have leases that contain both fixed rent costs and variable rent costs based on achievement of certain operating metrics. The variable lease expense was not a material component of our total lease expense for the three and six months ended June 30, 2026 and 2025. The Company recognized $12.5 million and $24.4 million in the three and six months ended June 30, 2026, respectively and $13.9 million and $27.4 million in the three and six months ended June 30, 2025, respectively, in expense related to operating leases in the condensed consolidated statements of operations. The Company entered into one finance lease in the fourth quarter of 2024. In both the three and six months ended June 30, 2026 and June 30, 2025 the Company recognized $0.2 million and $0.3 million, respectively, in interest expense related to its finance lease.</w:t>
      </w:r>
    </w:p>
    <w:p>
      <w:pPr>
        <w:pStyle w:val="TextBody"/>
        <w:bidi w:val="0"/>
        <w:spacing w:lineRule="auto" w:line="288" w:before="180" w:after="120"/>
        <w:jc w:val="left"/>
        <w:rPr/>
      </w:pPr>
      <w:r>
        <w:rPr>
          <w:rFonts w:ascii="Arial;sans-serif" w:hAnsi="Arial;sans-serif"/>
          <w:b w:val="false"/>
          <w:color w:val="000000"/>
          <w:sz w:val="20"/>
        </w:rPr>
        <w:t>The maturities of lease liabilities at June 30, 2026 are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7989" w:type="dxa"/>
        <w:jc w:val="center"/>
        <w:tblInd w:w="0" w:type="dxa"/>
        <w:tblLayout w:type="fixed"/>
        <w:tblCellMar>
          <w:top w:w="28" w:type="dxa"/>
          <w:left w:w="28" w:type="dxa"/>
          <w:bottom w:w="28" w:type="dxa"/>
          <w:right w:w="28" w:type="dxa"/>
        </w:tblCellMar>
      </w:tblPr>
      <w:tblGrid>
        <w:gridCol w:w="1454"/>
        <w:gridCol w:w="1278"/>
        <w:gridCol w:w="1288"/>
        <w:gridCol w:w="109"/>
        <w:gridCol w:w="109"/>
        <w:gridCol w:w="109"/>
        <w:gridCol w:w="196"/>
        <w:gridCol w:w="736"/>
        <w:gridCol w:w="109"/>
        <w:gridCol w:w="109"/>
        <w:gridCol w:w="109"/>
        <w:gridCol w:w="109"/>
        <w:gridCol w:w="196"/>
        <w:gridCol w:w="556"/>
        <w:gridCol w:w="109"/>
        <w:gridCol w:w="109"/>
        <w:gridCol w:w="109"/>
        <w:gridCol w:w="109"/>
        <w:gridCol w:w="196"/>
        <w:gridCol w:w="736"/>
        <w:gridCol w:w="154"/>
      </w:tblGrid>
      <w:tr>
        <w:trPr/>
        <w:tc>
          <w:tcPr>
            <w:tcW w:w="145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Total</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2026 (excluding the 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250,563 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257,962 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166,634 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jc w:val="both"/>
        <w:rPr>
          <w:rFonts w:ascii="Arial;sans-serif" w:hAnsi="Arial;sans-serif"/>
          <w:b w:val="false"/>
          <w:color w:val="000000"/>
          <w:sz w:val="20"/>
        </w:rPr>
      </w:pPr>
      <w:r>
        <w:rPr>
          <w:rFonts w:ascii="Arial;sans-serif" w:hAnsi="Arial;sans-serif"/>
          <w:b w:val="false"/>
          <w:color w:val="000000"/>
          <w:sz w:val="20"/>
        </w:rPr>
        <w:t xml:space="preserve">The calculated amount of the right-of-use assets and lease liabilities are impacted by the length of the lease term and discount rate used to present value the minimum lease payments. The Company's lease agreements often include one or more options to renew at the Company's discretion. In general, it is not reasonably certain that lease renewals will be exercised at lease commencement and therefore lease renewals are not included in the lease term. As the discount rate is rarely determinable, the Company utilizes the incremental borrowing rate of the subsidiary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40"/>
        <w:jc w:val="both"/>
        <w:rPr>
          <w:rFonts w:ascii="Arial;sans-serif" w:hAnsi="Arial;sans-serif"/>
          <w:b w:val="false"/>
          <w:color w:val="000000"/>
          <w:sz w:val="20"/>
        </w:rPr>
      </w:pPr>
      <w:r>
        <w:rPr>
          <w:rFonts w:ascii="Arial;sans-serif" w:hAnsi="Arial;sans-serif"/>
          <w:b w:val="false"/>
          <w:color w:val="000000"/>
          <w:sz w:val="20"/>
        </w:rPr>
        <w:t>entering into the lease arrangement, on a collateralized basis, over a similar term as adjusted for any country specific risk.</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weighted average remaining lease terms and discount rates for all of our operating leases were as follows:</w:t>
      </w:r>
    </w:p>
    <w:tbl>
      <w:tblPr>
        <w:tblW w:w="7074" w:type="dxa"/>
        <w:jc w:val="center"/>
        <w:tblInd w:w="0" w:type="dxa"/>
        <w:tblLayout w:type="fixed"/>
        <w:tblCellMar>
          <w:top w:w="28" w:type="dxa"/>
          <w:left w:w="28" w:type="dxa"/>
          <w:bottom w:w="28" w:type="dxa"/>
          <w:right w:w="28" w:type="dxa"/>
        </w:tblCellMar>
      </w:tblPr>
      <w:tblGrid>
        <w:gridCol w:w="1454"/>
        <w:gridCol w:w="1280"/>
        <w:gridCol w:w="1285"/>
        <w:gridCol w:w="109"/>
        <w:gridCol w:w="109"/>
        <w:gridCol w:w="109"/>
        <w:gridCol w:w="259"/>
        <w:gridCol w:w="259"/>
        <w:gridCol w:w="651"/>
        <w:gridCol w:w="109"/>
        <w:gridCol w:w="109"/>
        <w:gridCol w:w="109"/>
        <w:gridCol w:w="255"/>
        <w:gridCol w:w="256"/>
        <w:gridCol w:w="721"/>
      </w:tblGrid>
      <w:tr>
        <w:trPr/>
        <w:tc>
          <w:tcPr>
            <w:tcW w:w="145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u w:val="single"/>
              </w:rPr>
            </w:pPr>
            <w:r>
              <w:rPr>
                <w:rFonts w:ascii="Arial;sans-serif" w:hAnsi="Arial;sans-serif"/>
                <w:b/>
                <w:color w:val="000000"/>
                <w:sz w:val="17"/>
                <w:u w:val="single"/>
              </w:rPr>
              <w:t>Lease Term and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8.88 </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9.90 </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60"/>
        <w:jc w:val="both"/>
        <w:rPr/>
      </w:pPr>
      <w:r>
        <w:rPr>
          <w:rFonts w:ascii="Arial;sans-serif" w:hAnsi="Arial;sans-serif"/>
          <w:b w:val="false"/>
          <w:color w:val="000000"/>
          <w:sz w:val="20"/>
        </w:rPr>
        <w:t>Supplemental balance sheet information related to leases was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024"/>
        <w:gridCol w:w="873"/>
        <w:gridCol w:w="885"/>
        <w:gridCol w:w="109"/>
        <w:gridCol w:w="109"/>
        <w:gridCol w:w="109"/>
        <w:gridCol w:w="1251"/>
        <w:gridCol w:w="1251"/>
        <w:gridCol w:w="1254"/>
        <w:gridCol w:w="109"/>
        <w:gridCol w:w="109"/>
        <w:gridCol w:w="109"/>
        <w:gridCol w:w="214"/>
        <w:gridCol w:w="839"/>
        <w:gridCol w:w="110"/>
        <w:gridCol w:w="109"/>
        <w:gridCol w:w="109"/>
        <w:gridCol w:w="109"/>
        <w:gridCol w:w="269"/>
        <w:gridCol w:w="1053"/>
        <w:gridCol w:w="201"/>
      </w:tblGrid>
      <w:tr>
        <w:trPr/>
        <w:tc>
          <w:tcPr>
            <w:tcW w:w="102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Line Item in the Company’s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Operating lease right-of-use assets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146,755 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150,593 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153,636 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37,854 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126,084 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166,634 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170,805 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20"/>
        </w:rPr>
        <w:t>Supplemental cash flow information related to leases was as follows (</w:t>
      </w:r>
      <w:r>
        <w:rPr>
          <w:rFonts w:ascii="Arial;sans-serif" w:hAnsi="Arial;sans-serif"/>
          <w:b w:val="false"/>
          <w:i/>
          <w:color w:val="000000"/>
          <w:sz w:val="20"/>
        </w:rPr>
        <w:t>in thousands</w:t>
      </w:r>
      <w:r>
        <w:rPr>
          <w:rFonts w:ascii="Arial;sans-serif" w:hAnsi="Arial;sans-serif"/>
          <w:b w:val="false"/>
          <w:color w:val="000000"/>
          <w:sz w:val="20"/>
        </w:rPr>
        <w:t xml:space="preserve">): </w:t>
      </w:r>
    </w:p>
    <w:tbl>
      <w:tblPr>
        <w:tblW w:w="10205" w:type="dxa"/>
        <w:jc w:val="center"/>
        <w:tblInd w:w="0" w:type="dxa"/>
        <w:tblLayout w:type="fixed"/>
        <w:tblCellMar>
          <w:top w:w="28" w:type="dxa"/>
          <w:left w:w="28" w:type="dxa"/>
          <w:bottom w:w="28" w:type="dxa"/>
          <w:right w:w="28" w:type="dxa"/>
        </w:tblCellMar>
      </w:tblPr>
      <w:tblGrid>
        <w:gridCol w:w="1768"/>
        <w:gridCol w:w="1556"/>
        <w:gridCol w:w="1561"/>
        <w:gridCol w:w="109"/>
        <w:gridCol w:w="109"/>
        <w:gridCol w:w="109"/>
        <w:gridCol w:w="467"/>
        <w:gridCol w:w="1599"/>
        <w:gridCol w:w="241"/>
        <w:gridCol w:w="109"/>
        <w:gridCol w:w="109"/>
        <w:gridCol w:w="109"/>
        <w:gridCol w:w="456"/>
        <w:gridCol w:w="1563"/>
        <w:gridCol w:w="340"/>
      </w:tblGrid>
      <w:tr>
        <w:trPr/>
        <w:tc>
          <w:tcPr>
            <w:tcW w:w="1768"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4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 2025</w:t>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27,400 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Altor Sale Leaseback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January 23, 2026, Altor completed a sale leaseback transaction for its manufacturing facilities in Bloomsburg, Pennsylvania; New Albany, Indiana; and El Dorado Springs, Missouri (the “Properties”). Under the purchase and sale agreement, Altor sold the land, buildings and certain integrated fixtures to the buyer/lessor for total consideration of $11.75 million and recognized a gain on the transaction of $10.2 million in other operating income (expense) from continuing operations in the six months ended June 30, 2026. Concurrently with the execution of the purchase and sale agreement, Altor entered into a 20 year triple-net master lease to lease back all three Properties.</w:t>
      </w:r>
    </w:p>
    <w:p>
      <w:pPr>
        <w:pStyle w:val="TextBody"/>
        <w:bidi w:val="0"/>
        <w:spacing w:lineRule="auto" w:line="288" w:before="180" w:after="283"/>
        <w:jc w:val="both"/>
        <w:rPr/>
      </w:pPr>
      <w:r>
        <w:rPr>
          <w:rFonts w:ascii="Arial;sans-serif" w:hAnsi="Arial;sans-serif"/>
          <w:b w:val="false"/>
          <w:color w:val="000000"/>
          <w:sz w:val="20"/>
        </w:rPr>
        <w:t xml:space="preserve">Accounting for the transaction is governed by ASC 842, </w:t>
      </w:r>
      <w:r>
        <w:rPr>
          <w:rFonts w:ascii="Arial;sans-serif" w:hAnsi="Arial;sans-serif"/>
          <w:b w:val="false"/>
          <w:i/>
          <w:color w:val="000000"/>
          <w:sz w:val="20"/>
        </w:rPr>
        <w:t>Leases</w:t>
      </w:r>
      <w:r>
        <w:rPr>
          <w:rFonts w:ascii="Arial;sans-serif" w:hAnsi="Arial;sans-serif"/>
          <w:b w:val="false"/>
          <w:color w:val="000000"/>
          <w:sz w:val="20"/>
        </w:rPr>
        <w:t xml:space="preserve">. Under ASC 842, a sale leaseback is accounted for as a sale and a lease only if the transfer of the Properties qualifies as a sale in accordance with ASC 606, including that control of the Properties transferred to the buyer/lessor and the leaseback does not include (among other things) a repurchase option or other provisions that would prevent the transfer from being accounted for as a sale. When a sale is achieved, the seller-lessee derecognizes the carrying amount of the Properties, recognizes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resulting gain or loss, and recognizes a right-of-use asset and lease liability for the leaseback measured in accordance with ASC 842. Altor determined that the sale leaseback transaction qualified as a sale under ASC 606 and accordingly recognized a gain and recognized a right-of-use asset and lease liability for the leaseback.</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For the leaseback, Altor will recognize lease expense generally on a straight-line basis over the lease term, and the related lease payments will be presented within operating cash flows. Because the lease is a triple-net lease, Altor is generally responsible for certain costs associated with the Properties, such as real estate taxes, insurance and maintenance; amounts paid for these items are generally excluded from the measurement of the lease liability when they represent non-lease components or variable payments, and are recognized in expense as incurred.</w:t>
      </w:r>
    </w:p>
    <w:p>
      <w:pPr>
        <w:pStyle w:val="TextBody"/>
        <w:bidi w:val="0"/>
        <w:spacing w:lineRule="auto" w:line="288" w:before="240" w:after="180"/>
        <w:jc w:val="both"/>
        <w:rPr>
          <w:rFonts w:ascii="Arial;sans-serif" w:hAnsi="Arial;sans-serif"/>
          <w:b/>
          <w:i/>
          <w:color w:val="000000"/>
          <w:sz w:val="20"/>
          <w:shd w:fill="FFFFFF" w:val="clear"/>
        </w:rPr>
      </w:pPr>
      <w:r>
        <w:rPr>
          <w:rFonts w:ascii="Arial;sans-serif" w:hAnsi="Arial;sans-serif"/>
          <w:b/>
          <w:i/>
          <w:color w:val="000000"/>
          <w:sz w:val="20"/>
          <w:shd w:fill="FFFFFF" w:val="clear"/>
        </w:rPr>
        <w:t>Exit Costs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Altor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Subsequent to the acquisition of Lifoam in October 2024, Altor determined that they would shut down four of their facilities that had geographic overlap with Lifoam facilities. During the three months ended March 31, 2025, Altor recorded approximately $0.6 million in exit costs related to the plant closures in selling general and administrative expense. The plant closures were finalized in the fourth quarter of 2025 and no additional expense was recorded in the three months ended June 30, 2026.</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Arnold</w:t>
      </w:r>
    </w:p>
    <w:p>
      <w:pPr>
        <w:pStyle w:val="TextBody"/>
        <w:bidi w:val="0"/>
        <w:spacing w:lineRule="auto" w:line="288" w:before="120" w:after="283"/>
        <w:jc w:val="both"/>
        <w:rPr/>
      </w:pPr>
      <w:r>
        <w:rPr>
          <w:rFonts w:ascii="Arial;sans-serif" w:hAnsi="Arial;sans-serif"/>
          <w:b w:val="false"/>
          <w:color w:val="000000"/>
          <w:sz w:val="20"/>
        </w:rPr>
        <w:t xml:space="preserve">During 2024, Arnold relocated two of its facilities located in Marengo, Illinois into one combined facility in Woodstock, Illinois. </w:t>
      </w:r>
      <w:r>
        <w:rPr>
          <w:rFonts w:ascii="Arial;sans-serif" w:hAnsi="Arial;sans-serif"/>
          <w:b w:val="false"/>
          <w:color w:val="000000"/>
          <w:sz w:val="20"/>
          <w:shd w:fill="FFFFFF" w:val="clear"/>
        </w:rPr>
        <w:t xml:space="preserve">Arnold recorded $0.9 million in costs </w:t>
      </w:r>
      <w:r>
        <w:rPr>
          <w:rFonts w:ascii="Arial;sans-serif" w:hAnsi="Arial;sans-serif"/>
          <w:b w:val="false"/>
          <w:color w:val="000000"/>
          <w:sz w:val="20"/>
        </w:rPr>
        <w:t xml:space="preserve">in selling, general and administrative expense </w:t>
      </w:r>
      <w:r>
        <w:rPr>
          <w:rFonts w:ascii="Arial;sans-serif" w:hAnsi="Arial;sans-serif"/>
          <w:b w:val="false"/>
          <w:color w:val="000000"/>
          <w:sz w:val="20"/>
          <w:shd w:fill="FFFFFF" w:val="clear"/>
        </w:rPr>
        <w:t>in the three months ended March 31, 2025 related to the relocation of the two facilities. The exit from the Marengo facility was completed during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N — Related Party Transactions</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Management Services Agreement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LLC entered into a MSA with CGM effective May 16, 2006, as amended. CGM is managed by Wayfinder Partners LLC, of which Zachary T. Sawtelle, the Company’s Chief Operating Officer, is the managing member. Elias J. Sabo, the Company’s Chief Executive Officer, is also a member of CGM. The MSA provides for, among other things, CGM to perform services for the LLC in exchange for a management fee. The management fee is required to be paid prior to the payment of any distributions to shareholders.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Pursuant to the MSA, CGM is entitled to enter into off-setting management service agreements with each of the operating segments. The amount of the fee is negotiated between CGM and the operating management of each segment and is based upon the value of the services to be provided. The fees paid directly to CGM by the segments offset on a dollar for dollar basis the amount due CGM by the LLC under the MSA.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Amendments to Management Services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February 23, 2026, the LLC and CGM entered into an Eighth Amended and Restated Management Services Agreement (the “Eighth MSA”), which amended and restated the MSA. The Eighth MSA, among other things, (i) established a repayment protocol for previously overpaid management fees, including permitting the Company, subject to interest, to fund all or a portion of otherwise payable quarterly fees while an overpayment balance remains outstanding, (ii) provided for a dollar-for-dollar reduction of fees payable under the MSA for certain services outsourced by the Company to third-party service providers and excludes such services from the scope of services to be provided by CGM, (iii) clarified requirements and restrictions applicable to personnel seconded by CGM to the Company, and (iv) updated certain operational, governance, authority and indemnification provisions.</w:t>
      </w:r>
    </w:p>
    <w:p>
      <w:pPr>
        <w:pStyle w:val="TextBody"/>
        <w:bidi w:val="0"/>
        <w:spacing w:lineRule="auto" w:line="288" w:before="180" w:after="283"/>
        <w:jc w:val="both"/>
        <w:rPr/>
      </w:pPr>
      <w:r>
        <w:rPr>
          <w:rFonts w:ascii="Arial;sans-serif" w:hAnsi="Arial;sans-serif"/>
          <w:b w:val="false"/>
          <w:color w:val="000000"/>
          <w:sz w:val="20"/>
        </w:rPr>
        <w:t xml:space="preserve">On July 12, 2026, the LLC and CGM entered into the Ninth Amended and Restated Management Services Agreement (the “Ninth MSA”), which became effective upon execution and amends and restates the Eighth MSA. The fee and incentive-award provisions described in Note P become effective January 1, 2027; the fee provisions of the Eighth MSA remain applicable through December 31, 2026. Refer to </w:t>
      </w:r>
      <w:hyperlink w:anchor="i29996918526446a59b54dc1fd0efe432_103">
        <w:r>
          <w:rPr>
            <w:rStyle w:val="InternetLink"/>
            <w:rFonts w:ascii="Arial;sans-serif" w:hAnsi="Arial;sans-serif"/>
            <w:b w:val="false"/>
            <w:color w:val="0000FF"/>
            <w:sz w:val="20"/>
            <w:u w:val="single"/>
          </w:rPr>
          <w:t>Note P - “Subsequent Events.”</w:t>
        </w:r>
      </w:hyperlink>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Effect of Restatement on Management Fees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As a result of the restatement of the financial statements as of December 31, 2024, 2023 and 2022 and for the years ended December 31, 2024, 2023 and 2022, as well as for the period ended December 31, 2021 and revisions made in the quarter ended March 31, 2025, the management fees paid to CGM were in excess of the amounts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val="false"/>
          <w:color w:val="000000"/>
          <w:sz w:val="20"/>
          <w:shd w:fill="FFFFFF" w:val="clear"/>
        </w:rPr>
        <w:t xml:space="preserve">should have been due under the MSA. While the MSA did not, prior to the MSA Amendment, contain an express mechanism that permitted the Company to immediately clawback the overpayment of management fees during the aforementioned periods, the MSA provided that future payments under the MSA would be reduced, on a dollar-for-dollar basis, by the aggregate amount of all overpaid management fees. The Company calculated the total aggregate amount of excess management fees paid as a result of the restatement of the financial statements as </w:t>
      </w:r>
      <w:r>
        <w:rPr>
          <w:rFonts w:ascii="Arial;sans-serif" w:hAnsi="Arial;sans-serif"/>
          <w:b w:val="false"/>
          <w:color w:val="000000"/>
          <w:sz w:val="20"/>
        </w:rPr>
        <w:t xml:space="preserve">$50.4 million. </w:t>
      </w:r>
      <w:r>
        <w:rPr>
          <w:rFonts w:ascii="Arial;sans-serif" w:hAnsi="Arial;sans-serif"/>
          <w:b w:val="false"/>
          <w:color w:val="000000"/>
          <w:sz w:val="20"/>
          <w:shd w:fill="FFFFFF" w:val="clear"/>
        </w:rPr>
        <w:t xml:space="preserve">In 2025, restrictions </w:t>
      </w:r>
      <w:r>
        <w:rPr>
          <w:rFonts w:ascii="Arial;sans-serif" w:hAnsi="Arial;sans-serif"/>
          <w:b w:val="false"/>
          <w:color w:val="000000"/>
          <w:sz w:val="20"/>
        </w:rPr>
        <w:t>under</w:t>
      </w:r>
      <w:r>
        <w:rPr>
          <w:color w:val="000000"/>
          <w:shd w:fill="FFFFFF" w:val="clear"/>
        </w:rPr>
        <w:t xml:space="preserve"> </w:t>
      </w:r>
      <w:r>
        <w:rPr>
          <w:rFonts w:ascii="Arial;sans-serif" w:hAnsi="Arial;sans-serif"/>
          <w:b w:val="false"/>
          <w:color w:val="000000"/>
          <w:sz w:val="20"/>
          <w:shd w:fill="FFFFFF" w:val="clear"/>
        </w:rPr>
        <w:t xml:space="preserve">the Company’s </w:t>
      </w:r>
      <w:r>
        <w:rPr>
          <w:rFonts w:ascii="Arial;sans-serif" w:hAnsi="Arial;sans-serif"/>
          <w:b w:val="false"/>
          <w:color w:val="000000"/>
          <w:sz w:val="20"/>
        </w:rPr>
        <w:t>financing</w:t>
      </w:r>
      <w:r>
        <w:rPr>
          <w:color w:val="000000"/>
          <w:shd w:fill="FFFFFF" w:val="clear"/>
        </w:rPr>
        <w:t xml:space="preserve"> </w:t>
      </w:r>
      <w:r>
        <w:rPr>
          <w:rFonts w:ascii="Arial;sans-serif" w:hAnsi="Arial;sans-serif"/>
          <w:b w:val="false"/>
          <w:color w:val="000000"/>
          <w:sz w:val="20"/>
          <w:shd w:fill="FFFFFF" w:val="clear"/>
        </w:rPr>
        <w:t xml:space="preserve">arrangements limited the Company’s ability to pay management fees, resulting in management fee expense being incurred but not fully paid. </w:t>
      </w:r>
      <w:r>
        <w:rPr>
          <w:rFonts w:ascii="Arial;sans-serif" w:hAnsi="Arial;sans-serif"/>
          <w:b w:val="false"/>
          <w:color w:val="000000"/>
          <w:sz w:val="20"/>
        </w:rPr>
        <w:t>The</w:t>
      </w:r>
      <w:r>
        <w:rPr>
          <w:color w:val="000000"/>
          <w:shd w:fill="FFFFFF" w:val="clear"/>
        </w:rPr>
        <w:t xml:space="preserve"> </w:t>
      </w:r>
      <w:r>
        <w:rPr>
          <w:rFonts w:ascii="Arial;sans-serif" w:hAnsi="Arial;sans-serif"/>
          <w:b w:val="false"/>
          <w:color w:val="000000"/>
          <w:sz w:val="20"/>
          <w:shd w:fill="FFFFFF" w:val="clear"/>
        </w:rPr>
        <w:t xml:space="preserve">Company determined that the </w:t>
      </w:r>
      <w:r>
        <w:rPr>
          <w:rFonts w:ascii="Arial;sans-serif" w:hAnsi="Arial;sans-serif"/>
          <w:b w:val="false"/>
          <w:color w:val="000000"/>
          <w:sz w:val="20"/>
        </w:rPr>
        <w:t xml:space="preserve">amount of </w:t>
      </w:r>
      <w:r>
        <w:rPr>
          <w:rFonts w:ascii="Arial;sans-serif" w:hAnsi="Arial;sans-serif"/>
          <w:b w:val="false"/>
          <w:color w:val="000000"/>
          <w:sz w:val="20"/>
          <w:shd w:fill="FFFFFF" w:val="clear"/>
        </w:rPr>
        <w:t>management</w:t>
      </w:r>
      <w:r>
        <w:rPr>
          <w:color w:val="000000"/>
        </w:rPr>
        <w:t xml:space="preserve"> </w:t>
      </w:r>
      <w:r>
        <w:rPr>
          <w:rFonts w:ascii="Arial;sans-serif" w:hAnsi="Arial;sans-serif"/>
          <w:b w:val="false"/>
          <w:color w:val="000000"/>
          <w:sz w:val="20"/>
        </w:rPr>
        <w:t>fees that had been overpaid</w:t>
      </w:r>
      <w:r>
        <w:rPr>
          <w:color w:val="000000"/>
          <w:shd w:fill="FFFFFF" w:val="clear"/>
        </w:rPr>
        <w:t xml:space="preserve"> </w:t>
      </w:r>
      <w:r>
        <w:rPr>
          <w:rFonts w:ascii="Arial;sans-serif" w:hAnsi="Arial;sans-serif"/>
          <w:b w:val="false"/>
          <w:color w:val="000000"/>
          <w:sz w:val="20"/>
          <w:shd w:fill="FFFFFF" w:val="clear"/>
        </w:rPr>
        <w:t xml:space="preserve">at December 31, 2025 was </w:t>
      </w:r>
      <w:r>
        <w:rPr>
          <w:rFonts w:ascii="Arial;sans-serif" w:hAnsi="Arial;sans-serif"/>
          <w:b w:val="false"/>
          <w:color w:val="000000"/>
          <w:sz w:val="20"/>
        </w:rPr>
        <w:t>$33.8 million, which was recorded as an asset (“Due from CGM”) and reduced management fee expense for the year ended December 31, 2025. For the six months ended June 30, 2026, the Company recorded management fee expense</w:t>
      </w:r>
      <w:r>
        <w:rPr>
          <w:color w:val="000000"/>
          <w:shd w:fill="FFFFFF" w:val="clear"/>
        </w:rPr>
        <w:t xml:space="preserve"> </w:t>
      </w:r>
      <w:r>
        <w:rPr>
          <w:rFonts w:ascii="Arial;sans-serif" w:hAnsi="Arial;sans-serif"/>
          <w:b w:val="false"/>
          <w:color w:val="000000"/>
          <w:sz w:val="20"/>
          <w:shd w:fill="FFFFFF" w:val="clear"/>
        </w:rPr>
        <w:t>of $29.8 million</w:t>
      </w:r>
      <w:r>
        <w:rPr>
          <w:rFonts w:ascii="Arial;sans-serif" w:hAnsi="Arial;sans-serif"/>
          <w:b w:val="false"/>
          <w:color w:val="000000"/>
          <w:sz w:val="20"/>
        </w:rPr>
        <w:t xml:space="preserve">. During the six months ended June 30, 2026, the Company reduced the Due from CGM balance by $14.9 million for management fees applied against the prior overpayment by reducing the management fee due to CGM. As of June 30, 2026, the Due from CGM balance of </w:t>
      </w:r>
      <w:r>
        <w:rPr>
          <w:rFonts w:ascii="Arial;sans-serif" w:hAnsi="Arial;sans-serif"/>
          <w:b w:val="false"/>
          <w:color w:val="000000"/>
          <w:sz w:val="20"/>
          <w:shd w:fill="FFFFFF" w:val="clear"/>
        </w:rPr>
        <w:t>$6.3 million</w:t>
      </w:r>
      <w:r>
        <w:rPr>
          <w:color w:val="000000"/>
        </w:rPr>
        <w:t xml:space="preserve"> </w:t>
      </w:r>
      <w:r>
        <w:rPr>
          <w:rFonts w:ascii="Arial;sans-serif" w:hAnsi="Arial;sans-serif"/>
          <w:b w:val="false"/>
          <w:color w:val="000000"/>
          <w:sz w:val="20"/>
        </w:rPr>
        <w:t>reflects amounts due from CGM of $19.3 million including interest expense in accordance with the Eighth MSA Amendment, net of management fees accrued of $13.0 million. Subsequent to June 30, 2026, the Company elected to fund $6.4 million of the quarterly management fee that otherwise would have been payable for the second quarter of 2026.</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expects to continue to reduce future management fee payments until the overpayment has been fully recouped. Total cash paid for Management fees in the six months ended June 30, 2026 was $15.4 million as compared to total cash paid for Management fees for the six months ended June 30, 2025 of $37.7 million.</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LLC Agreement</w:t>
      </w:r>
    </w:p>
    <w:p>
      <w:pPr>
        <w:pStyle w:val="TextBody"/>
        <w:bidi w:val="0"/>
        <w:spacing w:lineRule="auto" w:line="288" w:before="120" w:after="283"/>
        <w:jc w:val="both"/>
        <w:rPr/>
      </w:pPr>
      <w:r>
        <w:rPr>
          <w:rFonts w:ascii="Arial;sans-serif" w:hAnsi="Arial;sans-serif"/>
          <w:b w:val="false"/>
          <w:color w:val="000000"/>
          <w:sz w:val="20"/>
        </w:rPr>
        <w:t xml:space="preserve">The LLC agreement gives the Holder the right to distributions pursuant to a profit allocation formula upon the occurrence of a Sale Event or a Holding Event. The Holder is entitled to receive and as such can elect to receive, if due pursuant to the profit allocation formula, an allocation payment upon a Sale Event and upon election of the Holders upon a Holding Event. </w:t>
      </w:r>
      <w:r>
        <w:rPr>
          <w:rFonts w:ascii="Arial;sans-serif" w:hAnsi="Arial;sans-serif"/>
          <w:b w:val="false"/>
          <w:color w:val="000000"/>
          <w:sz w:val="20"/>
          <w:shd w:fill="FFFFFF" w:val="clear"/>
        </w:rPr>
        <w:t>The Lugano Bankruptcy was a Sale Event and any corresponding loss on such Sale Event will have the effect of reducing future allocation payments. The LLC Agreement also contains a mechanism to adjust future profit allocation payments by over-paid and under-paid profit distributions. The Company intends to cause future allocation payments to be adjusted, as necessary, to reflect the impact of the restatement of the Company’s financial statements.</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sale of the Sterno food service product division in the second quarter of 2026 was a Sale Event. Although the sale of Sterno resulted in the calculation of a positive profit allocation distribution, no amount will paid to the Holder as a result of the sale of Sterno as the amount of profit allocation payment due was not sufficient to exceed the high water mark in the profit allocation formula.</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Integration Services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quarter months ended March 31, 2025, The Honey Pot Co., paid CGM $0.9 million in integration service fees under an integration services agreement that has since been fully paid. An amendment to the Management Services Agreement entered into in January 2025 eliminated integration service fees for future acquisitions therefore no integration service fees were incurred subsequent to March 31,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Company and its businesses have the following significant related party transactions</w:t>
      </w:r>
    </w:p>
    <w:p>
      <w:pPr>
        <w:pStyle w:val="TextBody"/>
        <w:bidi w:val="0"/>
        <w:spacing w:lineRule="auto" w:line="288" w:before="120" w:after="283"/>
        <w:jc w:val="both"/>
        <w:rPr>
          <w:rFonts w:ascii="Arial;sans-serif" w:hAnsi="Arial;sans-serif"/>
          <w:b w:val="false"/>
          <w:i/>
          <w:color w:val="000000"/>
          <w:sz w:val="20"/>
          <w:u w:val="single"/>
        </w:rPr>
      </w:pPr>
      <w:r>
        <w:rPr>
          <w:rFonts w:ascii="Arial;sans-serif" w:hAnsi="Arial;sans-serif"/>
          <w:b w:val="false"/>
          <w:i/>
          <w:color w:val="000000"/>
          <w:sz w:val="20"/>
          <w:u w:val="single"/>
        </w:rPr>
        <w:t>5.11</w:t>
      </w:r>
    </w:p>
    <w:p>
      <w:pPr>
        <w:pStyle w:val="TextBody"/>
        <w:bidi w:val="0"/>
        <w:spacing w:lineRule="auto" w:line="288" w:before="120" w:after="283"/>
        <w:jc w:val="both"/>
        <w:rPr/>
      </w:pPr>
      <w:r>
        <w:rPr>
          <w:rFonts w:ascii="Arial;sans-serif" w:hAnsi="Arial;sans-serif"/>
          <w:b w:val="false"/>
          <w:i/>
          <w:color w:val="000000"/>
          <w:sz w:val="20"/>
        </w:rPr>
        <w:t xml:space="preserve">Related Party Vendor Purchases - </w:t>
      </w:r>
      <w:r>
        <w:rPr>
          <w:rFonts w:ascii="Arial;sans-serif" w:hAnsi="Arial;sans-serif"/>
          <w:b w:val="false"/>
          <w:color w:val="000000"/>
          <w:sz w:val="20"/>
        </w:rPr>
        <w:t>5.11 purchases inventory from a vendor who is a related party to 5.11 through one of the executive officers of 5.11 via the executive's 40% ownership interest in the vendor. 5.11 purchased approximately $0.2 million and $0.3 million during the three and six months ended</w:t>
      </w:r>
      <w:r>
        <w:rPr>
          <w:color w:val="000000"/>
        </w:rPr>
        <w:t xml:space="preserve"> </w:t>
      </w:r>
      <w:r>
        <w:rPr>
          <w:rFonts w:ascii="Arial;sans-serif" w:hAnsi="Arial;sans-serif"/>
          <w:b w:val="false"/>
          <w:color w:val="000000"/>
          <w:sz w:val="20"/>
        </w:rPr>
        <w:t xml:space="preserve">June 30, 2026, respectively and $0.2 million and $0.6 million during the three and six months ended June 30, 2025, respectively in inventory from the vendor.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BOA</w:t>
      </w:r>
    </w:p>
    <w:p>
      <w:pPr>
        <w:pStyle w:val="TextBody"/>
        <w:bidi w:val="0"/>
        <w:spacing w:lineRule="auto" w:line="288" w:before="120" w:after="283"/>
        <w:jc w:val="both"/>
        <w:rPr/>
      </w:pPr>
      <w:r>
        <w:rPr>
          <w:rFonts w:ascii="Arial;sans-serif" w:hAnsi="Arial;sans-serif"/>
          <w:b w:val="false"/>
          <w:i/>
          <w:color w:val="000000"/>
          <w:sz w:val="20"/>
        </w:rPr>
        <w:t xml:space="preserve">Related Party Vendor Purchases - </w:t>
      </w:r>
      <w:r>
        <w:rPr>
          <w:rFonts w:ascii="Arial;sans-serif" w:hAnsi="Arial;sans-serif"/>
          <w:b w:val="false"/>
          <w:color w:val="000000"/>
          <w:sz w:val="20"/>
        </w:rPr>
        <w:t>A contract manufacturer used by BOA as the primary supplier of molded injection parts is a noncontrolling shareholder of BOA. BOA purchased approxim</w:t>
      </w:r>
      <w:r>
        <w:rPr>
          <w:rFonts w:ascii="Arial;sans-serif" w:hAnsi="Arial;sans-serif"/>
          <w:b w:val="false"/>
          <w:color w:val="000000"/>
          <w:sz w:val="20"/>
          <w:shd w:fill="FFFFFF" w:val="clear"/>
        </w:rPr>
        <w:t>ately $12.9 million and $24.0 million from this supplier</w:t>
      </w:r>
      <w:r>
        <w:rPr>
          <w:color w:val="000000"/>
        </w:rPr>
        <w:t xml:space="preserve"> </w:t>
      </w:r>
      <w:r>
        <w:rPr>
          <w:rFonts w:ascii="Arial;sans-serif" w:hAnsi="Arial;sans-serif"/>
          <w:b w:val="false"/>
          <w:color w:val="000000"/>
          <w:sz w:val="20"/>
        </w:rPr>
        <w:t>during the three and six months ended June 30, 2026, respectively and</w:t>
      </w:r>
      <w:r>
        <w:rPr>
          <w:color w:val="000000"/>
          <w:shd w:fill="FFFFFF" w:val="clear"/>
        </w:rPr>
        <w:t xml:space="preserve"> </w:t>
      </w:r>
      <w:r>
        <w:rPr>
          <w:rFonts w:ascii="Arial;sans-serif" w:hAnsi="Arial;sans-serif"/>
          <w:b w:val="false"/>
          <w:color w:val="000000"/>
          <w:sz w:val="20"/>
          <w:shd w:fill="FFFFFF" w:val="clear"/>
        </w:rPr>
        <w:t>$11.1 million and $23.1 million from this supplier</w:t>
      </w:r>
      <w:r>
        <w:rPr>
          <w:color w:val="000000"/>
        </w:rPr>
        <w:t xml:space="preserve"> </w:t>
      </w:r>
      <w:r>
        <w:rPr>
          <w:rFonts w:ascii="Arial;sans-serif" w:hAnsi="Arial;sans-serif"/>
          <w:b w:val="false"/>
          <w:color w:val="000000"/>
          <w:sz w:val="20"/>
        </w:rPr>
        <w:t>during the three and six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Lugano</w:t>
      </w:r>
    </w:p>
    <w:p>
      <w:pPr>
        <w:pStyle w:val="TextBody"/>
        <w:bidi w:val="0"/>
        <w:spacing w:lineRule="auto" w:line="288" w:before="120" w:after="283"/>
        <w:jc w:val="both"/>
        <w:rPr/>
      </w:pPr>
      <w:r>
        <w:rPr>
          <w:rFonts w:ascii="Arial;sans-serif" w:hAnsi="Arial;sans-serif"/>
          <w:b w:val="false"/>
          <w:i/>
          <w:color w:val="000000"/>
          <w:sz w:val="20"/>
        </w:rPr>
        <w:t xml:space="preserve">Related Party Transaction - </w:t>
      </w:r>
      <w:r>
        <w:rPr>
          <w:rFonts w:ascii="Arial;sans-serif" w:hAnsi="Arial;sans-serif"/>
          <w:b w:val="false"/>
          <w:color w:val="000000"/>
          <w:sz w:val="20"/>
        </w:rPr>
        <w:t>In the first quarter of 2025, the former Chief Executive Officer of Lugano represented that he had entered into an agreement with a customer of Lugano to pay, on behalf of the customer, an $8.8 million outstanding account receivable owed to Lugano since July 2024. However, the former Chief Executive Officer of Lugano misrepresented the purpose and explanation for the transaction. It was subsequently determined that neither the account receivable nor the purpose of the payment by the former Chief Executive Officer of Lugano were factually accurate, and that instead the payment was made by the former Chief Executive Officer of Lugano in furtherance of his previously described schemes.</w:t>
      </w:r>
    </w:p>
    <w:p>
      <w:pPr>
        <w:pStyle w:val="TextBody"/>
        <w:bidi w:val="0"/>
        <w:spacing w:lineRule="auto" w:line="288" w:before="120" w:after="283"/>
        <w:jc w:val="both"/>
        <w:rPr/>
      </w:pPr>
      <w:r>
        <w:rPr>
          <w:rFonts w:ascii="Arial;sans-serif" w:hAnsi="Arial;sans-serif"/>
          <w:b w:val="false"/>
          <w:i/>
          <w:color w:val="000000"/>
          <w:sz w:val="20"/>
          <w:shd w:fill="FFFFFF" w:val="clear"/>
        </w:rPr>
        <w:t>Related Party Vendor Purchases -</w:t>
      </w:r>
      <w:r>
        <w:rPr>
          <w:rFonts w:ascii="Arial;sans-serif" w:hAnsi="Arial;sans-serif"/>
          <w:b w:val="false"/>
          <w:color w:val="000000"/>
          <w:sz w:val="20"/>
          <w:shd w:fill="FFFFFF" w:val="clear"/>
        </w:rPr>
        <w:t>Lu</w:t>
      </w:r>
      <w:r>
        <w:rPr>
          <w:rFonts w:ascii="Arial;sans-serif" w:hAnsi="Arial;sans-serif"/>
          <w:b w:val="false"/>
          <w:color w:val="000000"/>
          <w:sz w:val="20"/>
        </w:rPr>
        <w:t>gano purchases inventory from a vendor who is a related party to Lugano through one of the executive officers of Lugano. The related party relationship commenced in the second quarter of 2024 and ended in the fourth quarter of 2025. Lugano had approximately $(1.6) million and $0.3 million in net purchases during the three and six months ended June 30, 2025, respectively. During the three months ended June 30, 2025, Lugano had $12 thousand in purchases from the vendor and $1.6 million in returns to the vendor, resulting in ($1.6) million in net returns during the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O — Operating Segment Data</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At June 30, 2026, the Company had eight reportable operating segments. Each operating segment represents a platform acquisition. The Company’s operating segments are strategic business units that offer different products and services. While each is actively managed by the Company, they are managed separately because each business requires different technology and marketing strategies. A description of each of the reportable segments and the types of products from which each segment derives its revenues is as follows: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u w:val="single"/>
        </w:rPr>
        <w:t>5.11</w:t>
      </w:r>
      <w:r>
        <w:rPr>
          <w:color w:val="000000"/>
        </w:rPr>
        <w:t xml:space="preserve"> </w:t>
      </w:r>
      <w:r>
        <w:rPr>
          <w:rFonts w:ascii="Arial;sans-serif" w:hAnsi="Arial;sans-serif"/>
          <w:b w:val="false"/>
          <w:color w:val="000000"/>
          <w:sz w:val="20"/>
        </w:rPr>
        <w:t>is a global apparel, footwear, and gear company serving consumers who demand performance, durability, and versatility across work, training, and adventure. 5.11 is a brand known for innovation and authenticity and works directly with end users to create purpose-built apparel, footwear and gear designed to enhance the safety, accuracy, speed and performance of tactical professionals and enthusiasts worldwide. 5.11 operates sales offices and distribution centers globally, and 5.11 products are widely distributed in uniform stores, military exchanges, outdoor retail stores, its own retail stores and on 511tactical.com.</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u w:val="single"/>
        </w:rPr>
        <w:t>BOA,</w:t>
      </w:r>
      <w:r>
        <w:rPr>
          <w:color w:val="000000"/>
        </w:rPr>
        <w:t xml:space="preserve"> </w:t>
      </w:r>
      <w:r>
        <w:rPr>
          <w:rFonts w:ascii="Arial;sans-serif" w:hAnsi="Arial;sans-serif"/>
          <w:b w:val="false"/>
          <w:color w:val="000000"/>
          <w:sz w:val="20"/>
          <w:shd w:fill="FFFFFF" w:val="clear"/>
        </w:rPr>
        <w:t xml:space="preserve">creator </w:t>
      </w:r>
      <w:r>
        <w:rPr>
          <w:rFonts w:ascii="Arial;sans-serif" w:hAnsi="Arial;sans-serif"/>
          <w:b w:val="false"/>
          <w:color w:val="000000"/>
          <w:sz w:val="20"/>
        </w:rPr>
        <w:t xml:space="preserve">of the patented BOA Fit System, partners with market-leading brands to make the best gear 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operations in Austria, China, South Korea, Japan and Vietnam.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u w:val="single"/>
        </w:rPr>
        <w:t>PrimaLoft</w:t>
      </w:r>
      <w:r>
        <w:rPr>
          <w:color w:val="000000"/>
        </w:rPr>
        <w:t xml:space="preserve"> </w:t>
      </w:r>
      <w:r>
        <w:rPr>
          <w:rFonts w:ascii="Arial;sans-serif" w:hAnsi="Arial;sans-serif"/>
          <w:b w:val="false"/>
          <w:color w:val="000000"/>
          <w:sz w:val="20"/>
        </w:rPr>
        <w:t>is a leading provider of branded, high-performance synthetic insulation and materials used primarily in consumer 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 PrimaLoft is headquartered in Latham, New York.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u w:val="single"/>
        </w:rPr>
        <w:t>The Honey Pot Co.</w:t>
      </w:r>
      <w:r>
        <w:rPr>
          <w:color w:val="000000"/>
        </w:rPr>
        <w:t xml:space="preserve"> </w:t>
      </w:r>
      <w:r>
        <w:rPr>
          <w:rFonts w:ascii="Arial;sans-serif" w:hAnsi="Arial;sans-serif"/>
          <w:b w:val="false"/>
          <w:color w:val="000000"/>
          <w:sz w:val="20"/>
        </w:rPr>
        <w:t>is a leading “better-for-you” feminine care brand, powered by plant-derived ingredients and clinically tested formulas. Founded in 2012 by CEO Beatrice Dixon, The Honey Pot Co. is rooted in the belief that all products should be made with healthy and efficacious ingredients that are kind to and safe for skin. The company offers an extensive range of holistic wellness products across the feminine hygiene, menstrual, personal care, and sexual wellness categories. The Honey Pot Co.'s mission is to educate, support, and provide consumers around the world with tools and resources that promote menstrual health and vaginal wellness. Its products can be found in more than 33,000 stores across the U.S. through mass merchants, drug and grocery retail chains, and online. The Honey Pot Co. is headquartered in Atlanta, Georgia.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u w:val="single"/>
        </w:rPr>
        <w:t>Velocity Outdoor</w:t>
      </w:r>
      <w:r>
        <w:rPr>
          <w:color w:val="000000"/>
        </w:rPr>
        <w:t xml:space="preserve"> </w:t>
      </w:r>
      <w:r>
        <w:rPr>
          <w:rFonts w:ascii="Arial;sans-serif" w:hAnsi="Arial;sans-serif"/>
          <w:b w:val="false"/>
          <w:color w:val="000000"/>
          <w:sz w:val="20"/>
        </w:rPr>
        <w:t xml:space="preserve">is a leading designer, manufacturer, and marketer of archery products, hunting apparel and related 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Arial;sans-serif" w:hAnsi="Arial;sans-serif"/>
          <w:b w:val="false"/>
          <w:color w:val="000000"/>
          <w:sz w:val="20"/>
        </w:rPr>
        <w:t>offers its products through national retail chains and dealer and distributor networks. Velocity Outdoor is headquartered</w:t>
      </w:r>
      <w:r>
        <w:rPr>
          <w:color w:val="000000"/>
          <w:shd w:fill="FFFFFF" w:val="clear"/>
        </w:rPr>
        <w:t xml:space="preserve"> </w:t>
      </w:r>
      <w:r>
        <w:rPr>
          <w:rFonts w:ascii="Arial;sans-serif" w:hAnsi="Arial;sans-serif"/>
          <w:b w:val="false"/>
          <w:color w:val="000000"/>
          <w:sz w:val="20"/>
          <w:shd w:fill="FFFFFF" w:val="clear"/>
        </w:rPr>
        <w:t>in Rochester, New York. On A</w:t>
      </w:r>
      <w:r>
        <w:rPr>
          <w:rFonts w:ascii="Arial;sans-serif" w:hAnsi="Arial;sans-serif"/>
          <w:b w:val="false"/>
          <w:color w:val="000000"/>
          <w:sz w:val="20"/>
        </w:rPr>
        <w:t>pril 30, 2024, Velocity Outdoor sold the Crosman airgun product division. The results of operation for Crosman are included in the accompanying financial statements through the date of sale.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u w:val="single"/>
        </w:rPr>
        <w:t>Altor Solutions</w:t>
      </w:r>
      <w:r>
        <w:rPr>
          <w:color w:val="000000"/>
        </w:rPr>
        <w:t xml:space="preserve"> </w:t>
      </w:r>
      <w:r>
        <w:rPr>
          <w:rFonts w:ascii="Arial;sans-serif" w:hAnsi="Arial;sans-serif"/>
          <w:b w:val="false"/>
          <w:color w:val="000000"/>
          <w:sz w:val="20"/>
        </w:rPr>
        <w:t>is a designer and manufacturer of custom molded protective foam solutions and original equipment manufacturer components made from expanded polystyrene and expanded polypropylene. Altor provides products to a variety of end markets, including appliances and electronics, pharmaceuticals, health and wellness, automotive, building and other products. Altor is headquartered in St. Louis, Missouri and oper</w:t>
      </w:r>
      <w:r>
        <w:rPr>
          <w:rFonts w:ascii="Arial;sans-serif" w:hAnsi="Arial;sans-serif"/>
          <w:b w:val="false"/>
          <w:color w:val="000000"/>
          <w:sz w:val="20"/>
          <w:shd w:fill="FFFFFF" w:val="clear"/>
        </w:rPr>
        <w:t>ates 19 molding an</w:t>
      </w:r>
      <w:r>
        <w:rPr>
          <w:rFonts w:ascii="Arial;sans-serif" w:hAnsi="Arial;sans-serif"/>
          <w:b w:val="false"/>
          <w:color w:val="000000"/>
          <w:sz w:val="20"/>
        </w:rPr>
        <w:t>d fabricating facilities across North America.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u w:val="single"/>
        </w:rPr>
        <w:t>Arnold</w:t>
      </w:r>
      <w:r>
        <w:rPr>
          <w:color w:val="000000"/>
        </w:rPr>
        <w:t xml:space="preserve"> </w:t>
      </w:r>
      <w:r>
        <w:rPr>
          <w:rFonts w:ascii="Arial;sans-serif" w:hAnsi="Arial;sans-serif"/>
          <w:b w:val="false"/>
          <w:color w:val="000000"/>
          <w:sz w:val="20"/>
        </w:rPr>
        <w:t>is a global solutions provider and manufacturer of engineered solutions for a wide range of specialty applications and end-markets, including aerospace and defense, general industrial, motorsport/transportation, oil and gas, medical, energy, semiconductor and advertising specialties. Arnold engineers solutions for and produces high performance permanent magnets (PMAG), stators, rotors and full electric motors (Ramco), precision foil products (Precision Thin Metals), and flexible magnets (Flexmag™) that are mission critical in motors, generators, sensors and other systems and components. Based on its long-term relationships, Arnold has built a diverse and blue-chip customer base totaling more than 2,000 customers and leading systems-integrators worldwide with a focus on North America, Europe, and Asia. Arnold has built a preferred rare earth supply chain and has leading rare earth and other permanent magnet production capabilities. Arnold is headquartered in Rochester, New York.</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20"/>
          <w:u w:val="single"/>
          <w:shd w:fill="FFFFFF" w:val="clear"/>
        </w:rPr>
        <w:t>Rimports</w:t>
      </w:r>
      <w:r>
        <w:rPr>
          <w:color w:val="000000"/>
          <w:shd w:fill="FFFFFF" w:val="clear"/>
        </w:rPr>
        <w:t xml:space="preserve"> </w:t>
      </w:r>
      <w:r>
        <w:rPr>
          <w:rFonts w:ascii="Arial;sans-serif" w:hAnsi="Arial;sans-serif"/>
          <w:b w:val="false"/>
          <w:color w:val="000000"/>
          <w:sz w:val="20"/>
          <w:shd w:fill="FFFFFF" w:val="clear"/>
        </w:rPr>
        <w:t xml:space="preserve">manufactures and distributes branded and private label wickless candle products used for home decor and fragrance systems under the ScentSationals and Fusion brands. Rimports offers unique lines of wickless candle products including ceramic wax warmers, scented wax cubes, fragrance oils, essential oils, and diffusers. Rimports also sells flameless candles, lanterns, and outdoor lighting. Rimports was acquired by Sterno in February 2018 and is headquartered in Provo, Utah.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function of chief operating decision-maker (“CODM”) is performed collectively by the Company's Chief Executive Officer, the Chief Operating Officer of CGM and the partners of CGM. The CODM evaluates financial results by segment, utilizing segment operating income to assess performance and allocate resources. The allocation of resources to operating segments may include, but is not limited to, debt financing through the Company's intercompany credit agreements with its operating segments to fund working capital needs, purchases of capital equipment and add-on acquisitions. The primary resource allocation process occurs predominantly in the annual budget and forecasting process. The CODM then reviews and considers budget-to-actual variances on a monthly basis for segment operating income in order to determine whether to make any adjustments to capital allocations.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tabular information that follows shows data for each of the operating segments reconciled to amounts reflected in the consolidated financial statements. The operations of each of the operating segments are included in consolidated operating results as of their date of acquisition. During the second quarter of 2026, the Company completed the sale of Sterno’s food service business. Prior to the sale, Sterno distributed Rimports, its home fragrance business, to its stockholders, and Rimports remained a majority owned subsidiary of the LLC. Accordingly, the Rimports operating segment reflects the home fragrance business retained by the Company following the sale of Sterno’s food service business. The December 31, 2025 balance sheet disclosures include Sterno’s food service business prior to the sale and distribution of Rimports. The results of Sterno’s food service business through the date of sale and the results of Rimports for all periods presented are included in continuing operations and reflected in the operating segment data, as applicable. Lugano was an operating segment of the Company until November 16, 2025 when Lugano filed for bankruptcy and was deconsolidated. The results of operation of Lugano are included in the Summary of Operating Segments table and the Depreciation and Amortization table for the three and six months ended June 30, 2025. Segment profit is determined based on internal performance measures used by the CODM to assess the performance of each business. The significant expense categories and amounts align with the segment-level information that is regularly provided to the CODM. In comparison to the Consolidated Statement of Operations, selling, general and administrative expense is exclusive of stock-based compensation and acquisition costs, which are categorized to Other. Corporate consists of corporate overhead and management fees to CGM that are not allocated to the Company's reportable segments. There were no significant inter-segment transactions. </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Summary of Operating Segments</w:t>
      </w:r>
    </w:p>
    <w:tbl>
      <w:tblPr>
        <w:tblW w:w="12616" w:type="dxa"/>
        <w:jc w:val="left"/>
        <w:tblInd w:w="0" w:type="dxa"/>
        <w:tblLayout w:type="fixed"/>
        <w:tblCellMar>
          <w:top w:w="28" w:type="dxa"/>
          <w:left w:w="28" w:type="dxa"/>
          <w:bottom w:w="28" w:type="dxa"/>
          <w:right w:w="28" w:type="dxa"/>
        </w:tblCellMar>
      </w:tblPr>
      <w:tblGrid>
        <w:gridCol w:w="588"/>
        <w:gridCol w:w="383"/>
        <w:gridCol w:w="245"/>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58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6" w:type="dxa"/>
            <w:gridSpan w:val="54"/>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June 30, 2026</w:t>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5.11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PrimaLoft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Velocity Outdoor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Altor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Arnold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Rimports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424,042 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Other segment items</w:t>
            </w:r>
            <w:r>
              <w:rPr>
                <w:color w:val="000000"/>
              </w:rPr>
              <w:t xml:space="preserve"> </w:t>
            </w:r>
            <w:r>
              <w:rPr>
                <w:rFonts w:ascii="Arial;sans-serif" w:hAnsi="Arial;sans-serif"/>
                <w:b/>
                <w:color w:val="000000"/>
                <w:sz w:val="11"/>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segment 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Corporate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(28,542)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operating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28,974 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(23,895)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Decrease in fair value of receivable due from unconsolidated affiliate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product division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income from continuing operations before income taxes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127,253 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Arial;sans-serif" w:hAnsi="Arial;sans-serif"/>
          <w:b/>
          <w:color w:val="000000"/>
          <w:sz w:val="14"/>
        </w:rPr>
        <w:t>(1)</w:t>
      </w:r>
      <w:r>
        <w:rPr>
          <w:color w:val="000000"/>
        </w:rPr>
        <w:t xml:space="preserve"> </w:t>
      </w:r>
      <w:r>
        <w:rPr>
          <w:rFonts w:ascii="Arial;sans-serif" w:hAnsi="Arial;sans-serif"/>
          <w:b w:val="false"/>
          <w:color w:val="000000"/>
          <w:sz w:val="19"/>
        </w:rPr>
        <w:t xml:space="preserve">Other consists of segment allocated management fees, amortization expense of intangible assets, stock-based compensation and </w:t>
      </w:r>
      <w:r>
        <w:rPr>
          <w:rFonts w:ascii="Arial;sans-serif" w:hAnsi="Arial;sans-serif"/>
          <w:b w:val="false"/>
          <w:color w:val="000000"/>
          <w:sz w:val="18"/>
        </w:rPr>
        <w:t>other operating (income) expense</w:t>
      </w:r>
      <w:r>
        <w:rPr>
          <w:rFonts w:ascii="Arial;sans-serif" w:hAnsi="Arial;sans-serif"/>
          <w:b w:val="false"/>
          <w:color w:val="000000"/>
          <w:sz w:val="19"/>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before="0" w:after="0"/>
        <w:jc w:val="left"/>
        <w:rPr/>
      </w:pPr>
      <w:r>
        <w:rPr/>
      </w:r>
    </w:p>
    <w:tbl>
      <w:tblPr>
        <w:tblW w:w="13804" w:type="dxa"/>
        <w:jc w:val="left"/>
        <w:tblInd w:w="0" w:type="dxa"/>
        <w:tblLayout w:type="fixed"/>
        <w:tblCellMar>
          <w:top w:w="28" w:type="dxa"/>
          <w:left w:w="28" w:type="dxa"/>
          <w:bottom w:w="28" w:type="dxa"/>
          <w:right w:w="28" w:type="dxa"/>
        </w:tblCellMar>
      </w:tblPr>
      <w:tblGrid>
        <w:gridCol w:w="498"/>
        <w:gridCol w:w="383"/>
        <w:gridCol w:w="245"/>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4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4" w:type="dxa"/>
            <w:gridSpan w:val="60"/>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June 30, 2025</w:t>
            </w:r>
          </w:p>
        </w:tc>
      </w:tr>
      <w:tr>
        <w:trPr/>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5.11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Lugano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PrimaLoft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Velocity Outdoor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Altor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Arnold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Rimports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478,690 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270,149 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Other segment items</w:t>
            </w:r>
            <w:r>
              <w:rPr>
                <w:color w:val="000000"/>
              </w:rPr>
              <w:t xml:space="preserve"> </w:t>
            </w:r>
            <w:r>
              <w:rPr>
                <w:rFonts w:ascii="Arial;sans-serif" w:hAnsi="Arial;sans-serif"/>
                <w:b/>
                <w:color w:val="000000"/>
                <w:sz w:val="11"/>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segment 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(46,782)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Corporate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(30,497)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operating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(34,096)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loss from continuing operations before income taxes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(63,419)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Arial;sans-serif" w:hAnsi="Arial;sans-serif"/>
          <w:b/>
          <w:color w:val="000000"/>
          <w:sz w:val="14"/>
        </w:rPr>
        <w:t>(1)</w:t>
      </w:r>
      <w:r>
        <w:rPr>
          <w:color w:val="000000"/>
        </w:rPr>
        <w:t xml:space="preserve"> </w:t>
      </w:r>
      <w:r>
        <w:rPr>
          <w:rFonts w:ascii="Arial;sans-serif" w:hAnsi="Arial;sans-serif"/>
          <w:b w:val="false"/>
          <w:color w:val="000000"/>
          <w:sz w:val="18"/>
        </w:rPr>
        <w:t>Other consists of segment allocated management fees, amortization expense of intangible assets, and stock-based compensation and impairment expense at Lugano of $31.5 million.</w:t>
      </w:r>
    </w:p>
    <w:tbl>
      <w:tblPr>
        <w:tblW w:w="12886" w:type="dxa"/>
        <w:jc w:val="left"/>
        <w:tblInd w:w="0" w:type="dxa"/>
        <w:tblLayout w:type="fixed"/>
        <w:tblCellMar>
          <w:top w:w="28" w:type="dxa"/>
          <w:left w:w="28" w:type="dxa"/>
          <w:bottom w:w="28" w:type="dxa"/>
          <w:right w:w="28" w:type="dxa"/>
        </w:tblCellMar>
      </w:tblPr>
      <w:tblGrid>
        <w:gridCol w:w="588"/>
        <w:gridCol w:w="383"/>
        <w:gridCol w:w="245"/>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58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86" w:type="dxa"/>
            <w:gridSpan w:val="54"/>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 2026</w:t>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5.11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PrimaLoft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Velocity Outdoor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Altor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Arnold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Rimports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250,470 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850,897 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461,576 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231,241 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Other segment items</w:t>
            </w:r>
            <w:r>
              <w:rPr>
                <w:color w:val="000000"/>
              </w:rPr>
              <w:t xml:space="preserve"> </w:t>
            </w:r>
            <w:r>
              <w:rPr>
                <w:rFonts w:ascii="Arial;sans-serif" w:hAnsi="Arial;sans-serif"/>
                <w:b/>
                <w:color w:val="000000"/>
                <w:sz w:val="11"/>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shd w:fill="FFFFFF" w:val="clear"/>
              </w:rPr>
            </w:pPr>
            <w:r>
              <w:rPr>
                <w:rFonts w:ascii="Arial;sans-serif" w:hAnsi="Arial;sans-serif"/>
                <w:b w:val="false"/>
                <w:color w:val="000000"/>
                <w:sz w:val="17"/>
                <w:shd w:fill="FFFFFF" w:val="clear"/>
              </w:rPr>
              <w:t>(2,833)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segment 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93,322 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Corporate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(55,895)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operating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(51,390)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Decrease in fair value of receivable due from unconsolidated affiliate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product division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income from continuing operations before income taxes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103,486 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pPr>
      <w:r>
        <w:rPr>
          <w:rFonts w:ascii="Arial;sans-serif" w:hAnsi="Arial;sans-serif"/>
          <w:b/>
          <w:color w:val="000000"/>
          <w:sz w:val="14"/>
        </w:rPr>
        <w:t>(1)</w:t>
      </w:r>
      <w:r>
        <w:rPr>
          <w:color w:val="000000"/>
        </w:rPr>
        <w:t xml:space="preserve"> </w:t>
      </w:r>
      <w:r>
        <w:rPr>
          <w:rFonts w:ascii="Arial;sans-serif" w:hAnsi="Arial;sans-serif"/>
          <w:b w:val="false"/>
          <w:color w:val="000000"/>
          <w:sz w:val="18"/>
        </w:rPr>
        <w:t xml:space="preserve">Other consists of segment allocated management fees, amortization expense of intangible assets, stock-based compensation, other operating (income) expense and impairment expense at PrimaLoft of $20.5 million. </w:t>
      </w:r>
    </w:p>
    <w:tbl>
      <w:tblPr>
        <w:tblW w:w="13999" w:type="dxa"/>
        <w:jc w:val="left"/>
        <w:tblInd w:w="0" w:type="dxa"/>
        <w:tblLayout w:type="fixed"/>
        <w:tblCellMar>
          <w:top w:w="28" w:type="dxa"/>
          <w:left w:w="28" w:type="dxa"/>
          <w:bottom w:w="28" w:type="dxa"/>
          <w:right w:w="28" w:type="dxa"/>
        </w:tblCellMar>
      </w:tblPr>
      <w:tblGrid>
        <w:gridCol w:w="498"/>
        <w:gridCol w:w="383"/>
        <w:gridCol w:w="245"/>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51"/>
        <w:gridCol w:w="154"/>
      </w:tblGrid>
      <w:tr>
        <w:trPr/>
        <w:tc>
          <w:tcPr>
            <w:tcW w:w="4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99" w:type="dxa"/>
            <w:gridSpan w:val="60"/>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 2025</w:t>
            </w:r>
          </w:p>
        </w:tc>
      </w:tr>
      <w:tr>
        <w:trPr/>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5.11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Lugano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PrimaLoft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Velocity Outdoor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Altor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Arnold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Rimports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260,812 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932,465 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117,811 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527,892 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286,521 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Other segment items</w:t>
            </w:r>
            <w:r>
              <w:rPr>
                <w:color w:val="000000"/>
              </w:rPr>
              <w:t xml:space="preserve"> </w:t>
            </w:r>
            <w:r>
              <w:rPr>
                <w:rFonts w:ascii="Arial;sans-serif" w:hAnsi="Arial;sans-serif"/>
                <w:b/>
                <w:color w:val="000000"/>
                <w:sz w:val="11"/>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segment 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Corporate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(52,226)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operating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(23,797)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(69,947)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(expense),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loss from continuing operations before income taxes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(110,635)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Arial;sans-serif" w:hAnsi="Arial;sans-serif"/>
          <w:b/>
          <w:color w:val="000000"/>
          <w:sz w:val="14"/>
        </w:rPr>
        <w:t>(1)</w:t>
      </w:r>
      <w:r>
        <w:rPr>
          <w:color w:val="000000"/>
        </w:rPr>
        <w:t xml:space="preserve"> </w:t>
      </w:r>
      <w:r>
        <w:rPr>
          <w:rFonts w:ascii="Arial;sans-serif" w:hAnsi="Arial;sans-serif"/>
          <w:b w:val="false"/>
          <w:color w:val="000000"/>
          <w:sz w:val="18"/>
        </w:rPr>
        <w:t>Other consists of segment allocated management fees, amortization expense of intangible assets, and stock-based compensation and impairment expense at Lugano of $31.5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41</w:t>
                      </w:r>
                    </w:p>
                  </w:txbxContent>
                </v:textbox>
                <w10:wrap type="none"/>
              </v:rect>
            </w:pict>
          </mc:Fallback>
        </mc:AlternateContent>
      </w:r>
    </w:p>
    <w:p>
      <w:pPr>
        <w:pStyle w:val="TextBody"/>
        <w:bidi w:val="0"/>
        <w:spacing w:before="0" w:after="0"/>
        <w:jc w:val="left"/>
        <w:rPr/>
      </w:pPr>
      <w:r>
        <w:rPr/>
      </w:r>
    </w:p>
    <w:tbl>
      <w:tblPr>
        <w:tblW w:w="9407" w:type="dxa"/>
        <w:jc w:val="center"/>
        <w:tblInd w:w="0" w:type="dxa"/>
        <w:tblLayout w:type="fixed"/>
        <w:tblCellMar>
          <w:top w:w="28" w:type="dxa"/>
          <w:left w:w="28" w:type="dxa"/>
          <w:bottom w:w="28" w:type="dxa"/>
          <w:right w:w="28" w:type="dxa"/>
        </w:tblCellMar>
      </w:tblPr>
      <w:tblGrid>
        <w:gridCol w:w="1511"/>
        <w:gridCol w:w="1327"/>
        <w:gridCol w:w="1331"/>
        <w:gridCol w:w="215"/>
        <w:gridCol w:w="736"/>
        <w:gridCol w:w="111"/>
        <w:gridCol w:w="111"/>
        <w:gridCol w:w="111"/>
        <w:gridCol w:w="111"/>
        <w:gridCol w:w="215"/>
        <w:gridCol w:w="736"/>
        <w:gridCol w:w="111"/>
        <w:gridCol w:w="109"/>
        <w:gridCol w:w="109"/>
        <w:gridCol w:w="109"/>
        <w:gridCol w:w="211"/>
        <w:gridCol w:w="721"/>
        <w:gridCol w:w="109"/>
        <w:gridCol w:w="109"/>
        <w:gridCol w:w="109"/>
        <w:gridCol w:w="109"/>
        <w:gridCol w:w="211"/>
        <w:gridCol w:w="721"/>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Depreciation and Amortization Expense</w:t>
            </w:r>
          </w:p>
        </w:tc>
        <w:tc>
          <w:tcPr>
            <w:tcW w:w="2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w:t>
            </w:r>
          </w:p>
        </w:tc>
      </w:tr>
      <w:tr>
        <w:trPr/>
        <w:tc>
          <w:tcPr>
            <w:tcW w:w="4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5"/>
              </w:rPr>
            </w:pPr>
            <w:r>
              <w:rPr>
                <w:rFonts w:ascii="Arial;sans-serif" w:hAnsi="Arial;sans-serif"/>
                <w:b w:val="false"/>
                <w:i/>
                <w:color w:val="000000"/>
                <w:sz w:val="15"/>
              </w:rPr>
              <w:t>(in thousands)</w:t>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5.11 </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Lugano </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 Solutions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Arnold </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Rimports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33,054 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34,179 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of segment to consolidated total:</w:t>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Amortization of debt issuance costs </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total</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35,101 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35,150 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1547"/>
        <w:gridCol w:w="1357"/>
        <w:gridCol w:w="1365"/>
        <w:gridCol w:w="211"/>
        <w:gridCol w:w="826"/>
        <w:gridCol w:w="109"/>
        <w:gridCol w:w="109"/>
        <w:gridCol w:w="109"/>
        <w:gridCol w:w="109"/>
        <w:gridCol w:w="214"/>
        <w:gridCol w:w="843"/>
        <w:gridCol w:w="110"/>
        <w:gridCol w:w="109"/>
        <w:gridCol w:w="109"/>
        <w:gridCol w:w="109"/>
        <w:gridCol w:w="211"/>
        <w:gridCol w:w="976"/>
        <w:gridCol w:w="109"/>
        <w:gridCol w:w="109"/>
        <w:gridCol w:w="109"/>
        <w:gridCol w:w="109"/>
        <w:gridCol w:w="211"/>
        <w:gridCol w:w="976"/>
        <w:gridCol w:w="159"/>
      </w:tblGrid>
      <w:tr>
        <w:trPr/>
        <w:tc>
          <w:tcPr>
            <w:tcW w:w="154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Identifiable Assets</w:t>
            </w:r>
          </w:p>
        </w:tc>
      </w:tr>
      <w:tr>
        <w:trPr/>
        <w:tc>
          <w:tcPr>
            <w:tcW w:w="4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r>
          </w:p>
        </w:tc>
      </w:tr>
      <w:tr>
        <w:trPr/>
        <w:tc>
          <w:tcPr>
            <w:tcW w:w="4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5"/>
              </w:rPr>
            </w:pPr>
            <w:r>
              <w:rPr>
                <w:rFonts w:ascii="Arial;sans-serif" w:hAnsi="Arial;sans-serif"/>
                <w:b w:val="false"/>
                <w:i/>
                <w:color w:val="000000"/>
                <w:sz w:val="15"/>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7"/>
              </w:rPr>
              <w:t xml:space="preserve">2026 </w:t>
            </w:r>
            <w:r>
              <w:rPr>
                <w:rFonts w:ascii="Arial;sans-serif" w:hAnsi="Arial;sans-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7"/>
              </w:rPr>
              <w:t xml:space="preserve">2025 </w:t>
            </w:r>
            <w:r>
              <w:rPr>
                <w:rFonts w:ascii="Arial;sans-serif" w:hAnsi="Arial;sans-serif"/>
                <w:b/>
                <w:color w:val="000000"/>
                <w:sz w:val="11"/>
              </w:rPr>
              <w:t>(1)</w:t>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5.11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67,064 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420,755 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209,388 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248,314 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268,162 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288,966 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Arnold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Rimports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allowance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202,887 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1,653,371 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1,780,209 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of segment to consolidated totals: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and other identifiable assets</w:t>
            </w:r>
            <w:r>
              <w:rPr>
                <w:color w:val="000000"/>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186,327 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202,887 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1,735,209 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1,940,876 </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hanging="360"/>
        <w:jc w:val="left"/>
        <w:rPr/>
      </w:pPr>
      <w:r>
        <w:rPr>
          <w:rFonts w:ascii="Arial;sans-serif" w:hAnsi="Arial;sans-serif"/>
          <w:b/>
          <w:color w:val="000000"/>
          <w:sz w:val="12"/>
        </w:rPr>
        <w:t>(1)</w:t>
      </w:r>
      <w:r>
        <w:rPr>
          <w:rFonts w:ascii="Arial;sans-serif" w:hAnsi="Arial;sans-serif"/>
          <w:b w:val="false"/>
          <w:color w:val="000000"/>
          <w:sz w:val="18"/>
        </w:rPr>
        <w:t xml:space="preserve">Does not include accounts receivable balances per schedule above or goodwill balances - refer to </w:t>
      </w:r>
      <w:hyperlink w:anchor="i29996918526446a59b54dc1fd0efe432_61">
        <w:r>
          <w:rPr>
            <w:rStyle w:val="InternetLink"/>
            <w:rFonts w:ascii="Arial;sans-serif" w:hAnsi="Arial;sans-serif"/>
            <w:b w:val="false"/>
            <w:color w:val="0000FF"/>
            <w:sz w:val="18"/>
            <w:u w:val="single"/>
          </w:rPr>
          <w:t>Note E - "Goodwill and Other Intangible Assets"</w:t>
        </w:r>
      </w:hyperlink>
      <w:r>
        <w:rPr>
          <w:rFonts w:ascii="Arial;sans-serif" w:hAnsi="Arial;sans-serif"/>
          <w:b w:val="false"/>
          <w:color w:val="000000"/>
          <w:sz w:val="18"/>
        </w:rPr>
        <w:t>.</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both"/>
        <w:rPr>
          <w:rFonts w:ascii="Arial;sans-serif" w:hAnsi="Arial;sans-serif"/>
          <w:b/>
          <w:color w:val="000000"/>
          <w:sz w:val="20"/>
          <w:shd w:fill="FFFFFF" w:val="clear"/>
        </w:rPr>
      </w:pPr>
      <w:r>
        <w:rPr>
          <w:rFonts w:ascii="Arial;sans-serif" w:hAnsi="Arial;sans-serif"/>
          <w:b/>
          <w:color w:val="000000"/>
          <w:sz w:val="20"/>
          <w:shd w:fill="FFFFFF" w:val="clear"/>
        </w:rPr>
        <w:t>Note P - Subsequent Events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Sixth Amendment to the 2022 Credit Facility</w:t>
      </w:r>
    </w:p>
    <w:p>
      <w:pPr>
        <w:pStyle w:val="TextBody"/>
        <w:bidi w:val="0"/>
        <w:spacing w:lineRule="auto" w:line="288" w:before="120" w:after="283"/>
        <w:jc w:val="both"/>
        <w:rPr/>
      </w:pPr>
      <w:r>
        <w:rPr>
          <w:rFonts w:ascii="Arial;sans-serif" w:hAnsi="Arial;sans-serif"/>
          <w:b w:val="false"/>
          <w:color w:val="000000"/>
          <w:sz w:val="20"/>
        </w:rPr>
        <w:t>On August 6, 2026, the LLC entered into a Sixth Amendment to Credit Agreement (the “</w:t>
      </w:r>
      <w:r>
        <w:rPr>
          <w:rFonts w:ascii="Arial;sans-serif" w:hAnsi="Arial;sans-serif"/>
          <w:b w:val="false"/>
          <w:color w:val="000000"/>
          <w:sz w:val="20"/>
          <w:u w:val="single"/>
        </w:rPr>
        <w:t>Sixth Amendment</w:t>
      </w:r>
      <w:r>
        <w:rPr>
          <w:color w:val="000000"/>
        </w:rPr>
        <w:t>”</w:t>
      </w:r>
      <w:r>
        <w:rPr>
          <w:rFonts w:ascii="Arial;sans-serif" w:hAnsi="Arial;sans-serif"/>
          <w:b w:val="false"/>
          <w:color w:val="000000"/>
          <w:sz w:val="20"/>
        </w:rPr>
        <w:t>) with Bank of America, N.A. (the “</w:t>
      </w:r>
      <w:r>
        <w:rPr>
          <w:rFonts w:ascii="Arial;sans-serif" w:hAnsi="Arial;sans-serif"/>
          <w:b w:val="false"/>
          <w:color w:val="000000"/>
          <w:sz w:val="20"/>
          <w:u w:val="single"/>
        </w:rPr>
        <w:t>Administrative Agent</w:t>
      </w:r>
      <w:r>
        <w:rPr>
          <w:color w:val="000000"/>
        </w:rPr>
        <w:t>”</w:t>
      </w:r>
      <w:r>
        <w:rPr>
          <w:rFonts w:ascii="Arial;sans-serif" w:hAnsi="Arial;sans-serif"/>
          <w:b w:val="false"/>
          <w:color w:val="000000"/>
          <w:sz w:val="20"/>
        </w:rPr>
        <w:t>), in its capacity as administrative agent for the lenders, swing line lender, and L/C issuer. The Sixth Amendment, among other things, waived the milestone fees that otherwise would have been payable under the Fifth Amendment Transaction Letter, reduced the aggregate revolving commitments under the Credit Agreement from $100,000,000 to $54,000,000, and extended the maturity date to January 12, 2028.The Sixth Amendment also made several other changes to the Credit Agreement, including reducing the portion of Combined Eligible Availability that may be attributable to any individual subsidiary business from 40% to 25%, removing the Incremental Delayed Draw Term Loan facility, permitting Rimports Holdings, Inc., any other individual subsidiary business approved by the administrative agent, and their respective subsidiaries to enter into supply chain financing arrangements, and permitting the Company and its subsidiaries to pay fees under the Ninth Amended and Restated Management Services Agreement, dated July 12, 2026, between the Company and Compass Group Management LLC. In addition, the Sixth Amendment reduced the aggregate amount available under the incremental facilities from $250,000,000 to $150,000,000. Under the Sixth Amendment, the Company is required to maintain a Consolidated Total Leverage Ratio of no more than 5.75 to 1.00 for the fiscal quarter ending September 30, 2026, (b) 5.25 to 1.00 for the fiscal quarters ending December 31, 2026 and March 31, 2027, (c) 5.00 to 1.00 for fiscal quarters ending June 30, 2027 and September 30, 2027 and (d) 4.50 to 1.00 for each fiscal quarter thereafter. If the Company has not repaid the term loans under the Credit Agreement on or before December 31, 2026, the Company will be required to pay a milestone fee in the amount of $4,000,000.</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Ninth Amended and Restated Management Services Agreement</w:t>
      </w:r>
      <w:r>
        <w:rPr>
          <w:color w:val="FF0000"/>
        </w:rPr>
        <w:t xml:space="preserve"> </w:t>
      </w:r>
    </w:p>
    <w:p>
      <w:pPr>
        <w:pStyle w:val="TextBody"/>
        <w:bidi w:val="0"/>
        <w:spacing w:lineRule="auto" w:line="288" w:before="120" w:after="283"/>
        <w:jc w:val="both"/>
        <w:rPr/>
      </w:pPr>
      <w:r>
        <w:rPr>
          <w:rFonts w:ascii="Arial;sans-serif" w:hAnsi="Arial;sans-serif"/>
          <w:b w:val="false"/>
          <w:color w:val="000000"/>
          <w:sz w:val="20"/>
        </w:rPr>
        <w:t>On July 12, 2026, the LLC and CGM entered into the Ninth MSA,</w:t>
      </w:r>
      <w:r>
        <w:rPr>
          <w:color w:val="000000"/>
          <w:shd w:fill="FFFFFF" w:val="clear"/>
        </w:rPr>
        <w:t xml:space="preserve"> </w:t>
      </w:r>
      <w:r>
        <w:rPr>
          <w:rFonts w:ascii="Arial;sans-serif" w:hAnsi="Arial;sans-serif"/>
          <w:b w:val="false"/>
          <w:color w:val="000000"/>
          <w:sz w:val="20"/>
          <w:shd w:fill="FFFFFF" w:val="clear"/>
        </w:rPr>
        <w:t xml:space="preserve">which </w:t>
      </w:r>
      <w:r>
        <w:rPr>
          <w:rFonts w:ascii="Arial;sans-serif" w:hAnsi="Arial;sans-serif"/>
          <w:b w:val="false"/>
          <w:color w:val="000000"/>
          <w:sz w:val="20"/>
        </w:rPr>
        <w:t xml:space="preserve">became effective upon execution and </w:t>
      </w:r>
      <w:r>
        <w:rPr>
          <w:rFonts w:ascii="Arial;sans-serif" w:hAnsi="Arial;sans-serif"/>
          <w:b w:val="false"/>
          <w:color w:val="000000"/>
          <w:sz w:val="20"/>
          <w:shd w:fill="FFFFFF" w:val="clear"/>
        </w:rPr>
        <w:t xml:space="preserve">amends and restates the Eighth </w:t>
      </w:r>
      <w:r>
        <w:rPr>
          <w:rFonts w:ascii="Arial;sans-serif" w:hAnsi="Arial;sans-serif"/>
          <w:b w:val="false"/>
          <w:color w:val="000000"/>
          <w:sz w:val="20"/>
        </w:rPr>
        <w:t>MSA.</w:t>
      </w:r>
      <w:r>
        <w:rPr>
          <w:color w:val="000000"/>
          <w:shd w:fill="FFFFFF" w:val="clear"/>
        </w:rPr>
        <w:t xml:space="preserve"> </w:t>
      </w:r>
      <w:r>
        <w:rPr>
          <w:rFonts w:ascii="Arial;sans-serif" w:hAnsi="Arial;sans-serif"/>
          <w:b w:val="false"/>
          <w:color w:val="000000"/>
          <w:sz w:val="20"/>
          <w:shd w:fill="FFFFFF" w:val="clear"/>
        </w:rPr>
        <w:t xml:space="preserve">The </w:t>
      </w:r>
      <w:r>
        <w:rPr>
          <w:rFonts w:ascii="Arial;sans-serif" w:hAnsi="Arial;sans-serif"/>
          <w:b w:val="false"/>
          <w:color w:val="000000"/>
          <w:sz w:val="20"/>
        </w:rPr>
        <w:t xml:space="preserve">Ninth </w:t>
      </w:r>
      <w:r>
        <w:rPr>
          <w:rFonts w:ascii="Arial;sans-serif" w:hAnsi="Arial;sans-serif"/>
          <w:b w:val="false"/>
          <w:color w:val="000000"/>
          <w:sz w:val="20"/>
          <w:shd w:fill="FFFFFF" w:val="clear"/>
        </w:rPr>
        <w:t xml:space="preserve">MSA </w:t>
      </w:r>
      <w:r>
        <w:rPr>
          <w:rFonts w:ascii="Arial;sans-serif" w:hAnsi="Arial;sans-serif"/>
          <w:b w:val="false"/>
          <w:color w:val="000000"/>
          <w:sz w:val="20"/>
        </w:rPr>
        <w:t>revises</w:t>
      </w:r>
      <w:r>
        <w:rPr>
          <w:color w:val="000000"/>
          <w:shd w:fill="FFFFFF" w:val="clear"/>
        </w:rPr>
        <w:t xml:space="preserve"> </w:t>
      </w:r>
      <w:r>
        <w:rPr>
          <w:rFonts w:ascii="Arial;sans-serif" w:hAnsi="Arial;sans-serif"/>
          <w:b w:val="false"/>
          <w:color w:val="000000"/>
          <w:sz w:val="20"/>
          <w:shd w:fill="FFFFFF" w:val="clear"/>
        </w:rPr>
        <w:t xml:space="preserve">the Company’s management fee and incentive compensation arrangements with </w:t>
      </w:r>
      <w:r>
        <w:rPr>
          <w:rFonts w:ascii="Arial;sans-serif" w:hAnsi="Arial;sans-serif"/>
          <w:b w:val="false"/>
          <w:color w:val="000000"/>
          <w:sz w:val="20"/>
        </w:rPr>
        <w:t xml:space="preserve">CGM. The </w:t>
      </w:r>
      <w:r>
        <w:rPr>
          <w:rFonts w:ascii="Arial;sans-serif" w:hAnsi="Arial;sans-serif"/>
          <w:b w:val="false"/>
          <w:color w:val="000000"/>
          <w:sz w:val="20"/>
          <w:shd w:fill="FFFFFF" w:val="clear"/>
        </w:rPr>
        <w:t xml:space="preserve">fee </w:t>
      </w:r>
      <w:r>
        <w:rPr>
          <w:rFonts w:ascii="Arial;sans-serif" w:hAnsi="Arial;sans-serif"/>
          <w:b w:val="false"/>
          <w:color w:val="000000"/>
          <w:sz w:val="20"/>
        </w:rPr>
        <w:t xml:space="preserve">and incentive-award </w:t>
      </w:r>
      <w:r>
        <w:rPr>
          <w:rFonts w:ascii="Arial;sans-serif" w:hAnsi="Arial;sans-serif"/>
          <w:b w:val="false"/>
          <w:color w:val="000000"/>
          <w:sz w:val="20"/>
          <w:shd w:fill="FFFFFF" w:val="clear"/>
        </w:rPr>
        <w:t xml:space="preserve">provisions </w:t>
      </w:r>
      <w:r>
        <w:rPr>
          <w:rFonts w:ascii="Arial;sans-serif" w:hAnsi="Arial;sans-serif"/>
          <w:b w:val="false"/>
          <w:color w:val="000000"/>
          <w:sz w:val="20"/>
        </w:rPr>
        <w:t>described below become</w:t>
      </w:r>
      <w:r>
        <w:rPr>
          <w:color w:val="000000"/>
          <w:shd w:fill="FFFFFF" w:val="clear"/>
        </w:rPr>
        <w:t xml:space="preserve"> </w:t>
      </w:r>
      <w:r>
        <w:rPr>
          <w:rFonts w:ascii="Arial;sans-serif" w:hAnsi="Arial;sans-serif"/>
          <w:b w:val="false"/>
          <w:color w:val="000000"/>
          <w:sz w:val="20"/>
          <w:shd w:fill="FFFFFF" w:val="clear"/>
        </w:rPr>
        <w:t xml:space="preserve">effective January 1, 2027 </w:t>
      </w:r>
      <w:r>
        <w:rPr>
          <w:rFonts w:ascii="Arial;sans-serif" w:hAnsi="Arial;sans-serif"/>
          <w:b w:val="false"/>
          <w:color w:val="000000"/>
          <w:sz w:val="20"/>
        </w:rPr>
        <w:t xml:space="preserve">and the </w:t>
      </w:r>
      <w:r>
        <w:rPr>
          <w:rFonts w:ascii="Arial;sans-serif" w:hAnsi="Arial;sans-serif"/>
          <w:b w:val="false"/>
          <w:color w:val="000000"/>
          <w:sz w:val="20"/>
          <w:shd w:fill="FFFFFF" w:val="clear"/>
        </w:rPr>
        <w:t xml:space="preserve">fee provisions of the </w:t>
      </w:r>
      <w:r>
        <w:rPr>
          <w:rFonts w:ascii="Arial;sans-serif" w:hAnsi="Arial;sans-serif"/>
          <w:b w:val="false"/>
          <w:color w:val="000000"/>
          <w:sz w:val="20"/>
        </w:rPr>
        <w:t>Eighth MSA</w:t>
      </w:r>
      <w:r>
        <w:rPr>
          <w:color w:val="000000"/>
          <w:shd w:fill="FFFFFF" w:val="clear"/>
        </w:rPr>
        <w:t xml:space="preserve"> </w:t>
      </w:r>
      <w:r>
        <w:rPr>
          <w:rFonts w:ascii="Arial;sans-serif" w:hAnsi="Arial;sans-serif"/>
          <w:b w:val="false"/>
          <w:color w:val="000000"/>
          <w:sz w:val="20"/>
          <w:shd w:fill="FFFFFF" w:val="clear"/>
        </w:rPr>
        <w:t>remain in effect through December 31, 2026.</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Beginning in 2027, the annual base management fee will equal 1.25% of the first $3.0 billion of Adjusted Net Assets, 1.125% of Adjusted Net Assets between $3.0 billion and $5.0 billion and 1.0% of Adjusted Net Assets above $5.0 billion, with Adjusted Net Assets as defined in the Ninth MSA. The 2027 base management fee will be capped at $30.0 million. In addition, aggregate fees and awards attributable to 2027 will be subject to a cap equal to 1.75% of 2026 Average Adjusted Net Assets, with reductions applied in the order specified in the Ninth MSA.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Ninth MSA also replaces the existing incentive management fee structure with an annual Share Alignment Award and an annual Performance-Based Award. The Share Alignment Award will equal 0.125% of the Company’s Average Adjusted Net Assets for the preceding fiscal year, and the Performance-Based Award will have a target opportunity equal to the same amount. For 2027, the Share Alignment Award will be paid in cash, and the Performance-Based Award will be denominated by reference to notional CODI common shares and settled solely in cash following certification of performance by the Compensation Committee.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Performance-Based Award will be based 70% on CODI’s total shareholder return relative to the S&amp;P SmallCap 600 Index, with target performance at the 60th percentile, and 30% on Company-level adjusted EBITDA objectives established by the Compensation Committee. The relative total shareholder return component will be subject to a requirement that CODI’s absolute total shareholder return for the applicable performance period not be negative and, for 2027, a $17.25 dividend-adjusted stock-price threshold. The awards are subject to the terms, certification, forfeiture, acceleration and clawback provisions set forth in the Ninth MSA.</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For fiscal years after 2027, the parties intend to seek shareholder approval of an equity-based structure for the Share Alignment Award and the Performance-Based Award. If no equity-based or other permanent structure is operative for a later year, the cash-based award structure applicable to 2027 generally will continue, subject to the terms of the Ninth MSA; however, the 2027 Aggregate Fee Cap and the $17.25 threshold are specific to 2027. For any later year in which the awards remain cash-based, aggregate Management Fees may not exceed the amount that would have been payable under the Eighth MSA for that year. Any amount excluded by this limitation will be carried forward solely for purposes of calculating Management Fees in subsequent years and will not otherwise be payable for the year in which it is excluded. The Ninth MSA also requires the Manager to maintain share ownership guidelines for senior Manager personnel who provide material services to the Company and confirms that amounts paid or payable under the Ninth MSA are subject to the Company’s Dodd-Frank clawback policy if and to the extent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This Item 2 contains forward-looking statements. Forward-looking statements in this Quarterly Report on Form 10-Q are subject to a number of risks and uncertainties, some of which are beyond our control. 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 including those discussed in the section entitled "Forward-Looking Statements" included elsewhere in this Quarterly Report on Form 10-Q as well as those risk factors discussed in the section entitled "Risk Factors" in the Company's Annual Report on Form 10-K for the fiscal year ended December 31, 2025 and in the section entitled "Risk Factors" in Part II, Item 1A of this Quarterly Report on Form 10-Q.</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Overview </w:t>
      </w:r>
    </w:p>
    <w:p>
      <w:pPr>
        <w:pStyle w:val="TextBody"/>
        <w:bidi w:val="0"/>
        <w:spacing w:lineRule="auto" w:line="288" w:before="120" w:after="283"/>
        <w:jc w:val="both"/>
        <w:rPr/>
      </w:pPr>
      <w:r>
        <w:rPr>
          <w:rFonts w:ascii="Arial;sans-serif" w:hAnsi="Arial;sans-serif"/>
          <w:b w:val="false"/>
          <w:color w:val="000000"/>
          <w:sz w:val="20"/>
        </w:rPr>
        <w:t xml:space="preserve">Compass Diversified Holdings ("Holdings", or the "Trust") was formed in Delaware on November 18, 2005. Compass Group Diversified Holdings LLC (the "LLC") was also formed on November 18, 2005. Holdings and the LLC (collectively, the "Company") were formed to acquire and manage a group of small and middle-market businesses headquartered in North America. The LLC is a controlling owner of eight businesses, or operating segments, at June 30, 2026: 5.11 Acquisition Corp. ("5.11"), Boa Holdings Inc. ("BOA"), Relentless Topco, Inc. ("PrimaLoft"), THP Topco, Inc. ("The Honey Pot Co." or "THP"), CBCP Products, LLC ("Velocity Outdoor" or "Velocity"), AMTAC Holdings LLC ("Arnold"), FFI Compass, Inc. ("Altor Solutions" or "Altor"), and Rimports Holdings, Inc. ("Rimports"). On May 1, 2026, the Company completed the sale of Sterno’s food service business. Prior to the sale, Sterno distributed Rimports, its home fragrance business, to its stockholders, and Rimports remained a majority owned subsidiary of the LLC. Accordingly, the Rimports operating segment reflects the home fragrance business retained by the Company following the sale of Sterno’s food service business. </w:t>
      </w:r>
      <w:r>
        <w:rPr>
          <w:rFonts w:ascii="Arial;sans-serif" w:hAnsi="Arial;sans-serif"/>
          <w:b w:val="false"/>
          <w:color w:val="000000"/>
          <w:sz w:val="20"/>
          <w:shd w:fill="FFFFFF" w:val="clear"/>
        </w:rPr>
        <w:t>Lugano Holding, Inc. ("Lugano") was an operating segment of the Company until November 16, 2025 when Lugano was deconsolidated. The results of operations of Lugano are included in the Company's results of operations through the date of the deconsolidation.</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We acquired our existing businesses that we own at June 30, 2026 as follows:</w:t>
      </w:r>
    </w:p>
    <w:tbl>
      <w:tblPr>
        <w:tblW w:w="6863" w:type="dxa"/>
        <w:jc w:val="center"/>
        <w:tblInd w:w="0" w:type="dxa"/>
        <w:tblLayout w:type="fixed"/>
        <w:tblCellMar>
          <w:top w:w="28" w:type="dxa"/>
          <w:left w:w="28" w:type="dxa"/>
          <w:bottom w:w="28" w:type="dxa"/>
          <w:right w:w="28" w:type="dxa"/>
        </w:tblCellMar>
      </w:tblPr>
      <w:tblGrid>
        <w:gridCol w:w="603"/>
        <w:gridCol w:w="529"/>
        <w:gridCol w:w="533"/>
        <w:gridCol w:w="109"/>
        <w:gridCol w:w="109"/>
        <w:gridCol w:w="109"/>
        <w:gridCol w:w="554"/>
        <w:gridCol w:w="554"/>
        <w:gridCol w:w="556"/>
        <w:gridCol w:w="109"/>
        <w:gridCol w:w="109"/>
        <w:gridCol w:w="109"/>
        <w:gridCol w:w="306"/>
        <w:gridCol w:w="306"/>
        <w:gridCol w:w="306"/>
        <w:gridCol w:w="306"/>
        <w:gridCol w:w="306"/>
        <w:gridCol w:w="306"/>
        <w:gridCol w:w="306"/>
        <w:gridCol w:w="306"/>
        <w:gridCol w:w="432"/>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Ownership Interest - June 30, 2026</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Primary</w:t>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Diluted</w:t>
            </w:r>
          </w:p>
        </w:tc>
      </w:tr>
      <w:tr>
        <w:trPr/>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Arnold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March 5,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98.0%</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82.0%</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Rimports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10,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93.3%</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93.3%</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5.11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August 31,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97.0%</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88.6%</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June 2,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99.4%</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93.2%</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February 15,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98.8%</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92.5%</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BOA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16,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91.4%</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83.2%</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Lugano </w:t>
            </w: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September 3,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12,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90.7%</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84.8%</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85.0%</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76.5%</w:t>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 During the second quarter of 2026, the Company completed the sale of Sterno’s food service business. Prior to the sale, Sterno distributed Rimports, its home fragrance business, to its stockholders, and Rimports remained a majority owned subsidiary of the LLC.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Lugano was deconsolidated on November 16, 2025. The Company retained its equity interest in Lugano at June 30, 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categorize our subsidiary businesses into two separate groups of businesses: (i) branded consumer businesses, and (ii) industrial businesses. Branded consumer businesses are those businesses that we believe capitalize on a valuable brand name in their respective market sectors. We believe that our branded consumer businesses are leaders in their respective particular product categories. Industrial businesses are those businesses that focus on manufacturing and selling particular products and/ or industrial services within a specific market sector. We believe that our industrial businesses are leaders in their specific market sector.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is an overview of each of our operating segments: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Branded Consumer</w:t>
      </w:r>
    </w:p>
    <w:p>
      <w:pPr>
        <w:pStyle w:val="TextBody"/>
        <w:bidi w:val="0"/>
        <w:spacing w:lineRule="auto" w:line="288" w:before="120" w:after="283"/>
        <w:jc w:val="both"/>
        <w:rPr/>
      </w:pPr>
      <w:r>
        <w:rPr>
          <w:rFonts w:ascii="Arial;sans-serif" w:hAnsi="Arial;sans-serif"/>
          <w:b/>
          <w:i/>
          <w:color w:val="000000"/>
          <w:sz w:val="20"/>
        </w:rPr>
        <w:t>5.11</w:t>
      </w:r>
      <w:r>
        <w:rPr>
          <w:color w:val="000000"/>
        </w:rPr>
        <w:t xml:space="preserve"> </w:t>
      </w:r>
      <w:r>
        <w:rPr>
          <w:rFonts w:ascii="Arial;sans-serif" w:hAnsi="Arial;sans-serif"/>
          <w:b w:val="false"/>
          <w:color w:val="000000"/>
          <w:sz w:val="20"/>
        </w:rPr>
        <w:t>- 5.11 is a global apparel, footwear, and gear company serving consumers who demand performance, durability, and versatility across work, training, and adventure. 5.11 is a brand known for innovation and authenticity and works directly with end users to create purpose-built apparel, footwear and gear designed to enhance the safety, accuracy, speed and performance of tactical professionals and enthusiasts worldwide. 5.11 operates sales offices and distribution centers globally, and 5.11 products are widely distributed in uniform stores, military exchanges, outdoor retail stores, its own retail stores and on 511tactical.com.</w:t>
      </w:r>
    </w:p>
    <w:p>
      <w:pPr>
        <w:pStyle w:val="TextBody"/>
        <w:bidi w:val="0"/>
        <w:spacing w:lineRule="auto" w:line="288" w:before="180" w:after="283"/>
        <w:jc w:val="both"/>
        <w:rPr/>
      </w:pPr>
      <w:r>
        <w:rPr>
          <w:rFonts w:ascii="Arial;sans-serif" w:hAnsi="Arial;sans-serif"/>
          <w:b/>
          <w:i/>
          <w:color w:val="000000"/>
          <w:sz w:val="20"/>
        </w:rPr>
        <w:t xml:space="preserve">BOA </w:t>
      </w:r>
      <w:r>
        <w:rPr>
          <w:rFonts w:ascii="Arial;sans-serif" w:hAnsi="Arial;sans-serif"/>
          <w:b w:val="false"/>
          <w:color w:val="000000"/>
          <w:sz w:val="20"/>
        </w:rPr>
        <w:t xml:space="preserve">- BOA, </w:t>
      </w:r>
      <w:r>
        <w:rPr>
          <w:rFonts w:ascii="Arial;sans-serif" w:hAnsi="Arial;sans-serif"/>
          <w:b w:val="false"/>
          <w:color w:val="000000"/>
          <w:sz w:val="20"/>
          <w:shd w:fill="FFFFFF" w:val="clear"/>
        </w:rPr>
        <w:t xml:space="preserve">creator </w:t>
      </w:r>
      <w:r>
        <w:rPr>
          <w:rFonts w:ascii="Arial;sans-serif" w:hAnsi="Arial;sans-serif"/>
          <w:b w:val="false"/>
          <w:color w:val="000000"/>
          <w:sz w:val="20"/>
        </w:rPr>
        <w:t xml:space="preserve">of the patented BOA Fit System, partners with market-leading brands to make the best gear 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operations in Austria, China, South Korea, Japan and Vietnam. </w:t>
      </w:r>
    </w:p>
    <w:p>
      <w:pPr>
        <w:pStyle w:val="TextBody"/>
        <w:bidi w:val="0"/>
        <w:spacing w:lineRule="auto" w:line="288" w:before="180" w:after="283"/>
        <w:jc w:val="both"/>
        <w:rPr/>
      </w:pPr>
      <w:r>
        <w:rPr>
          <w:rFonts w:ascii="Arial;sans-serif" w:hAnsi="Arial;sans-serif"/>
          <w:b/>
          <w:i/>
          <w:color w:val="000000"/>
          <w:sz w:val="20"/>
        </w:rPr>
        <w:t>PrimaLoft -</w:t>
      </w:r>
      <w:r>
        <w:rPr>
          <w:color w:val="000000"/>
        </w:rPr>
        <w:t xml:space="preserve"> </w:t>
      </w:r>
      <w:r>
        <w:rPr>
          <w:rFonts w:ascii="Arial;sans-serif" w:hAnsi="Arial;sans-serif"/>
          <w:b w:val="false"/>
          <w:color w:val="000000"/>
          <w:sz w:val="20"/>
        </w:rPr>
        <w:t xml:space="preserve">PrimaLoft is a leading provider of branded, high-performance synthetic insulation and materials used primarily in consumer 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 PrimaLoft is headquartered in Latham, New York. </w:t>
      </w:r>
    </w:p>
    <w:p>
      <w:pPr>
        <w:pStyle w:val="TextBody"/>
        <w:bidi w:val="0"/>
        <w:spacing w:lineRule="auto" w:line="288" w:before="180" w:after="283"/>
        <w:jc w:val="both"/>
        <w:rPr/>
      </w:pPr>
      <w:r>
        <w:rPr>
          <w:rFonts w:ascii="Arial;sans-serif" w:hAnsi="Arial;sans-serif"/>
          <w:b/>
          <w:i/>
          <w:color w:val="000000"/>
          <w:sz w:val="20"/>
          <w:shd w:fill="FFFFFF" w:val="clear"/>
        </w:rPr>
        <w:t>The Honey Pot Co</w:t>
      </w:r>
      <w:r>
        <w:rPr>
          <w:rFonts w:ascii="Arial;sans-serif" w:hAnsi="Arial;sans-serif"/>
          <w:b w:val="false"/>
          <w:color w:val="000000"/>
          <w:sz w:val="20"/>
          <w:shd w:fill="FFFFFF" w:val="clear"/>
        </w:rPr>
        <w:t>. -</w:t>
      </w:r>
      <w:r>
        <w:rPr>
          <w:color w:val="000000"/>
        </w:rPr>
        <w:t xml:space="preserve"> </w:t>
      </w:r>
      <w:r>
        <w:rPr>
          <w:rFonts w:ascii="Arial;sans-serif" w:hAnsi="Arial;sans-serif"/>
          <w:b w:val="false"/>
          <w:color w:val="000000"/>
          <w:sz w:val="20"/>
        </w:rPr>
        <w:t>The Honey Pot Co. is a leading “better-for-you” feminine care brand, powered by plant-derived ingredients and clinically tested formulas. Founded in 2012, The Honey Pot Co. is rooted in the belief that all products should be made with healthy and efficacious ingredients that are kind to and safe for skin. The Honey Pot Co. offers an extensive range of holistic wellness products across the feminine hygiene, menstrual, personal care, and sexual wellness categories. The Honey Pot Co.'s mission is to educate, support, and provide consumers around the world with tools and resources that promote menstrual health and vaginal wellness. Its products can be found in more than 33,000 stores across the U.S. through mass merchants, drug and grocery retail chains, and online. The Honey Pot Co. is headquartered in Atlanta, Georgia.</w:t>
      </w:r>
    </w:p>
    <w:p>
      <w:pPr>
        <w:pStyle w:val="TextBody"/>
        <w:bidi w:val="0"/>
        <w:spacing w:lineRule="auto" w:line="288" w:before="180" w:after="283"/>
        <w:jc w:val="both"/>
        <w:rPr/>
      </w:pPr>
      <w:r>
        <w:rPr>
          <w:rFonts w:ascii="Arial;sans-serif" w:hAnsi="Arial;sans-serif"/>
          <w:b/>
          <w:i/>
          <w:color w:val="000000"/>
          <w:sz w:val="20"/>
        </w:rPr>
        <w:t xml:space="preserve">Velocity Outdoor </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Velocity Outdoor is a leading designer, manufacturer, and marketer of archery products, hunting apparel and related 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 Velocity Outdoor is headquartered</w:t>
      </w:r>
      <w:r>
        <w:rPr>
          <w:color w:val="000000"/>
          <w:shd w:fill="FFFFFF" w:val="clear"/>
        </w:rPr>
        <w:t xml:space="preserve"> </w:t>
      </w:r>
      <w:r>
        <w:rPr>
          <w:rFonts w:ascii="Arial;sans-serif" w:hAnsi="Arial;sans-serif"/>
          <w:b w:val="false"/>
          <w:color w:val="000000"/>
          <w:sz w:val="20"/>
          <w:shd w:fill="FFFFFF" w:val="clear"/>
        </w:rPr>
        <w:t xml:space="preserve">in Rochester, New York. </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 xml:space="preserve">Industrial </w:t>
      </w:r>
    </w:p>
    <w:p>
      <w:pPr>
        <w:pStyle w:val="TextBody"/>
        <w:bidi w:val="0"/>
        <w:spacing w:lineRule="auto" w:line="288" w:before="180" w:after="283"/>
        <w:jc w:val="both"/>
        <w:rPr/>
      </w:pPr>
      <w:r>
        <w:rPr>
          <w:rFonts w:ascii="Arial;sans-serif" w:hAnsi="Arial;sans-serif"/>
          <w:b/>
          <w:i/>
          <w:color w:val="000000"/>
          <w:sz w:val="20"/>
        </w:rPr>
        <w:t>Altor Solutions</w:t>
      </w:r>
      <w:r>
        <w:rPr>
          <w:color w:val="000000"/>
        </w:rPr>
        <w:t xml:space="preserve"> </w:t>
      </w:r>
      <w:r>
        <w:rPr>
          <w:rFonts w:ascii="Arial;sans-serif" w:hAnsi="Arial;sans-serif"/>
          <w:b w:val="false"/>
          <w:color w:val="000000"/>
          <w:sz w:val="20"/>
        </w:rPr>
        <w:t>- Founded in 1957 and headquartered in St. Louis, Missouri, Altor Solutions is a designer and manufacturer of custom molded cold chain and protective foam solutions including OEM components made from EPS and EPP. Altor operates molding and fabricating facilities across North America and provides products to a variety of end-markets, including appliances and electronics, pharmaceuticals, health and wellness, building products and others.</w:t>
      </w:r>
    </w:p>
    <w:p>
      <w:pPr>
        <w:pStyle w:val="TextBody"/>
        <w:bidi w:val="0"/>
        <w:spacing w:lineRule="auto" w:line="288" w:before="180" w:after="283"/>
        <w:jc w:val="both"/>
        <w:rPr/>
      </w:pPr>
      <w:r>
        <w:rPr>
          <w:rFonts w:ascii="Arial;sans-serif" w:hAnsi="Arial;sans-serif"/>
          <w:b/>
          <w:i/>
          <w:color w:val="000000"/>
          <w:sz w:val="20"/>
        </w:rPr>
        <w:t>Arnold</w:t>
      </w:r>
      <w:r>
        <w:rPr>
          <w:color w:val="000000"/>
        </w:rPr>
        <w:t xml:space="preserve"> </w:t>
      </w:r>
      <w:r>
        <w:rPr>
          <w:rFonts w:ascii="Arial;sans-serif" w:hAnsi="Arial;sans-serif"/>
          <w:b w:val="false"/>
          <w:color w:val="000000"/>
          <w:sz w:val="20"/>
        </w:rPr>
        <w:t xml:space="preserve">- Arnold serves a variety of markets including aerospace and defense, general industrial, motorsport/ transportation, oil and gas, medical, energy, semiconductor and advertising specialties. Over the course of more than 100 years, Arnold has successfully evolved and adapted its products, technologies, and manufacturing presence to meet the demands of current and emerging markets. Arnold engineers solutions for and produces high performance permanent magnets (PMAG), stators, rotors and full electric motors (Ramco), precision foil products (Precision Thin Metals), and flexible magnets (Flexmag™) that are mission critical in motors, generators, sensors and other systems and components. Based on its long-term relationships, Arnold has built a diverse and blue-chip customer base totaling more than 2,000 customers and leading systems-integrators worldwide with a focus on North America, Europe, and Asia. Arnold has built a preferred rare earth supply chain and has leading rare earth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and other permanent magnet production capabilities. </w:t>
      </w:r>
    </w:p>
    <w:p>
      <w:pPr>
        <w:pStyle w:val="TextBody"/>
        <w:bidi w:val="0"/>
        <w:spacing w:lineRule="auto" w:line="288" w:before="180" w:after="283"/>
        <w:jc w:val="both"/>
        <w:rPr/>
      </w:pPr>
      <w:r>
        <w:rPr>
          <w:rFonts w:ascii="Arial;sans-serif" w:hAnsi="Arial;sans-serif"/>
          <w:b/>
          <w:i/>
          <w:color w:val="000000"/>
          <w:sz w:val="20"/>
          <w:shd w:fill="FFFFFF" w:val="clear"/>
        </w:rPr>
        <w:t>Rimports</w:t>
      </w:r>
      <w:r>
        <w:rPr>
          <w:color w:val="000000"/>
          <w:shd w:fill="FFFFFF" w:val="clear"/>
        </w:rPr>
        <w:t xml:space="preserve"> </w:t>
      </w:r>
      <w:r>
        <w:rPr>
          <w:rFonts w:ascii="Arial;sans-serif" w:hAnsi="Arial;sans-serif"/>
          <w:b w:val="false"/>
          <w:color w:val="000000"/>
          <w:sz w:val="20"/>
          <w:shd w:fill="FFFFFF" w:val="clear"/>
        </w:rPr>
        <w:t xml:space="preserve">- Rimports manufactures and distributes branded and private label wickless candle products used for home decor and fragrance systems under the ScentSationals, and Fusion brands. Rimports offers unique lines of wickless candle products including ceramic wax warmers, scented wax cubes, fragrance oils, essential oils, and diffusers. Rimports also sells flameless candles, lanterns, and outdoor lighting. Rimports was acquired by Sterno in February 2018 and is headquartered in Provo, Utah. </w:t>
      </w:r>
    </w:p>
    <w:p>
      <w:pPr>
        <w:pStyle w:val="TextBody"/>
        <w:bidi w:val="0"/>
        <w:spacing w:lineRule="auto" w:line="288" w:before="24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2026 Outlook and Significant Trends Impacting our Subsidiary Businesses</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Macroeconomic Trends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expect macroeconomic conditions to remain dynamic for the remainder of 2026, as geopolitical uncertainty, evolving trade dynamics, cost inflation and uneven consumer demand continue to shape the operating environment. We believe our diversified portfolio, leading positions in a number of categories and disciplined focus on operating execution position our subsidiaries to respond effectively to these conditions, although the magnitude and timing of impacts may vary across our branded consumer and industrial businesses. For our branded consumer businesses, future changes in consumer confidence, discretionary spending, promotional intensity and channel inventory levels may affect demand, pricing and gross margin performance; however, certain subsidiaries have demonstrated encouraging momentum through improved distribution, strong bookings, disciplined pricing and tariff-related recoveries. We expect these businesses to continue pursuing initiatives intended to strengthen customer relationships, enhance channel execution, improve product availability and protect margins where market conditions allow. For our industrial businesses, end-market activity and customer capital spending may continue to be influenced by interest rates, customer capital allocation decisions, broader manufacturing and infrastructure conditions, and the availability and cost of raw materials. These businesses are expected to continue focusing on operational efficiency, sourcing flexibility and pricing discipline to help mitigate input-cost volatility, including labor, freight, energy, packaging materials, commodities and raw materials. While a significant portion of our outstanding debt is fixed-rate and, as a result, our consolidated interest expense is generally less sensitive in the near term to changes in market rates and credit spreads than it would be under a predominantly variable-rate capital structure, higher rates and tighter credit conditions may still affect the availability and cost of incremental financing, the timing of refinancings, consumer and business demand, and our customers’ spending decisions. In addition, certain subsidiaries are expected to continue advancing supply chain reconfiguration, sourcing diversification and inventory management initiatives in response to evolving trade and tariff policies, including constraints experienced by Arnold in connection with export licensing requirements in China. We believe these actions, together with our subsidiaries’ ongoing operating initiatives, should enhance flexibility and resiliency over time, although intermittent disruptions, higher working capital requirements or timing differences in revenue and margin realization may occur in future periods.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 xml:space="preserve">Geopolitics and Trade Policy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Geopolitical and trade policy conditions are expected to remain fluid and may continue to affect energy costs, sourcing decisions, tariff exposure, pricing strategies and customer demand patterns. While we do not currently expect the ongoing conflict in the Middle East to have a material direct impact on our businesses, broader geopolitical and trade uncertainty may influence input costs, customer purchasing behavior and the timing of capital allocation decisions across certain end markets. Tariffs and related policy changes can operate economically as an increase in landed product cost, which may compress margins if not offset through pricing, sourcing changes, productivity initiatives or customer negotiations, and may also affect demand where higher costs are passed through to customers. Our subsidiaries are continuing to diversify sourcing, reduce concentrated exposure to China and implement pricing, inventory and customer negotiation strategies intended to mitigate the potential impact of new, expanded or reinterpreted tariffs while balancing working capital efficiency and product availability. The recent U.S. Supreme Court ruling related to certain tariff authorities may continue to create uncertainty regarding the interpretation and administration of certain tariffs, including the timing, amount and accounting for refunds of previously paid tariffs. We continue to monitor geopolitical developments, tariff policies and related government actions and will adjust our strategies to mitigate impacts as conditions evolve.</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Business Outlook</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near-term focus remains on strengthening the balance sheet, maintaining liquidity, and executing our day-to-day operating plan across our subsidiaries. Reducing leverage is our top financial priority, which we are pursuing through organic free cash flow generation and targeted divestitures, including the sale of Sterno's food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business, which closed in the second quarter of 2026, the net proceeds of which we applied to repayment of senior secured debt.</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operating priorities for 2026 include: (i) generating free cash flow through improved operating performance, disciplined capital spending, and focused working capital management; (ii) driving profitable growth through product innovation, distribution expansion, and customer wins where returns are attractive; (iii) protecting margins through pricing actions, productivity initiatives, and active management of input-cost volatility; and (iv) enhancing resilience and oversight through supply chain diversification, selective technology investments, and continued improvement of governance and financial reporting processes.</w:t>
      </w:r>
    </w:p>
    <w:p>
      <w:pPr>
        <w:pStyle w:val="TextBody"/>
        <w:bidi w:val="0"/>
        <w:spacing w:lineRule="auto" w:line="276" w:before="240" w:after="283"/>
        <w:jc w:val="both"/>
        <w:rPr>
          <w:rFonts w:ascii="Arial;sans-serif" w:hAnsi="Arial;sans-serif"/>
          <w:b/>
          <w:color w:val="000000"/>
          <w:sz w:val="20"/>
        </w:rPr>
      </w:pPr>
      <w:r>
        <w:rPr>
          <w:rFonts w:ascii="Arial;sans-serif" w:hAnsi="Arial;sans-serif"/>
          <w:b/>
          <w:color w:val="000000"/>
          <w:sz w:val="20"/>
        </w:rPr>
        <w:t>Lugano Restatement and Deconsolidation</w:t>
      </w:r>
    </w:p>
    <w:p>
      <w:pPr>
        <w:pStyle w:val="TextBody"/>
        <w:bidi w:val="0"/>
        <w:spacing w:lineRule="auto" w:line="288" w:before="120" w:after="283"/>
        <w:jc w:val="both"/>
        <w:rPr/>
      </w:pPr>
      <w:r>
        <w:rPr>
          <w:rFonts w:ascii="Arial;sans-serif" w:hAnsi="Arial;sans-serif"/>
          <w:b w:val="false"/>
          <w:color w:val="000000"/>
          <w:sz w:val="20"/>
        </w:rPr>
        <w:t>As previously disclosed, following concerns reported to the Company’s management, the Company commenced the Lugano Investigation. As a result of the Lugano Investigation, the Company determined that the Company’s previously issued financial statements for fiscal years 2022, 2023 and 2024, including other interim and full-year financial information, should no longer be relied upon. In connection with the restatement process, the Company corrected these errors in its 2024 Form 10</w:t>
        <w:noBreakHyphen/>
        <w:t>K/A, which was filed on December 8, 2025. The Company then filed its Quarterly Reports on Form 10</w:t>
        <w:noBreakHyphen/>
        <w:t xml:space="preserve">Q for the first, second and third quarters of 2025, on December 18, 2025, December 29, 2025, and January 14, 2026, respectively. In addition, as a result of the Lugano Bankruptcy, effective November 16, 2025, Lugano and its subsidiaries were deconsolidated from the Company’s consolidated financial statements in accordance with ASC 810 – </w:t>
      </w:r>
      <w:r>
        <w:rPr>
          <w:rFonts w:ascii="Arial;sans-serif" w:hAnsi="Arial;sans-serif"/>
          <w:b w:val="false"/>
          <w:i/>
          <w:color w:val="000000"/>
          <w:sz w:val="20"/>
        </w:rPr>
        <w:t>Consolidation</w:t>
      </w:r>
      <w:r>
        <w:rPr>
          <w:rFonts w:ascii="Arial;sans-serif" w:hAnsi="Arial;sans-serif"/>
          <w:b w:val="false"/>
          <w:color w:val="000000"/>
          <w:sz w:val="20"/>
        </w:rPr>
        <w:t xml:space="preserve">. Accordingly, the results of Lugano are included in the Company’s consolidated results through November 16, 2025, and periods subsequent to that date do not include Lugano’s results of operations, assets or liabilities, except to the extent of any retained interest or other continuing involvement recognized in accordance with applicable accounting guidance. </w:t>
      </w:r>
    </w:p>
    <w:p>
      <w:pPr>
        <w:pStyle w:val="TextBody"/>
        <w:bidi w:val="0"/>
        <w:spacing w:lineRule="auto" w:line="276" w:before="240" w:after="283"/>
        <w:jc w:val="both"/>
        <w:rPr>
          <w:rFonts w:ascii="Arial;sans-serif" w:hAnsi="Arial;sans-serif"/>
          <w:b/>
          <w:color w:val="000000"/>
          <w:sz w:val="20"/>
        </w:rPr>
      </w:pPr>
      <w:r>
        <w:rPr>
          <w:rFonts w:ascii="Arial;sans-serif" w:hAnsi="Arial;sans-serif"/>
          <w:b/>
          <w:color w:val="000000"/>
          <w:sz w:val="20"/>
        </w:rPr>
        <w:t>Recent Events</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Amendment to the 2022 Credit Facility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August 6, 2026, we entered into a Sixth Amendment to the 2022 Credit Facility. The amendment extends the maturity of the revolving commitments and term loans to January 12, 2028 and modifies certain terms of the facility. Among other changes, the amendment reduces the aggregate revolving commitments from $100.0 million to $54.0 million, waives milestone fees that otherwise would have been payable under the Fifth Amendment transaction letter, removes the incremental delayed draw term loan facility, reduces the aggregate amount available under incremental facilities from $250.0 million to $150.0 million, and revises certain covenant and availability provisions, including reducing the concentration limit for Combined Eligible Availability attributable to any one portfolio company from 40% to 25%. The amendment also permits certain supply chain financing arrangements and payments under the Ninth Amended and Restated Management Services Agreement. In addition, if the term loans under the 2022 Credit Facility have not been repaid on or before December 31, 2026, we will be required to pay a $4.0 million milestone fee. We believe the Sixth Amendment provides additional time and flexibility to execute our deleveraging and liquidity plans; however, our ability to maintain adequate liquidity and comply with the amended covenants will depend on our operating performance, cash generation, asset monetization activity and other factors discussed in this Form 10-Q.</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 xml:space="preserve">MSA Amendment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July 12, 2026, the Company and the Manager entered into an amendment to the Management Service Agreement (the "Ninth MSA"). Beginning January 1, 2027, the Ninth MSA reduces the base management fee rates, caps the 2027 base management fee at $30.0 million, establishes the 2027 Aggregate Fee Cap and replaces the existing incentive management fee with the Share Alignment Award and Performance-Based Award described in Note P. The revised fee and award structure is expected to reduce total management fees for 2027 relative to the amounts that otherwise would have been payable under the Eighth MSA, although actual amounts will depend on the Company’s Adjusted Net Assets, the level of payout under the Performance-Based Award and other applicable factors.</w:t>
      </w:r>
    </w:p>
    <w:p>
      <w:pPr>
        <w:pStyle w:val="TextBody"/>
        <w:bidi w:val="0"/>
        <w:spacing w:lineRule="auto" w:line="288" w:before="180" w:after="283"/>
        <w:jc w:val="both"/>
        <w:rPr/>
      </w:pPr>
      <w:r>
        <w:rPr>
          <w:rFonts w:ascii="Arial;sans-serif" w:hAnsi="Arial;sans-serif"/>
          <w:b/>
          <w:color w:val="000000"/>
          <w:sz w:val="20"/>
        </w:rPr>
        <w:t>Chief Executive Officer Succession</w:t>
      </w:r>
      <w:r>
        <w:rPr>
          <w:color w:val="00000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June 2026, the Company announced that Elias J. Sabo is expected to retire as Chief Executive Officer at the end of 2026 and that Zachary T. Sawtelle, who was appointed Chief Operating Officer, is expected to succeed him as Chief Executive Officer on January 1,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Lugano Settlement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June 24, 2026, CODI entered into the Settlement Agreement and Plan Support Agreement described in Note B. The Settlement Documents provide for specified percentages of net inventory, tax-refund, insurance and litigation recoveries, subject to creditor approval, bankruptcy court confirmation and effectiveness of the proposed Plan of Liquidation. The settlement terms and related changes in the estimated amount and timing of recoveries resulted in a $58.0 million non-cash decrease in the fair value of the Company’s Lugano receivable during the quarter. The amount and timing of any recoveries remain uncertain and depend on, among other things, confirmation and effectiveness of the proposed Plan of Liquidation and the proceeds ultimately realized from the applicable assets and claims.</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Sterno Sale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March 28, 2026, we signed an Agreement and Plan of Merger (the “Merger Agreement”) to sell Sterno, which we owned approximately 92% of on a fully diluted basis. Under the Merger Agreement, WCHG Buyer, Inc. (the “Buyer”) acquired Sterno’s food service business through the merger of a Buyer subsidiary with and into Sterno, with Sterno surviving as a wholly owned subsidiary of the Buyer. Immediately before the closing, Sterno distributed all of the equity interests in its indirect wholly owned subsidiary, Rimports, LLC (“Rimports”), to Rimports Holdings, Inc., the equity of which was, in turn, distributed pro rata to Sterno’s stockholders, including the LLC (the “Rimports Distribution”). After the Rimports Distribution, Rimports (which holds Sterno’s home fragrance business) remains a majority-owned subsidiary of CODI.</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Sterno sale closed on May 1, 2026. The sale price was based on an enterprise value of $292.5 million. After allocation of the purchase consideration to Sterno’s noncontrolling stockholders and payment of transaction costs, CODI received approximately $282 million of total proceeds at closing, representing amounts received with respect to the Company’s outstanding loans to Sterno, including accrued interest, and its equity interests in Sterno. The Company used the proceeds received from the sale to repay outstanding borrowings under its senior credit facility.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Rimports distribution was accounted for as a transaction between entities under common control at historical carrying amounts because the Company controlled Sterno, inclusive of Rimports, before the distribution and continues to control Rimports after the distribution. No gain or loss was recognized as a result of the distribution. Because the Company retained Rimports following the distribution, the assets and liabilities of Rimports were excluded from the held-for-sale disposal group and continue to be presented in the Company’s condensed consolidated balance sheet.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Upon completion of the sale on May 1, 2026, the Company deconsolidated Sterno’s food service business and recognized a gain on the sale of approximately $182 million within income from continuing operations during the three and six months ended June 30, 2026. </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Altor Sale Leaseback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January 23, 2026, Altor completed a sale leaseback transaction for its manufacturing facilities in Bloomsburg, Pennsylvania; New Albany, Indiana; and El Dorado Springs, Missouri (the “Properties”). Under the purchase and sale agreement, Altor sold the land, buildings and certain integrated fixtures to the buyer/lessor for total consideration of $11.75 million. At the same time, Altor entered into a 20 year triple-net master lease to lease back all three Properties. As required by the Fifth amendment to the 2022 Credit Facility, the Company made a payment of the amount of the net proceeds to reduce the term loan under the 2022 Credit Facility by $11 million.</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In addition to the results of operations contained in this report, which have been prepared and presented in accordance with accounting principles generally accepted in the United States of America ("U.S. GAAP" or "GAAP"), we have also included supplemental information concerning our results of operations on a non-GAAP basis.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 xml:space="preserve">See “Reconciliation of Non-GAAP Financial Measures” for further discussion of our non-GAAP financial measures and related reconciliations.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20" w:after="283"/>
        <w:jc w:val="both"/>
        <w:rPr/>
      </w:pPr>
      <w:r>
        <w:rPr>
          <w:rFonts w:ascii="Arial;sans-serif" w:hAnsi="Arial;sans-serif"/>
          <w:b w:val="false"/>
          <w:color w:val="000000"/>
          <w:sz w:val="20"/>
        </w:rPr>
        <w:t>The following discussion reflects a comparison of the historical results of operations of our consolidated business for the three and six months ended June 30, 2026 and June 30, 2025, an</w:t>
      </w:r>
      <w:r>
        <w:rPr>
          <w:rFonts w:ascii="Arial;sans-serif" w:hAnsi="Arial;sans-serif"/>
          <w:b w:val="false"/>
          <w:color w:val="000000"/>
          <w:sz w:val="20"/>
          <w:shd w:fill="FFFFFF" w:val="clear"/>
        </w:rPr>
        <w:t xml:space="preserve">d components of the results of operations for each of our operating segments on a stand-alone basis. </w:t>
      </w:r>
    </w:p>
    <w:p>
      <w:pPr>
        <w:pStyle w:val="TextBody"/>
        <w:bidi w:val="0"/>
        <w:spacing w:lineRule="auto" w:line="288" w:before="180" w:after="283"/>
        <w:jc w:val="both"/>
        <w:rPr/>
      </w:pPr>
      <w:r>
        <w:rPr>
          <w:rFonts w:ascii="Arial;sans-serif" w:hAnsi="Arial;sans-serif"/>
          <w:b w:val="false"/>
          <w:i/>
          <w:color w:val="000000"/>
          <w:sz w:val="20"/>
        </w:rPr>
        <w:t xml:space="preserve">Lugano Bankruptcy - </w:t>
      </w:r>
      <w:r>
        <w:rPr>
          <w:rFonts w:ascii="Arial;sans-serif" w:hAnsi="Arial;sans-serif"/>
          <w:b w:val="false"/>
          <w:color w:val="000000"/>
          <w:sz w:val="20"/>
        </w:rPr>
        <w:t xml:space="preserve">In November 2025, Lugano and certain of its subsidiaries filed the Lugano Bankruptcy. As a result of the bankruptcy filing, the Company no longer maintained a controlling financial interest in Lugano and, accordingly, deconsolidated Lugano and its subsidiaries in accordance with ASC 810 - </w:t>
      </w:r>
      <w:r>
        <w:rPr>
          <w:rFonts w:ascii="Arial;sans-serif" w:hAnsi="Arial;sans-serif"/>
          <w:b w:val="false"/>
          <w:i/>
          <w:color w:val="000000"/>
          <w:sz w:val="20"/>
        </w:rPr>
        <w:t>Consolidation</w:t>
      </w:r>
      <w:r>
        <w:rPr>
          <w:rFonts w:ascii="Arial;sans-serif" w:hAnsi="Arial;sans-serif"/>
          <w:b w:val="false"/>
          <w:color w:val="000000"/>
          <w:sz w:val="20"/>
        </w:rPr>
        <w:t>. The results of operations of Lugano are included in the Company’s consolidated results through the date control was lost. From that date forward, Lugano is no longer included as an operating segment of the Company. Following deconsolidation, the Company’s continuing involvement with Lugano is limited to its claims in the bankruptcy proceedings, including any secured positions.</w:t>
      </w:r>
    </w:p>
    <w:p>
      <w:pPr>
        <w:pStyle w:val="TextBody"/>
        <w:bidi w:val="0"/>
        <w:spacing w:lineRule="auto" w:line="288" w:before="180" w:after="283"/>
        <w:jc w:val="both"/>
        <w:rPr/>
      </w:pPr>
      <w:r>
        <w:rPr>
          <w:rFonts w:ascii="Arial;sans-serif" w:hAnsi="Arial;sans-serif"/>
          <w:b w:val="false"/>
          <w:i/>
          <w:color w:val="000000"/>
          <w:sz w:val="20"/>
        </w:rPr>
        <w:t>Sale of Sterno Food Service Division</w:t>
      </w:r>
      <w:r>
        <w:rPr>
          <w:color w:val="000000"/>
        </w:rPr>
        <w:t xml:space="preserve"> </w:t>
      </w:r>
      <w:r>
        <w:rPr>
          <w:rFonts w:ascii="Arial;sans-serif" w:hAnsi="Arial;sans-serif"/>
          <w:b w:val="false"/>
          <w:color w:val="000000"/>
          <w:sz w:val="20"/>
        </w:rPr>
        <w:t>- On May 1, 2026, the Company completed the sale of Sterno’s food service product division. Immediately prior to the sale, Rimports, which operates the retained home fragrance business, was separated from Sterno and remained a consolidated business of the Company. Because the sale did not qualify for discontinued operations presentation, the results of the food service product division are included in continuing operations through the date of sale. In addition, the historical results presented for Rimports include the amounts attributable to the food service product division for periods prior to the sale, which affects comparability between the current and prior-year periods.</w:t>
      </w:r>
    </w:p>
    <w:p>
      <w:pPr>
        <w:pStyle w:val="TextBody"/>
        <w:bidi w:val="0"/>
        <w:spacing w:lineRule="auto" w:line="288" w:before="120" w:after="283"/>
        <w:jc w:val="both"/>
        <w:rPr/>
      </w:pPr>
      <w:r>
        <w:rPr>
          <w:rFonts w:ascii="Arial;sans-serif" w:hAnsi="Arial;sans-serif"/>
          <w:b w:val="false"/>
          <w:color w:val="000000"/>
          <w:sz w:val="20"/>
          <w:shd w:fill="FFFFFF" w:val="clear"/>
        </w:rPr>
        <w:t>In the following results of operations, we provide (i) our actual Co</w:t>
      </w:r>
      <w:r>
        <w:rPr>
          <w:rFonts w:ascii="Arial;sans-serif" w:hAnsi="Arial;sans-serif"/>
          <w:b w:val="false"/>
          <w:color w:val="000000"/>
          <w:sz w:val="20"/>
        </w:rPr>
        <w:t>nsolidated Results of Operations for the three and six months ended June 30, 2026 and 2025, which includes the historical results of operations of each of our businesses (operating segments) from the date of acquisition in accordance with US GAAP, and (ii) comparative historical components of the results of operations for each of our businesses on a stand-alone basis for the three and six months ended June 30, 2026 and 2025. The following results of operations at each of our businesses are not necessarily indicative of the results to be expected for a full year.</w:t>
      </w:r>
    </w:p>
    <w:p>
      <w:pPr>
        <w:pStyle w:val="TextBody"/>
        <w:bidi w:val="0"/>
        <w:spacing w:lineRule="auto" w:line="288" w:before="180" w:after="18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All dollar amounts in the financial tables are presented in thousands. Certain amounts and percentages may not sum or recalculate due to the presentation of rounded numbers. Amounts discussed within the supporting narrative are calculated based on unrounded numbers and consequently the sum of the components may not agree to totals using the rounded numbers provided. References in the financial tables to percentage changes that are not meaningful are denoted by "NM."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Consolidated Results of Operations - Quarter-to-Date</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Three months ended June 30, 2026 compared to three months ended June 30, 2025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our unaudited results of operations for the periods indicated, in dollars and as a percentage of net revenues:</w:t>
      </w:r>
    </w:p>
    <w:tbl>
      <w:tblPr>
        <w:tblW w:w="10113" w:type="dxa"/>
        <w:jc w:val="center"/>
        <w:tblInd w:w="0" w:type="dxa"/>
        <w:tblLayout w:type="fixed"/>
        <w:tblCellMar>
          <w:top w:w="28" w:type="dxa"/>
          <w:left w:w="28" w:type="dxa"/>
          <w:bottom w:w="28" w:type="dxa"/>
          <w:right w:w="28" w:type="dxa"/>
        </w:tblCellMar>
      </w:tblPr>
      <w:tblGrid>
        <w:gridCol w:w="1833"/>
        <w:gridCol w:w="1609"/>
        <w:gridCol w:w="1612"/>
        <w:gridCol w:w="109"/>
        <w:gridCol w:w="109"/>
        <w:gridCol w:w="109"/>
        <w:gridCol w:w="196"/>
        <w:gridCol w:w="736"/>
        <w:gridCol w:w="109"/>
        <w:gridCol w:w="109"/>
        <w:gridCol w:w="109"/>
        <w:gridCol w:w="109"/>
        <w:gridCol w:w="278"/>
        <w:gridCol w:w="278"/>
        <w:gridCol w:w="256"/>
        <w:gridCol w:w="109"/>
        <w:gridCol w:w="109"/>
        <w:gridCol w:w="109"/>
        <w:gridCol w:w="196"/>
        <w:gridCol w:w="736"/>
        <w:gridCol w:w="109"/>
        <w:gridCol w:w="109"/>
        <w:gridCol w:w="109"/>
        <w:gridCol w:w="109"/>
        <w:gridCol w:w="278"/>
        <w:gridCol w:w="278"/>
        <w:gridCol w:w="301"/>
      </w:tblGrid>
      <w:tr>
        <w:trPr/>
        <w:tc>
          <w:tcPr>
            <w:tcW w:w="1833"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424,042 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478,690 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270,149 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199,963 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208,541 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Decrease in fair value of receivable due from unconsolidated affiliate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product division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(63,419)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81,874 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(80,777)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(16.9)</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Net revenues</w:t>
      </w:r>
    </w:p>
    <w:tbl>
      <w:tblPr>
        <w:tblW w:w="7526" w:type="dxa"/>
        <w:jc w:val="center"/>
        <w:tblInd w:w="0" w:type="dxa"/>
        <w:tblLayout w:type="fixed"/>
        <w:tblCellMar>
          <w:top w:w="28" w:type="dxa"/>
          <w:left w:w="28" w:type="dxa"/>
          <w:bottom w:w="28" w:type="dxa"/>
          <w:right w:w="28" w:type="dxa"/>
        </w:tblCellMar>
      </w:tblPr>
      <w:tblGrid>
        <w:gridCol w:w="810"/>
        <w:gridCol w:w="707"/>
        <w:gridCol w:w="733"/>
        <w:gridCol w:w="220"/>
        <w:gridCol w:w="827"/>
        <w:gridCol w:w="122"/>
        <w:gridCol w:w="109"/>
        <w:gridCol w:w="109"/>
        <w:gridCol w:w="109"/>
        <w:gridCol w:w="220"/>
        <w:gridCol w:w="827"/>
        <w:gridCol w:w="122"/>
        <w:gridCol w:w="109"/>
        <w:gridCol w:w="109"/>
        <w:gridCol w:w="109"/>
        <w:gridCol w:w="196"/>
        <w:gridCol w:w="721"/>
        <w:gridCol w:w="109"/>
        <w:gridCol w:w="109"/>
        <w:gridCol w:w="109"/>
        <w:gridCol w:w="109"/>
        <w:gridCol w:w="313"/>
        <w:gridCol w:w="317"/>
        <w:gridCol w:w="301"/>
      </w:tblGrid>
      <w:tr>
        <w:trPr/>
        <w:tc>
          <w:tcPr>
            <w:tcW w:w="81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5.11</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126,499 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131,442 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BOA</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59,068 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48,369 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Lugano</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26,771 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PrimaLoft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24,855 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Honey Pot Co.</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38,387 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32,798 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15,213 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Branded Consumer</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270,812 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279,448 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65,662 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83,305 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43,222 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38,432 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Rimports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44,346 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77,505 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(42.8)</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Industrial</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153,230 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199,242 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Consolidated net revenues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424,042 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478,690 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(54,648)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lineRule="auto" w:line="288" w:before="240" w:after="283"/>
        <w:jc w:val="both"/>
        <w:rPr/>
      </w:pPr>
      <w:r>
        <w:rPr>
          <w:rFonts w:ascii="Arial;sans-serif" w:hAnsi="Arial;sans-serif"/>
          <w:b w:val="false"/>
          <w:color w:val="000000"/>
          <w:sz w:val="20"/>
        </w:rPr>
        <w:t>Consolidated net revenues for the three months ended June 30, 2026 decreased by approximately $54.6 million, or 11.4%, compared to the corresponding period in 2025. During the three months ended June 30, 2026 compared to 2025, we saw notable increases in net revenues at BOA ($10.7 million increase), PrimaLoft ($4.9 million increase),</w:t>
      </w:r>
      <w:r>
        <w:rPr>
          <w:color w:val="000000"/>
        </w:rPr>
        <w:t xml:space="preserve"> </w:t>
      </w:r>
      <w:r>
        <w:rPr>
          <w:rFonts w:ascii="Arial;sans-serif" w:hAnsi="Arial;sans-serif"/>
          <w:b w:val="false"/>
          <w:color w:val="000000"/>
          <w:sz w:val="20"/>
        </w:rPr>
        <w:t xml:space="preserve">The Honey Pot Co. ($5.6 million increase), and Arnold ($4.8 million increase). These increases in net revenue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offset by decreases in net revenue at 5.11 ($4.9 million decrease), Altor ($17.6 million decrease), and Rimports ($33.2 million decrease). The decrease in net revenues at Rimports is attributable to the sale of the Sterno food service division on May 1, 2026. The net revenues of the Sterno product division are included in the historical results of operations of Rimports through the date of sale. Lugano recognized $26.8 million in revenue in the quarter ended June 30, 2025 which was nonrecurring due to the Lugano bankruptcy in November 2025. Refer to "Results of Operations - Operating Segments - Quarter-to-Date" for a more detailed analysis of net revenues by operating segment.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do not generate any revenues apart from those generated by our subsidiaries. We may generate interest income on the investment of available funds, but expect such earnings to be minimal. We make loans from the Company to our subsidiary businesses and also hold equity interests in those businesses. Cash flows coming to the Trust and the LLC are the result of interest payments on those loans, amortization of those loans and additional principal payments on those loans. However, on a consolidated basis, these items will be eliminated.</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Gross Profit</w:t>
      </w:r>
    </w:p>
    <w:tbl>
      <w:tblPr>
        <w:tblW w:w="7593" w:type="dxa"/>
        <w:jc w:val="center"/>
        <w:tblInd w:w="0" w:type="dxa"/>
        <w:tblLayout w:type="fixed"/>
        <w:tblCellMar>
          <w:top w:w="28" w:type="dxa"/>
          <w:left w:w="28" w:type="dxa"/>
          <w:bottom w:w="28" w:type="dxa"/>
          <w:right w:w="28" w:type="dxa"/>
        </w:tblCellMar>
      </w:tblPr>
      <w:tblGrid>
        <w:gridCol w:w="820"/>
        <w:gridCol w:w="717"/>
        <w:gridCol w:w="742"/>
        <w:gridCol w:w="196"/>
        <w:gridCol w:w="736"/>
        <w:gridCol w:w="256"/>
        <w:gridCol w:w="109"/>
        <w:gridCol w:w="109"/>
        <w:gridCol w:w="109"/>
        <w:gridCol w:w="196"/>
        <w:gridCol w:w="736"/>
        <w:gridCol w:w="256"/>
        <w:gridCol w:w="109"/>
        <w:gridCol w:w="109"/>
        <w:gridCol w:w="109"/>
        <w:gridCol w:w="196"/>
        <w:gridCol w:w="721"/>
        <w:gridCol w:w="109"/>
        <w:gridCol w:w="109"/>
        <w:gridCol w:w="109"/>
        <w:gridCol w:w="109"/>
        <w:gridCol w:w="314"/>
        <w:gridCol w:w="316"/>
        <w:gridCol w:w="301"/>
      </w:tblGrid>
      <w:tr>
        <w:trPr/>
        <w:tc>
          <w:tcPr>
            <w:tcW w:w="82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4"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5.11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72,917 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70,462 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39,383 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31,004 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Lugano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PrimaLoft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19,321 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Honey Pot Co.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23,748 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18,427 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Branded Consumer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160,386 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154,189 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22,715 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Rimports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(27.8)</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Industrial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39,577 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54,352 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Consolidated gross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199,963 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208,541 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Gross Margin</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Branded Consumer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4.0%</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Industrial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(1.5)%</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Consolidated 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On a consolidated basis, gross profit decreased approximately $8.6 million during the three months ended June 30, 2026 compared to the corresponding period in 2025. We saw notable increases in gross profit at 5.11 ($2.5 million increase), BOA ($8.4 million increase), PrimaLoft ($3.4 million increase), The Honey Pot Co. ($5.3 million increase), and Arnold ($2.2 million increase). We saw decreases in gross profit at Altor ($10.7 million decrease) and Rimports ($6.2 million decrease) that corresponded to the decrease in net revenue noted above. The decrease in net revenues and gross profit at Rimports is attributable to the sale of the Sterno food service division on May 1, 2026. Lugano recognized $13.4 million in gross profit in the quarter ended June 30, 2025 which was nonrecurring due to the Lugano bankruptcy in November 2025. </w:t>
      </w:r>
    </w:p>
    <w:p>
      <w:pPr>
        <w:pStyle w:val="TextBody"/>
        <w:bidi w:val="0"/>
        <w:spacing w:lineRule="auto" w:line="288" w:before="240" w:after="283"/>
        <w:jc w:val="both"/>
        <w:rPr/>
      </w:pPr>
      <w:r>
        <w:rPr>
          <w:rFonts w:ascii="Arial;sans-serif" w:hAnsi="Arial;sans-serif"/>
          <w:b w:val="false"/>
          <w:color w:val="000000"/>
          <w:sz w:val="20"/>
        </w:rPr>
        <w:t xml:space="preserve">Gross margin was approximately 47.2% in the three months ended June 30, 2026 compared to 43.6% in the three months ended June 30, 2025. The increase in gross margin in the quarter ended June 30, 2026 as compared to the quarter ended June 30, 2025 is driven by the increase in gross margin at our consumer businesses during the quarter. Our branded consumer businesses had gross margin of 59.2% in the second quarter of 2026 as compared to 55.2% in the second quarter of 2025, while our industrial businesses had gross margin of 25.8% in the second quarter of 2026 as compared to 27.3% in the second quarter of 2025. </w:t>
      </w:r>
      <w:r>
        <w:rPr>
          <w:rFonts w:ascii="Arial;sans-serif" w:hAnsi="Arial;sans-serif"/>
          <w:b w:val="false"/>
          <w:color w:val="000000"/>
          <w:sz w:val="20"/>
          <w:shd w:fill="FFFFFF" w:val="clear"/>
        </w:rPr>
        <w:t>Gross margin at several of our businesses benefited from refunds of duties previously paid under IEEPA tariffs, which were recognized as a credit to cost of goods sold upon receipt of cash, consistent with the accounting for gain contingencies.</w:t>
      </w:r>
      <w:r>
        <w:rPr>
          <w:color w:val="000000"/>
        </w:rPr>
        <w:t xml:space="preserve"> </w:t>
      </w:r>
      <w:r>
        <w:rPr>
          <w:rFonts w:ascii="Arial;sans-serif" w:hAnsi="Arial;sans-serif"/>
          <w:b w:val="false"/>
          <w:color w:val="000000"/>
          <w:sz w:val="20"/>
        </w:rPr>
        <w:t xml:space="preserve">The remainder of the increase in gross margin at the branded consumer businesses was primarily attributable to product mix, particularly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Arial;sans-serif" w:hAnsi="Arial;sans-serif"/>
          <w:b w:val="false"/>
          <w:color w:val="000000"/>
          <w:sz w:val="20"/>
        </w:rPr>
        <w:t>at BOA and PrimaLoft. The decrease in gross margin at our indus</w:t>
      </w:r>
      <w:r>
        <w:rPr>
          <w:rFonts w:ascii="Arial;sans-serif" w:hAnsi="Arial;sans-serif"/>
          <w:b w:val="false"/>
          <w:color w:val="000000"/>
          <w:sz w:val="20"/>
          <w:shd w:fill="FFFFFF" w:val="clear"/>
        </w:rPr>
        <w:t>trial businesses</w:t>
      </w:r>
      <w:r>
        <w:rPr>
          <w:color w:val="000000"/>
        </w:rPr>
        <w:t xml:space="preserve"> </w:t>
      </w:r>
      <w:r>
        <w:rPr>
          <w:rFonts w:ascii="Arial;sans-serif" w:hAnsi="Arial;sans-serif"/>
          <w:b w:val="false"/>
          <w:color w:val="000000"/>
          <w:sz w:val="20"/>
        </w:rPr>
        <w:t xml:space="preserve">was attributable to higher fixed overhead costs absorbed on a lower revenue base and higher raw material costs at Altor during the quarter. </w:t>
      </w:r>
    </w:p>
    <w:p>
      <w:pPr>
        <w:pStyle w:val="TextBody"/>
        <w:bidi w:val="0"/>
        <w:spacing w:lineRule="auto" w:line="288" w:before="240" w:after="60"/>
        <w:jc w:val="both"/>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tbl>
      <w:tblPr>
        <w:tblW w:w="8329" w:type="dxa"/>
        <w:jc w:val="left"/>
        <w:tblInd w:w="0" w:type="dxa"/>
        <w:tblLayout w:type="fixed"/>
        <w:tblCellMar>
          <w:top w:w="28" w:type="dxa"/>
          <w:left w:w="28" w:type="dxa"/>
          <w:bottom w:w="28" w:type="dxa"/>
          <w:right w:w="28" w:type="dxa"/>
        </w:tblCellMar>
      </w:tblPr>
      <w:tblGrid>
        <w:gridCol w:w="1179"/>
        <w:gridCol w:w="1035"/>
        <w:gridCol w:w="1040"/>
        <w:gridCol w:w="220"/>
        <w:gridCol w:w="827"/>
        <w:gridCol w:w="122"/>
        <w:gridCol w:w="109"/>
        <w:gridCol w:w="109"/>
        <w:gridCol w:w="109"/>
        <w:gridCol w:w="220"/>
        <w:gridCol w:w="827"/>
        <w:gridCol w:w="122"/>
        <w:gridCol w:w="109"/>
        <w:gridCol w:w="109"/>
        <w:gridCol w:w="109"/>
        <w:gridCol w:w="269"/>
        <w:gridCol w:w="269"/>
        <w:gridCol w:w="271"/>
        <w:gridCol w:w="180"/>
        <w:gridCol w:w="180"/>
        <w:gridCol w:w="180"/>
        <w:gridCol w:w="215"/>
        <w:gridCol w:w="215"/>
        <w:gridCol w:w="304"/>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5"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134,337 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162,112 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$(27,775)</w:t>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(17.1)%</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Consolidated selling, general and administrative expense decreased approximately $27.8 million during the three months ended June 30, 2026, compared to the corresponding period in 2025, driven primarily by expense incurred by Lugano ($28.6 million) in the prior year quarter which was nonrecurring due to the Lugano bankruptcy in November 2025, the sale of Sterno on May 1, 2026 and non-recurring exit costs and the impact of a workforce reduction at Altor ($4.5 million decrease in expense quarter over quarter). These decreases were offset by increases in selling, general and administrative expense at the corporate level ($3.1 million increase), and at The Honey Pot Co. ($2.7 million increase) due to increased product innovation and marketing investment.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At the corporate level, general and administrative expense was $16.3 million in the second quarter of 2026 and $13.2 million in the second quarter of 2025, an increase of $3.1 million. The increase in general and administrative expense in the second quarter of 2026 relates to costs associated with our Lugano subsidiary and the ongoing lawsuits, as well as corporate governance changes and internal control remediation that we are implementing.</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Management fees</w:t>
      </w:r>
    </w:p>
    <w:tbl>
      <w:tblPr>
        <w:tblW w:w="6412" w:type="dxa"/>
        <w:jc w:val="center"/>
        <w:tblInd w:w="0" w:type="dxa"/>
        <w:tblLayout w:type="fixed"/>
        <w:tblCellMar>
          <w:top w:w="28" w:type="dxa"/>
          <w:left w:w="28" w:type="dxa"/>
          <w:bottom w:w="28" w:type="dxa"/>
          <w:right w:w="28" w:type="dxa"/>
        </w:tblCellMar>
      </w:tblPr>
      <w:tblGrid>
        <w:gridCol w:w="516"/>
        <w:gridCol w:w="453"/>
        <w:gridCol w:w="456"/>
        <w:gridCol w:w="241"/>
        <w:gridCol w:w="795"/>
        <w:gridCol w:w="134"/>
        <w:gridCol w:w="109"/>
        <w:gridCol w:w="109"/>
        <w:gridCol w:w="109"/>
        <w:gridCol w:w="241"/>
        <w:gridCol w:w="795"/>
        <w:gridCol w:w="134"/>
        <w:gridCol w:w="109"/>
        <w:gridCol w:w="109"/>
        <w:gridCol w:w="109"/>
        <w:gridCol w:w="239"/>
        <w:gridCol w:w="239"/>
        <w:gridCol w:w="241"/>
        <w:gridCol w:w="180"/>
        <w:gridCol w:w="180"/>
        <w:gridCol w:w="180"/>
        <w:gridCol w:w="215"/>
        <w:gridCol w:w="215"/>
        <w:gridCol w:w="30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Management fees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13,817 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19,035 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$(5,218)</w:t>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(27.4)%</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 xml:space="preserve">Under the Management Services Agreement ("MSA"), we pay CGM (i) a base management fee equal to (a) 2% of the Company’s adjusted net assets when the adjusted net assets are less than or equal to $3.5 billion (the “Initial Threshold Fee”), and (b) an incentive fee if the adjusted net assets are greater than $3.5 billion. Such incentive management fee is subject to approval by the Compensation Committee of the Company’s board of directors. For the three months ended June 30, 2026, we incurred approximately $13.8 million in management fees as compared to $19.0 million in fees in the three months ended June 30, 2025. </w:t>
      </w:r>
      <w:r>
        <w:rPr>
          <w:rFonts w:ascii="Arial;sans-serif" w:hAnsi="Arial;sans-serif"/>
          <w:b w:val="false"/>
          <w:color w:val="000000"/>
          <w:sz w:val="20"/>
          <w:shd w:fill="FFFFFF" w:val="clear"/>
        </w:rPr>
        <w:t xml:space="preserve">The decrease in the management fee in 2026 is primarily due to the deconsolidation of Lugano in November 2025 and the sale of Sterno in May 2026, which reduced the net assets used in the calculation of the management fee. </w:t>
      </w:r>
      <w:r>
        <w:rPr>
          <w:rFonts w:ascii="Arial;sans-serif" w:hAnsi="Arial;sans-serif"/>
          <w:b w:val="false"/>
          <w:color w:val="000000"/>
          <w:sz w:val="20"/>
        </w:rPr>
        <w:t>The Management fee incurred in the three months ended June 30, 2025 reflects the amount incurred prior to the restatement of the Company's financial statements as the Company is not permitted under the MSA to adjust the amount owed to the Manager until the time when the restated financial information was available, which occurred upon the filing of the Company's 10-K/A on December 8, 2025. Therefore the expense recorded in the quarter ended June 30, 2025 reflects the amount that would have been due to the Manager at the time calculated, prior to the restatement of the Company's financial statements. While the MSA did not contain</w:t>
      </w:r>
      <w:r>
        <w:rPr>
          <w:color w:val="000000"/>
          <w:shd w:fill="FFFFFF" w:val="clear"/>
        </w:rPr>
        <w:t xml:space="preserve"> </w:t>
      </w:r>
      <w:r>
        <w:rPr>
          <w:rFonts w:ascii="Arial;sans-serif" w:hAnsi="Arial;sans-serif"/>
          <w:b w:val="false"/>
          <w:color w:val="000000"/>
          <w:sz w:val="20"/>
          <w:shd w:fill="FFFFFF" w:val="clear"/>
        </w:rPr>
        <w:t>an express mechanism that permitted the Company to immediately clawback the overpayment of management fees, the MSA provided that future payments under the MSA would be reduced, on a dollar-for-dollar basis, by the aggregate amount of all overpaid management fees. T</w:t>
      </w:r>
      <w:r>
        <w:rPr>
          <w:rFonts w:ascii="Arial;sans-serif" w:hAnsi="Arial;sans-serif"/>
          <w:b w:val="false"/>
          <w:color w:val="000000"/>
          <w:sz w:val="20"/>
        </w:rPr>
        <w:t>he Company will reduce future management fee payments until the overpayment has been fully recouped. The total cash paid for Management fees in the quarter ended June 30, 2026 was $8.8 million as compared to total cash paid for Management fees for the quarter ended June 30, 2025 of $18.6 million.</w:t>
      </w:r>
    </w:p>
    <w:p>
      <w:pPr>
        <w:pStyle w:val="TextBody"/>
        <w:bidi w:val="0"/>
        <w:spacing w:lineRule="auto" w:line="288" w:before="120" w:after="283"/>
        <w:jc w:val="both"/>
        <w:rPr/>
      </w:pPr>
      <w:r>
        <w:rPr>
          <w:rFonts w:ascii="Arial;sans-serif" w:hAnsi="Arial;sans-serif"/>
          <w:b w:val="false"/>
          <w:color w:val="000000"/>
          <w:sz w:val="20"/>
        </w:rPr>
        <w:t>Refer to "</w:t>
      </w:r>
      <w:hyperlink w:anchor="i29996918526446a59b54dc1fd0efe432_91">
        <w:r>
          <w:rPr>
            <w:rStyle w:val="InternetLink"/>
            <w:rFonts w:ascii="Arial;sans-serif" w:hAnsi="Arial;sans-serif"/>
            <w:b w:val="false"/>
            <w:color w:val="0000FF"/>
            <w:sz w:val="20"/>
            <w:u w:val="single"/>
          </w:rPr>
          <w:t>Note N - Related Party Transactions</w:t>
        </w:r>
      </w:hyperlink>
      <w:r>
        <w:rPr>
          <w:rFonts w:ascii="Arial;sans-serif" w:hAnsi="Arial;sans-serif"/>
          <w:b w:val="false"/>
          <w:color w:val="000000"/>
          <w:sz w:val="20"/>
        </w:rPr>
        <w:t>" in the "Notes to the Condensed Consolidated Financial Statements" for a description of the effect of the restatement on the Management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Amortization expense</w:t>
      </w:r>
    </w:p>
    <w:tbl>
      <w:tblPr>
        <w:tblW w:w="6606" w:type="dxa"/>
        <w:jc w:val="center"/>
        <w:tblInd w:w="0" w:type="dxa"/>
        <w:tblLayout w:type="fixed"/>
        <w:tblCellMar>
          <w:top w:w="28" w:type="dxa"/>
          <w:left w:w="28" w:type="dxa"/>
          <w:bottom w:w="28" w:type="dxa"/>
          <w:right w:w="28" w:type="dxa"/>
        </w:tblCellMar>
      </w:tblPr>
      <w:tblGrid>
        <w:gridCol w:w="614"/>
        <w:gridCol w:w="539"/>
        <w:gridCol w:w="541"/>
        <w:gridCol w:w="241"/>
        <w:gridCol w:w="795"/>
        <w:gridCol w:w="134"/>
        <w:gridCol w:w="109"/>
        <w:gridCol w:w="109"/>
        <w:gridCol w:w="109"/>
        <w:gridCol w:w="241"/>
        <w:gridCol w:w="795"/>
        <w:gridCol w:w="134"/>
        <w:gridCol w:w="109"/>
        <w:gridCol w:w="109"/>
        <w:gridCol w:w="109"/>
        <w:gridCol w:w="201"/>
        <w:gridCol w:w="510"/>
        <w:gridCol w:w="112"/>
        <w:gridCol w:w="112"/>
        <w:gridCol w:w="112"/>
        <w:gridCol w:w="112"/>
        <w:gridCol w:w="224"/>
        <w:gridCol w:w="226"/>
        <w:gridCol w:w="309"/>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22,686 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23,117 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Amortization expense for the three months ended June 30, 2026 decreased $0.4 million as compared to the three months ended June 30, 2025 due to the effect of the sale of Sterno on May 1, 2026.</w:t>
      </w:r>
    </w:p>
    <w:p>
      <w:pPr>
        <w:pStyle w:val="TextBody"/>
        <w:bidi w:val="0"/>
        <w:spacing w:lineRule="auto" w:line="288" w:before="240" w:after="283"/>
        <w:jc w:val="both"/>
        <w:rPr>
          <w:rFonts w:ascii="Arial;sans-serif" w:hAnsi="Arial;sans-serif"/>
          <w:b w:val="false"/>
          <w:i/>
          <w:color w:val="000000"/>
          <w:sz w:val="20"/>
          <w:u w:val="single"/>
        </w:rPr>
      </w:pPr>
      <w:r>
        <w:rPr>
          <w:rFonts w:ascii="Arial;sans-serif" w:hAnsi="Arial;sans-serif"/>
          <w:b w:val="false"/>
          <w:i/>
          <w:color w:val="000000"/>
          <w:sz w:val="20"/>
          <w:u w:val="single"/>
        </w:rPr>
        <w:t>Interest expense, net</w:t>
      </w:r>
    </w:p>
    <w:tbl>
      <w:tblPr>
        <w:tblW w:w="6621" w:type="dxa"/>
        <w:jc w:val="center"/>
        <w:tblInd w:w="0" w:type="dxa"/>
        <w:tblLayout w:type="fixed"/>
        <w:tblCellMar>
          <w:top w:w="28" w:type="dxa"/>
          <w:left w:w="28" w:type="dxa"/>
          <w:bottom w:w="28" w:type="dxa"/>
          <w:right w:w="28" w:type="dxa"/>
        </w:tblCellMar>
      </w:tblPr>
      <w:tblGrid>
        <w:gridCol w:w="602"/>
        <w:gridCol w:w="529"/>
        <w:gridCol w:w="533"/>
        <w:gridCol w:w="389"/>
        <w:gridCol w:w="389"/>
        <w:gridCol w:w="391"/>
        <w:gridCol w:w="109"/>
        <w:gridCol w:w="109"/>
        <w:gridCol w:w="109"/>
        <w:gridCol w:w="389"/>
        <w:gridCol w:w="389"/>
        <w:gridCol w:w="391"/>
        <w:gridCol w:w="109"/>
        <w:gridCol w:w="109"/>
        <w:gridCol w:w="109"/>
        <w:gridCol w:w="230"/>
        <w:gridCol w:w="230"/>
        <w:gridCol w:w="231"/>
        <w:gridCol w:w="180"/>
        <w:gridCol w:w="180"/>
        <w:gridCol w:w="180"/>
        <w:gridCol w:w="215"/>
        <w:gridCol w:w="215"/>
        <w:gridCol w:w="304"/>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(23,895)</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(34,096)</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$10,201</w:t>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(29.9)%</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recorded interest expense totaling $23.9 million for the three months ended June 30, 2026 compared to $34.1 million for the comparable period in 2025, a decrease of $10.2 million. During 2026, the Company has paid down approximately $300 million of principal on the 2022 Term Loan, reducing the total interest expense incurred. In the three months ended June 30, 2026, interest expense associated with the 2022 Term Loan was approximately $6.3 million as compared to $9.8 million in the three months ended June 30, 2025. Interest expense in the three months ended June 30, 2025 also included $6.9 million related to financing arrangements at Lugano, which was deconsolidated in November 2025. The decrease in interest expense was partially offset by higher interest expense on the Company’s Senior Notes resulting from the increased principal amount of the Senior Notes following the paid-in-kind payments made in 2025 in connection with the indenture forbearance agreement described in the 2025 Form 10-K.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Loss on debt modification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second quarter of 2025, the Company entered into a forbearance agreement which reduced the aggregate borrowing amount available for revolving commitments to $100 million from $600 million. As a result of the reduction in available revolving commitments, the Company recognized $2.8 million in loss on debt modification in the second quarter of 2025.</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Decrease in fair value of receivable due from unconsolidated affiliate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receivable due from an unconsolidated affiliate represents the Company’s estimate of the fair value of its secured claim related to intercompany loans to Lugano, which is currently subject to bankruptcy proceedings. On June 24, 2026, the Company entered into a settlement agreement and a plan support agreement relating to the proposed resolution of claims alleged against the Company and its related parties by or on behalf of Lugano or its bankruptcy estate. The terms of those agreements changed the estimated amount and timing of the Company’s expected recoveries on its secured claim, resulting in a $58 million decrease in the fair value of the receivable at June 30, 2026.</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Gain on sale of product division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May 1, 2026, the Company sold the Sterno food service product division. The Company received approximately $282 million of total proceeds at closing, representing amounts received with respect to the Company’s outstanding loans to Sterno, including accrued interest, and its equity interests in Sterno. The Company recorded a gain on the sale of Sterno in the quarter ending June 30, 2026 of $182.3 million.</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Other income (expense)</w:t>
      </w:r>
    </w:p>
    <w:tbl>
      <w:tblPr>
        <w:tblW w:w="7296" w:type="dxa"/>
        <w:jc w:val="center"/>
        <w:tblInd w:w="0" w:type="dxa"/>
        <w:tblLayout w:type="fixed"/>
        <w:tblCellMar>
          <w:top w:w="28" w:type="dxa"/>
          <w:left w:w="28" w:type="dxa"/>
          <w:bottom w:w="28" w:type="dxa"/>
          <w:right w:w="28" w:type="dxa"/>
        </w:tblCellMar>
      </w:tblPr>
      <w:tblGrid>
        <w:gridCol w:w="803"/>
        <w:gridCol w:w="706"/>
        <w:gridCol w:w="711"/>
        <w:gridCol w:w="389"/>
        <w:gridCol w:w="389"/>
        <w:gridCol w:w="391"/>
        <w:gridCol w:w="109"/>
        <w:gridCol w:w="109"/>
        <w:gridCol w:w="109"/>
        <w:gridCol w:w="389"/>
        <w:gridCol w:w="389"/>
        <w:gridCol w:w="391"/>
        <w:gridCol w:w="109"/>
        <w:gridCol w:w="109"/>
        <w:gridCol w:w="109"/>
        <w:gridCol w:w="239"/>
        <w:gridCol w:w="239"/>
        <w:gridCol w:w="241"/>
        <w:gridCol w:w="180"/>
        <w:gridCol w:w="180"/>
        <w:gridCol w:w="180"/>
        <w:gridCol w:w="241"/>
        <w:gridCol w:w="241"/>
        <w:gridCol w:w="343"/>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 net</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1,713 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$(1,834)</w:t>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(107.1)%</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20"/>
        </w:rPr>
        <w:t xml:space="preserve">For the quarter ended June 30, 2026, we recorded $0.1 million in other expense as compared to $1.7 million in other income in the quarter ended June 30, 2025, an increase in expense of $1.8 million. </w:t>
      </w:r>
      <w:r>
        <w:rPr>
          <w:rFonts w:ascii="Arial;sans-serif" w:hAnsi="Arial;sans-serif"/>
          <w:b w:val="false"/>
          <w:color w:val="000000"/>
          <w:sz w:val="20"/>
          <w:shd w:fill="FFFFFF" w:val="clear"/>
        </w:rPr>
        <w:t>Other incom</w:t>
      </w:r>
      <w:r>
        <w:rPr>
          <w:rFonts w:ascii="Arial;sans-serif" w:hAnsi="Arial;sans-serif"/>
          <w:b w:val="false"/>
          <w:color w:val="000000"/>
          <w:sz w:val="20"/>
        </w:rPr>
        <w:t xml:space="preserve">e (expense) typically reflects the movement in foreign currency at our subsidiary businesses with international operations, gains or (losses) realized on the sale of property, plant and equipment, and expenses incurred or income earned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not considered a part of our operations. In both the current quarter and prior year comparable quarter, the expense primary relates to foreign currency gains and losses. </w:t>
      </w:r>
    </w:p>
    <w:p>
      <w:pPr>
        <w:pStyle w:val="TextBody"/>
        <w:bidi w:val="0"/>
        <w:spacing w:lineRule="auto" w:line="288"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Provision for income taxes</w:t>
      </w:r>
    </w:p>
    <w:tbl>
      <w:tblPr>
        <w:tblW w:w="7183" w:type="dxa"/>
        <w:jc w:val="center"/>
        <w:tblInd w:w="0" w:type="dxa"/>
        <w:tblLayout w:type="fixed"/>
        <w:tblCellMar>
          <w:top w:w="28" w:type="dxa"/>
          <w:left w:w="28" w:type="dxa"/>
          <w:bottom w:w="28" w:type="dxa"/>
          <w:right w:w="28" w:type="dxa"/>
        </w:tblCellMar>
      </w:tblPr>
      <w:tblGrid>
        <w:gridCol w:w="743"/>
        <w:gridCol w:w="653"/>
        <w:gridCol w:w="658"/>
        <w:gridCol w:w="209"/>
        <w:gridCol w:w="688"/>
        <w:gridCol w:w="273"/>
        <w:gridCol w:w="109"/>
        <w:gridCol w:w="109"/>
        <w:gridCol w:w="109"/>
        <w:gridCol w:w="209"/>
        <w:gridCol w:w="688"/>
        <w:gridCol w:w="273"/>
        <w:gridCol w:w="109"/>
        <w:gridCol w:w="109"/>
        <w:gridCol w:w="109"/>
        <w:gridCol w:w="196"/>
        <w:gridCol w:w="646"/>
        <w:gridCol w:w="109"/>
        <w:gridCol w:w="109"/>
        <w:gridCol w:w="109"/>
        <w:gridCol w:w="109"/>
        <w:gridCol w:w="278"/>
        <w:gridCol w:w="278"/>
        <w:gridCol w:w="30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for income taxes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45,379 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17,358 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161.4 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Effective tax rate</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35.7 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(27.4)</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We had an income tax provision of $45.4 million during the three months ended June 30, 2026 compared to an income tax provision of $17.4 million during the same period in 2025, an increase of $28.0 million. Our tax rate is affected by recurring items, such as tax rates in foreign jurisdictions and the relative amounts of income we earn in those jurisdictions. It is also affected by discrete items that may occur in any given year but are not consistent from year to year. I</w:t>
      </w:r>
      <w:r>
        <w:rPr>
          <w:rFonts w:ascii="Arial;sans-serif" w:hAnsi="Arial;sans-serif"/>
          <w:b w:val="false"/>
          <w:color w:val="000000"/>
          <w:sz w:val="20"/>
          <w:shd w:fill="FFFFFF" w:val="clear"/>
        </w:rPr>
        <w:t>n the current year, the effe</w:t>
      </w:r>
      <w:r>
        <w:rPr>
          <w:rFonts w:ascii="Arial;sans-serif" w:hAnsi="Arial;sans-serif"/>
          <w:b w:val="false"/>
          <w:color w:val="000000"/>
          <w:sz w:val="20"/>
        </w:rPr>
        <w:t xml:space="preserve">ctive tax rate was impacted by the sale of Sterno and the tax effect at the Trust, the effect of foreign taxes and changes in valuation allowances, while in the prior year, the primary item affecting the effective tax rate was changes in valuation allowance. In connection with the sale of Sterno, we recorded a liability for unrecognized tax benefits of $21.3 million in the quarter ended June 30, 2026, and approximately $5.5 million in </w:t>
      </w:r>
      <w:r>
        <w:rPr>
          <w:rFonts w:ascii="Arial;sans-serif" w:hAnsi="Arial;sans-serif"/>
          <w:b w:val="false"/>
          <w:color w:val="000000"/>
          <w:sz w:val="20"/>
          <w:shd w:fill="FFFFFF" w:val="clear"/>
        </w:rPr>
        <w:t>interest associated with certain previously recognized uncertain tax positions that had not been accrued in prior reporting periods, substantially all of which relates to prior years.</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Results of Operations - Operating Segments - Quarter-to-Date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Three months ended June 30, 2026 compared to three months ended June 30, 2025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Branded Consumer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5.11 </w:t>
      </w:r>
    </w:p>
    <w:tbl>
      <w:tblPr>
        <w:tblW w:w="5816" w:type="dxa"/>
        <w:jc w:val="center"/>
        <w:tblInd w:w="0" w:type="dxa"/>
        <w:tblLayout w:type="fixed"/>
        <w:tblCellMar>
          <w:top w:w="28" w:type="dxa"/>
          <w:left w:w="28" w:type="dxa"/>
          <w:bottom w:w="28" w:type="dxa"/>
          <w:right w:w="28" w:type="dxa"/>
        </w:tblCellMar>
      </w:tblPr>
      <w:tblGrid>
        <w:gridCol w:w="293"/>
        <w:gridCol w:w="257"/>
        <w:gridCol w:w="260"/>
        <w:gridCol w:w="220"/>
        <w:gridCol w:w="827"/>
        <w:gridCol w:w="122"/>
        <w:gridCol w:w="109"/>
        <w:gridCol w:w="109"/>
        <w:gridCol w:w="109"/>
        <w:gridCol w:w="220"/>
        <w:gridCol w:w="827"/>
        <w:gridCol w:w="122"/>
        <w:gridCol w:w="109"/>
        <w:gridCol w:w="109"/>
        <w:gridCol w:w="109"/>
        <w:gridCol w:w="196"/>
        <w:gridCol w:w="631"/>
        <w:gridCol w:w="109"/>
        <w:gridCol w:w="109"/>
        <w:gridCol w:w="109"/>
        <w:gridCol w:w="109"/>
        <w:gridCol w:w="224"/>
        <w:gridCol w:w="226"/>
        <w:gridCol w:w="30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126,499 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131,442 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Net sales for the three months ended June 30, 2026 were $126.5 million as compared to net sales of $131.4 million for the three months ended June 30, 2025, a decrease of $4.9 million, or 3.8%. The decrease was primarily attributable to a decrease in direct-to-consumer sales of approximately $4.0 million, reflecting an intentional reduction in promotional activity compared to the prior year period, and a decrease in domestic wholesale sales of approximately $3.7 million, due to customer inventory reductions. These decreases were partially offset by an increase in international sales of approximately $2.4 million, driven by growth in EMEA, Australia, and Canada. </w:t>
      </w:r>
    </w:p>
    <w:tbl>
      <w:tblPr>
        <w:tblW w:w="7002" w:type="dxa"/>
        <w:jc w:val="center"/>
        <w:tblInd w:w="0" w:type="dxa"/>
        <w:tblLayout w:type="fixed"/>
        <w:tblCellMar>
          <w:top w:w="28" w:type="dxa"/>
          <w:left w:w="28" w:type="dxa"/>
          <w:bottom w:w="28" w:type="dxa"/>
          <w:right w:w="28" w:type="dxa"/>
        </w:tblCellMar>
      </w:tblPr>
      <w:tblGrid>
        <w:gridCol w:w="743"/>
        <w:gridCol w:w="653"/>
        <w:gridCol w:w="658"/>
        <w:gridCol w:w="209"/>
        <w:gridCol w:w="688"/>
        <w:gridCol w:w="273"/>
        <w:gridCol w:w="109"/>
        <w:gridCol w:w="109"/>
        <w:gridCol w:w="109"/>
        <w:gridCol w:w="227"/>
        <w:gridCol w:w="645"/>
        <w:gridCol w:w="297"/>
        <w:gridCol w:w="109"/>
        <w:gridCol w:w="109"/>
        <w:gridCol w:w="109"/>
        <w:gridCol w:w="196"/>
        <w:gridCol w:w="556"/>
        <w:gridCol w:w="109"/>
        <w:gridCol w:w="109"/>
        <w:gridCol w:w="109"/>
        <w:gridCol w:w="109"/>
        <w:gridCol w:w="233"/>
        <w:gridCol w:w="233"/>
        <w:gridCol w:w="30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12,249 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9,754 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2.3%</w:t>
            </w:r>
          </w:p>
        </w:tc>
      </w:tr>
    </w:tbl>
    <w:p>
      <w:pPr>
        <w:pStyle w:val="TextBody"/>
        <w:bidi w:val="0"/>
        <w:spacing w:lineRule="auto" w:line="288" w:before="180" w:after="283"/>
        <w:jc w:val="both"/>
        <w:rPr/>
      </w:pPr>
      <w:r>
        <w:rPr>
          <w:rFonts w:ascii="Arial;sans-serif" w:hAnsi="Arial;sans-serif"/>
          <w:b w:val="false"/>
          <w:color w:val="000000"/>
          <w:sz w:val="20"/>
        </w:rPr>
        <w:t xml:space="preserve">Segment operating income for the three months ended June 30, 2026 was $12.2 million, an increase of $2.5 million when compared to segment operating income of $9.8 million for the same period in 2025. </w:t>
      </w:r>
      <w:r>
        <w:rPr>
          <w:rFonts w:ascii="Arial;sans-serif" w:hAnsi="Arial;sans-serif"/>
          <w:b w:val="false"/>
          <w:color w:val="000000"/>
          <w:sz w:val="20"/>
          <w:shd w:fill="FFFFFF" w:val="clear"/>
        </w:rPr>
        <w:t xml:space="preserve">The increase was primarily attributable to improved gross margin and disciplined operating expense management, which more than offset the impact of lower net sales. Gross margin benefited from a higher mix of full-price sales and from refunds of duties previously paid under IEEPA tariffs, which were recognized as a credit to cost of goods sold upon receipt of cash, consistent with the accounting for gain contingencies. Selling, general and administrative expenses were essentially flat compared to the prior year period, as lower payroll expense was offset by higher performance-based bonus accruals and increased investment in brand marketing.Segment operating margin was </w:t>
      </w:r>
      <w:r>
        <w:rPr>
          <w:rFonts w:ascii="Arial;sans-serif" w:hAnsi="Arial;sans-serif"/>
          <w:b w:val="false"/>
          <w:color w:val="000000"/>
          <w:sz w:val="20"/>
        </w:rPr>
        <w:t>9.7%</w:t>
      </w:r>
      <w:r>
        <w:rPr>
          <w:color w:val="000000"/>
          <w:shd w:fill="FFFFFF" w:val="clear"/>
        </w:rPr>
        <w:t xml:space="preserve"> </w:t>
      </w:r>
      <w:r>
        <w:rPr>
          <w:rFonts w:ascii="Arial;sans-serif" w:hAnsi="Arial;sans-serif"/>
          <w:b w:val="false"/>
          <w:color w:val="000000"/>
          <w:sz w:val="20"/>
          <w:shd w:fill="FFFFFF" w:val="clear"/>
        </w:rPr>
        <w:t>in the second</w:t>
      </w:r>
      <w:r>
        <w:rPr>
          <w:color w:val="000000"/>
        </w:rPr>
        <w:t xml:space="preserve"> </w:t>
      </w:r>
      <w:r>
        <w:rPr>
          <w:rFonts w:ascii="Arial;sans-serif" w:hAnsi="Arial;sans-serif"/>
          <w:b w:val="false"/>
          <w:color w:val="000000"/>
          <w:sz w:val="20"/>
        </w:rPr>
        <w:t>quarter of 2026 and 7.4% in the second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BOA</w:t>
      </w:r>
    </w:p>
    <w:tbl>
      <w:tblPr>
        <w:tblW w:w="5849" w:type="dxa"/>
        <w:jc w:val="center"/>
        <w:tblInd w:w="0" w:type="dxa"/>
        <w:tblLayout w:type="fixed"/>
        <w:tblCellMar>
          <w:top w:w="28" w:type="dxa"/>
          <w:left w:w="28" w:type="dxa"/>
          <w:bottom w:w="28" w:type="dxa"/>
          <w:right w:w="28" w:type="dxa"/>
        </w:tblCellMar>
      </w:tblPr>
      <w:tblGrid>
        <w:gridCol w:w="293"/>
        <w:gridCol w:w="257"/>
        <w:gridCol w:w="260"/>
        <w:gridCol w:w="241"/>
        <w:gridCol w:w="795"/>
        <w:gridCol w:w="134"/>
        <w:gridCol w:w="109"/>
        <w:gridCol w:w="109"/>
        <w:gridCol w:w="109"/>
        <w:gridCol w:w="241"/>
        <w:gridCol w:w="795"/>
        <w:gridCol w:w="134"/>
        <w:gridCol w:w="109"/>
        <w:gridCol w:w="109"/>
        <w:gridCol w:w="109"/>
        <w:gridCol w:w="196"/>
        <w:gridCol w:w="646"/>
        <w:gridCol w:w="109"/>
        <w:gridCol w:w="109"/>
        <w:gridCol w:w="109"/>
        <w:gridCol w:w="109"/>
        <w:gridCol w:w="233"/>
        <w:gridCol w:w="233"/>
        <w:gridCol w:w="30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59,068 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48,369 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Net sales for the three months ended June 30, 2026 were $59.1 million as compared to net sales of $48.4 million for the three months ended June 30, 2025, an increase of $10.7 million, or 22.1%</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BOA adult premium performance sales increased across key industries including Athletic, Workwear, Cycling, Snowsports, Outdoor, Helmets, and Performance Bracing, partially offset by reduced kids-based business in China. </w:t>
      </w:r>
    </w:p>
    <w:tbl>
      <w:tblPr>
        <w:tblW w:w="7003" w:type="dxa"/>
        <w:jc w:val="center"/>
        <w:tblInd w:w="0" w:type="dxa"/>
        <w:tblLayout w:type="fixed"/>
        <w:tblCellMar>
          <w:top w:w="28" w:type="dxa"/>
          <w:left w:w="28" w:type="dxa"/>
          <w:bottom w:w="28" w:type="dxa"/>
          <w:right w:w="28" w:type="dxa"/>
        </w:tblCellMar>
      </w:tblPr>
      <w:tblGrid>
        <w:gridCol w:w="743"/>
        <w:gridCol w:w="653"/>
        <w:gridCol w:w="658"/>
        <w:gridCol w:w="209"/>
        <w:gridCol w:w="688"/>
        <w:gridCol w:w="273"/>
        <w:gridCol w:w="109"/>
        <w:gridCol w:w="109"/>
        <w:gridCol w:w="109"/>
        <w:gridCol w:w="209"/>
        <w:gridCol w:w="688"/>
        <w:gridCol w:w="273"/>
        <w:gridCol w:w="109"/>
        <w:gridCol w:w="109"/>
        <w:gridCol w:w="109"/>
        <w:gridCol w:w="196"/>
        <w:gridCol w:w="556"/>
        <w:gridCol w:w="109"/>
        <w:gridCol w:w="109"/>
        <w:gridCol w:w="109"/>
        <w:gridCol w:w="109"/>
        <w:gridCol w:w="233"/>
        <w:gridCol w:w="233"/>
        <w:gridCol w:w="30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20,051 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14,046 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33.9 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4.9%</w:t>
            </w:r>
          </w:p>
        </w:tc>
      </w:tr>
    </w:tbl>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Segment operating income for the three months ended June 30, 2026 was $20.1 million, an increase of $6.0 million when compared to segment operating income of $14.0 million for the same period in 2025. The increase in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Arial;sans-serif" w:hAnsi="Arial;sans-serif"/>
          <w:b w:val="false"/>
          <w:color w:val="000000"/>
          <w:sz w:val="20"/>
          <w:shd w:fill="FFFFFF" w:val="clear"/>
        </w:rPr>
        <w:t xml:space="preserve">operating income was driven by higher net sales, improved product margins, partially offset by an increase in selling, general, and administrative expense </w:t>
      </w:r>
      <w:r>
        <w:rPr>
          <w:rFonts w:ascii="Arial;sans-serif" w:hAnsi="Arial;sans-serif"/>
          <w:b w:val="false"/>
          <w:color w:val="000000"/>
          <w:sz w:val="20"/>
        </w:rPr>
        <w:t>related to BOA's bonus plan.</w:t>
      </w:r>
      <w:r>
        <w:rPr>
          <w:color w:val="000000"/>
          <w:shd w:fill="FFFFFF" w:val="clear"/>
        </w:rPr>
        <w:t xml:space="preserve"> </w:t>
      </w:r>
      <w:r>
        <w:rPr>
          <w:rFonts w:ascii="Arial;sans-serif" w:hAnsi="Arial;sans-serif"/>
          <w:b w:val="false"/>
          <w:color w:val="000000"/>
          <w:sz w:val="20"/>
          <w:shd w:fill="FFFFFF" w:val="clear"/>
        </w:rPr>
        <w:t>Segment operating margin increased to 33.9% in the second quarter of 2026 from 29.0% in the second quarter of 2025, primarily driven by improved gross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PrimaLoft</w:t>
      </w:r>
    </w:p>
    <w:tbl>
      <w:tblPr>
        <w:tblW w:w="6587" w:type="dxa"/>
        <w:jc w:val="left"/>
        <w:tblInd w:w="0" w:type="dxa"/>
        <w:tblLayout w:type="fixed"/>
        <w:tblCellMar>
          <w:top w:w="28" w:type="dxa"/>
          <w:left w:w="28" w:type="dxa"/>
          <w:bottom w:w="28" w:type="dxa"/>
          <w:right w:w="28" w:type="dxa"/>
        </w:tblCellMar>
      </w:tblPr>
      <w:tblGrid>
        <w:gridCol w:w="342"/>
        <w:gridCol w:w="300"/>
        <w:gridCol w:w="303"/>
        <w:gridCol w:w="269"/>
        <w:gridCol w:w="957"/>
        <w:gridCol w:w="139"/>
        <w:gridCol w:w="109"/>
        <w:gridCol w:w="109"/>
        <w:gridCol w:w="109"/>
        <w:gridCol w:w="269"/>
        <w:gridCol w:w="957"/>
        <w:gridCol w:w="139"/>
        <w:gridCol w:w="109"/>
        <w:gridCol w:w="109"/>
        <w:gridCol w:w="109"/>
        <w:gridCol w:w="223"/>
        <w:gridCol w:w="684"/>
        <w:gridCol w:w="115"/>
        <w:gridCol w:w="115"/>
        <w:gridCol w:w="115"/>
        <w:gridCol w:w="115"/>
        <w:gridCol w:w="270"/>
        <w:gridCol w:w="271"/>
        <w:gridCol w:w="350"/>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2"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Increase (Decrease)</w:t>
            </w:r>
          </w:p>
        </w:tc>
      </w:tr>
      <w:tr>
        <w:trPr/>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29,749 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24,855 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shd w:fill="FFFFFF" w:val="clear"/>
        </w:rPr>
        <w:t xml:space="preserve">Net sales for the three months ended June 30, 2026 were $29.7 million, an increase of $4.9 million as compared to net sales of $24.9 million for the three months ended June 30, 2025. The increase in net sales in the current quarter versus the quarter ended June 30, 2025 is </w:t>
      </w:r>
      <w:r>
        <w:rPr>
          <w:rFonts w:ascii="Arial;sans-serif" w:hAnsi="Arial;sans-serif"/>
          <w:b w:val="false"/>
          <w:color w:val="000000"/>
          <w:sz w:val="20"/>
        </w:rPr>
        <w:t>primarily attributable to higher sales to Asia-based brand partners, reflecting continued strong demand for outdoor products in the region, as well as the Company's ongoing success in establishing new brand partnerships that have expanded its customer base.</w:t>
      </w:r>
    </w:p>
    <w:p>
      <w:pPr>
        <w:pStyle w:val="TextBody"/>
        <w:bidi w:val="0"/>
        <w:spacing w:before="180" w:after="283"/>
        <w:jc w:val="both"/>
        <w:rPr/>
      </w:pPr>
      <w:r>
        <w:rPr/>
      </w:r>
    </w:p>
    <w:tbl>
      <w:tblPr>
        <w:tblW w:w="7001" w:type="dxa"/>
        <w:jc w:val="center"/>
        <w:tblInd w:w="0" w:type="dxa"/>
        <w:tblLayout w:type="fixed"/>
        <w:tblCellMar>
          <w:top w:w="28" w:type="dxa"/>
          <w:left w:w="28" w:type="dxa"/>
          <w:bottom w:w="28" w:type="dxa"/>
          <w:right w:w="28" w:type="dxa"/>
        </w:tblCellMar>
      </w:tblPr>
      <w:tblGrid>
        <w:gridCol w:w="743"/>
        <w:gridCol w:w="653"/>
        <w:gridCol w:w="658"/>
        <w:gridCol w:w="227"/>
        <w:gridCol w:w="645"/>
        <w:gridCol w:w="297"/>
        <w:gridCol w:w="109"/>
        <w:gridCol w:w="109"/>
        <w:gridCol w:w="109"/>
        <w:gridCol w:w="227"/>
        <w:gridCol w:w="645"/>
        <w:gridCol w:w="297"/>
        <w:gridCol w:w="109"/>
        <w:gridCol w:w="109"/>
        <w:gridCol w:w="109"/>
        <w:gridCol w:w="196"/>
        <w:gridCol w:w="556"/>
        <w:gridCol w:w="109"/>
        <w:gridCol w:w="109"/>
        <w:gridCol w:w="109"/>
        <w:gridCol w:w="109"/>
        <w:gridCol w:w="233"/>
        <w:gridCol w:w="233"/>
        <w:gridCol w:w="30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7,731 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4,890 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26.0 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19.7 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6.3%</w:t>
            </w:r>
          </w:p>
        </w:tc>
      </w:tr>
    </w:tbl>
    <w:p>
      <w:pPr>
        <w:pStyle w:val="TextBody"/>
        <w:bidi w:val="0"/>
        <w:spacing w:lineRule="auto" w:line="288" w:before="180" w:after="283"/>
        <w:jc w:val="both"/>
        <w:rPr/>
      </w:pPr>
      <w:r>
        <w:rPr>
          <w:rFonts w:ascii="Arial;sans-serif" w:hAnsi="Arial;sans-serif"/>
          <w:b w:val="false"/>
          <w:color w:val="000000"/>
          <w:sz w:val="20"/>
          <w:shd w:fill="FFFFFF" w:val="clear"/>
        </w:rPr>
        <w:t xml:space="preserve">Segment operating income for the three months ended June 30, 2026 was $7.7 million, an increase of $2.8 million when compared to segment operating income of $4.9 million for the same period in 2025, driven by higher net sales and </w:t>
      </w:r>
      <w:r>
        <w:rPr>
          <w:rFonts w:ascii="Arial;sans-serif" w:hAnsi="Arial;sans-serif"/>
          <w:b w:val="false"/>
          <w:color w:val="000000"/>
          <w:sz w:val="20"/>
        </w:rPr>
        <w:t>improved gross margins in the current quarter.</w:t>
      </w:r>
      <w:r>
        <w:rPr>
          <w:color w:val="000000"/>
          <w:shd w:fill="FFFFFF" w:val="clear"/>
        </w:rPr>
        <w:t xml:space="preserve"> </w:t>
      </w:r>
      <w:r>
        <w:rPr>
          <w:rFonts w:ascii="Arial;sans-serif" w:hAnsi="Arial;sans-serif"/>
          <w:b w:val="false"/>
          <w:color w:val="000000"/>
          <w:sz w:val="20"/>
          <w:shd w:fill="FFFFFF" w:val="clear"/>
        </w:rPr>
        <w:t>Segment operating margin was 26.0% in the second quarter of 2026 as compared to 19.7% in the second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The Honey Pot Co.</w:t>
      </w:r>
    </w:p>
    <w:tbl>
      <w:tblPr>
        <w:tblW w:w="5759" w:type="dxa"/>
        <w:jc w:val="center"/>
        <w:tblInd w:w="0" w:type="dxa"/>
        <w:tblLayout w:type="fixed"/>
        <w:tblCellMar>
          <w:top w:w="28" w:type="dxa"/>
          <w:left w:w="28" w:type="dxa"/>
          <w:bottom w:w="28" w:type="dxa"/>
          <w:right w:w="28" w:type="dxa"/>
        </w:tblCellMar>
      </w:tblPr>
      <w:tblGrid>
        <w:gridCol w:w="293"/>
        <w:gridCol w:w="257"/>
        <w:gridCol w:w="260"/>
        <w:gridCol w:w="241"/>
        <w:gridCol w:w="795"/>
        <w:gridCol w:w="134"/>
        <w:gridCol w:w="109"/>
        <w:gridCol w:w="109"/>
        <w:gridCol w:w="109"/>
        <w:gridCol w:w="241"/>
        <w:gridCol w:w="795"/>
        <w:gridCol w:w="134"/>
        <w:gridCol w:w="109"/>
        <w:gridCol w:w="109"/>
        <w:gridCol w:w="109"/>
        <w:gridCol w:w="196"/>
        <w:gridCol w:w="556"/>
        <w:gridCol w:w="109"/>
        <w:gridCol w:w="109"/>
        <w:gridCol w:w="109"/>
        <w:gridCol w:w="109"/>
        <w:gridCol w:w="233"/>
        <w:gridCol w:w="233"/>
        <w:gridCol w:w="30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38,387 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32,798 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20"/>
          <w:shd w:fill="FFFFFF" w:val="clear"/>
        </w:rPr>
        <w:t>Net sales for the three months ended June 30, 2026 were $38.4 million, an increase of $5.6 million or 17.0% from net sales of $32.8 million for the three months ended June 30, 2025. The increase in net sales was primarily due to strong volume growth and market share gains in the Period Care product line, particularly in mass retail, drugstores and online channels, and the net pricing benefit related to Period Care pack price optimization implemented in late 2025.</w:t>
      </w:r>
      <w:r>
        <w:rPr>
          <w:color w:val="000000"/>
        </w:rPr>
        <w:t xml:space="preserve"> </w:t>
      </w:r>
      <w:r>
        <w:rPr>
          <w:rFonts w:ascii="Arial;sans-serif" w:hAnsi="Arial;sans-serif"/>
          <w:b w:val="false"/>
          <w:color w:val="000000"/>
          <w:sz w:val="20"/>
          <w:shd w:fill="FFFFFF" w:val="clear"/>
        </w:rPr>
        <w:t>Overall, volume and share growth continued to be supported by compelling innovation, targeted investments in demand generation, and disciplined investments in capabilities to accelerate growth.</w:t>
      </w:r>
    </w:p>
    <w:tbl>
      <w:tblPr>
        <w:tblW w:w="7047" w:type="dxa"/>
        <w:jc w:val="center"/>
        <w:tblInd w:w="0" w:type="dxa"/>
        <w:tblLayout w:type="fixed"/>
        <w:tblCellMar>
          <w:top w:w="28" w:type="dxa"/>
          <w:left w:w="28" w:type="dxa"/>
          <w:bottom w:w="28" w:type="dxa"/>
          <w:right w:w="28" w:type="dxa"/>
        </w:tblCellMar>
      </w:tblPr>
      <w:tblGrid>
        <w:gridCol w:w="760"/>
        <w:gridCol w:w="667"/>
        <w:gridCol w:w="673"/>
        <w:gridCol w:w="227"/>
        <w:gridCol w:w="645"/>
        <w:gridCol w:w="297"/>
        <w:gridCol w:w="109"/>
        <w:gridCol w:w="109"/>
        <w:gridCol w:w="109"/>
        <w:gridCol w:w="227"/>
        <w:gridCol w:w="645"/>
        <w:gridCol w:w="297"/>
        <w:gridCol w:w="109"/>
        <w:gridCol w:w="109"/>
        <w:gridCol w:w="109"/>
        <w:gridCol w:w="196"/>
        <w:gridCol w:w="556"/>
        <w:gridCol w:w="109"/>
        <w:gridCol w:w="109"/>
        <w:gridCol w:w="109"/>
        <w:gridCol w:w="109"/>
        <w:gridCol w:w="233"/>
        <w:gridCol w:w="233"/>
        <w:gridCol w:w="301"/>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Segment operating income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6,356 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3,705 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16.6 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5.3%</w:t>
            </w:r>
          </w:p>
        </w:tc>
      </w:tr>
    </w:tbl>
    <w:p>
      <w:pPr>
        <w:pStyle w:val="TextBody"/>
        <w:bidi w:val="0"/>
        <w:spacing w:lineRule="auto" w:line="288" w:before="180" w:after="283"/>
        <w:jc w:val="both"/>
        <w:rPr/>
      </w:pPr>
      <w:r>
        <w:rPr>
          <w:rFonts w:ascii="Arial;sans-serif" w:hAnsi="Arial;sans-serif"/>
          <w:b w:val="false"/>
          <w:color w:val="000000"/>
          <w:sz w:val="20"/>
        </w:rPr>
        <w:t>Segment operating income for the three months ended June 30, 2026 was $6.4 million, an increase of $2.7 million when compared to segment operating income of $3.7 million for the same period i</w:t>
      </w:r>
      <w:r>
        <w:rPr>
          <w:rFonts w:ascii="Arial;sans-serif" w:hAnsi="Arial;sans-serif"/>
          <w:b w:val="false"/>
          <w:color w:val="000000"/>
          <w:sz w:val="20"/>
          <w:shd w:fill="FFFFFF" w:val="clear"/>
        </w:rPr>
        <w:t xml:space="preserve">n 2025. </w:t>
      </w:r>
      <w:r>
        <w:rPr>
          <w:rFonts w:ascii="Arial;sans-serif" w:hAnsi="Arial;sans-serif"/>
          <w:b w:val="false"/>
          <w:color w:val="000000"/>
          <w:sz w:val="20"/>
        </w:rPr>
        <w:t>The increase was primarily driven by higher net sales and improved operating leverage, partially offset by increased investments in marketing and human capital.</w:t>
      </w:r>
      <w:r>
        <w:rPr>
          <w:color w:val="000000"/>
          <w:shd w:fill="FFFFFF" w:val="clear"/>
        </w:rPr>
        <w:t xml:space="preserve"> </w:t>
      </w:r>
      <w:r>
        <w:rPr>
          <w:rFonts w:ascii="Arial;sans-serif" w:hAnsi="Arial;sans-serif"/>
          <w:b w:val="false"/>
          <w:color w:val="000000"/>
          <w:sz w:val="20"/>
        </w:rPr>
        <w:t>Selling, general and administrative expense as a percentage of net sales was 34.2% in the second quarter of 2026 and 31.9%</w:t>
      </w:r>
      <w:r>
        <w:rPr>
          <w:color w:val="000000"/>
          <w:shd w:fill="FFFFFF" w:val="clear"/>
        </w:rPr>
        <w:t xml:space="preserve"> </w:t>
      </w:r>
      <w:r>
        <w:rPr>
          <w:rFonts w:ascii="Arial;sans-serif" w:hAnsi="Arial;sans-serif"/>
          <w:b w:val="false"/>
          <w:color w:val="000000"/>
          <w:sz w:val="20"/>
          <w:shd w:fill="FFFFFF" w:val="clear"/>
        </w:rPr>
        <w:t>in the second quarter of 2025. Segment operating margin in the second quarter of 2026 was 16.6% as compared to 11.3% in the second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Velocity Outdoor</w:t>
      </w:r>
    </w:p>
    <w:tbl>
      <w:tblPr>
        <w:tblW w:w="5759" w:type="dxa"/>
        <w:jc w:val="center"/>
        <w:tblInd w:w="0" w:type="dxa"/>
        <w:tblLayout w:type="fixed"/>
        <w:tblCellMar>
          <w:top w:w="28" w:type="dxa"/>
          <w:left w:w="28" w:type="dxa"/>
          <w:bottom w:w="28" w:type="dxa"/>
          <w:right w:w="28" w:type="dxa"/>
        </w:tblCellMar>
      </w:tblPr>
      <w:tblGrid>
        <w:gridCol w:w="293"/>
        <w:gridCol w:w="257"/>
        <w:gridCol w:w="260"/>
        <w:gridCol w:w="241"/>
        <w:gridCol w:w="795"/>
        <w:gridCol w:w="134"/>
        <w:gridCol w:w="109"/>
        <w:gridCol w:w="109"/>
        <w:gridCol w:w="109"/>
        <w:gridCol w:w="241"/>
        <w:gridCol w:w="795"/>
        <w:gridCol w:w="134"/>
        <w:gridCol w:w="109"/>
        <w:gridCol w:w="109"/>
        <w:gridCol w:w="109"/>
        <w:gridCol w:w="196"/>
        <w:gridCol w:w="556"/>
        <w:gridCol w:w="109"/>
        <w:gridCol w:w="109"/>
        <w:gridCol w:w="109"/>
        <w:gridCol w:w="109"/>
        <w:gridCol w:w="233"/>
        <w:gridCol w:w="233"/>
        <w:gridCol w:w="30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17,109 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15,213 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shd w:fill="FFFFFF" w:val="clear"/>
        </w:rPr>
        <w:t>Net sales for the three months ended June 30, 2026 were $17.1 million, an increase of $1.9 million or 12.5%, compared to net sales of $15.2 million</w:t>
      </w:r>
      <w:r>
        <w:rPr>
          <w:color w:val="000000"/>
        </w:rPr>
        <w:t xml:space="preserve"> </w:t>
      </w:r>
      <w:r>
        <w:rPr>
          <w:rFonts w:ascii="Arial;sans-serif" w:hAnsi="Arial;sans-serif"/>
          <w:b w:val="false"/>
          <w:color w:val="000000"/>
          <w:sz w:val="20"/>
        </w:rPr>
        <w:t xml:space="preserve">in </w:t>
      </w:r>
      <w:r>
        <w:rPr>
          <w:rFonts w:ascii="Arial;sans-serif" w:hAnsi="Arial;sans-serif"/>
          <w:b w:val="false"/>
          <w:color w:val="000000"/>
          <w:sz w:val="20"/>
          <w:shd w:fill="FFFFFF" w:val="clear"/>
        </w:rPr>
        <w:t>the same period in 2025. The increase in net sales for the three months ended June 30, 2026 was primarily driven by increased archery and apparel sales through national retailer channels.</w:t>
      </w:r>
    </w:p>
    <w:tbl>
      <w:tblPr>
        <w:tblW w:w="6911" w:type="dxa"/>
        <w:jc w:val="center"/>
        <w:tblInd w:w="0" w:type="dxa"/>
        <w:tblLayout w:type="fixed"/>
        <w:tblCellMar>
          <w:top w:w="28" w:type="dxa"/>
          <w:left w:w="28" w:type="dxa"/>
          <w:bottom w:w="28" w:type="dxa"/>
          <w:right w:w="28" w:type="dxa"/>
        </w:tblCellMar>
      </w:tblPr>
      <w:tblGrid>
        <w:gridCol w:w="733"/>
        <w:gridCol w:w="643"/>
        <w:gridCol w:w="649"/>
        <w:gridCol w:w="242"/>
        <w:gridCol w:w="612"/>
        <w:gridCol w:w="316"/>
        <w:gridCol w:w="109"/>
        <w:gridCol w:w="109"/>
        <w:gridCol w:w="109"/>
        <w:gridCol w:w="242"/>
        <w:gridCol w:w="612"/>
        <w:gridCol w:w="316"/>
        <w:gridCol w:w="109"/>
        <w:gridCol w:w="109"/>
        <w:gridCol w:w="109"/>
        <w:gridCol w:w="224"/>
        <w:gridCol w:w="378"/>
        <w:gridCol w:w="124"/>
        <w:gridCol w:w="124"/>
        <w:gridCol w:w="124"/>
        <w:gridCol w:w="124"/>
        <w:gridCol w:w="224"/>
        <w:gridCol w:w="226"/>
        <w:gridCol w:w="344"/>
      </w:tblGrid>
      <w:tr>
        <w:trPr/>
        <w:tc>
          <w:tcPr>
            <w:tcW w:w="7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loss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0.9%</w:t>
            </w:r>
          </w:p>
        </w:tc>
      </w:tr>
    </w:tbl>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Segment operating loss for the three months ended June 30, 2026 was flat compared to the same period in 2025, reflecting an improvement of 3.7%. The modest improvement was driven by higher net sales combined with flat operating expenses. Segment operating margin was (5.1)% in the second quarter of 2026 as compared to (6.0)% in the second quarter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Industrial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Altor Solutions</w:t>
      </w:r>
    </w:p>
    <w:tbl>
      <w:tblPr>
        <w:tblW w:w="5998" w:type="dxa"/>
        <w:jc w:val="center"/>
        <w:tblInd w:w="0" w:type="dxa"/>
        <w:tblLayout w:type="fixed"/>
        <w:tblCellMar>
          <w:top w:w="28" w:type="dxa"/>
          <w:left w:w="28" w:type="dxa"/>
          <w:bottom w:w="28" w:type="dxa"/>
          <w:right w:w="28" w:type="dxa"/>
        </w:tblCellMar>
      </w:tblPr>
      <w:tblGrid>
        <w:gridCol w:w="293"/>
        <w:gridCol w:w="257"/>
        <w:gridCol w:w="260"/>
        <w:gridCol w:w="241"/>
        <w:gridCol w:w="795"/>
        <w:gridCol w:w="134"/>
        <w:gridCol w:w="109"/>
        <w:gridCol w:w="109"/>
        <w:gridCol w:w="109"/>
        <w:gridCol w:w="241"/>
        <w:gridCol w:w="795"/>
        <w:gridCol w:w="134"/>
        <w:gridCol w:w="109"/>
        <w:gridCol w:w="109"/>
        <w:gridCol w:w="109"/>
        <w:gridCol w:w="196"/>
        <w:gridCol w:w="721"/>
        <w:gridCol w:w="109"/>
        <w:gridCol w:w="109"/>
        <w:gridCol w:w="109"/>
        <w:gridCol w:w="109"/>
        <w:gridCol w:w="269"/>
        <w:gridCol w:w="271"/>
        <w:gridCol w:w="30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65,662 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83,305 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(17,643)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Net sales for the quarter ended June 30, 2026 were $65.7 million, a decrease of $17.6 million, or 21.2%, compared to net sales of $83.3 million in the quarter ended June 30, 2025. The decrease in net sales during the second quarter was primarily attributable to lower sales volumes resulting from reduced demand in the industrial white goods market and shifting market conditions in the perishable and cold chain markets. </w:t>
      </w:r>
    </w:p>
    <w:tbl>
      <w:tblPr>
        <w:tblW w:w="7150" w:type="dxa"/>
        <w:jc w:val="center"/>
        <w:tblInd w:w="0" w:type="dxa"/>
        <w:tblLayout w:type="fixed"/>
        <w:tblCellMar>
          <w:top w:w="28" w:type="dxa"/>
          <w:left w:w="28" w:type="dxa"/>
          <w:bottom w:w="28" w:type="dxa"/>
          <w:right w:w="28" w:type="dxa"/>
        </w:tblCellMar>
      </w:tblPr>
      <w:tblGrid>
        <w:gridCol w:w="743"/>
        <w:gridCol w:w="653"/>
        <w:gridCol w:w="658"/>
        <w:gridCol w:w="227"/>
        <w:gridCol w:w="645"/>
        <w:gridCol w:w="297"/>
        <w:gridCol w:w="109"/>
        <w:gridCol w:w="109"/>
        <w:gridCol w:w="109"/>
        <w:gridCol w:w="227"/>
        <w:gridCol w:w="645"/>
        <w:gridCol w:w="297"/>
        <w:gridCol w:w="109"/>
        <w:gridCol w:w="109"/>
        <w:gridCol w:w="109"/>
        <w:gridCol w:w="196"/>
        <w:gridCol w:w="631"/>
        <w:gridCol w:w="109"/>
        <w:gridCol w:w="109"/>
        <w:gridCol w:w="109"/>
        <w:gridCol w:w="109"/>
        <w:gridCol w:w="269"/>
        <w:gridCol w:w="271"/>
        <w:gridCol w:w="30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1,028 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7,266 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(85.9)</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(7.1)%</w:t>
            </w:r>
          </w:p>
        </w:tc>
      </w:tr>
    </w:tbl>
    <w:p>
      <w:pPr>
        <w:pStyle w:val="TextBody"/>
        <w:bidi w:val="0"/>
        <w:spacing w:lineRule="auto" w:line="288" w:before="240" w:after="283"/>
        <w:jc w:val="both"/>
        <w:rPr/>
      </w:pPr>
      <w:r>
        <w:rPr>
          <w:rFonts w:ascii="Arial;sans-serif" w:hAnsi="Arial;sans-serif"/>
          <w:b w:val="false"/>
          <w:color w:val="000000"/>
          <w:sz w:val="20"/>
          <w:shd w:fill="FFFFFF" w:val="clear"/>
        </w:rPr>
        <w:t xml:space="preserve">Segment operating income was $1.0 million in the three months ended June 30, 2026, a decrease of $6.2 million as compared to the three months ended June 30, 2025. Segment operating margin was 1.6% in the second quarter of 2026 as compared to 8.7% in the second quarter of 2025, with the decrease driven by lower sales volumes, the deleveraging effect of fixed costs, as well as a 21% increase in the index driving the main raw materials purchase price and freight inflation driven by rising oil costs. Gross margin was </w:t>
      </w:r>
      <w:r>
        <w:rPr>
          <w:rFonts w:ascii="Arial;sans-serif" w:hAnsi="Arial;sans-serif"/>
          <w:b w:val="false"/>
          <w:color w:val="000000"/>
          <w:sz w:val="20"/>
        </w:rPr>
        <w:t>18.3% in the three months ended June 30, 2026 and 27.3% in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Arnold </w:t>
      </w:r>
    </w:p>
    <w:tbl>
      <w:tblPr>
        <w:tblW w:w="5759" w:type="dxa"/>
        <w:jc w:val="center"/>
        <w:tblInd w:w="0" w:type="dxa"/>
        <w:tblLayout w:type="fixed"/>
        <w:tblCellMar>
          <w:top w:w="28" w:type="dxa"/>
          <w:left w:w="28" w:type="dxa"/>
          <w:bottom w:w="28" w:type="dxa"/>
          <w:right w:w="28" w:type="dxa"/>
        </w:tblCellMar>
      </w:tblPr>
      <w:tblGrid>
        <w:gridCol w:w="293"/>
        <w:gridCol w:w="257"/>
        <w:gridCol w:w="260"/>
        <w:gridCol w:w="241"/>
        <w:gridCol w:w="795"/>
        <w:gridCol w:w="134"/>
        <w:gridCol w:w="109"/>
        <w:gridCol w:w="109"/>
        <w:gridCol w:w="109"/>
        <w:gridCol w:w="241"/>
        <w:gridCol w:w="795"/>
        <w:gridCol w:w="134"/>
        <w:gridCol w:w="109"/>
        <w:gridCol w:w="109"/>
        <w:gridCol w:w="109"/>
        <w:gridCol w:w="196"/>
        <w:gridCol w:w="556"/>
        <w:gridCol w:w="109"/>
        <w:gridCol w:w="109"/>
        <w:gridCol w:w="109"/>
        <w:gridCol w:w="109"/>
        <w:gridCol w:w="233"/>
        <w:gridCol w:w="233"/>
        <w:gridCol w:w="30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43,222 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38,432 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20"/>
        </w:rPr>
        <w:t xml:space="preserve">Net sales for the three months ended June 30, 2026 were approximately $43.2 million, an increase of $4.8 million compared to net sales of $38.4 million in the same period in 2025. </w:t>
      </w:r>
      <w:r>
        <w:rPr>
          <w:rFonts w:ascii="Arial;sans-serif" w:hAnsi="Arial;sans-serif"/>
          <w:b w:val="false"/>
          <w:color w:val="000000"/>
          <w:sz w:val="20"/>
          <w:shd w:fill="FFFFFF" w:val="clear"/>
        </w:rPr>
        <w:t>The increase in net sales was primarily attributable to growing demand for non-China sourced permanent magnets, partially offset by material and production constraint</w:t>
      </w:r>
      <w:r>
        <w:rPr>
          <w:rFonts w:ascii="Arial;sans-serif" w:hAnsi="Arial;sans-serif"/>
          <w:b w:val="false"/>
          <w:strike/>
          <w:color w:val="000000"/>
          <w:sz w:val="20"/>
          <w:shd w:fill="FFFFFF" w:val="clear"/>
        </w:rPr>
        <w:t>s</w:t>
      </w:r>
      <w:r>
        <w:rPr>
          <w:rFonts w:ascii="Arial;sans-serif" w:hAnsi="Arial;sans-serif"/>
          <w:b w:val="false"/>
          <w:color w:val="000000"/>
          <w:sz w:val="20"/>
          <w:shd w:fill="FFFFFF" w:val="clear"/>
        </w:rPr>
        <w:t>.</w:t>
      </w:r>
    </w:p>
    <w:tbl>
      <w:tblPr>
        <w:tblW w:w="6787" w:type="dxa"/>
        <w:jc w:val="center"/>
        <w:tblInd w:w="0" w:type="dxa"/>
        <w:tblLayout w:type="fixed"/>
        <w:tblCellMar>
          <w:top w:w="28" w:type="dxa"/>
          <w:left w:w="28" w:type="dxa"/>
          <w:bottom w:w="28" w:type="dxa"/>
          <w:right w:w="28" w:type="dxa"/>
        </w:tblCellMar>
      </w:tblPr>
      <w:tblGrid>
        <w:gridCol w:w="760"/>
        <w:gridCol w:w="667"/>
        <w:gridCol w:w="673"/>
        <w:gridCol w:w="227"/>
        <w:gridCol w:w="645"/>
        <w:gridCol w:w="297"/>
        <w:gridCol w:w="109"/>
        <w:gridCol w:w="109"/>
        <w:gridCol w:w="109"/>
        <w:gridCol w:w="262"/>
        <w:gridCol w:w="564"/>
        <w:gridCol w:w="343"/>
        <w:gridCol w:w="109"/>
        <w:gridCol w:w="109"/>
        <w:gridCol w:w="109"/>
        <w:gridCol w:w="213"/>
        <w:gridCol w:w="604"/>
        <w:gridCol w:w="118"/>
        <w:gridCol w:w="118"/>
        <w:gridCol w:w="118"/>
        <w:gridCol w:w="118"/>
        <w:gridCol w:w="118"/>
        <w:gridCol w:w="118"/>
        <w:gridCol w:w="170"/>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Segment operating income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3,582 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180 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3,402 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NM</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0.5 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7.8%</w:t>
            </w:r>
          </w:p>
        </w:tc>
      </w:tr>
    </w:tbl>
    <w:p>
      <w:pPr>
        <w:pStyle w:val="TextBody"/>
        <w:bidi w:val="0"/>
        <w:spacing w:lineRule="auto" w:line="288" w:before="180" w:after="283"/>
        <w:jc w:val="both"/>
        <w:rPr/>
      </w:pPr>
      <w:r>
        <w:rPr>
          <w:rFonts w:ascii="Arial;sans-serif" w:hAnsi="Arial;sans-serif"/>
          <w:b w:val="false"/>
          <w:color w:val="000000"/>
          <w:sz w:val="20"/>
          <w:shd w:fill="FFFFFF" w:val="clear"/>
        </w:rPr>
        <w:t>Segment operating income for the three months ended June 30, 2026 was approximately $3.6 million, an increase of $3.4 million when compared to the same period in 2025. The increase in segment operating income was driven by higher revenue and the resulting operating leverage,</w:t>
      </w:r>
      <w:r>
        <w:rPr>
          <w:color w:val="000000"/>
        </w:rPr>
        <w:t xml:space="preserve"> </w:t>
      </w:r>
      <w:r>
        <w:rPr>
          <w:rFonts w:ascii="Arial;sans-serif" w:hAnsi="Arial;sans-serif"/>
          <w:b w:val="false"/>
          <w:color w:val="000000"/>
          <w:sz w:val="20"/>
        </w:rPr>
        <w:t>and non-recurring costs incurred in the first half of 2025.</w:t>
      </w:r>
      <w:r>
        <w:rPr>
          <w:color w:val="000000"/>
          <w:shd w:fill="FFFFFF" w:val="clear"/>
        </w:rPr>
        <w:t xml:space="preserve"> </w:t>
      </w:r>
      <w:r>
        <w:rPr>
          <w:rFonts w:ascii="Arial;sans-serif" w:hAnsi="Arial;sans-serif"/>
          <w:b w:val="false"/>
          <w:color w:val="000000"/>
          <w:sz w:val="20"/>
          <w:shd w:fill="FFFFFF" w:val="clear"/>
        </w:rPr>
        <w:t xml:space="preserve">Segment operating margin was 8.3% in the </w:t>
      </w:r>
      <w:r>
        <w:rPr>
          <w:rFonts w:ascii="Arial;sans-serif" w:hAnsi="Arial;sans-serif"/>
          <w:b w:val="false"/>
          <w:color w:val="000000"/>
          <w:sz w:val="20"/>
        </w:rPr>
        <w:t>second</w:t>
      </w:r>
      <w:r>
        <w:rPr>
          <w:color w:val="000000"/>
          <w:shd w:fill="FFFFFF" w:val="clear"/>
        </w:rPr>
        <w:t xml:space="preserve"> </w:t>
      </w:r>
      <w:r>
        <w:rPr>
          <w:rFonts w:ascii="Arial;sans-serif" w:hAnsi="Arial;sans-serif"/>
          <w:b w:val="false"/>
          <w:color w:val="000000"/>
          <w:sz w:val="20"/>
          <w:shd w:fill="FFFFFF" w:val="clear"/>
        </w:rPr>
        <w:t xml:space="preserve">quarter of </w:t>
      </w:r>
      <w:r>
        <w:rPr>
          <w:rFonts w:ascii="Arial;sans-serif" w:hAnsi="Arial;sans-serif"/>
          <w:b w:val="false"/>
          <w:color w:val="000000"/>
          <w:sz w:val="20"/>
        </w:rPr>
        <w:t>2026</w:t>
      </w:r>
      <w:r>
        <w:rPr>
          <w:color w:val="000000"/>
          <w:shd w:fill="FFFFFF" w:val="clear"/>
        </w:rPr>
        <w:t xml:space="preserve"> </w:t>
      </w:r>
      <w:r>
        <w:rPr>
          <w:rFonts w:ascii="Arial;sans-serif" w:hAnsi="Arial;sans-serif"/>
          <w:b w:val="false"/>
          <w:color w:val="000000"/>
          <w:sz w:val="20"/>
          <w:shd w:fill="FFFFFF" w:val="clear"/>
        </w:rPr>
        <w:t xml:space="preserve">as compared to 0.5% in the </w:t>
      </w:r>
      <w:r>
        <w:rPr>
          <w:rFonts w:ascii="Arial;sans-serif" w:hAnsi="Arial;sans-serif"/>
          <w:b w:val="false"/>
          <w:color w:val="000000"/>
          <w:sz w:val="20"/>
        </w:rPr>
        <w:t>second</w:t>
      </w:r>
      <w:r>
        <w:rPr>
          <w:color w:val="000000"/>
          <w:shd w:fill="FFFFFF" w:val="clear"/>
        </w:rPr>
        <w:t xml:space="preserve"> </w:t>
      </w:r>
      <w:r>
        <w:rPr>
          <w:rFonts w:ascii="Arial;sans-serif" w:hAnsi="Arial;sans-serif"/>
          <w:b w:val="false"/>
          <w:color w:val="000000"/>
          <w:sz w:val="20"/>
          <w:shd w:fill="FFFFFF" w:val="clear"/>
        </w:rPr>
        <w:t xml:space="preserve">quarter of </w:t>
      </w:r>
      <w:r>
        <w:rPr>
          <w:rFonts w:ascii="Arial;sans-serif" w:hAnsi="Arial;sans-serif"/>
          <w:b w:val="false"/>
          <w:color w:val="000000"/>
          <w:sz w:val="20"/>
        </w:rPr>
        <w:t>2025</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Rimports (including Sterno's food service business through May 1, 2026)</w:t>
      </w:r>
    </w:p>
    <w:tbl>
      <w:tblPr>
        <w:tblW w:w="5998" w:type="dxa"/>
        <w:jc w:val="center"/>
        <w:tblInd w:w="0" w:type="dxa"/>
        <w:tblLayout w:type="fixed"/>
        <w:tblCellMar>
          <w:top w:w="28" w:type="dxa"/>
          <w:left w:w="28" w:type="dxa"/>
          <w:bottom w:w="28" w:type="dxa"/>
          <w:right w:w="28" w:type="dxa"/>
        </w:tblCellMar>
      </w:tblPr>
      <w:tblGrid>
        <w:gridCol w:w="293"/>
        <w:gridCol w:w="257"/>
        <w:gridCol w:w="260"/>
        <w:gridCol w:w="241"/>
        <w:gridCol w:w="795"/>
        <w:gridCol w:w="134"/>
        <w:gridCol w:w="109"/>
        <w:gridCol w:w="109"/>
        <w:gridCol w:w="109"/>
        <w:gridCol w:w="241"/>
        <w:gridCol w:w="795"/>
        <w:gridCol w:w="134"/>
        <w:gridCol w:w="109"/>
        <w:gridCol w:w="109"/>
        <w:gridCol w:w="109"/>
        <w:gridCol w:w="196"/>
        <w:gridCol w:w="721"/>
        <w:gridCol w:w="109"/>
        <w:gridCol w:w="109"/>
        <w:gridCol w:w="109"/>
        <w:gridCol w:w="109"/>
        <w:gridCol w:w="269"/>
        <w:gridCol w:w="271"/>
        <w:gridCol w:w="30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44,346 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77,505 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(42.8)</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Net sales for the three months ended June 30, 2026 were approximately $44.3 million, a decrease of $33.2 million, or 42.8%, compared to net sales of $77.5 million in the same period in 2025. The decrease was primarily attributable to the sale of Sterno Products’ food service business in May 2026. Excluding Sterno, Rimports-only net sales for the quarter-to-date period ended June 30, 2026 were $30.9 million, a decrease of $5.4 million, or 14.8%, compared to $36.3 million in the same period in 2025. The Rimports variance was primarily driven by a reduction in key distribution within the private label business. </w:t>
      </w:r>
    </w:p>
    <w:tbl>
      <w:tblPr>
        <w:tblW w:w="7151" w:type="dxa"/>
        <w:jc w:val="center"/>
        <w:tblInd w:w="0" w:type="dxa"/>
        <w:tblLayout w:type="fixed"/>
        <w:tblCellMar>
          <w:top w:w="28" w:type="dxa"/>
          <w:left w:w="28" w:type="dxa"/>
          <w:bottom w:w="28" w:type="dxa"/>
          <w:right w:w="28" w:type="dxa"/>
        </w:tblCellMar>
      </w:tblPr>
      <w:tblGrid>
        <w:gridCol w:w="743"/>
        <w:gridCol w:w="653"/>
        <w:gridCol w:w="658"/>
        <w:gridCol w:w="227"/>
        <w:gridCol w:w="645"/>
        <w:gridCol w:w="297"/>
        <w:gridCol w:w="109"/>
        <w:gridCol w:w="109"/>
        <w:gridCol w:w="109"/>
        <w:gridCol w:w="209"/>
        <w:gridCol w:w="688"/>
        <w:gridCol w:w="273"/>
        <w:gridCol w:w="109"/>
        <w:gridCol w:w="109"/>
        <w:gridCol w:w="109"/>
        <w:gridCol w:w="196"/>
        <w:gridCol w:w="631"/>
        <w:gridCol w:w="109"/>
        <w:gridCol w:w="109"/>
        <w:gridCol w:w="109"/>
        <w:gridCol w:w="109"/>
        <w:gridCol w:w="269"/>
        <w:gridCol w:w="271"/>
        <w:gridCol w:w="30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7,396 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11,111 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16.7 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2.3%</w:t>
            </w:r>
          </w:p>
        </w:tc>
      </w:tr>
    </w:tbl>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Segment operating income for the three months ended June 30, 2026 was approximately $7.4 million, a decrease of $3.7 million compared to the three months ended June 30, 2025, The decrease was primarily attributable to the sale of Sterno Products’ food service business in May 2026. Segment operating margin was 16.7% in the second quarter of 2026 as compared to 14.3% in the second quarter of 2025. Excluding Sterno, Rimports-only operating income for the quarter-to-date period ended June 30, 2026 was $3.7 million, a decrease of $0.2 million, or 6.0%, compared to $3.9 million in the same period in 2025. The Rimports variance was primarily driven by the reduction in revenue partially offset by IEEPA tariff refunds received within the quarter, which were recognized as a credit to cost of goods sold upon receipt of cash.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Consolidated Results of Operations - Year-to-Date</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Six months ended June 30, 2026 compared to six months ended June 30, 2025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sets forth our unaudited results of operations for the periods indicated, in dollars and as a percentage of net revenues:</w:t>
      </w:r>
    </w:p>
    <w:tbl>
      <w:tblPr>
        <w:tblW w:w="10188" w:type="dxa"/>
        <w:jc w:val="center"/>
        <w:tblInd w:w="0" w:type="dxa"/>
        <w:tblLayout w:type="fixed"/>
        <w:tblCellMar>
          <w:top w:w="28" w:type="dxa"/>
          <w:left w:w="28" w:type="dxa"/>
          <w:bottom w:w="28" w:type="dxa"/>
          <w:right w:w="28" w:type="dxa"/>
        </w:tblCellMar>
      </w:tblPr>
      <w:tblGrid>
        <w:gridCol w:w="1833"/>
        <w:gridCol w:w="1609"/>
        <w:gridCol w:w="1612"/>
        <w:gridCol w:w="109"/>
        <w:gridCol w:w="109"/>
        <w:gridCol w:w="109"/>
        <w:gridCol w:w="196"/>
        <w:gridCol w:w="736"/>
        <w:gridCol w:w="109"/>
        <w:gridCol w:w="109"/>
        <w:gridCol w:w="109"/>
        <w:gridCol w:w="109"/>
        <w:gridCol w:w="278"/>
        <w:gridCol w:w="278"/>
        <w:gridCol w:w="256"/>
        <w:gridCol w:w="109"/>
        <w:gridCol w:w="109"/>
        <w:gridCol w:w="109"/>
        <w:gridCol w:w="196"/>
        <w:gridCol w:w="811"/>
        <w:gridCol w:w="109"/>
        <w:gridCol w:w="109"/>
        <w:gridCol w:w="109"/>
        <w:gridCol w:w="109"/>
        <w:gridCol w:w="278"/>
        <w:gridCol w:w="278"/>
        <w:gridCol w:w="301"/>
      </w:tblGrid>
      <w:tr>
        <w:trPr/>
        <w:tc>
          <w:tcPr>
            <w:tcW w:w="1833"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850,897 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932,465 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527,892 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389,321 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404,573 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266,347 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operating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Operating income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Decrease in fair value of receivable due from unconsolidated affiliate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Sterno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(110,635)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51,043 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(130,531)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before="120" w:after="283"/>
        <w:jc w:val="center"/>
        <w:rPr/>
      </w:pPr>
      <w:r>
        <w:rPr/>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Net revenues</w:t>
      </w:r>
    </w:p>
    <w:tbl>
      <w:tblPr>
        <w:tblW w:w="7526" w:type="dxa"/>
        <w:jc w:val="center"/>
        <w:tblInd w:w="0" w:type="dxa"/>
        <w:tblLayout w:type="fixed"/>
        <w:tblCellMar>
          <w:top w:w="28" w:type="dxa"/>
          <w:left w:w="28" w:type="dxa"/>
          <w:bottom w:w="28" w:type="dxa"/>
          <w:right w:w="28" w:type="dxa"/>
        </w:tblCellMar>
      </w:tblPr>
      <w:tblGrid>
        <w:gridCol w:w="810"/>
        <w:gridCol w:w="707"/>
        <w:gridCol w:w="733"/>
        <w:gridCol w:w="220"/>
        <w:gridCol w:w="827"/>
        <w:gridCol w:w="122"/>
        <w:gridCol w:w="109"/>
        <w:gridCol w:w="109"/>
        <w:gridCol w:w="109"/>
        <w:gridCol w:w="220"/>
        <w:gridCol w:w="827"/>
        <w:gridCol w:w="122"/>
        <w:gridCol w:w="109"/>
        <w:gridCol w:w="109"/>
        <w:gridCol w:w="109"/>
        <w:gridCol w:w="196"/>
        <w:gridCol w:w="721"/>
        <w:gridCol w:w="109"/>
        <w:gridCol w:w="109"/>
        <w:gridCol w:w="109"/>
        <w:gridCol w:w="109"/>
        <w:gridCol w:w="313"/>
        <w:gridCol w:w="317"/>
        <w:gridCol w:w="301"/>
      </w:tblGrid>
      <w:tr>
        <w:trPr/>
        <w:tc>
          <w:tcPr>
            <w:tcW w:w="81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5.11</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250,470 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260,812 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BOA</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111,176 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97,246 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Lugano</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53,616 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PrimaLoft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51,666 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48,500 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Honey Pot Co.</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83,546 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68,989 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30,935 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Branded Consumer</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527,793 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557,577 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130,304 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159,562 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83,404 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72,440 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Rimports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109,396 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142,886 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(23.4)</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Industrial</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323,104 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374,888 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Consolidated net revenues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850,897 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932,465 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(81,568)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lineRule="auto" w:line="288" w:before="240" w:after="283"/>
        <w:jc w:val="both"/>
        <w:rPr/>
      </w:pPr>
      <w:r>
        <w:rPr>
          <w:rFonts w:ascii="Arial;sans-serif" w:hAnsi="Arial;sans-serif"/>
          <w:b w:val="false"/>
          <w:color w:val="000000"/>
          <w:sz w:val="20"/>
        </w:rPr>
        <w:t>Consolidated net revenues for the six months ended June 30, 2026 decreased by approximately $81.6 million, or 8.7%, compared to the corresponding period in 2025. During the six months ended June 30, 2026 compared to 2025, we saw notable increases in net revenues at BOA ($13.9 million increase), The Honey Pot Co</w:t>
      </w:r>
      <w:r>
        <w:rPr>
          <w:rFonts w:ascii="Arial;sans-serif" w:hAnsi="Arial;sans-serif"/>
          <w:b w:val="false"/>
          <w:color w:val="000000"/>
          <w:sz w:val="20"/>
          <w:shd w:fill="FFFFFF" w:val="clear"/>
        </w:rPr>
        <w:t>. (</w:t>
      </w:r>
      <w:r>
        <w:rPr>
          <w:rFonts w:ascii="Arial;sans-serif" w:hAnsi="Arial;sans-serif"/>
          <w:b w:val="false"/>
          <w:color w:val="000000"/>
          <w:sz w:val="20"/>
        </w:rPr>
        <w:t>$14.6 million</w:t>
      </w:r>
      <w:r>
        <w:rPr>
          <w:color w:val="000000"/>
          <w:shd w:fill="FFFFFF" w:val="clear"/>
        </w:rPr>
        <w:t xml:space="preserve"> </w:t>
      </w:r>
      <w:r>
        <w:rPr>
          <w:rFonts w:ascii="Arial;sans-serif" w:hAnsi="Arial;sans-serif"/>
          <w:b w:val="false"/>
          <w:color w:val="000000"/>
          <w:sz w:val="20"/>
          <w:shd w:fill="FFFFFF" w:val="clear"/>
        </w:rPr>
        <w:t>increase), and A</w:t>
      </w:r>
      <w:r>
        <w:rPr>
          <w:rFonts w:ascii="Arial;sans-serif" w:hAnsi="Arial;sans-serif"/>
          <w:b w:val="false"/>
          <w:color w:val="000000"/>
          <w:sz w:val="20"/>
        </w:rPr>
        <w:t xml:space="preserve">rnold ($11.0 million increase). These increases in net revenue were offset by decreases in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revenue at 5.11 ($10.3 million decrease) and Altor ($29.3 million decrease). Lugano recognized $53.6 million in revenue in the six months ended June 30, 2025 which was nonrecurring due to the Lugano bankruptcy in November 2025. Rimports revenue decreased $33.5 million due to the sale of the Sterno product division on May 1, 2026. Refer to "Results of Operations - Operating Segments - Year-to-Date" for a more detailed analysis of net revenues by operating segment.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do not generate any revenues apart from those generated by our subsidiaries. We may generate interest income on the investment of available funds, but expect such earnings to be minimal. We make loans from the Company to our subsidiary businesses and also hold equity interests in those businesses. Cash flows coming to the Trust and the LLC are the result of interest payments on those loans, amortization of those loans and additional principal payments on those loans. However, on a consolidated basis, these items will be eliminated.</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Gross Profit</w:t>
      </w:r>
    </w:p>
    <w:tbl>
      <w:tblPr>
        <w:tblW w:w="7593" w:type="dxa"/>
        <w:jc w:val="center"/>
        <w:tblInd w:w="0" w:type="dxa"/>
        <w:tblLayout w:type="fixed"/>
        <w:tblCellMar>
          <w:top w:w="28" w:type="dxa"/>
          <w:left w:w="28" w:type="dxa"/>
          <w:bottom w:w="28" w:type="dxa"/>
          <w:right w:w="28" w:type="dxa"/>
        </w:tblCellMar>
      </w:tblPr>
      <w:tblGrid>
        <w:gridCol w:w="820"/>
        <w:gridCol w:w="717"/>
        <w:gridCol w:w="742"/>
        <w:gridCol w:w="196"/>
        <w:gridCol w:w="736"/>
        <w:gridCol w:w="256"/>
        <w:gridCol w:w="109"/>
        <w:gridCol w:w="109"/>
        <w:gridCol w:w="109"/>
        <w:gridCol w:w="196"/>
        <w:gridCol w:w="736"/>
        <w:gridCol w:w="256"/>
        <w:gridCol w:w="109"/>
        <w:gridCol w:w="109"/>
        <w:gridCol w:w="109"/>
        <w:gridCol w:w="196"/>
        <w:gridCol w:w="721"/>
        <w:gridCol w:w="109"/>
        <w:gridCol w:w="109"/>
        <w:gridCol w:w="109"/>
        <w:gridCol w:w="109"/>
        <w:gridCol w:w="314"/>
        <w:gridCol w:w="316"/>
        <w:gridCol w:w="301"/>
      </w:tblGrid>
      <w:tr>
        <w:trPr/>
        <w:tc>
          <w:tcPr>
            <w:tcW w:w="82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4"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5.11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140,501 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140,210 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73,512 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62,223 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Lugano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26,624 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PrimaLoft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33,404 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31,035 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Honey Pot Co.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50,575 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38,458 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Branded Consumer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307,585 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306,866 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25,138 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41,751 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(39.8)</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21,939 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Sterno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34,659 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39,752 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Industrial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81,736 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97,707 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Consolidated gross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389,321 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404,573 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(15,252)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Gross Margin</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Branded Consumer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3.2%</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Industrial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(0.8)%</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Consolidated 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2.4%</w:t>
            </w:r>
          </w:p>
        </w:tc>
      </w:tr>
    </w:tbl>
    <w:p>
      <w:pPr>
        <w:pStyle w:val="TextBody"/>
        <w:bidi w:val="0"/>
        <w:spacing w:lineRule="auto" w:line="288" w:before="240" w:after="283"/>
        <w:jc w:val="both"/>
        <w:rPr/>
      </w:pPr>
      <w:r>
        <w:rPr>
          <w:rFonts w:ascii="Arial;sans-serif" w:hAnsi="Arial;sans-serif"/>
          <w:b w:val="false"/>
          <w:color w:val="000000"/>
          <w:sz w:val="20"/>
          <w:shd w:fill="FFFFFF" w:val="clear"/>
        </w:rPr>
        <w:t xml:space="preserve">On a consolidated basis, gross profit decreased approximately $15.3 million during the six months ended June 30, 2026 compared to the corresponding period in 2025. We saw notable increases in gross profit at BOA ($11.3 million increase), The Honey Pot Co. ($12.1 million increase) and Arnold </w:t>
      </w:r>
      <w:r>
        <w:rPr>
          <w:rFonts w:ascii="Arial;sans-serif" w:hAnsi="Arial;sans-serif"/>
          <w:b w:val="false"/>
          <w:color w:val="000000"/>
          <w:sz w:val="20"/>
        </w:rPr>
        <w:t>(</w:t>
      </w:r>
      <w:r>
        <w:rPr>
          <w:rFonts w:ascii="Arial;sans-serif" w:hAnsi="Arial;sans-serif"/>
          <w:b w:val="false"/>
          <w:color w:val="000000"/>
          <w:sz w:val="20"/>
          <w:shd w:fill="FFFFFF" w:val="clear"/>
        </w:rPr>
        <w:t>$5.7 million</w:t>
      </w:r>
      <w:r>
        <w:rPr>
          <w:color w:val="000000"/>
        </w:rPr>
        <w:t xml:space="preserve"> </w:t>
      </w:r>
      <w:r>
        <w:rPr>
          <w:rFonts w:ascii="Arial;sans-serif" w:hAnsi="Arial;sans-serif"/>
          <w:b w:val="false"/>
          <w:color w:val="000000"/>
          <w:sz w:val="20"/>
        </w:rPr>
        <w:t xml:space="preserve">increase) during the six month period. </w:t>
      </w:r>
      <w:r>
        <w:rPr>
          <w:rFonts w:ascii="Arial;sans-serif" w:hAnsi="Arial;sans-serif"/>
          <w:b w:val="false"/>
          <w:color w:val="000000"/>
          <w:sz w:val="20"/>
          <w:shd w:fill="FFFFFF" w:val="clear"/>
        </w:rPr>
        <w:t>We saw decreases in gross profit at</w:t>
      </w:r>
      <w:r>
        <w:rPr>
          <w:color w:val="000000"/>
        </w:rPr>
        <w:t xml:space="preserve"> </w:t>
      </w:r>
      <w:r>
        <w:rPr>
          <w:rFonts w:ascii="Arial;sans-serif" w:hAnsi="Arial;sans-serif"/>
          <w:b w:val="false"/>
          <w:color w:val="000000"/>
          <w:sz w:val="20"/>
          <w:shd w:fill="FFFFFF" w:val="clear"/>
        </w:rPr>
        <w:t>Altor ($16.6 million</w:t>
      </w:r>
      <w:r>
        <w:rPr>
          <w:color w:val="000000"/>
        </w:rPr>
        <w:t xml:space="preserve"> </w:t>
      </w:r>
      <w:r>
        <w:rPr>
          <w:rFonts w:ascii="Arial;sans-serif" w:hAnsi="Arial;sans-serif"/>
          <w:b w:val="false"/>
          <w:color w:val="000000"/>
          <w:sz w:val="20"/>
        </w:rPr>
        <w:t>decrease) and Rimports (</w:t>
      </w:r>
      <w:r>
        <w:rPr>
          <w:rFonts w:ascii="Arial;sans-serif" w:hAnsi="Arial;sans-serif"/>
          <w:b w:val="false"/>
          <w:color w:val="000000"/>
          <w:sz w:val="20"/>
          <w:shd w:fill="FFFFFF" w:val="clear"/>
        </w:rPr>
        <w:t>$5.1 million due to the sale of Sterno in May 2026)</w:t>
      </w:r>
      <w:r>
        <w:rPr>
          <w:color w:val="000000"/>
        </w:rPr>
        <w:t xml:space="preserve"> </w:t>
      </w:r>
      <w:r>
        <w:rPr>
          <w:rFonts w:ascii="Arial;sans-serif" w:hAnsi="Arial;sans-serif"/>
          <w:b w:val="false"/>
          <w:color w:val="000000"/>
          <w:sz w:val="20"/>
          <w:shd w:fill="FFFFFF" w:val="clear"/>
        </w:rPr>
        <w:t>which correspond to the decrease in net revenue in the first six months of 2026.</w:t>
      </w:r>
      <w:r>
        <w:rPr>
          <w:color w:val="000000"/>
        </w:rPr>
        <w:t xml:space="preserve"> </w:t>
      </w:r>
      <w:r>
        <w:rPr>
          <w:rFonts w:ascii="Arial;sans-serif" w:hAnsi="Arial;sans-serif"/>
          <w:b w:val="false"/>
          <w:color w:val="000000"/>
          <w:sz w:val="20"/>
          <w:shd w:fill="FFFFFF" w:val="clear"/>
        </w:rPr>
        <w:t>Lugano recognized $26.6 million</w:t>
      </w:r>
      <w:r>
        <w:rPr>
          <w:color w:val="000000"/>
        </w:rPr>
        <w:t xml:space="preserve"> </w:t>
      </w:r>
      <w:r>
        <w:rPr>
          <w:rFonts w:ascii="Arial;sans-serif" w:hAnsi="Arial;sans-serif"/>
          <w:b w:val="false"/>
          <w:color w:val="000000"/>
          <w:sz w:val="20"/>
        </w:rPr>
        <w:t>in gross profit during the six months ended June 30, 2025 that was nonrecurring due to the Lugano bankruptcy.</w:t>
      </w:r>
    </w:p>
    <w:p>
      <w:pPr>
        <w:pStyle w:val="TextBody"/>
        <w:bidi w:val="0"/>
        <w:spacing w:lineRule="auto" w:line="288" w:before="240" w:after="283"/>
        <w:jc w:val="both"/>
        <w:rPr/>
      </w:pPr>
      <w:r>
        <w:rPr>
          <w:rFonts w:ascii="Arial;sans-serif" w:hAnsi="Arial;sans-serif"/>
          <w:b w:val="false"/>
          <w:color w:val="000000"/>
          <w:sz w:val="20"/>
        </w:rPr>
        <w:t xml:space="preserve">Gross margin was 45.8% in the six months ended June 30, 2026 and 43.4% the six months ended June 30, 2025. Our branded consumer businesses had gross margin of 58.3% in the six months ended June 30, 2026 as compared to 55.0% in the six months ended June 30, 2025, with increases at each of our branded consumer business during the six months ended June 30, 2026. </w:t>
      </w:r>
      <w:r>
        <w:rPr>
          <w:rFonts w:ascii="Arial;sans-serif" w:hAnsi="Arial;sans-serif"/>
          <w:b w:val="false"/>
          <w:color w:val="000000"/>
          <w:sz w:val="20"/>
          <w:shd w:fill="FFFFFF" w:val="clear"/>
        </w:rPr>
        <w:t>Gross margin at several of our businesses benefited from refunds of duties previously paid under IEEPA tariffs, which were recognized as a credit to cost of goods sold upon receipt of cash, consistent with the accounting for gain contingencies. O</w:t>
      </w:r>
      <w:r>
        <w:rPr>
          <w:rFonts w:ascii="Arial;sans-serif" w:hAnsi="Arial;sans-serif"/>
          <w:b w:val="false"/>
          <w:color w:val="000000"/>
          <w:sz w:val="20"/>
        </w:rPr>
        <w:t>ur industrial businesses had gross margin of 25.3% in the six months ended June 30, 2026 as compared to 26.1% in the six months ended June 30, 2025. The decrease in gross margin at our indus</w:t>
      </w:r>
      <w:r>
        <w:rPr>
          <w:rFonts w:ascii="Arial;sans-serif" w:hAnsi="Arial;sans-serif"/>
          <w:b w:val="false"/>
          <w:color w:val="000000"/>
          <w:sz w:val="20"/>
          <w:shd w:fill="FFFFFF" w:val="clear"/>
        </w:rPr>
        <w:t>trial businesses</w:t>
      </w:r>
      <w:r>
        <w:rPr>
          <w:color w:val="000000"/>
        </w:rPr>
        <w:t xml:space="preserve"> </w:t>
      </w:r>
      <w:r>
        <w:rPr>
          <w:rFonts w:ascii="Arial;sans-serif" w:hAnsi="Arial;sans-serif"/>
          <w:b w:val="false"/>
          <w:color w:val="000000"/>
          <w:sz w:val="20"/>
        </w:rPr>
        <w:t xml:space="preserve">was attributable to higher fixed overhead costs absorbed on a lower revenue base at Altor, offset by improved gross margins at Arnold and Rimports during the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60"/>
        <w:jc w:val="both"/>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tbl>
      <w:tblPr>
        <w:tblW w:w="8440" w:type="dxa"/>
        <w:jc w:val="center"/>
        <w:tblInd w:w="0" w:type="dxa"/>
        <w:tblLayout w:type="fixed"/>
        <w:tblCellMar>
          <w:top w:w="28" w:type="dxa"/>
          <w:left w:w="28" w:type="dxa"/>
          <w:bottom w:w="28" w:type="dxa"/>
          <w:right w:w="28" w:type="dxa"/>
        </w:tblCellMar>
      </w:tblPr>
      <w:tblGrid>
        <w:gridCol w:w="1179"/>
        <w:gridCol w:w="1035"/>
        <w:gridCol w:w="1040"/>
        <w:gridCol w:w="220"/>
        <w:gridCol w:w="827"/>
        <w:gridCol w:w="122"/>
        <w:gridCol w:w="109"/>
        <w:gridCol w:w="109"/>
        <w:gridCol w:w="109"/>
        <w:gridCol w:w="220"/>
        <w:gridCol w:w="827"/>
        <w:gridCol w:w="122"/>
        <w:gridCol w:w="109"/>
        <w:gridCol w:w="109"/>
        <w:gridCol w:w="109"/>
        <w:gridCol w:w="196"/>
        <w:gridCol w:w="721"/>
        <w:gridCol w:w="109"/>
        <w:gridCol w:w="109"/>
        <w:gridCol w:w="109"/>
        <w:gridCol w:w="109"/>
        <w:gridCol w:w="269"/>
        <w:gridCol w:w="271"/>
        <w:gridCol w:w="301"/>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266,347 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312,489 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Consolidated selling, general and administrative expense decreased approximately $46.1 million during the six months ended June 30, 2026, compared to the corresponding period in 2025, driven primarily by the impact of Lugano's bankruptcy. Lugano had selling, general and administrative expense of $55.2 million in the six months ended June 30, 2025 that was nonrecurring due to the November 2025 bankruptcy of Lugano. This decrease was offset by an increase in corporate expenses of $11.5 million in 2026 versus the same period in 2025 due to costs associated with the Lugano investigation, litigation, governmental-investigation, governance and internal-control remediation.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At the corporate level, general and administrative expense was $29.3 million in the six months ended June 30, 2026 and $17.8 million in the six months ended June 30, 2025. The increase was primarily attributable to costs associated with Lugano and the ongoing lawsuits and corporate governance changes that we are making. Because the Lugano investigation commenced in April 2025, the prior-year expense included lower related costs. We continue to incur significant investigation-related and other associated costs, which may pressure corporate expenses in subsequent periods.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Management fees</w:t>
      </w:r>
    </w:p>
    <w:tbl>
      <w:tblPr>
        <w:tblW w:w="6523" w:type="dxa"/>
        <w:jc w:val="center"/>
        <w:tblInd w:w="0" w:type="dxa"/>
        <w:tblLayout w:type="fixed"/>
        <w:tblCellMar>
          <w:top w:w="28" w:type="dxa"/>
          <w:left w:w="28" w:type="dxa"/>
          <w:bottom w:w="28" w:type="dxa"/>
          <w:right w:w="28" w:type="dxa"/>
        </w:tblCellMar>
      </w:tblPr>
      <w:tblGrid>
        <w:gridCol w:w="516"/>
        <w:gridCol w:w="453"/>
        <w:gridCol w:w="456"/>
        <w:gridCol w:w="237"/>
        <w:gridCol w:w="811"/>
        <w:gridCol w:w="122"/>
        <w:gridCol w:w="109"/>
        <w:gridCol w:w="109"/>
        <w:gridCol w:w="109"/>
        <w:gridCol w:w="241"/>
        <w:gridCol w:w="795"/>
        <w:gridCol w:w="134"/>
        <w:gridCol w:w="109"/>
        <w:gridCol w:w="109"/>
        <w:gridCol w:w="109"/>
        <w:gridCol w:w="196"/>
        <w:gridCol w:w="631"/>
        <w:gridCol w:w="109"/>
        <w:gridCol w:w="109"/>
        <w:gridCol w:w="109"/>
        <w:gridCol w:w="109"/>
        <w:gridCol w:w="269"/>
        <w:gridCol w:w="271"/>
        <w:gridCol w:w="30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Management fees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29,751 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37,898 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shd w:fill="FFFFFF" w:val="clear"/>
        </w:rPr>
        <w:t xml:space="preserve">For the six months ended June 30, 2026, we incurred $29.8 million in management fees as compared to $37.9 million in fees in the six months ended June 30, 2025. The decrease in the management fee in 2026 is primarily due to the deconsolidation of Lugano in November 2025 and the sale of Sterno in May 2026, which reduced the net assets used in the calculation of the management fee. </w:t>
      </w:r>
      <w:r>
        <w:rPr>
          <w:rFonts w:ascii="Arial;sans-serif" w:hAnsi="Arial;sans-serif"/>
          <w:b w:val="false"/>
          <w:color w:val="000000"/>
          <w:sz w:val="20"/>
        </w:rPr>
        <w:t>The Management fee incurred in the six months ended June 30, 2025 reflects the amount incurred prior to the restatement of the Company's financial statements as the Company is not permitted under the MSA to adjust the amount owed to the Manager until the time when the restated financial information was available, which occurred upon the filing of the Company's 10-K/A on December 8, 2025. Therefore the expense recorded in the six months ended June 30, 2025 reflects the amount that would have been due to the Manager at the time calculated, prior to the restatement of the Company's financial statements. While the MSA did not contain</w:t>
      </w:r>
      <w:r>
        <w:rPr>
          <w:color w:val="000000"/>
          <w:shd w:fill="FFFFFF" w:val="clear"/>
        </w:rPr>
        <w:t xml:space="preserve"> </w:t>
      </w:r>
      <w:r>
        <w:rPr>
          <w:rFonts w:ascii="Arial;sans-serif" w:hAnsi="Arial;sans-serif"/>
          <w:b w:val="false"/>
          <w:color w:val="000000"/>
          <w:sz w:val="20"/>
          <w:shd w:fill="FFFFFF" w:val="clear"/>
        </w:rPr>
        <w:t>an express mechanism that permitted the Company to immediately clawback the overpayment of management fees, the MSA provided that future payments under the MSA would be reduced, on a dollar-for-dollar basis, by the aggregate amount of all overpaid management fees. T</w:t>
      </w:r>
      <w:r>
        <w:rPr>
          <w:rFonts w:ascii="Arial;sans-serif" w:hAnsi="Arial;sans-serif"/>
          <w:b w:val="false"/>
          <w:color w:val="000000"/>
          <w:sz w:val="20"/>
        </w:rPr>
        <w:t>he Company will reduce future management fee payments until the overpayment has been fully recouped. The total cash paid for Management fees in the six months ended ended June 30, 2026 was $15.4 million as compared to total cash paid for Management fees for the six months ended June 30, 2025 of $37.7 million.</w:t>
      </w:r>
    </w:p>
    <w:p>
      <w:pPr>
        <w:pStyle w:val="TextBody"/>
        <w:bidi w:val="0"/>
        <w:spacing w:lineRule="auto" w:line="288" w:before="120" w:after="283"/>
        <w:jc w:val="both"/>
        <w:rPr/>
      </w:pPr>
      <w:r>
        <w:rPr>
          <w:rFonts w:ascii="Arial;sans-serif" w:hAnsi="Arial;sans-serif"/>
          <w:b w:val="false"/>
          <w:color w:val="000000"/>
          <w:sz w:val="20"/>
        </w:rPr>
        <w:t>Refer to "</w:t>
      </w:r>
      <w:hyperlink w:anchor="i29996918526446a59b54dc1fd0efe432_91">
        <w:r>
          <w:rPr>
            <w:rStyle w:val="InternetLink"/>
            <w:rFonts w:ascii="Arial;sans-serif" w:hAnsi="Arial;sans-serif"/>
            <w:b w:val="false"/>
            <w:color w:val="0000FF"/>
            <w:sz w:val="20"/>
            <w:u w:val="single"/>
          </w:rPr>
          <w:t>Note N - Related Party Transactions</w:t>
        </w:r>
      </w:hyperlink>
      <w:r>
        <w:rPr>
          <w:rFonts w:ascii="Arial;sans-serif" w:hAnsi="Arial;sans-serif"/>
          <w:b w:val="false"/>
          <w:color w:val="000000"/>
          <w:sz w:val="20"/>
        </w:rPr>
        <w:t>" in the "Notes to the Condensed Consolidated Financial Statements" for a description of the effect of the restatement on the Management Fees.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Amortization expense</w:t>
      </w:r>
    </w:p>
    <w:tbl>
      <w:tblPr>
        <w:tblW w:w="6606" w:type="dxa"/>
        <w:jc w:val="center"/>
        <w:tblInd w:w="0" w:type="dxa"/>
        <w:tblLayout w:type="fixed"/>
        <w:tblCellMar>
          <w:top w:w="28" w:type="dxa"/>
          <w:left w:w="28" w:type="dxa"/>
          <w:bottom w:w="28" w:type="dxa"/>
          <w:right w:w="28" w:type="dxa"/>
        </w:tblCellMar>
      </w:tblPr>
      <w:tblGrid>
        <w:gridCol w:w="614"/>
        <w:gridCol w:w="539"/>
        <w:gridCol w:w="541"/>
        <w:gridCol w:w="241"/>
        <w:gridCol w:w="795"/>
        <w:gridCol w:w="134"/>
        <w:gridCol w:w="109"/>
        <w:gridCol w:w="109"/>
        <w:gridCol w:w="109"/>
        <w:gridCol w:w="241"/>
        <w:gridCol w:w="795"/>
        <w:gridCol w:w="134"/>
        <w:gridCol w:w="109"/>
        <w:gridCol w:w="109"/>
        <w:gridCol w:w="109"/>
        <w:gridCol w:w="201"/>
        <w:gridCol w:w="510"/>
        <w:gridCol w:w="112"/>
        <w:gridCol w:w="112"/>
        <w:gridCol w:w="112"/>
        <w:gridCol w:w="112"/>
        <w:gridCol w:w="224"/>
        <w:gridCol w:w="226"/>
        <w:gridCol w:w="309"/>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45,530 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46,468 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Amortization expense for the six months ended June 30, 2026 decreased $0.9 million as compared to the six months ended June 30, 2025 due to the effect of the sale of Sterno on May 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Impairment expense</w:t>
      </w:r>
    </w:p>
    <w:tbl>
      <w:tblPr>
        <w:tblW w:w="6793" w:type="dxa"/>
        <w:jc w:val="center"/>
        <w:tblInd w:w="0" w:type="dxa"/>
        <w:tblLayout w:type="fixed"/>
        <w:tblCellMar>
          <w:top w:w="28" w:type="dxa"/>
          <w:left w:w="28" w:type="dxa"/>
          <w:bottom w:w="28" w:type="dxa"/>
          <w:right w:w="28" w:type="dxa"/>
        </w:tblCellMar>
      </w:tblPr>
      <w:tblGrid>
        <w:gridCol w:w="581"/>
        <w:gridCol w:w="510"/>
        <w:gridCol w:w="514"/>
        <w:gridCol w:w="241"/>
        <w:gridCol w:w="795"/>
        <w:gridCol w:w="134"/>
        <w:gridCol w:w="109"/>
        <w:gridCol w:w="109"/>
        <w:gridCol w:w="109"/>
        <w:gridCol w:w="241"/>
        <w:gridCol w:w="795"/>
        <w:gridCol w:w="134"/>
        <w:gridCol w:w="109"/>
        <w:gridCol w:w="109"/>
        <w:gridCol w:w="109"/>
        <w:gridCol w:w="196"/>
        <w:gridCol w:w="721"/>
        <w:gridCol w:w="109"/>
        <w:gridCol w:w="109"/>
        <w:gridCol w:w="109"/>
        <w:gridCol w:w="109"/>
        <w:gridCol w:w="269"/>
        <w:gridCol w:w="271"/>
        <w:gridCol w:w="301"/>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20"/>
          <w:shd w:fill="FFFFFF" w:val="clear"/>
        </w:rPr>
        <w:t xml:space="preserve">In connection with the Company's annual goodwill impairment test in 2026, the Company recorded a goodwill impairment charge at the PrimaLoft reporting unit of </w:t>
      </w:r>
      <w:r>
        <w:rPr>
          <w:rFonts w:ascii="Arial;sans-serif" w:hAnsi="Arial;sans-serif"/>
          <w:b w:val="false"/>
          <w:color w:val="000000"/>
          <w:sz w:val="20"/>
        </w:rPr>
        <w:t>$20.5 million</w:t>
      </w:r>
      <w:r>
        <w:rPr>
          <w:rFonts w:ascii="Arial;sans-serif" w:hAnsi="Arial;sans-serif"/>
          <w:b w:val="false"/>
          <w:color w:val="000000"/>
          <w:sz w:val="20"/>
          <w:shd w:fill="FFFFFF" w:val="clear"/>
        </w:rPr>
        <w:t>. Refer to "</w:t>
      </w:r>
      <w:hyperlink w:anchor="i29996918526446a59b54dc1fd0efe432_61">
        <w:r>
          <w:rPr>
            <w:rStyle w:val="InternetLink"/>
            <w:rFonts w:ascii="Arial;sans-serif" w:hAnsi="Arial;sans-serif"/>
            <w:b w:val="false"/>
            <w:color w:val="0000FF"/>
            <w:sz w:val="20"/>
            <w:u w:val="single"/>
            <w:shd w:fill="FFFFFF" w:val="clear"/>
          </w:rPr>
          <w:t>Note E - Goodwill and Other Intangible Assets</w:t>
        </w:r>
      </w:hyperlink>
      <w:r>
        <w:rPr>
          <w:rFonts w:ascii="Arial;sans-serif" w:hAnsi="Arial;sans-serif"/>
          <w:b w:val="false"/>
          <w:color w:val="000000"/>
          <w:sz w:val="20"/>
          <w:shd w:fill="FFFFFF" w:val="clear"/>
        </w:rPr>
        <w:t xml:space="preserve">" </w:t>
      </w:r>
      <w:r>
        <w:rPr>
          <w:rFonts w:ascii="Arial;sans-serif" w:hAnsi="Arial;sans-serif"/>
          <w:b w:val="false"/>
          <w:color w:val="000000"/>
          <w:sz w:val="20"/>
        </w:rPr>
        <w:t>in the "Notes to the Condensed Consolidated Financial Statements" for additional information. In the prior year period, the Company recorded $31.5 million in impairment expense related to long-lived assets at Lugano.</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Other operating (income) expense</w:t>
      </w:r>
    </w:p>
    <w:tbl>
      <w:tblPr>
        <w:tblW w:w="6975" w:type="dxa"/>
        <w:jc w:val="center"/>
        <w:tblInd w:w="0" w:type="dxa"/>
        <w:tblLayout w:type="fixed"/>
        <w:tblCellMar>
          <w:top w:w="28" w:type="dxa"/>
          <w:left w:w="28" w:type="dxa"/>
          <w:bottom w:w="28" w:type="dxa"/>
          <w:right w:w="28" w:type="dxa"/>
        </w:tblCellMar>
      </w:tblPr>
      <w:tblGrid>
        <w:gridCol w:w="689"/>
        <w:gridCol w:w="607"/>
        <w:gridCol w:w="609"/>
        <w:gridCol w:w="398"/>
        <w:gridCol w:w="398"/>
        <w:gridCol w:w="391"/>
        <w:gridCol w:w="109"/>
        <w:gridCol w:w="109"/>
        <w:gridCol w:w="109"/>
        <w:gridCol w:w="389"/>
        <w:gridCol w:w="389"/>
        <w:gridCol w:w="391"/>
        <w:gridCol w:w="109"/>
        <w:gridCol w:w="109"/>
        <w:gridCol w:w="109"/>
        <w:gridCol w:w="196"/>
        <w:gridCol w:w="721"/>
        <w:gridCol w:w="109"/>
        <w:gridCol w:w="109"/>
        <w:gridCol w:w="109"/>
        <w:gridCol w:w="109"/>
        <w:gridCol w:w="203"/>
        <w:gridCol w:w="203"/>
        <w:gridCol w:w="301"/>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(10,234)</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Other operating income represents the gain on the sale leaseback completed at Altor in the six months ended June 30, 2026.</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Interest expense, net</w:t>
      </w:r>
    </w:p>
    <w:tbl>
      <w:tblPr>
        <w:tblW w:w="6460" w:type="dxa"/>
        <w:jc w:val="center"/>
        <w:tblInd w:w="0" w:type="dxa"/>
        <w:tblLayout w:type="fixed"/>
        <w:tblCellMar>
          <w:top w:w="28" w:type="dxa"/>
          <w:left w:w="28" w:type="dxa"/>
          <w:bottom w:w="28" w:type="dxa"/>
          <w:right w:w="28" w:type="dxa"/>
        </w:tblCellMar>
      </w:tblPr>
      <w:tblGrid>
        <w:gridCol w:w="489"/>
        <w:gridCol w:w="429"/>
        <w:gridCol w:w="431"/>
        <w:gridCol w:w="389"/>
        <w:gridCol w:w="389"/>
        <w:gridCol w:w="391"/>
        <w:gridCol w:w="109"/>
        <w:gridCol w:w="109"/>
        <w:gridCol w:w="109"/>
        <w:gridCol w:w="389"/>
        <w:gridCol w:w="389"/>
        <w:gridCol w:w="391"/>
        <w:gridCol w:w="109"/>
        <w:gridCol w:w="109"/>
        <w:gridCol w:w="109"/>
        <w:gridCol w:w="196"/>
        <w:gridCol w:w="646"/>
        <w:gridCol w:w="109"/>
        <w:gridCol w:w="109"/>
        <w:gridCol w:w="109"/>
        <w:gridCol w:w="109"/>
        <w:gridCol w:w="269"/>
        <w:gridCol w:w="271"/>
        <w:gridCol w:w="30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1"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(51,390)</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(69,947)</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recorded interest expense totaling $51.4 million for the six months ended June 30, 2026 compared to $69.9 million for the comparable period in 2025, a decrease of $18.6 million. Interest expense in the six months ended June 30, 2025 includes $15.8 million related to financing arrangements at Lugano, which was deconsolidated in November 2025. Excluding the impact of the Lugano financing arrangement in the prior-year period, interest expense decreased $2.8 million, primarily due to pay down of the Company's 2022 Credit Facility during 2026, offset by higher interest expense on the Company’s Senior Notes resulting from the increased principal amount of the Senior Notes following the paid-in-kind payments made in 2025 in connection with the indenture forbearance agreement described in the 2025 Form 10-K.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Loss on debt modification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second quarter of 2025, the Company entered into a forbearance agreement which reduced the aggregate borrowing amount available for revolving commitments to $100 million from $600 million. As a result of the reduction in available revolving commitments, the Company recognized $2.8 million in loss on debt modification in the second quarter of 2025.</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Decrease in fair value of receivable due from unconsolidated affiliate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receivable due from an unconsolidated affiliate represents the Company’s estimate of the fair value of its secured claim related to intercompany loans to Lugano, which is currently subject to bankruptcy proceedings. On June 24, 2026, the Company entered into a settlement agreement and a plan support agreement relating to the proposed resolution of claims alleged against the Company and its related parties by or on behalf of Lugano or its bankruptcy estate. The terms of those agreements changed the estimated amount and timing of the Company’s expected recoveries on its secured claim, resulting in a $58 million decrease in the fair value of the receivable at June 30, 2026.</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Gain on sale of product division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May 1, 2026, the Company sold the Sterno food service product division. The Company received approximately $282 million of total proceeds at closing, representing amounts received with respect to the Company’s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loans to Sterno, including accrued interest, and its equity interests in Sterno. The Company recorded a gain on the sale of Sterno in the quarter ending June 30, 2026 of $182.3 million.</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Other income (expense)</w:t>
      </w:r>
    </w:p>
    <w:tbl>
      <w:tblPr>
        <w:tblW w:w="6925" w:type="dxa"/>
        <w:jc w:val="center"/>
        <w:tblInd w:w="0" w:type="dxa"/>
        <w:tblLayout w:type="fixed"/>
        <w:tblCellMar>
          <w:top w:w="28" w:type="dxa"/>
          <w:left w:w="28" w:type="dxa"/>
          <w:bottom w:w="28" w:type="dxa"/>
          <w:right w:w="28" w:type="dxa"/>
        </w:tblCellMar>
      </w:tblPr>
      <w:tblGrid>
        <w:gridCol w:w="690"/>
        <w:gridCol w:w="606"/>
        <w:gridCol w:w="608"/>
        <w:gridCol w:w="389"/>
        <w:gridCol w:w="389"/>
        <w:gridCol w:w="391"/>
        <w:gridCol w:w="109"/>
        <w:gridCol w:w="109"/>
        <w:gridCol w:w="109"/>
        <w:gridCol w:w="389"/>
        <w:gridCol w:w="389"/>
        <w:gridCol w:w="391"/>
        <w:gridCol w:w="109"/>
        <w:gridCol w:w="109"/>
        <w:gridCol w:w="109"/>
        <w:gridCol w:w="196"/>
        <w:gridCol w:w="556"/>
        <w:gridCol w:w="109"/>
        <w:gridCol w:w="109"/>
        <w:gridCol w:w="109"/>
        <w:gridCol w:w="109"/>
        <w:gridCol w:w="269"/>
        <w:gridCol w:w="271"/>
        <w:gridCol w:w="301"/>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1"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(2,799)</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(11,968)</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(76.6)</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20"/>
        </w:rPr>
        <w:t xml:space="preserve">For the six months ended June 30, 2026, other expense, net was $2.8 million, compared to $12.0 million in other expense in the six months ended June 30, 2025. </w:t>
      </w:r>
      <w:r>
        <w:rPr>
          <w:rFonts w:ascii="Arial;sans-serif" w:hAnsi="Arial;sans-serif"/>
          <w:b w:val="false"/>
          <w:color w:val="000000"/>
          <w:sz w:val="20"/>
          <w:shd w:fill="FFFFFF" w:val="clear"/>
        </w:rPr>
        <w:t>Other incom</w:t>
      </w:r>
      <w:r>
        <w:rPr>
          <w:rFonts w:ascii="Arial;sans-serif" w:hAnsi="Arial;sans-serif"/>
          <w:b w:val="false"/>
          <w:color w:val="000000"/>
          <w:sz w:val="20"/>
        </w:rPr>
        <w:t xml:space="preserve">e (expense) generally reflects foreign currency movements at our subsidiary businesses with international operations, gains or (losses) realized on the sale of property, plant and equipment, and expenses incurred a finance charge at the corporate entity related to Lugano. The other expense in the three months ended June 30, 2025 primarily represents expense recognized at Lugano related to losses resulting from </w:t>
      </w:r>
      <w:r>
        <w:rPr>
          <w:rFonts w:ascii="Arial;sans-serif" w:hAnsi="Arial;sans-serif"/>
          <w:b w:val="false"/>
          <w:color w:val="000000"/>
          <w:sz w:val="20"/>
          <w:shd w:fill="FFFFFF" w:val="clear"/>
        </w:rPr>
        <w:t xml:space="preserve">the accounting for the transactions associated with the off-balance sheet arrangements ($11.7 million in expense in the six months ended June 30, 2025). </w:t>
      </w:r>
      <w:r>
        <w:rPr>
          <w:rFonts w:ascii="Arial;sans-serif" w:hAnsi="Arial;sans-serif"/>
          <w:b w:val="false"/>
          <w:color w:val="000000"/>
          <w:sz w:val="20"/>
        </w:rPr>
        <w:t>The $10.2 million Altor sale-leaseback gain is presented separately in other operating (income) expense and is not included in this caption.</w:t>
      </w:r>
    </w:p>
    <w:p>
      <w:pPr>
        <w:pStyle w:val="TextBody"/>
        <w:bidi w:val="0"/>
        <w:spacing w:lineRule="auto" w:line="288" w:before="18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Income taxes</w:t>
      </w:r>
    </w:p>
    <w:tbl>
      <w:tblPr>
        <w:tblW w:w="7183" w:type="dxa"/>
        <w:jc w:val="center"/>
        <w:tblInd w:w="0" w:type="dxa"/>
        <w:tblLayout w:type="fixed"/>
        <w:tblCellMar>
          <w:top w:w="28" w:type="dxa"/>
          <w:left w:w="28" w:type="dxa"/>
          <w:bottom w:w="28" w:type="dxa"/>
          <w:right w:w="28" w:type="dxa"/>
        </w:tblCellMar>
      </w:tblPr>
      <w:tblGrid>
        <w:gridCol w:w="743"/>
        <w:gridCol w:w="653"/>
        <w:gridCol w:w="658"/>
        <w:gridCol w:w="209"/>
        <w:gridCol w:w="688"/>
        <w:gridCol w:w="273"/>
        <w:gridCol w:w="109"/>
        <w:gridCol w:w="109"/>
        <w:gridCol w:w="109"/>
        <w:gridCol w:w="209"/>
        <w:gridCol w:w="688"/>
        <w:gridCol w:w="273"/>
        <w:gridCol w:w="109"/>
        <w:gridCol w:w="109"/>
        <w:gridCol w:w="109"/>
        <w:gridCol w:w="196"/>
        <w:gridCol w:w="646"/>
        <w:gridCol w:w="109"/>
        <w:gridCol w:w="109"/>
        <w:gridCol w:w="109"/>
        <w:gridCol w:w="109"/>
        <w:gridCol w:w="278"/>
        <w:gridCol w:w="278"/>
        <w:gridCol w:w="30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for income taxes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52,443 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19,896 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Effective tax rate</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50.7 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(18.0)</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We had an income tax provision of $52.4 million during the six months ended June 30, 2026 compared to an income tax provision of $19.9 million during the same period in 2025, an increase of $32.5 million due to the reduction in the loss from continuing operation before income taxes and driven by the tax effect at the Trust of the sale of the Sterno product division. Our effective tax rate in the six months ended June 30, 2026 was 50.7%, compared to an effective income tax rate of 18.0% during the same period in 2025. Our tax rate is affected by recurring items, such as tax rates in foreign jurisdictions and the relative amounts of income we earn in those jurisdictions. It is also affected by discrete items that may occur in any given year but are not consistent from year to year. I</w:t>
      </w:r>
      <w:r>
        <w:rPr>
          <w:rFonts w:ascii="Arial;sans-serif" w:hAnsi="Arial;sans-serif"/>
          <w:b w:val="false"/>
          <w:color w:val="000000"/>
          <w:sz w:val="20"/>
          <w:shd w:fill="FFFFFF" w:val="clear"/>
        </w:rPr>
        <w:t>n the current year, the effe</w:t>
      </w:r>
      <w:r>
        <w:rPr>
          <w:rFonts w:ascii="Arial;sans-serif" w:hAnsi="Arial;sans-serif"/>
          <w:b w:val="false"/>
          <w:color w:val="000000"/>
          <w:sz w:val="20"/>
        </w:rPr>
        <w:t xml:space="preserve">ctive tax rate was impacted by the sale of the Sterno product division, the goodwill impairment at PrimaLoft, the effect of state taxes and changes in valuation allowances. In connection with the sale of Sterno, we recorded a liability for unrecognized tax benefits of $21.3 million in the six months ended June 30, 2026, and approximately $5.5 million in </w:t>
      </w:r>
      <w:r>
        <w:rPr>
          <w:rFonts w:ascii="Arial;sans-serif" w:hAnsi="Arial;sans-serif"/>
          <w:b w:val="false"/>
          <w:color w:val="000000"/>
          <w:sz w:val="20"/>
          <w:shd w:fill="FFFFFF" w:val="clear"/>
        </w:rPr>
        <w:t>interest associated with certain previously recognized uncertain tax positions that had not been accrued in prior reporting periods, substantially all of which relates to prior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Results of Operations - Operating Segments - Year-to-Date</w:t>
      </w:r>
    </w:p>
    <w:p>
      <w:pPr>
        <w:pStyle w:val="TextBody"/>
        <w:bidi w:val="0"/>
        <w:spacing w:lineRule="auto" w:line="288" w:before="240" w:after="283"/>
        <w:jc w:val="left"/>
        <w:rPr/>
      </w:pPr>
      <w:r>
        <w:rPr>
          <w:rFonts w:ascii="Arial;sans-serif" w:hAnsi="Arial;sans-serif"/>
          <w:b/>
          <w:color w:val="000000"/>
          <w:sz w:val="18"/>
        </w:rPr>
        <w:t>Six</w:t>
      </w:r>
      <w:r>
        <w:rPr>
          <w:color w:val="000000"/>
        </w:rPr>
        <w:t xml:space="preserve"> </w:t>
      </w:r>
      <w:r>
        <w:rPr>
          <w:rFonts w:ascii="Arial;sans-serif" w:hAnsi="Arial;sans-serif"/>
          <w:b/>
          <w:color w:val="000000"/>
          <w:sz w:val="20"/>
        </w:rPr>
        <w:t xml:space="preserve">months ended June 30, 2026 compared to six months ended June 30, 2025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Branded Consumer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5.11 </w:t>
      </w:r>
    </w:p>
    <w:tbl>
      <w:tblPr>
        <w:tblW w:w="5908" w:type="dxa"/>
        <w:jc w:val="center"/>
        <w:tblInd w:w="0" w:type="dxa"/>
        <w:tblLayout w:type="fixed"/>
        <w:tblCellMar>
          <w:top w:w="28" w:type="dxa"/>
          <w:left w:w="28" w:type="dxa"/>
          <w:bottom w:w="28" w:type="dxa"/>
          <w:right w:w="28" w:type="dxa"/>
        </w:tblCellMar>
      </w:tblPr>
      <w:tblGrid>
        <w:gridCol w:w="293"/>
        <w:gridCol w:w="257"/>
        <w:gridCol w:w="260"/>
        <w:gridCol w:w="215"/>
        <w:gridCol w:w="844"/>
        <w:gridCol w:w="111"/>
        <w:gridCol w:w="109"/>
        <w:gridCol w:w="109"/>
        <w:gridCol w:w="109"/>
        <w:gridCol w:w="215"/>
        <w:gridCol w:w="844"/>
        <w:gridCol w:w="111"/>
        <w:gridCol w:w="109"/>
        <w:gridCol w:w="109"/>
        <w:gridCol w:w="109"/>
        <w:gridCol w:w="196"/>
        <w:gridCol w:w="721"/>
        <w:gridCol w:w="109"/>
        <w:gridCol w:w="109"/>
        <w:gridCol w:w="109"/>
        <w:gridCol w:w="109"/>
        <w:gridCol w:w="224"/>
        <w:gridCol w:w="226"/>
        <w:gridCol w:w="30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250,470 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260,812 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shd w:fill="FFFFFF" w:val="clear"/>
        </w:rPr>
        <w:t xml:space="preserve">Net sales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June 30, 2026 were $250.5 million as compared to net sales of $260.8 million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June 30, 2025, a decrease of $10.3 million, or </w:t>
      </w:r>
      <w:r>
        <w:rPr>
          <w:rFonts w:ascii="Arial;sans-serif" w:hAnsi="Arial;sans-serif"/>
          <w:b w:val="false"/>
          <w:color w:val="000000"/>
          <w:sz w:val="20"/>
        </w:rPr>
        <w:t>4.0%</w:t>
      </w:r>
      <w:r>
        <w:rPr>
          <w:rFonts w:ascii="Arial;sans-serif" w:hAnsi="Arial;sans-serif"/>
          <w:b w:val="false"/>
          <w:color w:val="000000"/>
          <w:sz w:val="20"/>
          <w:shd w:fill="FFFFFF" w:val="clear"/>
        </w:rPr>
        <w:t xml:space="preserve">. The decline </w:t>
      </w:r>
      <w:r>
        <w:rPr>
          <w:rFonts w:ascii="Arial;sans-serif" w:hAnsi="Arial;sans-serif"/>
          <w:b w:val="false"/>
          <w:color w:val="000000"/>
          <w:sz w:val="20"/>
        </w:rPr>
        <w:t xml:space="preserve">was primarily attributable to a decrease in direct-to-consumer sales of approximately $7.9 million, reflecting an intentional reduction in promotional activity compared to the prior year period, and a decrease in domestic wholesale sales of approximately $3.4 million, due to customer inventory reductions. These decreases were partially offset by increases in international sales of approximately $0.6 million, driven by growth in Australia and Canada.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63</w:t>
                      </w:r>
                    </w:p>
                  </w:txbxContent>
                </v:textbox>
                <w10:wrap type="none"/>
              </v:rect>
            </w:pict>
          </mc:Fallback>
        </mc:AlternateContent>
      </w:r>
    </w:p>
    <w:p>
      <w:pPr>
        <w:pStyle w:val="TextBody"/>
        <w:bidi w:val="0"/>
        <w:spacing w:before="0" w:after="0"/>
        <w:jc w:val="left"/>
        <w:rPr/>
      </w:pPr>
      <w:r>
        <w:rPr/>
      </w:r>
    </w:p>
    <w:tbl>
      <w:tblPr>
        <w:tblW w:w="6913" w:type="dxa"/>
        <w:jc w:val="center"/>
        <w:tblInd w:w="0" w:type="dxa"/>
        <w:tblLayout w:type="fixed"/>
        <w:tblCellMar>
          <w:top w:w="28" w:type="dxa"/>
          <w:left w:w="28" w:type="dxa"/>
          <w:bottom w:w="28" w:type="dxa"/>
          <w:right w:w="28" w:type="dxa"/>
        </w:tblCellMar>
      </w:tblPr>
      <w:tblGrid>
        <w:gridCol w:w="743"/>
        <w:gridCol w:w="653"/>
        <w:gridCol w:w="658"/>
        <w:gridCol w:w="209"/>
        <w:gridCol w:w="688"/>
        <w:gridCol w:w="273"/>
        <w:gridCol w:w="109"/>
        <w:gridCol w:w="109"/>
        <w:gridCol w:w="109"/>
        <w:gridCol w:w="209"/>
        <w:gridCol w:w="688"/>
        <w:gridCol w:w="273"/>
        <w:gridCol w:w="109"/>
        <w:gridCol w:w="109"/>
        <w:gridCol w:w="109"/>
        <w:gridCol w:w="196"/>
        <w:gridCol w:w="556"/>
        <w:gridCol w:w="109"/>
        <w:gridCol w:w="109"/>
        <w:gridCol w:w="109"/>
        <w:gridCol w:w="109"/>
        <w:gridCol w:w="188"/>
        <w:gridCol w:w="188"/>
        <w:gridCol w:w="30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19,960 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18,327 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0.9%</w:t>
            </w:r>
          </w:p>
        </w:tc>
      </w:tr>
    </w:tbl>
    <w:p>
      <w:pPr>
        <w:pStyle w:val="TextBody"/>
        <w:bidi w:val="0"/>
        <w:spacing w:lineRule="auto" w:line="288" w:before="180" w:after="283"/>
        <w:jc w:val="both"/>
        <w:rPr/>
      </w:pPr>
      <w:r>
        <w:rPr>
          <w:rFonts w:ascii="Arial;sans-serif" w:hAnsi="Arial;sans-serif"/>
          <w:b w:val="false"/>
          <w:color w:val="000000"/>
          <w:sz w:val="20"/>
          <w:shd w:fill="FFFFFF" w:val="clear"/>
        </w:rPr>
        <w:t xml:space="preserve">Segment operating income for the six months ended June 30, 2026 was $20.0 million, an increase of $1.6 million when compared to segment operating income of $18.3 million for the same period in 2025. </w:t>
      </w:r>
      <w:r>
        <w:rPr>
          <w:rFonts w:ascii="Arial;sans-serif" w:hAnsi="Arial;sans-serif"/>
          <w:b w:val="false"/>
          <w:color w:val="000000"/>
          <w:sz w:val="20"/>
        </w:rPr>
        <w:t xml:space="preserve">The increase was primarily attributable to improved gross margin and disciplined operating expense management, which more than offset the impact of lower net sales. Gross margin performance benefited from a higher mix of full-price sales, and included </w:t>
      </w:r>
      <w:r>
        <w:rPr>
          <w:rFonts w:ascii="Arial;sans-serif" w:hAnsi="Arial;sans-serif"/>
          <w:b w:val="false"/>
          <w:color w:val="000000"/>
          <w:sz w:val="20"/>
          <w:shd w:fill="FFFFFF" w:val="clear"/>
        </w:rPr>
        <w:t>refunds of duties in the second quarter previously paid under IEEPA tariffs, which were recognized as a credit to cost of goods sold upon receipt of cash, consistent with the accounting for gain contingencies</w:t>
      </w:r>
      <w:r>
        <w:rPr>
          <w:rFonts w:ascii="Arial;sans-serif" w:hAnsi="Arial;sans-serif"/>
          <w:b w:val="false"/>
          <w:color w:val="000000"/>
          <w:sz w:val="20"/>
        </w:rPr>
        <w:t>. Selling, general and administrative expenses decreased modestly compared to the prior year period, driven by lower payroll expense, partially offset by higher performance-based bonus accruals and increased investment in brand marketing.</w:t>
      </w:r>
      <w:r>
        <w:rPr>
          <w:color w:val="000000"/>
          <w:shd w:fill="FFFFFF" w:val="clear"/>
        </w:rPr>
        <w:t xml:space="preserve"> </w:t>
      </w:r>
      <w:r>
        <w:rPr>
          <w:rFonts w:ascii="Arial;sans-serif" w:hAnsi="Arial;sans-serif"/>
          <w:b w:val="false"/>
          <w:color w:val="000000"/>
          <w:sz w:val="20"/>
          <w:shd w:fill="FFFFFF" w:val="clear"/>
        </w:rPr>
        <w:t xml:space="preserve">Segment operating margin was 8.0% in the six months ended June 30, 2026 and </w:t>
      </w:r>
      <w:r>
        <w:rPr>
          <w:rFonts w:ascii="Arial;sans-serif" w:hAnsi="Arial;sans-serif"/>
          <w:b w:val="false"/>
          <w:color w:val="000000"/>
          <w:sz w:val="20"/>
        </w:rPr>
        <w:t>7.0%</w:t>
      </w:r>
      <w:r>
        <w:rPr>
          <w:color w:val="000000"/>
          <w:shd w:fill="FFFFFF" w:val="clear"/>
        </w:rPr>
        <w:t xml:space="preserve"> </w:t>
      </w:r>
      <w:r>
        <w:rPr>
          <w:rFonts w:ascii="Arial;sans-serif" w:hAnsi="Arial;sans-serif"/>
          <w:b w:val="false"/>
          <w:color w:val="000000"/>
          <w:sz w:val="20"/>
          <w:shd w:fill="FFFFFF" w:val="clear"/>
        </w:rPr>
        <w:t>in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BOA</w:t>
      </w:r>
    </w:p>
    <w:tbl>
      <w:tblPr>
        <w:tblW w:w="5848" w:type="dxa"/>
        <w:jc w:val="center"/>
        <w:tblInd w:w="0" w:type="dxa"/>
        <w:tblLayout w:type="fixed"/>
        <w:tblCellMar>
          <w:top w:w="28" w:type="dxa"/>
          <w:left w:w="28" w:type="dxa"/>
          <w:bottom w:w="28" w:type="dxa"/>
          <w:right w:w="28" w:type="dxa"/>
        </w:tblCellMar>
      </w:tblPr>
      <w:tblGrid>
        <w:gridCol w:w="293"/>
        <w:gridCol w:w="257"/>
        <w:gridCol w:w="260"/>
        <w:gridCol w:w="220"/>
        <w:gridCol w:w="827"/>
        <w:gridCol w:w="122"/>
        <w:gridCol w:w="109"/>
        <w:gridCol w:w="109"/>
        <w:gridCol w:w="109"/>
        <w:gridCol w:w="241"/>
        <w:gridCol w:w="795"/>
        <w:gridCol w:w="134"/>
        <w:gridCol w:w="109"/>
        <w:gridCol w:w="109"/>
        <w:gridCol w:w="109"/>
        <w:gridCol w:w="196"/>
        <w:gridCol w:w="646"/>
        <w:gridCol w:w="109"/>
        <w:gridCol w:w="109"/>
        <w:gridCol w:w="109"/>
        <w:gridCol w:w="109"/>
        <w:gridCol w:w="233"/>
        <w:gridCol w:w="233"/>
        <w:gridCol w:w="30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111,176 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97,246 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20"/>
          <w:shd w:fill="FFFFFF" w:val="clear"/>
        </w:rPr>
        <w:t xml:space="preserve">Net sales for the six months ended June 30, 2026 were $111.2 million as compared to net sales of $97.2 million for the six months ended June 30, 2025, an increase of $13.9 million, or 14.3%. </w:t>
      </w:r>
      <w:r>
        <w:rPr>
          <w:rFonts w:ascii="Arial;sans-serif" w:hAnsi="Arial;sans-serif"/>
          <w:b w:val="false"/>
          <w:color w:val="000000"/>
          <w:sz w:val="20"/>
        </w:rPr>
        <w:t xml:space="preserve">BOA adult premium performance </w:t>
      </w:r>
      <w:r>
        <w:rPr>
          <w:rFonts w:ascii="Arial;sans-serif" w:hAnsi="Arial;sans-serif"/>
          <w:b w:val="false"/>
          <w:color w:val="000000"/>
          <w:sz w:val="20"/>
          <w:shd w:fill="FFFFFF" w:val="clear"/>
        </w:rPr>
        <w:t xml:space="preserve">sales increased across key industries including </w:t>
      </w:r>
      <w:r>
        <w:rPr>
          <w:rFonts w:ascii="Arial;sans-serif" w:hAnsi="Arial;sans-serif"/>
          <w:b w:val="false"/>
          <w:color w:val="000000"/>
          <w:sz w:val="20"/>
        </w:rPr>
        <w:t>Athletic, Workwear, Cycling, Snowsports, Outdoor, Helmets, and Performance Bracing, partially offset by reduced kids-based business in China. This continued momentum was primarily a result of market share gains in many of BOA's key industries.</w:t>
      </w:r>
    </w:p>
    <w:tbl>
      <w:tblPr>
        <w:tblW w:w="7003" w:type="dxa"/>
        <w:jc w:val="center"/>
        <w:tblInd w:w="0" w:type="dxa"/>
        <w:tblLayout w:type="fixed"/>
        <w:tblCellMar>
          <w:top w:w="28" w:type="dxa"/>
          <w:left w:w="28" w:type="dxa"/>
          <w:bottom w:w="28" w:type="dxa"/>
          <w:right w:w="28" w:type="dxa"/>
        </w:tblCellMar>
      </w:tblPr>
      <w:tblGrid>
        <w:gridCol w:w="743"/>
        <w:gridCol w:w="653"/>
        <w:gridCol w:w="658"/>
        <w:gridCol w:w="209"/>
        <w:gridCol w:w="688"/>
        <w:gridCol w:w="273"/>
        <w:gridCol w:w="109"/>
        <w:gridCol w:w="109"/>
        <w:gridCol w:w="109"/>
        <w:gridCol w:w="209"/>
        <w:gridCol w:w="688"/>
        <w:gridCol w:w="273"/>
        <w:gridCol w:w="109"/>
        <w:gridCol w:w="109"/>
        <w:gridCol w:w="109"/>
        <w:gridCol w:w="196"/>
        <w:gridCol w:w="556"/>
        <w:gridCol w:w="109"/>
        <w:gridCol w:w="109"/>
        <w:gridCol w:w="109"/>
        <w:gridCol w:w="109"/>
        <w:gridCol w:w="233"/>
        <w:gridCol w:w="233"/>
        <w:gridCol w:w="30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36,181 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27,701 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28.5 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4.1%</w:t>
            </w:r>
          </w:p>
        </w:tc>
      </w:tr>
    </w:tbl>
    <w:p>
      <w:pPr>
        <w:pStyle w:val="TextBody"/>
        <w:bidi w:val="0"/>
        <w:spacing w:lineRule="auto" w:line="288" w:before="180" w:after="283"/>
        <w:jc w:val="both"/>
        <w:rPr/>
      </w:pPr>
      <w:r>
        <w:rPr>
          <w:rFonts w:ascii="Arial;sans-serif" w:hAnsi="Arial;sans-serif"/>
          <w:b w:val="false"/>
          <w:color w:val="000000"/>
          <w:sz w:val="20"/>
          <w:shd w:fill="FFFFFF" w:val="clear"/>
        </w:rPr>
        <w:t xml:space="preserve">Segment operating income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June 30, 2026 was </w:t>
      </w:r>
      <w:r>
        <w:rPr>
          <w:rFonts w:ascii="Arial;sans-serif" w:hAnsi="Arial;sans-serif"/>
          <w:b w:val="false"/>
          <w:color w:val="000000"/>
          <w:sz w:val="20"/>
        </w:rPr>
        <w:t>$36.2 million</w:t>
      </w:r>
      <w:r>
        <w:rPr>
          <w:rFonts w:ascii="Arial;sans-serif" w:hAnsi="Arial;sans-serif"/>
          <w:b w:val="false"/>
          <w:color w:val="000000"/>
          <w:sz w:val="20"/>
          <w:shd w:fill="FFFFFF" w:val="clear"/>
        </w:rPr>
        <w:t xml:space="preserve">, as compared to segment operating income of </w:t>
      </w:r>
      <w:r>
        <w:rPr>
          <w:rFonts w:ascii="Arial;sans-serif" w:hAnsi="Arial;sans-serif"/>
          <w:b w:val="false"/>
          <w:color w:val="000000"/>
          <w:sz w:val="20"/>
        </w:rPr>
        <w:t>$27.7 million</w:t>
      </w:r>
      <w:r>
        <w:rPr>
          <w:color w:val="000000"/>
          <w:shd w:fill="FFFFFF" w:val="clear"/>
        </w:rPr>
        <w:t xml:space="preserve"> </w:t>
      </w:r>
      <w:r>
        <w:rPr>
          <w:rFonts w:ascii="Arial;sans-serif" w:hAnsi="Arial;sans-serif"/>
          <w:b w:val="false"/>
          <w:color w:val="000000"/>
          <w:sz w:val="20"/>
          <w:shd w:fill="FFFFFF" w:val="clear"/>
        </w:rPr>
        <w:t xml:space="preserve">for the same period in 2025, an increase of </w:t>
      </w:r>
      <w:r>
        <w:rPr>
          <w:rFonts w:ascii="Arial;sans-serif" w:hAnsi="Arial;sans-serif"/>
          <w:b w:val="false"/>
          <w:color w:val="000000"/>
          <w:sz w:val="20"/>
        </w:rPr>
        <w:t>$8.5 million</w:t>
      </w:r>
      <w:r>
        <w:rPr>
          <w:color w:val="000000"/>
          <w:shd w:fill="FFFFFF" w:val="clear"/>
        </w:rPr>
        <w:t xml:space="preserve"> </w:t>
      </w:r>
      <w:r>
        <w:rPr>
          <w:rFonts w:ascii="Arial;sans-serif" w:hAnsi="Arial;sans-serif"/>
          <w:b w:val="false"/>
          <w:color w:val="000000"/>
          <w:sz w:val="20"/>
          <w:shd w:fill="FFFFFF" w:val="clear"/>
        </w:rPr>
        <w:t xml:space="preserve">or </w:t>
      </w:r>
      <w:r>
        <w:rPr>
          <w:rFonts w:ascii="Arial;sans-serif" w:hAnsi="Arial;sans-serif"/>
          <w:b w:val="false"/>
          <w:color w:val="000000"/>
          <w:sz w:val="20"/>
        </w:rPr>
        <w:t>30.6%.</w:t>
      </w:r>
      <w:r>
        <w:rPr>
          <w:color w:val="000000"/>
          <w:shd w:fill="FFFFFF" w:val="clear"/>
        </w:rPr>
        <w:t xml:space="preserve"> </w:t>
      </w:r>
      <w:r>
        <w:rPr>
          <w:rFonts w:ascii="Arial;sans-serif" w:hAnsi="Arial;sans-serif"/>
          <w:b w:val="false"/>
          <w:color w:val="000000"/>
          <w:sz w:val="20"/>
          <w:shd w:fill="FFFFFF" w:val="clear"/>
        </w:rPr>
        <w:t>The increase in operating income was driven by</w:t>
      </w:r>
      <w:r>
        <w:rPr>
          <w:color w:val="000000"/>
        </w:rPr>
        <w:t xml:space="preserve"> </w:t>
      </w:r>
      <w:r>
        <w:rPr>
          <w:rFonts w:ascii="Arial;sans-serif" w:hAnsi="Arial;sans-serif"/>
          <w:b w:val="false"/>
          <w:color w:val="000000"/>
          <w:sz w:val="20"/>
        </w:rPr>
        <w:t xml:space="preserve">higher net sales and improved gross profit margins, partially offset by an increase in selling, general, and administrative expense related to BOA’s bonus plan. </w:t>
      </w:r>
      <w:r>
        <w:rPr>
          <w:rFonts w:ascii="Arial;sans-serif" w:hAnsi="Arial;sans-serif"/>
          <w:b w:val="false"/>
          <w:color w:val="000000"/>
          <w:sz w:val="20"/>
          <w:shd w:fill="FFFFFF" w:val="clear"/>
        </w:rPr>
        <w:t xml:space="preserve">Segment operating margin was </w:t>
      </w:r>
      <w:r>
        <w:rPr>
          <w:rFonts w:ascii="Arial;sans-serif" w:hAnsi="Arial;sans-serif"/>
          <w:b w:val="false"/>
          <w:color w:val="000000"/>
          <w:sz w:val="20"/>
        </w:rPr>
        <w:t>32.5%</w:t>
      </w:r>
      <w:r>
        <w:rPr>
          <w:color w:val="000000"/>
          <w:shd w:fill="FFFFFF" w:val="clear"/>
        </w:rPr>
        <w:t xml:space="preserve"> </w:t>
      </w:r>
      <w:r>
        <w:rPr>
          <w:rFonts w:ascii="Arial;sans-serif" w:hAnsi="Arial;sans-serif"/>
          <w:b w:val="false"/>
          <w:color w:val="000000"/>
          <w:sz w:val="20"/>
          <w:shd w:fill="FFFFFF" w:val="clear"/>
        </w:rPr>
        <w:t xml:space="preserve">in the six months ended June 30, 2026 and </w:t>
      </w:r>
      <w:r>
        <w:rPr>
          <w:rFonts w:ascii="Arial;sans-serif" w:hAnsi="Arial;sans-serif"/>
          <w:b w:val="false"/>
          <w:color w:val="000000"/>
          <w:sz w:val="20"/>
        </w:rPr>
        <w:t>28.5%</w:t>
      </w:r>
      <w:r>
        <w:rPr>
          <w:color w:val="000000"/>
          <w:shd w:fill="FFFFFF" w:val="clear"/>
        </w:rPr>
        <w:t xml:space="preserve"> </w:t>
      </w:r>
      <w:r>
        <w:rPr>
          <w:rFonts w:ascii="Arial;sans-serif" w:hAnsi="Arial;sans-serif"/>
          <w:b w:val="false"/>
          <w:color w:val="000000"/>
          <w:sz w:val="20"/>
          <w:shd w:fill="FFFFFF" w:val="clear"/>
        </w:rPr>
        <w:t xml:space="preserve">in the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PrimaLoft</w:t>
      </w:r>
    </w:p>
    <w:tbl>
      <w:tblPr>
        <w:tblW w:w="5669" w:type="dxa"/>
        <w:jc w:val="center"/>
        <w:tblInd w:w="0" w:type="dxa"/>
        <w:tblLayout w:type="fixed"/>
        <w:tblCellMar>
          <w:top w:w="28" w:type="dxa"/>
          <w:left w:w="28" w:type="dxa"/>
          <w:bottom w:w="28" w:type="dxa"/>
          <w:right w:w="28" w:type="dxa"/>
        </w:tblCellMar>
      </w:tblPr>
      <w:tblGrid>
        <w:gridCol w:w="293"/>
        <w:gridCol w:w="257"/>
        <w:gridCol w:w="260"/>
        <w:gridCol w:w="241"/>
        <w:gridCol w:w="795"/>
        <w:gridCol w:w="134"/>
        <w:gridCol w:w="109"/>
        <w:gridCol w:w="109"/>
        <w:gridCol w:w="109"/>
        <w:gridCol w:w="241"/>
        <w:gridCol w:w="795"/>
        <w:gridCol w:w="134"/>
        <w:gridCol w:w="109"/>
        <w:gridCol w:w="109"/>
        <w:gridCol w:w="109"/>
        <w:gridCol w:w="196"/>
        <w:gridCol w:w="556"/>
        <w:gridCol w:w="109"/>
        <w:gridCol w:w="109"/>
        <w:gridCol w:w="109"/>
        <w:gridCol w:w="109"/>
        <w:gridCol w:w="188"/>
        <w:gridCol w:w="188"/>
        <w:gridCol w:w="30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51,666 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48,500 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shd w:fill="FFFFFF" w:val="clear"/>
        </w:rPr>
        <w:t xml:space="preserve">Net sales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June 30, 2026 were $51.7 million, an increase of $3.2 million as compared to net sales of $48.5 million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June 30, 2025. The increase in net sales in the current period versus the six months ended June 30, 2025 is </w:t>
      </w:r>
      <w:r>
        <w:rPr>
          <w:rFonts w:ascii="Arial;sans-serif" w:hAnsi="Arial;sans-serif"/>
          <w:b w:val="false"/>
          <w:color w:val="000000"/>
          <w:sz w:val="20"/>
        </w:rPr>
        <w:t>primarily attributable to higher sales to Asia-based brand partners, reflecting continued strong demand for outdoor products in the region, as well as the Company's ongoing success in establishing new brand partnerships that have expanded its customer base.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64</w:t>
                      </w:r>
                    </w:p>
                  </w:txbxContent>
                </v:textbox>
                <w10:wrap type="none"/>
              </v:rect>
            </w:pict>
          </mc:Fallback>
        </mc:AlternateContent>
      </w:r>
    </w:p>
    <w:p>
      <w:pPr>
        <w:pStyle w:val="TextBody"/>
        <w:bidi w:val="0"/>
        <w:spacing w:before="0" w:after="0"/>
        <w:jc w:val="left"/>
        <w:rPr/>
      </w:pPr>
      <w:r>
        <w:rPr/>
      </w:r>
    </w:p>
    <w:tbl>
      <w:tblPr>
        <w:tblW w:w="7796" w:type="dxa"/>
        <w:jc w:val="center"/>
        <w:tblInd w:w="0" w:type="dxa"/>
        <w:tblLayout w:type="fixed"/>
        <w:tblCellMar>
          <w:top w:w="28" w:type="dxa"/>
          <w:left w:w="28" w:type="dxa"/>
          <w:bottom w:w="28" w:type="dxa"/>
          <w:right w:w="28" w:type="dxa"/>
        </w:tblCellMar>
      </w:tblPr>
      <w:tblGrid>
        <w:gridCol w:w="912"/>
        <w:gridCol w:w="801"/>
        <w:gridCol w:w="807"/>
        <w:gridCol w:w="211"/>
        <w:gridCol w:w="682"/>
        <w:gridCol w:w="276"/>
        <w:gridCol w:w="109"/>
        <w:gridCol w:w="109"/>
        <w:gridCol w:w="109"/>
        <w:gridCol w:w="227"/>
        <w:gridCol w:w="645"/>
        <w:gridCol w:w="297"/>
        <w:gridCol w:w="109"/>
        <w:gridCol w:w="109"/>
        <w:gridCol w:w="109"/>
        <w:gridCol w:w="196"/>
        <w:gridCol w:w="721"/>
        <w:gridCol w:w="109"/>
        <w:gridCol w:w="109"/>
        <w:gridCol w:w="109"/>
        <w:gridCol w:w="109"/>
        <w:gridCol w:w="314"/>
        <w:gridCol w:w="316"/>
        <w:gridCol w:w="301"/>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(9,867)</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9,048 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(18,915)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(19.1)</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18.7 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(37.8)%</w:t>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Segment operating loss for the six months ended June 30, 2026 was $9.9 million, a decrease of $18.9 million when compared to segment operating income of $9.0 million for the same period in 2025. PrimaLoft recorded a goodwill impairment charge of $20.5 million in the first quarter of 2026, which was the primary driver of the decrease. The decrease was partially offset by higher sales volume during the period. Segment operating margin was (19.1)% in the six months ended June 30, 2026 as compared to 18.7% in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The Honey Pot Co.</w:t>
      </w:r>
    </w:p>
    <w:tbl>
      <w:tblPr>
        <w:tblW w:w="5849" w:type="dxa"/>
        <w:jc w:val="center"/>
        <w:tblInd w:w="0" w:type="dxa"/>
        <w:tblLayout w:type="fixed"/>
        <w:tblCellMar>
          <w:top w:w="28" w:type="dxa"/>
          <w:left w:w="28" w:type="dxa"/>
          <w:bottom w:w="28" w:type="dxa"/>
          <w:right w:w="28" w:type="dxa"/>
        </w:tblCellMar>
      </w:tblPr>
      <w:tblGrid>
        <w:gridCol w:w="293"/>
        <w:gridCol w:w="257"/>
        <w:gridCol w:w="260"/>
        <w:gridCol w:w="241"/>
        <w:gridCol w:w="795"/>
        <w:gridCol w:w="134"/>
        <w:gridCol w:w="109"/>
        <w:gridCol w:w="109"/>
        <w:gridCol w:w="109"/>
        <w:gridCol w:w="241"/>
        <w:gridCol w:w="795"/>
        <w:gridCol w:w="134"/>
        <w:gridCol w:w="109"/>
        <w:gridCol w:w="109"/>
        <w:gridCol w:w="109"/>
        <w:gridCol w:w="196"/>
        <w:gridCol w:w="646"/>
        <w:gridCol w:w="109"/>
        <w:gridCol w:w="109"/>
        <w:gridCol w:w="109"/>
        <w:gridCol w:w="109"/>
        <w:gridCol w:w="233"/>
        <w:gridCol w:w="233"/>
        <w:gridCol w:w="30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83,546 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68,989 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Net sales for the six months ended June 30, 2026 were $83.5 million, an increase of $14.6 million or 21.1% from net sales of $69.0 million for the six months ended June 30, 2025. The increase in net sales is primarily due to strong volume growth across retail channels, the benefits of price pack architecture optimization implemented in late 2025, and modestly lower trade investment versus the prior year.</w:t>
      </w:r>
    </w:p>
    <w:tbl>
      <w:tblPr>
        <w:tblW w:w="7002" w:type="dxa"/>
        <w:jc w:val="center"/>
        <w:tblInd w:w="0" w:type="dxa"/>
        <w:tblLayout w:type="fixed"/>
        <w:tblCellMar>
          <w:top w:w="28" w:type="dxa"/>
          <w:left w:w="28" w:type="dxa"/>
          <w:bottom w:w="28" w:type="dxa"/>
          <w:right w:w="28" w:type="dxa"/>
        </w:tblCellMar>
      </w:tblPr>
      <w:tblGrid>
        <w:gridCol w:w="743"/>
        <w:gridCol w:w="653"/>
        <w:gridCol w:w="658"/>
        <w:gridCol w:w="209"/>
        <w:gridCol w:w="688"/>
        <w:gridCol w:w="273"/>
        <w:gridCol w:w="109"/>
        <w:gridCol w:w="109"/>
        <w:gridCol w:w="109"/>
        <w:gridCol w:w="227"/>
        <w:gridCol w:w="645"/>
        <w:gridCol w:w="297"/>
        <w:gridCol w:w="109"/>
        <w:gridCol w:w="109"/>
        <w:gridCol w:w="109"/>
        <w:gridCol w:w="196"/>
        <w:gridCol w:w="556"/>
        <w:gridCol w:w="109"/>
        <w:gridCol w:w="109"/>
        <w:gridCol w:w="109"/>
        <w:gridCol w:w="109"/>
        <w:gridCol w:w="233"/>
        <w:gridCol w:w="233"/>
        <w:gridCol w:w="30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15,923 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8,541 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19.1 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6.7%</w:t>
            </w:r>
          </w:p>
        </w:tc>
      </w:tr>
    </w:tbl>
    <w:p>
      <w:pPr>
        <w:pStyle w:val="TextBody"/>
        <w:bidi w:val="0"/>
        <w:spacing w:lineRule="auto" w:line="288" w:before="180" w:after="283"/>
        <w:jc w:val="both"/>
        <w:rPr/>
      </w:pPr>
      <w:r>
        <w:rPr>
          <w:rFonts w:ascii="Arial;sans-serif" w:hAnsi="Arial;sans-serif"/>
          <w:b w:val="false"/>
          <w:color w:val="000000"/>
          <w:sz w:val="20"/>
        </w:rPr>
        <w:t xml:space="preserve">Segment operating income for the six months ended June 30, 2026 was </w:t>
      </w:r>
      <w:r>
        <w:rPr>
          <w:rFonts w:ascii="Arial;sans-serif" w:hAnsi="Arial;sans-serif"/>
          <w:b w:val="false"/>
          <w:color w:val="000000"/>
          <w:sz w:val="20"/>
          <w:shd w:fill="FFFFFF" w:val="clear"/>
        </w:rPr>
        <w:t>$15.9 million</w:t>
      </w:r>
      <w:r>
        <w:rPr>
          <w:rFonts w:ascii="Arial;sans-serif" w:hAnsi="Arial;sans-serif"/>
          <w:b w:val="false"/>
          <w:color w:val="000000"/>
          <w:sz w:val="20"/>
        </w:rPr>
        <w:t xml:space="preserve">, an increase of </w:t>
      </w:r>
      <w:r>
        <w:rPr>
          <w:rFonts w:ascii="Arial;sans-serif" w:hAnsi="Arial;sans-serif"/>
          <w:b w:val="false"/>
          <w:color w:val="000000"/>
          <w:sz w:val="20"/>
          <w:shd w:fill="FFFFFF" w:val="clear"/>
        </w:rPr>
        <w:t>$7.4 million</w:t>
      </w:r>
      <w:r>
        <w:rPr>
          <w:color w:val="000000"/>
        </w:rPr>
        <w:t xml:space="preserve"> </w:t>
      </w:r>
      <w:r>
        <w:rPr>
          <w:rFonts w:ascii="Arial;sans-serif" w:hAnsi="Arial;sans-serif"/>
          <w:b w:val="false"/>
          <w:color w:val="000000"/>
          <w:sz w:val="20"/>
        </w:rPr>
        <w:t xml:space="preserve">when compared to segment operating income of </w:t>
      </w:r>
      <w:r>
        <w:rPr>
          <w:rFonts w:ascii="Arial;sans-serif" w:hAnsi="Arial;sans-serif"/>
          <w:b w:val="false"/>
          <w:color w:val="000000"/>
          <w:sz w:val="20"/>
          <w:shd w:fill="FFFFFF" w:val="clear"/>
        </w:rPr>
        <w:t>$8.5 million</w:t>
      </w:r>
      <w:r>
        <w:rPr>
          <w:color w:val="000000"/>
        </w:rPr>
        <w:t xml:space="preserve"> </w:t>
      </w:r>
      <w:r>
        <w:rPr>
          <w:rFonts w:ascii="Arial;sans-serif" w:hAnsi="Arial;sans-serif"/>
          <w:b w:val="false"/>
          <w:color w:val="000000"/>
          <w:sz w:val="20"/>
        </w:rPr>
        <w:t>for the same period in 2025. The increase was primarily driven by higher net sales and improved operating leverage, partially offset by increased investments in marketing and human capital. Selling, general and administrative expense as a percentage of net sales was 31.3% in the first half of 2026 and 31.0%</w:t>
      </w:r>
      <w:r>
        <w:rPr>
          <w:color w:val="000000"/>
          <w:shd w:fill="FFFFFF" w:val="clear"/>
        </w:rPr>
        <w:t xml:space="preserve"> </w:t>
      </w:r>
      <w:r>
        <w:rPr>
          <w:rFonts w:ascii="Arial;sans-serif" w:hAnsi="Arial;sans-serif"/>
          <w:b w:val="false"/>
          <w:color w:val="000000"/>
          <w:sz w:val="20"/>
          <w:shd w:fill="FFFFFF" w:val="clear"/>
        </w:rPr>
        <w:t>in the first half of 2025.</w:t>
      </w:r>
      <w:r>
        <w:rPr>
          <w:rFonts w:ascii="Arial;sans-serif" w:hAnsi="Arial;sans-serif"/>
          <w:b w:val="false"/>
          <w:color w:val="000000"/>
          <w:sz w:val="20"/>
        </w:rPr>
        <w:t>Segment operating margin in the six months ended June 30, 2026 was 19.1% as compared to 12.4% in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Velocity Outdoor</w:t>
      </w:r>
    </w:p>
    <w:p>
      <w:pPr>
        <w:pStyle w:val="TextBody"/>
        <w:bidi w:val="0"/>
        <w:spacing w:before="120" w:after="283"/>
        <w:jc w:val="both"/>
        <w:rPr/>
      </w:pPr>
      <w:r>
        <w:rPr/>
      </w:r>
    </w:p>
    <w:tbl>
      <w:tblPr>
        <w:tblW w:w="5669" w:type="dxa"/>
        <w:jc w:val="center"/>
        <w:tblInd w:w="0" w:type="dxa"/>
        <w:tblLayout w:type="fixed"/>
        <w:tblCellMar>
          <w:top w:w="28" w:type="dxa"/>
          <w:left w:w="28" w:type="dxa"/>
          <w:bottom w:w="28" w:type="dxa"/>
          <w:right w:w="28" w:type="dxa"/>
        </w:tblCellMar>
      </w:tblPr>
      <w:tblGrid>
        <w:gridCol w:w="293"/>
        <w:gridCol w:w="257"/>
        <w:gridCol w:w="260"/>
        <w:gridCol w:w="241"/>
        <w:gridCol w:w="795"/>
        <w:gridCol w:w="134"/>
        <w:gridCol w:w="109"/>
        <w:gridCol w:w="109"/>
        <w:gridCol w:w="109"/>
        <w:gridCol w:w="241"/>
        <w:gridCol w:w="795"/>
        <w:gridCol w:w="134"/>
        <w:gridCol w:w="109"/>
        <w:gridCol w:w="109"/>
        <w:gridCol w:w="109"/>
        <w:gridCol w:w="196"/>
        <w:gridCol w:w="556"/>
        <w:gridCol w:w="109"/>
        <w:gridCol w:w="109"/>
        <w:gridCol w:w="109"/>
        <w:gridCol w:w="109"/>
        <w:gridCol w:w="188"/>
        <w:gridCol w:w="188"/>
        <w:gridCol w:w="30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30,935 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28,414 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20"/>
          <w:shd w:fill="FFFFFF" w:val="clear"/>
        </w:rPr>
        <w:t xml:space="preserve">Net sales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June 30, 2026 were $30.9 million, an increase of $2.5 million or </w:t>
      </w:r>
      <w:r>
        <w:rPr>
          <w:rFonts w:ascii="Arial;sans-serif" w:hAnsi="Arial;sans-serif"/>
          <w:b w:val="false"/>
          <w:color w:val="000000"/>
          <w:sz w:val="20"/>
        </w:rPr>
        <w:t>8.9%</w:t>
      </w:r>
      <w:r>
        <w:rPr>
          <w:rFonts w:ascii="Arial;sans-serif" w:hAnsi="Arial;sans-serif"/>
          <w:b w:val="false"/>
          <w:color w:val="000000"/>
          <w:sz w:val="20"/>
          <w:shd w:fill="FFFFFF" w:val="clear"/>
        </w:rPr>
        <w:t>, compared to net sales of $28.4 million</w:t>
      </w:r>
      <w:r>
        <w:rPr>
          <w:color w:val="000000"/>
        </w:rPr>
        <w:t xml:space="preserve"> </w:t>
      </w:r>
      <w:r>
        <w:rPr>
          <w:rFonts w:ascii="Arial;sans-serif" w:hAnsi="Arial;sans-serif"/>
          <w:b w:val="false"/>
          <w:color w:val="000000"/>
          <w:sz w:val="20"/>
        </w:rPr>
        <w:t xml:space="preserve">in </w:t>
      </w:r>
      <w:r>
        <w:rPr>
          <w:rFonts w:ascii="Arial;sans-serif" w:hAnsi="Arial;sans-serif"/>
          <w:b w:val="false"/>
          <w:color w:val="000000"/>
          <w:sz w:val="20"/>
          <w:shd w:fill="FFFFFF" w:val="clear"/>
        </w:rPr>
        <w:t xml:space="preserve">the same period in 2025. The increase in net sales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June 30, 2026 was </w:t>
      </w:r>
      <w:r>
        <w:rPr>
          <w:rFonts w:ascii="Arial;sans-serif" w:hAnsi="Arial;sans-serif"/>
          <w:b w:val="false"/>
          <w:color w:val="000000"/>
          <w:sz w:val="20"/>
        </w:rPr>
        <w:t>primarily driven by increased archery and apparel sales through national retail chains and direct to consumer channels.</w:t>
      </w:r>
    </w:p>
    <w:tbl>
      <w:tblPr>
        <w:tblW w:w="7046" w:type="dxa"/>
        <w:jc w:val="center"/>
        <w:tblInd w:w="0" w:type="dxa"/>
        <w:tblLayout w:type="fixed"/>
        <w:tblCellMar>
          <w:top w:w="28" w:type="dxa"/>
          <w:left w:w="28" w:type="dxa"/>
          <w:bottom w:w="28" w:type="dxa"/>
          <w:right w:w="28" w:type="dxa"/>
        </w:tblCellMar>
      </w:tblPr>
      <w:tblGrid>
        <w:gridCol w:w="733"/>
        <w:gridCol w:w="643"/>
        <w:gridCol w:w="649"/>
        <w:gridCol w:w="211"/>
        <w:gridCol w:w="682"/>
        <w:gridCol w:w="276"/>
        <w:gridCol w:w="109"/>
        <w:gridCol w:w="109"/>
        <w:gridCol w:w="109"/>
        <w:gridCol w:w="211"/>
        <w:gridCol w:w="682"/>
        <w:gridCol w:w="276"/>
        <w:gridCol w:w="109"/>
        <w:gridCol w:w="109"/>
        <w:gridCol w:w="109"/>
        <w:gridCol w:w="196"/>
        <w:gridCol w:w="556"/>
        <w:gridCol w:w="109"/>
        <w:gridCol w:w="109"/>
        <w:gridCol w:w="109"/>
        <w:gridCol w:w="109"/>
        <w:gridCol w:w="269"/>
        <w:gridCol w:w="271"/>
        <w:gridCol w:w="301"/>
      </w:tblGrid>
      <w:tr>
        <w:trPr/>
        <w:tc>
          <w:tcPr>
            <w:tcW w:w="7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1"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(2,000)</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(3,736)</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6.7%</w:t>
            </w:r>
          </w:p>
        </w:tc>
      </w:tr>
    </w:tbl>
    <w:p>
      <w:pPr>
        <w:pStyle w:val="TextBody"/>
        <w:bidi w:val="0"/>
        <w:spacing w:lineRule="auto" w:line="288" w:before="180" w:after="283"/>
        <w:jc w:val="both"/>
        <w:rPr/>
      </w:pPr>
      <w:r>
        <w:rPr>
          <w:rFonts w:ascii="Arial;sans-serif" w:hAnsi="Arial;sans-serif"/>
          <w:b w:val="false"/>
          <w:color w:val="000000"/>
          <w:sz w:val="20"/>
        </w:rPr>
        <w:t xml:space="preserve">Segment operating loss for the six months ended June 30, 2026 was </w:t>
      </w:r>
      <w:r>
        <w:rPr>
          <w:rFonts w:ascii="Arial;sans-serif" w:hAnsi="Arial;sans-serif"/>
          <w:b w:val="false"/>
          <w:color w:val="000000"/>
          <w:sz w:val="20"/>
          <w:shd w:fill="FFFFFF" w:val="clear"/>
        </w:rPr>
        <w:t>$2.0 million</w:t>
      </w:r>
      <w:r>
        <w:rPr>
          <w:color w:val="000000"/>
        </w:rPr>
        <w:t xml:space="preserve"> </w:t>
      </w:r>
      <w:r>
        <w:rPr>
          <w:rFonts w:ascii="Arial;sans-serif" w:hAnsi="Arial;sans-serif"/>
          <w:b w:val="false"/>
          <w:color w:val="000000"/>
          <w:sz w:val="20"/>
        </w:rPr>
        <w:t xml:space="preserve">compared to segment operating loss of </w:t>
      </w:r>
      <w:r>
        <w:rPr>
          <w:rFonts w:ascii="Arial;sans-serif" w:hAnsi="Arial;sans-serif"/>
          <w:b w:val="false"/>
          <w:color w:val="000000"/>
          <w:sz w:val="20"/>
          <w:shd w:fill="FFFFFF" w:val="clear"/>
        </w:rPr>
        <w:t>$3.7 million</w:t>
      </w:r>
      <w:r>
        <w:rPr>
          <w:color w:val="000000"/>
        </w:rPr>
        <w:t xml:space="preserve"> </w:t>
      </w:r>
      <w:r>
        <w:rPr>
          <w:rFonts w:ascii="Arial;sans-serif" w:hAnsi="Arial;sans-serif"/>
          <w:b w:val="false"/>
          <w:color w:val="000000"/>
          <w:sz w:val="20"/>
        </w:rPr>
        <w:t xml:space="preserve">for the same period in 2025. Segment operating </w:t>
      </w:r>
      <w:r>
        <w:rPr>
          <w:rFonts w:ascii="Arial;sans-serif" w:hAnsi="Arial;sans-serif"/>
          <w:b w:val="false"/>
          <w:color w:val="000000"/>
          <w:sz w:val="20"/>
          <w:shd w:fill="FFFFFF" w:val="clear"/>
        </w:rPr>
        <w:t xml:space="preserve">margin was (6.5)% in the 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 xml:space="preserve">as compared to (13.1)% in the six months ended </w:t>
      </w:r>
      <w:r>
        <w:rPr>
          <w:rFonts w:ascii="Arial;sans-serif" w:hAnsi="Arial;sans-serif"/>
          <w:b w:val="false"/>
          <w:color w:val="000000"/>
          <w:sz w:val="20"/>
        </w:rPr>
        <w:t>June 30, 2025</w:t>
      </w:r>
      <w:r>
        <w:rPr>
          <w:rFonts w:ascii="Arial;sans-serif" w:hAnsi="Arial;sans-serif"/>
          <w:b w:val="false"/>
          <w:color w:val="000000"/>
          <w:sz w:val="20"/>
          <w:shd w:fill="FFFFFF" w:val="clear"/>
        </w:rPr>
        <w:t xml:space="preserve">. </w:t>
      </w:r>
      <w:r>
        <w:rPr>
          <w:rFonts w:ascii="Arial;sans-serif" w:hAnsi="Arial;sans-serif"/>
          <w:b w:val="false"/>
          <w:color w:val="000000"/>
          <w:sz w:val="20"/>
        </w:rPr>
        <w:t>The improvement was primarily driven by higher net sales and increased gross margins attributable to product mix along with favorable operating expenses,</w:t>
      </w:r>
      <w:r>
        <w:rPr>
          <w:color w:val="000000"/>
          <w:shd w:fill="FFFFFF" w:val="clear"/>
        </w:rPr>
        <w:t xml:space="preserve"> </w:t>
      </w:r>
      <w:r>
        <w:rPr>
          <w:rFonts w:ascii="Arial;sans-serif" w:hAnsi="Arial;sans-serif"/>
          <w:b w:val="false"/>
          <w:color w:val="000000"/>
          <w:sz w:val="20"/>
          <w:shd w:fill="FFFFFF" w:val="clear"/>
        </w:rPr>
        <w:t xml:space="preserve">with gross margins of </w:t>
      </w:r>
      <w:r>
        <w:rPr>
          <w:rFonts w:ascii="Arial;sans-serif" w:hAnsi="Arial;sans-serif"/>
          <w:b w:val="false"/>
          <w:color w:val="000000"/>
          <w:sz w:val="20"/>
        </w:rPr>
        <w:t>31.0%</w:t>
      </w:r>
      <w:r>
        <w:rPr>
          <w:color w:val="000000"/>
          <w:shd w:fill="FFFFFF" w:val="clear"/>
        </w:rPr>
        <w:t xml:space="preserve"> </w:t>
      </w:r>
      <w:r>
        <w:rPr>
          <w:rFonts w:ascii="Arial;sans-serif" w:hAnsi="Arial;sans-serif"/>
          <w:b w:val="false"/>
          <w:color w:val="000000"/>
          <w:sz w:val="20"/>
          <w:shd w:fill="FFFFFF" w:val="clear"/>
        </w:rPr>
        <w:t xml:space="preserve">in the six months ended June 30, 2026 as compared to </w:t>
      </w:r>
      <w:r>
        <w:rPr>
          <w:rFonts w:ascii="Arial;sans-serif" w:hAnsi="Arial;sans-serif"/>
          <w:b w:val="false"/>
          <w:color w:val="000000"/>
          <w:sz w:val="20"/>
        </w:rPr>
        <w:t>29.3%</w:t>
      </w:r>
      <w:r>
        <w:rPr>
          <w:color w:val="000000"/>
          <w:shd w:fill="FFFFFF" w:val="clear"/>
        </w:rPr>
        <w:t xml:space="preserve"> </w:t>
      </w:r>
      <w:r>
        <w:rPr>
          <w:rFonts w:ascii="Arial;sans-serif" w:hAnsi="Arial;sans-serif"/>
          <w:b w:val="false"/>
          <w:color w:val="000000"/>
          <w:sz w:val="20"/>
          <w:shd w:fill="FFFFFF" w:val="clear"/>
        </w:rPr>
        <w:t>in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Industrial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Altor Solutions</w:t>
      </w:r>
    </w:p>
    <w:tbl>
      <w:tblPr>
        <w:tblW w:w="5996" w:type="dxa"/>
        <w:jc w:val="center"/>
        <w:tblInd w:w="0" w:type="dxa"/>
        <w:tblLayout w:type="fixed"/>
        <w:tblCellMar>
          <w:top w:w="28" w:type="dxa"/>
          <w:left w:w="28" w:type="dxa"/>
          <w:bottom w:w="28" w:type="dxa"/>
          <w:right w:w="28" w:type="dxa"/>
        </w:tblCellMar>
      </w:tblPr>
      <w:tblGrid>
        <w:gridCol w:w="293"/>
        <w:gridCol w:w="257"/>
        <w:gridCol w:w="260"/>
        <w:gridCol w:w="220"/>
        <w:gridCol w:w="827"/>
        <w:gridCol w:w="122"/>
        <w:gridCol w:w="109"/>
        <w:gridCol w:w="109"/>
        <w:gridCol w:w="109"/>
        <w:gridCol w:w="220"/>
        <w:gridCol w:w="827"/>
        <w:gridCol w:w="122"/>
        <w:gridCol w:w="109"/>
        <w:gridCol w:w="109"/>
        <w:gridCol w:w="109"/>
        <w:gridCol w:w="196"/>
        <w:gridCol w:w="721"/>
        <w:gridCol w:w="109"/>
        <w:gridCol w:w="109"/>
        <w:gridCol w:w="109"/>
        <w:gridCol w:w="109"/>
        <w:gridCol w:w="269"/>
        <w:gridCol w:w="271"/>
        <w:gridCol w:w="30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130,304 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159,562 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Net sales for the six months ended June 30, 2026 were $130.3 million, a decrease of $29.3 million, or (18.3)%, compared to net sales of $159.6 million in the six months ended June 30, 2025. The decrease in net sales during the period was primarily attributable to reduced consumer demand in the industrial white goods market, the introduction of alternative shipping materials in the GLP-1 market, and a life science customer's transition from a direct supply model to third-party distribution. Net sales in the perishables market increased in the current year, reflecting a recovery from the prior-year decline in the market.</w:t>
      </w:r>
    </w:p>
    <w:tbl>
      <w:tblPr>
        <w:tblW w:w="6881" w:type="dxa"/>
        <w:jc w:val="center"/>
        <w:tblInd w:w="0" w:type="dxa"/>
        <w:tblLayout w:type="fixed"/>
        <w:tblCellMar>
          <w:top w:w="28" w:type="dxa"/>
          <w:left w:w="28" w:type="dxa"/>
          <w:bottom w:w="28" w:type="dxa"/>
          <w:right w:w="28" w:type="dxa"/>
        </w:tblCellMar>
      </w:tblPr>
      <w:tblGrid>
        <w:gridCol w:w="743"/>
        <w:gridCol w:w="653"/>
        <w:gridCol w:w="658"/>
        <w:gridCol w:w="209"/>
        <w:gridCol w:w="688"/>
        <w:gridCol w:w="273"/>
        <w:gridCol w:w="109"/>
        <w:gridCol w:w="109"/>
        <w:gridCol w:w="109"/>
        <w:gridCol w:w="209"/>
        <w:gridCol w:w="688"/>
        <w:gridCol w:w="273"/>
        <w:gridCol w:w="109"/>
        <w:gridCol w:w="109"/>
        <w:gridCol w:w="109"/>
        <w:gridCol w:w="211"/>
        <w:gridCol w:w="454"/>
        <w:gridCol w:w="117"/>
        <w:gridCol w:w="117"/>
        <w:gridCol w:w="117"/>
        <w:gridCol w:w="117"/>
        <w:gridCol w:w="188"/>
        <w:gridCol w:w="188"/>
        <w:gridCol w:w="32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12,595 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12,252 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2.0%</w:t>
            </w:r>
          </w:p>
        </w:tc>
      </w:tr>
    </w:tbl>
    <w:p>
      <w:pPr>
        <w:pStyle w:val="TextBody"/>
        <w:bidi w:val="0"/>
        <w:spacing w:lineRule="auto" w:line="288" w:before="180" w:after="283"/>
        <w:jc w:val="both"/>
        <w:rPr/>
      </w:pPr>
      <w:r>
        <w:rPr>
          <w:rFonts w:ascii="Arial;sans-serif" w:hAnsi="Arial;sans-serif"/>
          <w:b w:val="false"/>
          <w:color w:val="000000"/>
          <w:sz w:val="20"/>
          <w:shd w:fill="FFFFFF" w:val="clear"/>
        </w:rPr>
        <w:t xml:space="preserve">Segment operating income was $12.6 million in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June 30, 2026, a decrease of $0.3 million as compared to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June 30, 2025. Segment operating income in the current year includes income of $10.2 million from a sale leaseback transaction that occurred in the first quarter of 2026. Excluding the income from the sale leaseback transaction, Altor would have had a decrease in segment operating income driven by reduced sales volumes the deleveraging effect of fixed costs and increases in raw material costs as a result of increasing oil prices, which negatively impacted gross margins in the current period. Gross margin was </w:t>
      </w:r>
      <w:r>
        <w:rPr>
          <w:rFonts w:ascii="Arial;sans-serif" w:hAnsi="Arial;sans-serif"/>
          <w:b w:val="false"/>
          <w:color w:val="000000"/>
          <w:sz w:val="20"/>
        </w:rPr>
        <w:t xml:space="preserve">19.3% in the six months ended June 30, 2026 and 26.2% in the six months ended June 30, 2025. </w:t>
      </w:r>
      <w:r>
        <w:rPr>
          <w:rFonts w:ascii="Arial;sans-serif" w:hAnsi="Arial;sans-serif"/>
          <w:b w:val="false"/>
          <w:color w:val="000000"/>
          <w:sz w:val="20"/>
          <w:shd w:fill="FFFFFF" w:val="clear"/>
        </w:rPr>
        <w:t xml:space="preserve">Segment operating margin was </w:t>
      </w:r>
      <w:r>
        <w:rPr>
          <w:rFonts w:ascii="Arial;sans-serif" w:hAnsi="Arial;sans-serif"/>
          <w:b w:val="false"/>
          <w:color w:val="000000"/>
          <w:sz w:val="20"/>
        </w:rPr>
        <w:t>9.7%</w:t>
      </w:r>
      <w:r>
        <w:rPr>
          <w:color w:val="000000"/>
          <w:shd w:fill="FFFFFF" w:val="clear"/>
        </w:rPr>
        <w:t xml:space="preserve"> </w:t>
      </w:r>
      <w:r>
        <w:rPr>
          <w:rFonts w:ascii="Arial;sans-serif" w:hAnsi="Arial;sans-serif"/>
          <w:b w:val="false"/>
          <w:color w:val="000000"/>
          <w:sz w:val="20"/>
          <w:shd w:fill="FFFFFF" w:val="clear"/>
        </w:rPr>
        <w:t xml:space="preserve">in the first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of </w:t>
      </w:r>
      <w:r>
        <w:rPr>
          <w:rFonts w:ascii="Arial;sans-serif" w:hAnsi="Arial;sans-serif"/>
          <w:b w:val="false"/>
          <w:color w:val="000000"/>
          <w:sz w:val="20"/>
        </w:rPr>
        <w:t>2026</w:t>
      </w:r>
      <w:r>
        <w:rPr>
          <w:color w:val="000000"/>
          <w:shd w:fill="FFFFFF" w:val="clear"/>
        </w:rPr>
        <w:t xml:space="preserve"> </w:t>
      </w:r>
      <w:r>
        <w:rPr>
          <w:rFonts w:ascii="Arial;sans-serif" w:hAnsi="Arial;sans-serif"/>
          <w:b w:val="false"/>
          <w:color w:val="000000"/>
          <w:sz w:val="20"/>
          <w:shd w:fill="FFFFFF" w:val="clear"/>
        </w:rPr>
        <w:t xml:space="preserve">as compared to </w:t>
      </w:r>
      <w:r>
        <w:rPr>
          <w:rFonts w:ascii="Arial;sans-serif" w:hAnsi="Arial;sans-serif"/>
          <w:b w:val="false"/>
          <w:color w:val="000000"/>
          <w:sz w:val="20"/>
        </w:rPr>
        <w:t>7.7%</w:t>
      </w:r>
      <w:r>
        <w:rPr>
          <w:color w:val="000000"/>
          <w:shd w:fill="FFFFFF" w:val="clear"/>
        </w:rPr>
        <w:t xml:space="preserve"> </w:t>
      </w:r>
      <w:r>
        <w:rPr>
          <w:rFonts w:ascii="Arial;sans-serif" w:hAnsi="Arial;sans-serif"/>
          <w:b w:val="false"/>
          <w:color w:val="000000"/>
          <w:sz w:val="20"/>
          <w:shd w:fill="FFFFFF" w:val="clear"/>
        </w:rPr>
        <w:t xml:space="preserve">in the first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of </w:t>
      </w:r>
      <w:r>
        <w:rPr>
          <w:rFonts w:ascii="Arial;sans-serif" w:hAnsi="Arial;sans-serif"/>
          <w:b w:val="false"/>
          <w:color w:val="000000"/>
          <w:sz w:val="20"/>
        </w:rPr>
        <w:t>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Arnold </w:t>
      </w:r>
    </w:p>
    <w:tbl>
      <w:tblPr>
        <w:tblW w:w="5849" w:type="dxa"/>
        <w:jc w:val="center"/>
        <w:tblInd w:w="0" w:type="dxa"/>
        <w:tblLayout w:type="fixed"/>
        <w:tblCellMar>
          <w:top w:w="28" w:type="dxa"/>
          <w:left w:w="28" w:type="dxa"/>
          <w:bottom w:w="28" w:type="dxa"/>
          <w:right w:w="28" w:type="dxa"/>
        </w:tblCellMar>
      </w:tblPr>
      <w:tblGrid>
        <w:gridCol w:w="293"/>
        <w:gridCol w:w="257"/>
        <w:gridCol w:w="260"/>
        <w:gridCol w:w="241"/>
        <w:gridCol w:w="795"/>
        <w:gridCol w:w="134"/>
        <w:gridCol w:w="109"/>
        <w:gridCol w:w="109"/>
        <w:gridCol w:w="109"/>
        <w:gridCol w:w="241"/>
        <w:gridCol w:w="795"/>
        <w:gridCol w:w="134"/>
        <w:gridCol w:w="109"/>
        <w:gridCol w:w="109"/>
        <w:gridCol w:w="109"/>
        <w:gridCol w:w="196"/>
        <w:gridCol w:w="646"/>
        <w:gridCol w:w="109"/>
        <w:gridCol w:w="109"/>
        <w:gridCol w:w="109"/>
        <w:gridCol w:w="109"/>
        <w:gridCol w:w="233"/>
        <w:gridCol w:w="233"/>
        <w:gridCol w:w="30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83,404 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72,440 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20"/>
        </w:rPr>
        <w:t xml:space="preserve">Net sales for the six months ended June 30, 2026 were approximately </w:t>
      </w:r>
      <w:r>
        <w:rPr>
          <w:rFonts w:ascii="Arial;sans-serif" w:hAnsi="Arial;sans-serif"/>
          <w:b w:val="false"/>
          <w:color w:val="000000"/>
          <w:sz w:val="20"/>
          <w:shd w:fill="FFFFFF" w:val="clear"/>
        </w:rPr>
        <w:t>$83.4 million</w:t>
      </w:r>
      <w:r>
        <w:rPr>
          <w:rFonts w:ascii="Arial;sans-serif" w:hAnsi="Arial;sans-serif"/>
          <w:b w:val="false"/>
          <w:color w:val="000000"/>
          <w:sz w:val="20"/>
        </w:rPr>
        <w:t xml:space="preserve">, an increase of </w:t>
      </w:r>
      <w:r>
        <w:rPr>
          <w:rFonts w:ascii="Arial;sans-serif" w:hAnsi="Arial;sans-serif"/>
          <w:b w:val="false"/>
          <w:color w:val="000000"/>
          <w:sz w:val="20"/>
          <w:shd w:fill="FFFFFF" w:val="clear"/>
        </w:rPr>
        <w:t>$11.0 million</w:t>
      </w:r>
      <w:r>
        <w:rPr>
          <w:color w:val="000000"/>
        </w:rPr>
        <w:t xml:space="preserve"> </w:t>
      </w:r>
      <w:r>
        <w:rPr>
          <w:rFonts w:ascii="Arial;sans-serif" w:hAnsi="Arial;sans-serif"/>
          <w:b w:val="false"/>
          <w:color w:val="000000"/>
          <w:sz w:val="20"/>
        </w:rPr>
        <w:t xml:space="preserve">compared to net sales of </w:t>
      </w:r>
      <w:r>
        <w:rPr>
          <w:rFonts w:ascii="Arial;sans-serif" w:hAnsi="Arial;sans-serif"/>
          <w:b w:val="false"/>
          <w:color w:val="000000"/>
          <w:sz w:val="20"/>
          <w:shd w:fill="FFFFFF" w:val="clear"/>
        </w:rPr>
        <w:t>$72.4 million</w:t>
      </w:r>
      <w:r>
        <w:rPr>
          <w:color w:val="000000"/>
        </w:rPr>
        <w:t xml:space="preserve"> </w:t>
      </w:r>
      <w:r>
        <w:rPr>
          <w:rFonts w:ascii="Arial;sans-serif" w:hAnsi="Arial;sans-serif"/>
          <w:b w:val="false"/>
          <w:color w:val="000000"/>
          <w:sz w:val="20"/>
        </w:rPr>
        <w:t>in the same period in 2025</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The increase in net sales was primarily attributable to growing demand for non-China sourced permanent magnets. The uncertain geopolitical climate and heightened licensing requirements to export certain rare earth and strategic minerals out of China are causing significant supply chain disruptions. As a result, Arnold is seeing increased demand from customers seeking more predictable and sustainable, non-China sourced magnet materials. Arnold also benefitted during the six-month period from a softer year-over-year comparison, as the first half of 2025 had lower demand and </w:t>
      </w:r>
      <w:r>
        <w:rPr>
          <w:rFonts w:ascii="Arial;sans-serif" w:hAnsi="Arial;sans-serif"/>
          <w:b w:val="false"/>
          <w:color w:val="000000"/>
          <w:sz w:val="20"/>
          <w:shd w:fill="FFFFFF" w:val="clear"/>
        </w:rPr>
        <w:t>de</w:t>
      </w:r>
      <w:r>
        <w:rPr>
          <w:rFonts w:ascii="Arial;sans-serif" w:hAnsi="Arial;sans-serif"/>
          <w:b w:val="false"/>
          <w:color w:val="000000"/>
          <w:sz w:val="20"/>
        </w:rPr>
        <w:t xml:space="preserve">lays in production startup at new facilities. </w:t>
      </w:r>
    </w:p>
    <w:tbl>
      <w:tblPr>
        <w:tblW w:w="6788" w:type="dxa"/>
        <w:jc w:val="center"/>
        <w:tblInd w:w="0" w:type="dxa"/>
        <w:tblLayout w:type="fixed"/>
        <w:tblCellMar>
          <w:top w:w="28" w:type="dxa"/>
          <w:left w:w="28" w:type="dxa"/>
          <w:bottom w:w="28" w:type="dxa"/>
          <w:right w:w="28" w:type="dxa"/>
        </w:tblCellMar>
      </w:tblPr>
      <w:tblGrid>
        <w:gridCol w:w="760"/>
        <w:gridCol w:w="667"/>
        <w:gridCol w:w="673"/>
        <w:gridCol w:w="227"/>
        <w:gridCol w:w="645"/>
        <w:gridCol w:w="297"/>
        <w:gridCol w:w="109"/>
        <w:gridCol w:w="109"/>
        <w:gridCol w:w="109"/>
        <w:gridCol w:w="242"/>
        <w:gridCol w:w="612"/>
        <w:gridCol w:w="316"/>
        <w:gridCol w:w="109"/>
        <w:gridCol w:w="109"/>
        <w:gridCol w:w="109"/>
        <w:gridCol w:w="213"/>
        <w:gridCol w:w="604"/>
        <w:gridCol w:w="118"/>
        <w:gridCol w:w="118"/>
        <w:gridCol w:w="118"/>
        <w:gridCol w:w="118"/>
        <w:gridCol w:w="118"/>
        <w:gridCol w:w="118"/>
        <w:gridCol w:w="170"/>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8"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Segment operating income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5,913 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NM</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Arial;sans-serif" w:hAnsi="Arial;sans-serif"/>
          <w:b w:val="false"/>
          <w:color w:val="000000"/>
          <w:sz w:val="20"/>
          <w:shd w:fill="FFFFFF" w:val="clear"/>
        </w:rPr>
        <w:t xml:space="preserve">Segment operating income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June 30, 2026 was approximately $5.9 million, an increase of $6.6 million when compared to the same period in 2025. The improvement in segment operating results was driven primarily by strong sales growth and resulting operating leverage, combined with non-recurring costs incurred in the first half of 2025. Segment operating margin was </w:t>
      </w:r>
      <w:r>
        <w:rPr>
          <w:rFonts w:ascii="Arial;sans-serif" w:hAnsi="Arial;sans-serif"/>
          <w:b w:val="false"/>
          <w:color w:val="000000"/>
          <w:sz w:val="20"/>
        </w:rPr>
        <w:t>7.1%</w:t>
      </w:r>
      <w:r>
        <w:rPr>
          <w:color w:val="000000"/>
          <w:shd w:fill="FFFFFF" w:val="clear"/>
        </w:rPr>
        <w:t xml:space="preserve"> </w:t>
      </w:r>
      <w:r>
        <w:rPr>
          <w:rFonts w:ascii="Arial;sans-serif" w:hAnsi="Arial;sans-serif"/>
          <w:b w:val="false"/>
          <w:color w:val="000000"/>
          <w:sz w:val="20"/>
          <w:shd w:fill="FFFFFF" w:val="clear"/>
        </w:rPr>
        <w:t xml:space="preserve">in the first </w:t>
      </w:r>
      <w:r>
        <w:rPr>
          <w:rFonts w:ascii="Arial;sans-serif" w:hAnsi="Arial;sans-serif"/>
          <w:b w:val="false"/>
          <w:color w:val="000000"/>
          <w:sz w:val="20"/>
        </w:rPr>
        <w:t>six months</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2026</w:t>
      </w:r>
      <w:r>
        <w:rPr>
          <w:color w:val="000000"/>
          <w:shd w:fill="FFFFFF" w:val="clear"/>
        </w:rPr>
        <w:t xml:space="preserve"> </w:t>
      </w:r>
      <w:r>
        <w:rPr>
          <w:rFonts w:ascii="Arial;sans-serif" w:hAnsi="Arial;sans-serif"/>
          <w:b w:val="false"/>
          <w:color w:val="000000"/>
          <w:sz w:val="20"/>
          <w:shd w:fill="FFFFFF" w:val="clear"/>
        </w:rPr>
        <w:t xml:space="preserve">as compared to </w:t>
      </w:r>
      <w:r>
        <w:rPr>
          <w:rFonts w:ascii="Arial;sans-serif" w:hAnsi="Arial;sans-serif"/>
          <w:b w:val="false"/>
          <w:color w:val="000000"/>
          <w:sz w:val="20"/>
        </w:rPr>
        <w:t>(1.0)%</w:t>
      </w:r>
      <w:r>
        <w:rPr>
          <w:color w:val="000000"/>
          <w:shd w:fill="FFFFFF" w:val="clear"/>
        </w:rPr>
        <w:t xml:space="preserve"> </w:t>
      </w:r>
      <w:r>
        <w:rPr>
          <w:rFonts w:ascii="Arial;sans-serif" w:hAnsi="Arial;sans-serif"/>
          <w:b w:val="false"/>
          <w:color w:val="000000"/>
          <w:sz w:val="20"/>
          <w:shd w:fill="FFFFFF" w:val="clear"/>
        </w:rPr>
        <w:t xml:space="preserve">in the first </w:t>
      </w:r>
      <w:r>
        <w:rPr>
          <w:rFonts w:ascii="Arial;sans-serif" w:hAnsi="Arial;sans-serif"/>
          <w:b w:val="false"/>
          <w:color w:val="000000"/>
          <w:sz w:val="20"/>
        </w:rPr>
        <w:t xml:space="preserve">six months </w:t>
      </w:r>
      <w:r>
        <w:rPr>
          <w:rFonts w:ascii="Arial;sans-serif" w:hAnsi="Arial;sans-serif"/>
          <w:b w:val="false"/>
          <w:color w:val="000000"/>
          <w:sz w:val="20"/>
          <w:shd w:fill="FFFFFF" w:val="clear"/>
        </w:rPr>
        <w:t xml:space="preserve">of </w:t>
      </w:r>
      <w:r>
        <w:rPr>
          <w:rFonts w:ascii="Arial;sans-serif" w:hAnsi="Arial;sans-serif"/>
          <w:b w:val="false"/>
          <w:color w:val="000000"/>
          <w:sz w:val="20"/>
        </w:rPr>
        <w:t>2025</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Rimports (including Sterno's food service business through May 1, 2026)</w:t>
      </w:r>
    </w:p>
    <w:tbl>
      <w:tblPr>
        <w:tblW w:w="5996" w:type="dxa"/>
        <w:jc w:val="center"/>
        <w:tblInd w:w="0" w:type="dxa"/>
        <w:tblLayout w:type="fixed"/>
        <w:tblCellMar>
          <w:top w:w="28" w:type="dxa"/>
          <w:left w:w="28" w:type="dxa"/>
          <w:bottom w:w="28" w:type="dxa"/>
          <w:right w:w="28" w:type="dxa"/>
        </w:tblCellMar>
      </w:tblPr>
      <w:tblGrid>
        <w:gridCol w:w="293"/>
        <w:gridCol w:w="257"/>
        <w:gridCol w:w="260"/>
        <w:gridCol w:w="220"/>
        <w:gridCol w:w="827"/>
        <w:gridCol w:w="122"/>
        <w:gridCol w:w="109"/>
        <w:gridCol w:w="109"/>
        <w:gridCol w:w="109"/>
        <w:gridCol w:w="220"/>
        <w:gridCol w:w="827"/>
        <w:gridCol w:w="122"/>
        <w:gridCol w:w="109"/>
        <w:gridCol w:w="109"/>
        <w:gridCol w:w="109"/>
        <w:gridCol w:w="196"/>
        <w:gridCol w:w="721"/>
        <w:gridCol w:w="109"/>
        <w:gridCol w:w="109"/>
        <w:gridCol w:w="109"/>
        <w:gridCol w:w="109"/>
        <w:gridCol w:w="269"/>
        <w:gridCol w:w="271"/>
        <w:gridCol w:w="30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109,396 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142,886 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Net sales for the six months ended June 30, 2026 were approximately $109.4 million, a decrease of $(33.5) million, or 23.4%, compared to net sales of $142.9 million in the same period in 2025. The decrease was primarily attributable to the sale of Sterno Products’ food service business in May 2026. Sterno had net sales of $45.1 million for the six months ended June 30, 2026 (through the date of disposition of May 1, 2026) and net sales of $71.5 million for the six months ended June 30, 2025. The Rimports variance was primarily driven by a reduction in key distribution within the private label business.</w:t>
      </w:r>
    </w:p>
    <w:tbl>
      <w:tblPr>
        <w:tblW w:w="7299" w:type="dxa"/>
        <w:jc w:val="center"/>
        <w:tblInd w:w="0" w:type="dxa"/>
        <w:tblLayout w:type="fixed"/>
        <w:tblCellMar>
          <w:top w:w="28" w:type="dxa"/>
          <w:left w:w="28" w:type="dxa"/>
          <w:bottom w:w="28" w:type="dxa"/>
          <w:right w:w="28" w:type="dxa"/>
        </w:tblCellMar>
      </w:tblPr>
      <w:tblGrid>
        <w:gridCol w:w="743"/>
        <w:gridCol w:w="653"/>
        <w:gridCol w:w="658"/>
        <w:gridCol w:w="209"/>
        <w:gridCol w:w="688"/>
        <w:gridCol w:w="273"/>
        <w:gridCol w:w="109"/>
        <w:gridCol w:w="109"/>
        <w:gridCol w:w="109"/>
        <w:gridCol w:w="209"/>
        <w:gridCol w:w="688"/>
        <w:gridCol w:w="273"/>
        <w:gridCol w:w="109"/>
        <w:gridCol w:w="109"/>
        <w:gridCol w:w="109"/>
        <w:gridCol w:w="196"/>
        <w:gridCol w:w="631"/>
        <w:gridCol w:w="256"/>
        <w:gridCol w:w="109"/>
        <w:gridCol w:w="109"/>
        <w:gridCol w:w="109"/>
        <w:gridCol w:w="269"/>
        <w:gridCol w:w="271"/>
        <w:gridCol w:w="30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Increase (Decrease)</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income</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14,618 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17,469 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(2,851)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Segment operating margin</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shd w:fill="FFFFFF" w:val="clear"/>
        </w:rPr>
        <w:t xml:space="preserve">Segment operating income for the six months ended June 30, 2026 was approximately $14.6 million, a decrease of $2.9 million compared to the six months ended June 30, 2025, The decrease was primarily attributable to the sale of Sterno Products’ food service business in May 2026. Segment operating margin was 13.4% in the first six months of 2026 as compared to 12.2% in the first six months of 2025. Sterno had segment operating income of $8.5 million for the six months ended June 30, 2026 (through the date of disposition of May 1, 2026) and segment operating income of $11.9 million for the six months ended June 30, 2025. The Rimports variance was primarily driven </w:t>
      </w:r>
      <w:r>
        <w:rPr>
          <w:rFonts w:ascii="Arial;sans-serif" w:hAnsi="Arial;sans-serif"/>
          <w:b w:val="false"/>
          <w:color w:val="000000"/>
          <w:sz w:val="24"/>
          <w:shd w:fill="FFFFFF" w:val="clear"/>
        </w:rPr>
        <w:t>by</w:t>
      </w:r>
      <w:r>
        <w:rPr>
          <w:color w:val="000000"/>
          <w:shd w:fill="FFFFFF" w:val="clear"/>
        </w:rPr>
        <w:t xml:space="preserve"> </w:t>
      </w:r>
      <w:r>
        <w:rPr>
          <w:rFonts w:ascii="Arial;sans-serif" w:hAnsi="Arial;sans-serif"/>
          <w:b w:val="false"/>
          <w:color w:val="000000"/>
          <w:sz w:val="20"/>
          <w:shd w:fill="FFFFFF" w:val="clear"/>
        </w:rPr>
        <w:t>IEEPA tariff refunds received within the period partially offset by the decline in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generate cash primarily from the operations of our subsidiaries, and we have the ability to borrow under our 2022 Credit Facility to fund our operating, investing and financing activities. Our principal uses of cash are operating expenses, management fees, capital expenditures, working capital needs, debt service, distributions on the preferred shares of the Trust and strategic growth initiatives, including acquisitions. In connection with the Lugano Investigation and the restatement of our previously issued financial statements, we incurred significant accounting, financing, legal and other professional costs, including costs related to litigation, governmental investigations, financing arrangements and internal control remediation. We also expect to continue to incur costs associated with ongoing securities litigation, derivative litigation, governmental investigations and efforts to remediate and strengthen internal controls.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Beginning in 2027, the Ninth MSA will reduce the base management fee rates, cap the 2027 base management fee at $30.0 million, establish the 2027 Aggregate Fee Cap and replace the existing incentive management fee with the Share Alignment Award and Performance-Based Award. The revised fee and award structure is expected to reduce total management fees for 2027 relative to the amounts that otherwise would have been payable under the Eighth MSA, although actual amounts will depend on the Company’s Adjusted Net Assets, the level of payout under the Performance-Based Award and other applicable factors.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As of June 30, 2026, we had $1,029.4 million of indebtedness associated with our 5.250% Senior Notes due 2029, $308.8 million of indebtedness associated with our 5.000% Senior Notes due 2032, $252.3 million outstanding under the term loans under our 2022 Credit Facility, and no revolving borrowings outstanding under the 2022 Credit Facility. At June 30, 2026, net availability under the 2022 Credit Facility was $97.2 million after giving effect to approximately $0.8 million of outstanding letters of credit. Long-term debt liquidity requirements consist of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7"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Arial;sans-serif" w:hAnsi="Arial;sans-serif"/>
          <w:b w:val="false"/>
          <w:color w:val="000000"/>
          <w:sz w:val="20"/>
          <w:shd w:fill="FFFFFF" w:val="clear"/>
        </w:rPr>
        <w:t xml:space="preserve">in full of the Senior Notes upon their respective maturity dates, principal and interest payments under the term loans under the 2022 Credit Facility, and repayment of any revolving borrowings under the 2022 Credit Facility upon maturity. Amounts outstanding under the 2022 Credit Facility mature on July 12, 2027. </w:t>
      </w:r>
      <w:r>
        <w:rPr>
          <w:rFonts w:ascii="Arial;sans-serif" w:hAnsi="Arial;sans-serif"/>
          <w:b w:val="false"/>
          <w:color w:val="000000"/>
          <w:sz w:val="20"/>
        </w:rPr>
        <w:t xml:space="preserve">In addition, on December 19, 2025, the LLC entered into a Fifth Amendment to the 2022 Credit Facility (the “Fifth Amendment”) and a related transaction letter (the “Transaction Letter”) and, pursuant to the Transaction Letter, if (i) the Consolidated Total Leverage Ratio is not less than 4.50:1.00 and (ii) the Consolidated Senior Secured Leverage Ratio is not less than 1:00 to 1:00, as of the last day of the fiscal quarters ending June 30, 2026, September 30, 2026, December 31, 2026 and March 31, 2027, respectively, the Company is required to pay to the Administrative Agent, for the ratable benefit of the Lenders, the milestone fees in the amount of $5,000,000, $6,500,000, $8,000,000 and $9,500,000, respectively, subject to certain conditions. No amount is due at June 30, 2026 related to the Transaction Letter as the Consolidated Total Leverage Ratio and the Consolidated Senior Secured Leverage Ratio were less than the required ratios. </w:t>
      </w:r>
      <w:r>
        <w:rPr>
          <w:rFonts w:ascii="Arial;sans-serif" w:hAnsi="Arial;sans-serif"/>
          <w:b w:val="false"/>
          <w:color w:val="000000"/>
          <w:sz w:val="20"/>
          <w:shd w:fill="FFFFFF" w:val="clear"/>
        </w:rPr>
        <w:t xml:space="preserve">At June 30, 2026, approximately 16% of our outstanding debt was subject to interest rate changes.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At June 30, 2026, we had approximately $87.4 million of cash and cash equivalents on hand, an increase of $19.4 million as compared to the year ended December 31, 2025. The majority of our cash is held in non-interest bearing checking accounts or invested in short-term money market accounts in accordance with the Company’s investment policy, which identifies allowable investments and specifies credit quality standards.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Below is a summary of the change in cash and cash equivalents for the six months ended June 30, 2026 and 2025 is as follows :</w:t>
      </w:r>
    </w:p>
    <w:tbl>
      <w:tblPr>
        <w:tblW w:w="8835" w:type="dxa"/>
        <w:jc w:val="center"/>
        <w:tblInd w:w="0" w:type="dxa"/>
        <w:tblLayout w:type="fixed"/>
        <w:tblCellMar>
          <w:top w:w="28" w:type="dxa"/>
          <w:left w:w="28" w:type="dxa"/>
          <w:bottom w:w="28" w:type="dxa"/>
          <w:right w:w="28" w:type="dxa"/>
        </w:tblCellMar>
      </w:tblPr>
      <w:tblGrid>
        <w:gridCol w:w="491"/>
        <w:gridCol w:w="432"/>
        <w:gridCol w:w="432"/>
        <w:gridCol w:w="1505"/>
        <w:gridCol w:w="1505"/>
        <w:gridCol w:w="1519"/>
        <w:gridCol w:w="261"/>
        <w:gridCol w:w="894"/>
        <w:gridCol w:w="135"/>
        <w:gridCol w:w="109"/>
        <w:gridCol w:w="109"/>
        <w:gridCol w:w="109"/>
        <w:gridCol w:w="242"/>
        <w:gridCol w:w="915"/>
        <w:gridCol w:w="177"/>
      </w:tblGrid>
      <w:tr>
        <w:trPr/>
        <w:tc>
          <w:tcPr>
            <w:tcW w:w="49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58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53,617 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(64,508)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289,127 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(22,187)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(322,464)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98,378 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rates on cash and cash equivalents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 beginning of period</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59,659 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 end of period</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87,443 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73,757 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120" w:after="283"/>
        <w:jc w:val="both"/>
        <w:rPr/>
      </w:pPr>
      <w:r>
        <w:rPr>
          <w:rFonts w:ascii="Arial;sans-serif" w:hAnsi="Arial;sans-serif"/>
          <w:b w:val="false"/>
          <w:color w:val="000000"/>
          <w:sz w:val="20"/>
        </w:rPr>
        <w:t xml:space="preserve">For the six months ended June 30, 2026, net cash provided by operating activities totaled approximately $53.6 million, which represents a $118.1 million decrease in cash use compared to cash used in operating activities of $64.5 million during the six-month period ended June 30, 2025. This change reflects improvements in operating results and other operating cash flow drivers, including working capital activity. Cash provided by working capital for the six months ended June 30, 2026 was $40.9 million, as compared to cash used for working capital of $50.8 million for the six months ended June 30, 2025. We typically use more cash for working capital in the first half of the year as we build inventories following the fourth quarter of the prior year. </w:t>
      </w:r>
      <w:r>
        <w:rPr>
          <w:rFonts w:ascii="Arial;sans-serif" w:hAnsi="Arial;sans-serif"/>
          <w:b w:val="false"/>
          <w:color w:val="000000"/>
          <w:sz w:val="20"/>
          <w:shd w:fill="FFFFFF" w:val="clear"/>
        </w:rPr>
        <w:t xml:space="preserve">The prior year period included accelerated certain inventory receipts ahead of anticipated tariff implementations, which increased inventory levels and contributed to higher working capital cash outflows, </w:t>
      </w:r>
      <w:r>
        <w:rPr>
          <w:rFonts w:ascii="Arial;sans-serif" w:hAnsi="Arial;sans-serif"/>
          <w:b w:val="false"/>
          <w:color w:val="000000"/>
          <w:sz w:val="20"/>
        </w:rPr>
        <w:t xml:space="preserve">and Lugano operating activity (cash from operating activities of $13.1 million), while the current-year period was affected by the May 2026 sale of </w:t>
      </w:r>
      <w:r>
        <w:rPr>
          <w:rFonts w:ascii="Arial;sans-serif" w:hAnsi="Arial;sans-serif"/>
          <w:b w:val="false"/>
          <w:color w:val="000000"/>
          <w:sz w:val="20"/>
          <w:shd w:fill="FFFFFF" w:val="clear"/>
        </w:rPr>
        <w:t xml:space="preserve">the Sterno </w:t>
      </w:r>
      <w:r>
        <w:rPr>
          <w:rFonts w:ascii="Arial;sans-serif" w:hAnsi="Arial;sans-serif"/>
          <w:b w:val="false"/>
          <w:color w:val="000000"/>
          <w:sz w:val="20"/>
        </w:rPr>
        <w:t xml:space="preserve">food service </w:t>
      </w:r>
      <w:r>
        <w:rPr>
          <w:rFonts w:ascii="Arial;sans-serif" w:hAnsi="Arial;sans-serif"/>
          <w:b w:val="false"/>
          <w:color w:val="000000"/>
          <w:sz w:val="20"/>
          <w:shd w:fill="FFFFFF" w:val="clear"/>
        </w:rPr>
        <w:t xml:space="preserve">product division.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Cash flows provided by investing activities for the six months ended June 30, 2026 totaled $289.1 million, compared to cash used in investing activities of $22.2 million in the same period of 2025. In the current year, cash provided by investing activities reflects cash proceeds from a sale leaseback transaction that occurred in the first quarter at our Altor business and the proceeds from the sale of the Sterno product division in the second quarter. The remainder of investing activities in the current year and investing activities in the prior year is primarily capital expenditures. Capital expenditures decreased $12.6 million during the six months ended June 30, 2026 as compared to the six months ended June 30, 2025, with $11.3 million in capital expenditures in 2026 and $24.0 million in capital expenditures in 2025. Capital expenditures in the prior year included expenditures at Lugano, which is no longer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8"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val="false"/>
          <w:color w:val="000000"/>
          <w:sz w:val="20"/>
        </w:rPr>
        <w:t xml:space="preserve">operating segment of the Company after filing for bankruptcy in November 2025, and higher than usual capital expenditures at Arnold as they relocated two of their product divisions to a new facility in the United States. </w:t>
      </w:r>
      <w:r>
        <w:rPr>
          <w:rFonts w:ascii="Arial;sans-serif" w:hAnsi="Arial;sans-serif"/>
          <w:b w:val="false"/>
          <w:color w:val="000000"/>
          <w:sz w:val="20"/>
          <w:shd w:fill="FFFFFF" w:val="clear"/>
        </w:rPr>
        <w:t>We expect capital expenditures for the full year of 2026 to be approximately $30 million to $40 million.</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Financing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Cash used by financing activities was $322.5 million during the six months ended June 30, 2026 compared to cash flows provided by financing activities of $98.4 million during the six months ended June 30, 2025. Financing activities in the current year included $300.3 million of term-loan repayments, including the use of proceeds from a sale leaseback transaction in the first quarter of 2026 and the proceeds from the sale of the Sterno product division in the second quarter, payment of the Trust preferred share distribution of $19.4 million and transactions with noncontrolling shareholders at the Company's subsidiaries. Prior year financing activities included $200 million in term-loan borrowings, a portion of which was used to repay amounts outstanding under our revolving credit facility. Financing activities in the first six months of 2025 also reflects $58.9 million in proceeds from the issuance of Trust preferred shares, the payment of the Company's preferred share distribution of $18.1 million and the payment of the Company's common share distribution of $37.6 million. The Company suspended common share distributions in May 2025, therefore no common distribution was made subsequent to May 2025. </w:t>
      </w:r>
    </w:p>
    <w:p>
      <w:pPr>
        <w:pStyle w:val="TextBody"/>
        <w:bidi w:val="0"/>
        <w:spacing w:lineRule="auto" w:line="288" w:before="120" w:after="283"/>
        <w:jc w:val="both"/>
        <w:rPr/>
      </w:pPr>
      <w:r>
        <w:rPr>
          <w:rFonts w:ascii="Arial;sans-serif" w:hAnsi="Arial;sans-serif"/>
          <w:b w:val="false"/>
          <w:color w:val="000000"/>
          <w:sz w:val="20"/>
        </w:rPr>
        <w:t xml:space="preserve">Our Lugano business entered into various financing arrangements with third parties that were accounted for as debt in the consolidated financial statements. In the six months ended June 30, 2025, the net cash flows provided by these financing arrangements </w:t>
      </w:r>
      <w:r>
        <w:rPr>
          <w:rFonts w:ascii="Arial;sans-serif" w:hAnsi="Arial;sans-serif"/>
          <w:b w:val="false"/>
          <w:color w:val="000000"/>
          <w:sz w:val="20"/>
          <w:shd w:fill="FFFFFF" w:val="clear"/>
        </w:rPr>
        <w:t>totaled $18.7 million.</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Intercompany Debt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 component of our acquisition financing strategy that we utilize in acquiring the subsidiary businesses we own and manage is to provide both equity capital and debt capital, raised at the parent level through our existing credit facility. Our strategy of providing intercompany debt financing within the capital structure of our subsidiaries allows us the ability to distribute cash to the parent company through monthly interest payments and amortization of the principal on these intercompany loans. Each loan to our subsidiary businesses has a scheduled maturity and each subsidiary business is entitled to repay all or a portion of the principal amount of the outstanding loans, without penalty, prior to maturity. Certain of our subsidiaries have paid down their respective intercompany debt balances through the cash flow generated by these subsidiaries and we have recapitalized, and expect to continue to recapitalize, these subsidiaries in the normal course of our business. The recapitalization process involves funding the intercompany debt using either cash on hand at the parent or our applicable credit facility, and serves the purpose of optimizing the capital structure at our subsidiaries and providing the noncontrolling shareholders with a distribution on their ownership interest in a cash flow positive business.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will from time to time, amend the intercompany credit agreements to reflect changes in the business or funding needs of our businesses. The following amendments have been made in the time period indicated:</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the second quarter of 2026, we amended the Altor intercompany credit agreement to amend the applicable fixed charge coverage ratio covenant as Altor was not expected to be in compliance with the ratio through the remainder of 2026 based on their forecast for the remainder of 2026.</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the first quarter of 2025, we amended the Velocity intercompany credit agreement to amend the applicable fixed charge coverage ratio covenant and the applicable Total Debt to EBITDA ratio covenant. Velocity was not in compliance with the fixed charge coverage ratio or leverage ratio in their intercompany credit agreement at September 30, 2025, December 31, 2025, March 31, 2026 and June 30, 2026 and was granted a waiver for the covenant violations in each period.</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At September 30, 2025, Arnold was not in compliance with the fixed charge coverage ratio and leverage ratio covenants contained within its intercompany credit agreement. In the fourth quarter of 2025, we amended the Arnold credit agreement to increase the amount of availability under the revolving credit facility and to waive the covenant violations that existed as of September 30, 2025. Arnold was not in compliance with the fixed charge coverage ratio and leverage ratio covenants contained within its intercompany credit agreement at December 31, 2025, and was not in compliance with the fixed charge coverage ratio at March 31, 2026 and was granted a waiver for the covenant violations in each period. </w:t>
      </w:r>
    </w:p>
    <w:p>
      <w:pPr>
        <w:pStyle w:val="TextBody"/>
        <w:bidi w:val="0"/>
        <w:spacing w:lineRule="auto" w:line="288" w:before="180" w:after="283"/>
        <w:jc w:val="both"/>
        <w:rPr/>
      </w:pPr>
      <w:r>
        <w:rPr>
          <w:rFonts w:ascii="Arial;sans-serif" w:hAnsi="Arial;sans-serif"/>
          <w:b w:val="false"/>
          <w:color w:val="000000"/>
          <w:sz w:val="20"/>
          <w:shd w:fill="FFFFFF" w:val="clear"/>
        </w:rPr>
        <w:t>All of our</w:t>
      </w:r>
      <w:r>
        <w:rPr>
          <w:color w:val="000000"/>
        </w:rPr>
        <w:t xml:space="preserve"> </w:t>
      </w:r>
      <w:r>
        <w:rPr>
          <w:rFonts w:ascii="Arial;sans-serif" w:hAnsi="Arial;sans-serif"/>
          <w:b w:val="false"/>
          <w:color w:val="000000"/>
          <w:sz w:val="20"/>
        </w:rPr>
        <w:t xml:space="preserve">subsidiaries were in compliance with the financial covenants under their intercompany credit arrangements at June 30, 2026 except Velocity </w:t>
      </w:r>
      <w:r>
        <w:rPr>
          <w:rFonts w:ascii="Arial;sans-serif" w:hAnsi="Arial;sans-serif"/>
          <w:b w:val="false"/>
          <w:color w:val="000000"/>
          <w:sz w:val="20"/>
          <w:shd w:fill="FFFFFF" w:val="clear"/>
        </w:rPr>
        <w:t xml:space="preserve">and Altor, each of which received waivers for the applicable covenant violations.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9"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Arial;sans-serif" w:hAnsi="Arial;sans-serif"/>
          <w:b w:val="false"/>
          <w:color w:val="000000"/>
          <w:sz w:val="20"/>
        </w:rPr>
        <w:t>All intercompany loans eliminate in consolidation and are not reflected in the consolidated balance sheet. As of June 30, 2026, we had the following outstanding loans due from each of our subsidiary businesses (</w:t>
      </w:r>
      <w:r>
        <w:rPr>
          <w:rFonts w:ascii="Arial;sans-serif" w:hAnsi="Arial;sans-serif"/>
          <w:b w:val="false"/>
          <w:i/>
          <w:color w:val="000000"/>
          <w:sz w:val="20"/>
        </w:rPr>
        <w:t>in thousands</w:t>
      </w:r>
      <w:r>
        <w:rPr>
          <w:rFonts w:ascii="Arial;sans-serif" w:hAnsi="Arial;sans-serif"/>
          <w:b w:val="false"/>
          <w:color w:val="000000"/>
          <w:sz w:val="20"/>
        </w:rPr>
        <w:t>):</w:t>
      </w:r>
    </w:p>
    <w:tbl>
      <w:tblPr>
        <w:tblW w:w="4405" w:type="dxa"/>
        <w:jc w:val="center"/>
        <w:tblInd w:w="0" w:type="dxa"/>
        <w:tblLayout w:type="fixed"/>
        <w:tblCellMar>
          <w:top w:w="28" w:type="dxa"/>
          <w:left w:w="28" w:type="dxa"/>
          <w:bottom w:w="28" w:type="dxa"/>
          <w:right w:w="28" w:type="dxa"/>
        </w:tblCellMar>
      </w:tblPr>
      <w:tblGrid>
        <w:gridCol w:w="847"/>
        <w:gridCol w:w="745"/>
        <w:gridCol w:w="747"/>
        <w:gridCol w:w="109"/>
        <w:gridCol w:w="109"/>
        <w:gridCol w:w="109"/>
        <w:gridCol w:w="307"/>
        <w:gridCol w:w="1206"/>
        <w:gridCol w:w="226"/>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Intercompany loan</w:t>
            </w:r>
          </w:p>
        </w:tc>
      </w:tr>
      <w:tr>
        <w:trPr/>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5.11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93,633 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93,211 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141,676 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155,085 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Arnold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90,379 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Sterno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intercompany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704,084 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(704,084)</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primary source of cash is from the receipt of interest and principal on the outstanding loans to our subsidiaries. Accordingly, we are dependent upon the earnings of and cash flow from these businesses, which are available for (i) operating expenses; (ii) payment of principal and interest under our applicable credit facility and interest on our Senior Notes; (iii) payments to CGM due pursuant to the MSA and payments to Sostratus LLC pursuant to the LLC Agreement; (iv) cash distributions to our shareholders; and (v) investments in future acquisitions. Payments made under (iii) above are required to be paid before distributions to shareholders and may be significant and exceed the funds held by us, which may require us to dispose of assets or incur debt to fund such expenditures.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Financing Arrangements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Debt and Capital Structure</w:t>
      </w:r>
    </w:p>
    <w:p>
      <w:pPr>
        <w:pStyle w:val="TextBody"/>
        <w:bidi w:val="0"/>
        <w:spacing w:lineRule="auto" w:line="288" w:before="120" w:after="283"/>
        <w:jc w:val="both"/>
        <w:rPr/>
      </w:pPr>
      <w:r>
        <w:rPr>
          <w:rFonts w:ascii="Arial;sans-serif" w:hAnsi="Arial;sans-serif"/>
          <w:b w:val="false"/>
          <w:color w:val="000000"/>
          <w:sz w:val="20"/>
        </w:rPr>
        <w:t>Our capital structure includes (i) the 2022 Credit Facility and (ii) the Senior Notes. See “</w:t>
      </w:r>
      <w:hyperlink w:anchor="i29996918526446a59b54dc1fd0efe432_67">
        <w:r>
          <w:rPr>
            <w:rStyle w:val="InternetLink"/>
            <w:rFonts w:ascii="Arial;sans-serif" w:hAnsi="Arial;sans-serif"/>
            <w:b w:val="false"/>
            <w:color w:val="0000FF"/>
            <w:sz w:val="20"/>
            <w:u w:val="single"/>
          </w:rPr>
          <w:t>Note G — Debt</w:t>
        </w:r>
      </w:hyperlink>
      <w:r>
        <w:rPr>
          <w:color w:val="000000"/>
        </w:rPr>
        <w:t xml:space="preserve">” </w:t>
      </w:r>
      <w:r>
        <w:rPr>
          <w:rFonts w:ascii="Arial;sans-serif" w:hAnsi="Arial;sans-serif"/>
          <w:b w:val="false"/>
          <w:color w:val="000000"/>
          <w:sz w:val="20"/>
        </w:rPr>
        <w:t>included in the "Notes to the Consolidated Financial Statements" in this Form 10-Q for additional detail regarding our debt instruments, including outstanding balances, borrowing terms, covenant requirements, and availability under the 2022 Credit Facility.</w:t>
      </w:r>
    </w:p>
    <w:p>
      <w:pPr>
        <w:pStyle w:val="TextBody"/>
        <w:bidi w:val="0"/>
        <w:spacing w:lineRule="auto" w:line="288" w:before="180" w:after="283"/>
        <w:jc w:val="both"/>
        <w:rPr/>
      </w:pPr>
      <w:r>
        <w:rPr>
          <w:rFonts w:ascii="Arial;sans-serif" w:hAnsi="Arial;sans-serif"/>
          <w:b w:val="false"/>
          <w:color w:val="000000"/>
          <w:sz w:val="20"/>
          <w:shd w:fill="FFFFFF" w:val="clear"/>
        </w:rPr>
        <w:t>Net availability under the 2022 Revolving Credit Facility after giving effect to the Fifth Amendment was approximately $97.2 million at June 30, 2026. The outstanding borrowings under the 2022 Revolving Credit Facility include $0.8 million of outstanding letters of credit at June 30, 2026, w</w:t>
      </w:r>
      <w:r>
        <w:rPr>
          <w:rFonts w:ascii="Arial;sans-serif" w:hAnsi="Arial;sans-serif"/>
          <w:b w:val="false"/>
          <w:color w:val="000000"/>
          <w:sz w:val="20"/>
        </w:rPr>
        <w:t xml:space="preserve">hich are not reflected on our balance sheet. </w:t>
      </w:r>
    </w:p>
    <w:p>
      <w:pPr>
        <w:pStyle w:val="TextBody"/>
        <w:bidi w:val="0"/>
        <w:spacing w:lineRule="auto" w:line="288" w:before="180" w:after="60"/>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Interest Expense</w:t>
      </w:r>
    </w:p>
    <w:p>
      <w:pPr>
        <w:pStyle w:val="TextBody"/>
        <w:bidi w:val="0"/>
        <w:spacing w:lineRule="auto" w:line="288" w:before="120" w:after="283"/>
        <w:jc w:val="both"/>
        <w:rPr/>
      </w:pPr>
      <w:r>
        <w:rPr>
          <w:rFonts w:ascii="Arial;sans-serif" w:hAnsi="Arial;sans-serif"/>
          <w:b w:val="false"/>
          <w:color w:val="000000"/>
          <w:sz w:val="20"/>
        </w:rPr>
        <w:t>The components of interest expense and periodic interest charges on outstanding debt are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5798" w:type="dxa"/>
        <w:jc w:val="center"/>
        <w:tblInd w:w="0" w:type="dxa"/>
        <w:tblLayout w:type="fixed"/>
        <w:tblCellMar>
          <w:top w:w="28" w:type="dxa"/>
          <w:left w:w="28" w:type="dxa"/>
          <w:bottom w:w="28" w:type="dxa"/>
          <w:right w:w="28" w:type="dxa"/>
        </w:tblCellMar>
      </w:tblPr>
      <w:tblGrid>
        <w:gridCol w:w="1212"/>
        <w:gridCol w:w="1061"/>
        <w:gridCol w:w="1071"/>
        <w:gridCol w:w="211"/>
        <w:gridCol w:w="721"/>
        <w:gridCol w:w="109"/>
        <w:gridCol w:w="109"/>
        <w:gridCol w:w="109"/>
        <w:gridCol w:w="109"/>
        <w:gridCol w:w="211"/>
        <w:gridCol w:w="721"/>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credit facilities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Unused fee on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interest expense </w:t>
            </w:r>
            <w:r>
              <w:rPr>
                <w:rFonts w:ascii="Arial;sans-serif" w:hAnsi="Arial;sans-serif"/>
                <w:b/>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pPr>
      <w:r>
        <w:rPr>
          <w:rFonts w:ascii="Arial;sans-serif" w:hAnsi="Arial;sans-serif"/>
          <w:b/>
          <w:color w:val="000000"/>
          <w:sz w:val="13"/>
        </w:rPr>
        <w:t xml:space="preserve">(1) </w:t>
      </w:r>
      <w:r>
        <w:rPr>
          <w:rFonts w:ascii="Arial;sans-serif" w:hAnsi="Arial;sans-serif"/>
          <w:b w:val="false"/>
          <w:color w:val="000000"/>
          <w:sz w:val="20"/>
        </w:rPr>
        <w:t>Other interest expense in the six months ended June 30, 2025 includes interest amounts related to Lugano financing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60"/>
        <w:jc w:val="both"/>
        <w:rPr/>
      </w:pPr>
      <w:r>
        <w:rPr>
          <w:rFonts w:ascii="Arial;sans-serif" w:hAnsi="Arial;sans-serif"/>
          <w:b w:val="false"/>
          <w:color w:val="000000"/>
          <w:sz w:val="20"/>
        </w:rPr>
        <w:t xml:space="preserve">The following table provides the effective interest rate of the Company’s outstanding debt at June 30, 2026 and December 31, 2025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133"/>
        <w:gridCol w:w="960"/>
        <w:gridCol w:w="970"/>
        <w:gridCol w:w="586"/>
        <w:gridCol w:w="586"/>
        <w:gridCol w:w="588"/>
        <w:gridCol w:w="109"/>
        <w:gridCol w:w="109"/>
        <w:gridCol w:w="109"/>
        <w:gridCol w:w="211"/>
        <w:gridCol w:w="976"/>
        <w:gridCol w:w="109"/>
        <w:gridCol w:w="109"/>
        <w:gridCol w:w="109"/>
        <w:gridCol w:w="109"/>
        <w:gridCol w:w="586"/>
        <w:gridCol w:w="586"/>
        <w:gridCol w:w="588"/>
        <w:gridCol w:w="109"/>
        <w:gridCol w:w="109"/>
        <w:gridCol w:w="109"/>
        <w:gridCol w:w="211"/>
        <w:gridCol w:w="976"/>
        <w:gridCol w:w="158"/>
      </w:tblGrid>
      <w:tr>
        <w:trPr/>
        <w:tc>
          <w:tcPr>
            <w:tcW w:w="113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rPr/>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 Senior Notes</w:t>
            </w:r>
          </w:p>
        </w:tc>
        <w:tc>
          <w:tcPr>
            <w:tcW w:w="1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1,029,371 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2032 Senior Notes</w:t>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308,811 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2022 Credit Facility - Term Loan</w:t>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552,500 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2022 Credit Facility - Revolving Loans</w:t>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debt issuance costs</w:t>
            </w:r>
          </w:p>
        </w:tc>
        <w:tc>
          <w:tcPr>
            <w:tcW w:w="1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outstanding</w:t>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1,581,930 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1,877,317 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Reconciliation of Non-GAAP Financial Measures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GAAP or U.S. GAAP refer to generally accepted accounting principles in the United States. From time to time we may publicly disclose certain “non-GAAP” financial measures in the course of our investor presentations, earnings releases, earnings conference calls or other venues.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We have included information to reconcile non-GAAP financial measures for the periods presented to the most directly comparable GAAP financial measure. We use non-GAAP information for financial and operational decision-making purposes and as a means to evaluate the underlying performance of our business and/or in forecasting our business. We believe that the presentation of such non-GAAP information, when considered in conjunction with the most directly comparable GAAP information, provides additional useful information for investors in their assessment of the underlying performance of our business. The presentation of these non-GAAP financial measures supplements other metrics we use to internally evaluate our subsidiary businesses and facilitate the comparison of past and present operations. These measures are not intended to replace the presentation of financial results in accordance with U.S. GAAP, and may be different from or otherwise inconsistent with non-GAAP financial measures used by other companies.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tables below reconcile the most directly comparable GAAP financial measures to Adjusted earnings before Interest, Income Taxes, Depreciation and Amortization ("Adjusted EBITDA") and Adjusted Earnings. </w:t>
      </w:r>
    </w:p>
    <w:p>
      <w:pPr>
        <w:pStyle w:val="TextBody"/>
        <w:bidi w:val="0"/>
        <w:spacing w:lineRule="auto" w:line="288" w:before="180" w:after="60"/>
        <w:jc w:val="both"/>
        <w:rPr/>
      </w:pPr>
      <w:r>
        <w:rPr>
          <w:rFonts w:ascii="Arial;sans-serif" w:hAnsi="Arial;sans-serif"/>
          <w:b/>
          <w:i/>
          <w:color w:val="000000"/>
          <w:sz w:val="20"/>
        </w:rPr>
        <w:t xml:space="preserve">Adjusted EBITDA </w:t>
      </w:r>
      <w:r>
        <w:rPr>
          <w:color w:val="000000"/>
        </w:rPr>
        <w:t xml:space="preserve">– </w:t>
      </w:r>
      <w:r>
        <w:rPr>
          <w:rFonts w:ascii="Arial;sans-serif" w:hAnsi="Arial;sans-serif"/>
          <w:b w:val="false"/>
          <w:color w:val="000000"/>
          <w:sz w:val="20"/>
        </w:rPr>
        <w:t xml:space="preserve">EBITDA is calculated as net income (loss) from continuing operations before interest expense, income tax expense (benefit), depreciation expense and amortization expense. Amortization expenses consist of amortization of intangibles, amortization of inventory step-up associated with purchase price allocations of our acquisitions, and debt charges, including debt issuance costs. Adjusted EBITDA is calculated utilizing the same calculation as described in arriving at EBITDA further adjusted by: (i) non-controlling stockholder compensation, which generally consists of non-cash stock option expense; (ii) successful acquisition costs, which consist of transaction costs (legal, accounting, due diligence, etc.) incurred in connection with the successful acquisition of a business expensed during the period in compliance with ASC 805, </w:t>
      </w:r>
      <w:r>
        <w:rPr>
          <w:rFonts w:ascii="Arial;sans-serif" w:hAnsi="Arial;sans-serif"/>
          <w:b w:val="false"/>
          <w:i/>
          <w:color w:val="000000"/>
          <w:sz w:val="20"/>
        </w:rPr>
        <w:t>Business Combinations</w:t>
      </w:r>
      <w:r>
        <w:rPr>
          <w:rFonts w:ascii="Arial;sans-serif" w:hAnsi="Arial;sans-serif"/>
          <w:b w:val="false"/>
          <w:color w:val="000000"/>
          <w:sz w:val="20"/>
        </w:rPr>
        <w:t>; (iii) impairment charges, which reflect write downs to goodwill or other intangible assets; (iv) changes in the fair value of contingent consideration subsequent to initial purchase accounting, (v) integration service fees, which reflect fees paid by newly acquired companies to the Manager for integration services performed during the first year of ownership; and (vi) items of other income or expense that are material to a subsidiary and non-recurring in nature.</w:t>
      </w:r>
    </w:p>
    <w:p>
      <w:pPr>
        <w:pStyle w:val="TextBody"/>
        <w:bidi w:val="0"/>
        <w:spacing w:lineRule="auto" w:line="288" w:before="180" w:after="283"/>
        <w:jc w:val="both"/>
        <w:rPr/>
      </w:pPr>
      <w:r>
        <w:rPr>
          <w:rFonts w:ascii="Arial;sans-serif" w:hAnsi="Arial;sans-serif"/>
          <w:b/>
          <w:i/>
          <w:color w:val="000000"/>
          <w:sz w:val="20"/>
        </w:rPr>
        <w:t>Adjusted Earnings</w:t>
      </w:r>
      <w:r>
        <w:rPr>
          <w:color w:val="000000"/>
        </w:rPr>
        <w:t xml:space="preserve"> –– </w:t>
      </w:r>
      <w:r>
        <w:rPr>
          <w:rFonts w:ascii="Arial;sans-serif" w:hAnsi="Arial;sans-serif"/>
          <w:b w:val="false"/>
          <w:color w:val="000000"/>
          <w:sz w:val="20"/>
        </w:rPr>
        <w:t xml:space="preserve">Adjusted Earnings is calculated as net income (loss) adjusted to include the cost of the distributions to preferred shareholders, and adjusted to exclude the impact of certain costs, expenses, gains and losses and other specified items the exclusion of which management believes provides insight regarding our ongoing operating performance. Depending on the period presented, these adjusted measures exclude the impact of certain of the following items: gains (losses) and income (loss) from discontinued operations, income (loss) from noncontrolling interest, amortization expense, subsidiary stock compensation expense, acquisition-related expenses and items of other income or expense that may be material to a subsidiary and non-recurring in nature.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1"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Adjusted EBITDA and Adjusted Earnings are non-GAAP measures used by the Company to assess its performance. We believe that Adjusted EBITDA and Adjusted Earnings provide useful information to investors and reflect important financial measures that are used by management in the monthly analysis of our operating results and in preparation of our annual budgets. We believe that investors’ understanding of our performance is enhanced by disclosing these performance measures as this presentation allows investors to view the performance of our businesses in a manner similar to the methods used by us and the management of our subsidiary businesses, provides additional insight into our operating results and provides a measure for evaluating targeted businesses for acquisition.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Adjusted EBITDA and Adjusted Earnings exclude the effects of items which reflect the impact of long-term investment decisions, rather than the performance of near-term operations. When compared to net income (loss) and net income (loss) from continuing operations, Adjusted Earnings and Adjusted EBITDA, respectively, are each limited in that they do not reflect the periodic costs of certain capital assets used in generating revenues of our subsidiary businesses or the non-cash charges associated with impairments, as well as certain cash charges. The presentation of Adjusted Earnings provides insight into our operating results. Adjusted EBITDA and Adjusted Earnings are not meant to be a substitute for GAAP, and may be different from or otherwise inconsistent with non-GAAP financial measures used by other companies.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Reconciliation of Net income (loss) from continuing operations to Adjusted EBITDA</w:t>
      </w:r>
    </w:p>
    <w:p>
      <w:pPr>
        <w:pStyle w:val="TextBody"/>
        <w:bidi w:val="0"/>
        <w:spacing w:lineRule="auto" w:line="288" w:before="180" w:after="283"/>
        <w:jc w:val="both"/>
        <w:rPr/>
      </w:pPr>
      <w:r>
        <w:rPr>
          <w:rFonts w:ascii="Arial;sans-serif" w:hAnsi="Arial;sans-serif"/>
          <w:b w:val="false"/>
          <w:color w:val="000000"/>
          <w:sz w:val="20"/>
        </w:rPr>
        <w:t xml:space="preserve">The following tables reconcile net income (loss) from continuing operations, which we consider to be the most comparable GAAP financial measure, to </w:t>
      </w:r>
      <w:r>
        <w:rPr>
          <w:rFonts w:ascii="Arial;sans-serif" w:hAnsi="Arial;sans-serif"/>
          <w:b w:val="false"/>
          <w:i/>
          <w:color w:val="000000"/>
          <w:sz w:val="20"/>
        </w:rPr>
        <w:t>Adj</w:t>
      </w:r>
      <w:r>
        <w:rPr>
          <w:rFonts w:ascii="Arial;sans-serif" w:hAnsi="Arial;sans-serif"/>
          <w:b w:val="false"/>
          <w:color w:val="000000"/>
          <w:sz w:val="20"/>
        </w:rPr>
        <w:t>u</w:t>
      </w:r>
      <w:r>
        <w:rPr>
          <w:rFonts w:ascii="Arial;sans-serif" w:hAnsi="Arial;sans-serif"/>
          <w:b w:val="false"/>
          <w:i/>
          <w:color w:val="000000"/>
          <w:sz w:val="20"/>
        </w:rPr>
        <w:t>sted EBITDA</w:t>
      </w:r>
      <w:r>
        <w:rPr>
          <w:color w:val="000000"/>
        </w:rPr>
        <w:t xml:space="preserve"> </w:t>
      </w:r>
      <w:r>
        <w:rPr>
          <w:rFonts w:ascii="Arial;sans-serif" w:hAnsi="Arial;sans-serif"/>
          <w:b w:val="false"/>
          <w:i/>
          <w:color w:val="000000"/>
          <w:sz w:val="20"/>
        </w:rPr>
        <w:t>(in thousands)</w:t>
      </w:r>
      <w:r>
        <w:rPr>
          <w:rFonts w:ascii="Arial;sans-serif" w:hAnsi="Arial;sans-serif"/>
          <w:b w:val="false"/>
          <w:color w:val="000000"/>
          <w:sz w:val="20"/>
        </w:rPr>
        <w:t>:</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2"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13679" w:type="dxa"/>
        <w:jc w:val="center"/>
        <w:tblInd w:w="0" w:type="dxa"/>
        <w:tblLayout w:type="fixed"/>
        <w:tblCellMar>
          <w:top w:w="28" w:type="dxa"/>
          <w:left w:w="28" w:type="dxa"/>
          <w:bottom w:w="28" w:type="dxa"/>
          <w:right w:w="28" w:type="dxa"/>
        </w:tblCellMar>
      </w:tblPr>
      <w:tblGrid>
        <w:gridCol w:w="524"/>
        <w:gridCol w:w="315"/>
        <w:gridCol w:w="317"/>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00"/>
        <w:gridCol w:w="752"/>
        <w:gridCol w:w="159"/>
      </w:tblGrid>
      <w:tr>
        <w:trPr/>
        <w:tc>
          <w:tcPr>
            <w:tcW w:w="52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679" w:type="dxa"/>
            <w:gridSpan w:val="60"/>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Arial;sans-serif" w:hAnsi="Arial;sans-serif"/>
                <w:b/>
                <w:color w:val="000000"/>
                <w:sz w:val="18"/>
              </w:rPr>
            </w:pPr>
            <w:r>
              <w:rPr>
                <w:rFonts w:ascii="Arial;sans-serif" w:hAnsi="Arial;sans-serif"/>
                <w:b/>
                <w:color w:val="000000"/>
                <w:sz w:val="18"/>
              </w:rPr>
              <w:t>Adjusted EBITDA</w:t>
            </w:r>
          </w:p>
        </w:tc>
      </w:tr>
      <w:tr>
        <w:trPr/>
        <w:tc>
          <w:tcPr>
            <w:tcW w:w="13679" w:type="dxa"/>
            <w:gridSpan w:val="6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r>
      <w:tr>
        <w:trPr/>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5.11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BOA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PrimaLoft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Velocity Outdoor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Altor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Arnold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 xml:space="preserve">Rimports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Consolidated</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for: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(benefit) for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Intercompany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EBITDA</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226,770 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(income) expense</w:t>
            </w:r>
            <w:r>
              <w:rPr>
                <w:color w:val="000000"/>
              </w:rPr>
              <w:t xml:space="preserve"> </w:t>
            </w:r>
            <w:r>
              <w:rPr>
                <w:rFonts w:ascii="Arial;sans-serif" w:hAnsi="Arial;sans-serif"/>
                <w:b/>
                <w:color w:val="000000"/>
                <w:sz w:val="10"/>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(121,543)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shareholder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color w:val="000000"/>
              </w:rPr>
              <w:t xml:space="preserve"> </w:t>
            </w:r>
            <w:r>
              <w:rPr>
                <w:rFonts w:ascii="Arial;sans-serif" w:hAnsi="Arial;sans-serif"/>
                <w:b/>
                <w:color w:val="000000"/>
                <w:sz w:val="10"/>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i/>
                <w:color w:val="000000"/>
                <w:sz w:val="16"/>
              </w:rPr>
              <w:t>Adjusted EBITDA</w:t>
            </w:r>
            <w:r>
              <w:rPr>
                <w:color w:val="000000"/>
              </w:rPr>
              <w:t xml:space="preserv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122,093 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360"/>
        <w:jc w:val="center"/>
        <w:rPr/>
      </w:pPr>
      <w:r>
        <w:rPr/>
      </w:r>
    </w:p>
    <w:p>
      <w:pPr>
        <w:pStyle w:val="TextBody"/>
        <w:bidi w:val="0"/>
        <w:spacing w:before="100" w:after="283"/>
        <w:ind w:left="0" w:right="0" w:hanging="360"/>
        <w:jc w:val="center"/>
        <w:rPr/>
      </w:pPr>
      <w:r>
        <w:rPr/>
      </w:r>
    </w:p>
    <w:p>
      <w:pPr>
        <w:pStyle w:val="TextBody"/>
        <w:bidi w:val="0"/>
        <w:spacing w:lineRule="auto" w:line="288" w:before="100" w:after="283"/>
        <w:ind w:left="0" w:right="0" w:hanging="360"/>
        <w:jc w:val="both"/>
        <w:rPr/>
      </w:pPr>
      <w:r>
        <w:rPr>
          <w:rFonts w:ascii="Arial;sans-serif" w:hAnsi="Arial;sans-serif"/>
          <w:b/>
          <w:color w:val="000000"/>
          <w:sz w:val="13"/>
        </w:rPr>
        <w:t xml:space="preserve">(1) </w:t>
      </w:r>
      <w:r>
        <w:rPr>
          <w:color w:val="000000"/>
        </w:rPr>
        <w:t>    </w:t>
      </w:r>
      <w:r>
        <w:rPr>
          <w:rFonts w:ascii="Arial;sans-serif" w:hAnsi="Arial;sans-serif"/>
          <w:b w:val="false"/>
          <w:color w:val="000000"/>
          <w:sz w:val="20"/>
        </w:rPr>
        <w:t xml:space="preserve">Rimports includes the Adjusted EBITDA of the Sterno food service product division from January 1, 2026 through the date of sale, May 1, 2026. </w:t>
      </w:r>
    </w:p>
    <w:p>
      <w:pPr>
        <w:pStyle w:val="TextBody"/>
        <w:bidi w:val="0"/>
        <w:spacing w:before="100" w:after="283"/>
        <w:ind w:left="0" w:right="0" w:hanging="360"/>
        <w:jc w:val="both"/>
        <w:rPr/>
      </w:pPr>
      <w:r>
        <w:rPr/>
      </w:r>
    </w:p>
    <w:p>
      <w:pPr>
        <w:pStyle w:val="TextBody"/>
        <w:bidi w:val="0"/>
        <w:spacing w:lineRule="auto" w:line="288" w:before="100" w:after="283"/>
        <w:ind w:left="0" w:right="0" w:hanging="360"/>
        <w:jc w:val="both"/>
        <w:rPr/>
      </w:pPr>
      <w:r>
        <w:rPr>
          <w:rFonts w:ascii="Arial;sans-serif" w:hAnsi="Arial;sans-serif"/>
          <w:b/>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The amount of Other (income) expense at corporate includes the change in the fair value of the receivable due from unconsolidated affiliate ($58.0 million) and the gain on the sale of the Sterno food service product division ($182.3 million).</w:t>
      </w:r>
    </w:p>
    <w:p>
      <w:pPr>
        <w:pStyle w:val="TextBody"/>
        <w:bidi w:val="0"/>
        <w:spacing w:before="100" w:after="283"/>
        <w:ind w:left="0" w:right="0" w:hanging="360"/>
        <w:jc w:val="both"/>
        <w:rPr/>
      </w:pPr>
      <w:r>
        <w:rPr/>
      </w:r>
    </w:p>
    <w:p>
      <w:pPr>
        <w:pStyle w:val="TextBody"/>
        <w:bidi w:val="0"/>
        <w:spacing w:lineRule="auto" w:line="288" w:before="100" w:after="283"/>
        <w:ind w:left="0" w:right="0" w:hanging="360"/>
        <w:jc w:val="both"/>
        <w:rPr/>
      </w:pPr>
      <w:r>
        <w:rPr>
          <w:rFonts w:ascii="Arial;sans-serif" w:hAnsi="Arial;sans-serif"/>
          <w:b/>
          <w:color w:val="000000"/>
          <w:sz w:val="13"/>
          <w:shd w:fill="FFFFFF" w:val="clear"/>
        </w:rPr>
        <w:t xml:space="preserve">(3) </w:t>
      </w:r>
      <w:r>
        <w:rPr>
          <w:rFonts w:ascii="Arial;sans-serif" w:hAnsi="Arial;sans-serif"/>
          <w:b w:val="false"/>
          <w:color w:val="000000"/>
          <w:sz w:val="20"/>
          <w:shd w:fill="FFFFFF" w:val="clear"/>
        </w:rPr>
        <w:t>Other in the six months ended June 30, 2026 includes the add-back of a gain on sale leaseback at Altor.</w:t>
      </w:r>
      <w:r>
        <w:rPr>
          <w:color w:val="000000"/>
          <w:shd w:fill="FFFFFF" w:val="clear"/>
        </w:rPr>
        <w:t>    </w:t>
      </w:r>
      <w:r>
        <w:rPr>
          <w:color w:val="000000"/>
        </w:rPr>
        <w:t xml:space="preserve">         </w:t>
      </w:r>
    </w:p>
    <w:p>
      <w:pPr>
        <w:pStyle w:val="TextBody"/>
        <w:bidi w:val="0"/>
        <w:spacing w:lineRule="auto" w:line="288" w:before="0" w:after="0"/>
        <w:ind w:left="0" w:right="0" w:hanging="360"/>
        <w:jc w:val="left"/>
        <w:rPr/>
      </w:pPr>
      <w:r>
        <w:rPr>
          <w:color w:val="000000"/>
          <w:shd w:fill="FFFFFF" w:val="clear"/>
        </w:rPr>
        <w:t>    </w:t>
      </w:r>
      <w:r>
        <w:rPr>
          <w:color w:val="000000"/>
        </w:rPr>
        <w:t xml:space="preserve">         </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3"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73</w:t>
                      </w:r>
                    </w:p>
                  </w:txbxContent>
                </v:textbox>
                <w10:wrap type="none"/>
              </v:rect>
            </w:pict>
          </mc:Fallback>
        </mc:AlternateContent>
      </w:r>
    </w:p>
    <w:p>
      <w:pPr>
        <w:pStyle w:val="TextBody"/>
        <w:bidi w:val="0"/>
        <w:spacing w:before="0" w:after="0"/>
        <w:jc w:val="left"/>
        <w:rPr/>
      </w:pPr>
      <w:r>
        <w:rPr/>
      </w:r>
    </w:p>
    <w:p>
      <w:pPr>
        <w:pStyle w:val="TextBody"/>
        <w:bidi w:val="0"/>
        <w:spacing w:before="360" w:after="283"/>
        <w:jc w:val="center"/>
        <w:rPr/>
      </w:pPr>
      <w:r>
        <w:rPr/>
      </w:r>
    </w:p>
    <w:p>
      <w:pPr>
        <w:pStyle w:val="TextBody"/>
        <w:bidi w:val="0"/>
        <w:spacing w:before="0" w:after="0"/>
        <w:jc w:val="center"/>
        <w:rPr/>
      </w:pPr>
      <w:r>
        <w:rPr/>
      </w:r>
    </w:p>
    <w:tbl>
      <w:tblPr>
        <w:tblW w:w="15047" w:type="dxa"/>
        <w:jc w:val="center"/>
        <w:tblInd w:w="0" w:type="dxa"/>
        <w:tblLayout w:type="fixed"/>
        <w:tblCellMar>
          <w:top w:w="28" w:type="dxa"/>
          <w:left w:w="28" w:type="dxa"/>
          <w:bottom w:w="28" w:type="dxa"/>
          <w:right w:w="28" w:type="dxa"/>
        </w:tblCellMar>
      </w:tblPr>
      <w:tblGrid>
        <w:gridCol w:w="524"/>
        <w:gridCol w:w="315"/>
        <w:gridCol w:w="317"/>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61"/>
        <w:gridCol w:w="154"/>
      </w:tblGrid>
      <w:tr>
        <w:trPr/>
        <w:tc>
          <w:tcPr>
            <w:tcW w:w="52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5047" w:type="dxa"/>
            <w:gridSpan w:val="66"/>
            <w:tcBorders>
              <w:top w:val="single" w:sz="8" w:space="0" w:color="000000"/>
            </w:tcBorders>
            <w:tcMar>
              <w:top w:w="30" w:type="dxa"/>
              <w:left w:w="0" w:type="dxa"/>
              <w:bottom w:w="0" w:type="dxa"/>
              <w:right w:w="0" w:type="dxa"/>
            </w:tcMar>
            <w:vAlign w:val="center"/>
          </w:tcPr>
          <w:p>
            <w:pPr>
              <w:pStyle w:val="TableContents"/>
              <w:bidi w:val="0"/>
              <w:spacing w:lineRule="auto" w:line="240" w:before="360" w:after="283"/>
              <w:jc w:val="center"/>
              <w:rPr>
                <w:rFonts w:ascii="Arial;sans-serif" w:hAnsi="Arial;sans-serif"/>
                <w:b/>
                <w:color w:val="000000"/>
                <w:sz w:val="18"/>
              </w:rPr>
            </w:pPr>
            <w:r>
              <w:rPr>
                <w:rFonts w:ascii="Arial;sans-serif" w:hAnsi="Arial;sans-serif"/>
                <w:b/>
                <w:color w:val="000000"/>
                <w:sz w:val="18"/>
              </w:rPr>
              <w:t>Adjusted EBITDA</w:t>
            </w:r>
          </w:p>
        </w:tc>
      </w:tr>
      <w:tr>
        <w:trPr/>
        <w:tc>
          <w:tcPr>
            <w:tcW w:w="15047" w:type="dxa"/>
            <w:gridSpan w:val="6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2025</w:t>
            </w:r>
          </w:p>
        </w:tc>
      </w:tr>
      <w:tr>
        <w:trPr/>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5.11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BOA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Lugano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PrimaLoft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Velocity Outdoor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Altor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Arnold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Sterno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Consolidated</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Net income (loss)</w:t>
            </w:r>
            <w:r>
              <w:rPr>
                <w:color w:val="000000"/>
              </w:rPr>
              <w:t xml:space="preserve"> </w:t>
            </w:r>
            <w:r>
              <w:rPr>
                <w:rFonts w:ascii="Arial;sans-serif" w:hAnsi="Arial;sans-serif"/>
                <w:b/>
                <w:color w:val="000000"/>
                <w:sz w:val="16"/>
              </w:rPr>
              <w:t>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for: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(benefit) for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Intercompany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debt modification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EBITDA</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shareholder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Integration services fee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color w:val="000000"/>
              </w:rPr>
              <w:t xml:space="preserve"> </w:t>
            </w:r>
            <w:r>
              <w:rPr>
                <w:rFonts w:ascii="Arial;sans-serif" w:hAnsi="Arial;sans-serif"/>
                <w:b/>
                <w:color w:val="000000"/>
                <w:sz w:val="10"/>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i/>
                <w:color w:val="000000"/>
                <w:sz w:val="16"/>
              </w:rPr>
              <w:t>Adjusted EBITDA</w:t>
            </w:r>
            <w:r>
              <w:rPr>
                <w:color w:val="000000"/>
              </w:rPr>
              <w:t xml:space="preserv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hanging="360"/>
        <w:jc w:val="both"/>
        <w:rPr/>
      </w:pPr>
      <w:r>
        <w:rPr/>
      </w:r>
    </w:p>
    <w:p>
      <w:pPr>
        <w:pStyle w:val="TextBody"/>
        <w:bidi w:val="0"/>
        <w:spacing w:lineRule="auto" w:line="288" w:before="100" w:after="283"/>
        <w:ind w:left="0" w:right="0" w:hanging="360"/>
        <w:jc w:val="both"/>
        <w:rPr/>
      </w:pPr>
      <w:r>
        <w:rPr>
          <w:rFonts w:ascii="Arial;sans-serif" w:hAnsi="Arial;sans-serif"/>
          <w:b/>
          <w:color w:val="000000"/>
          <w:sz w:val="13"/>
        </w:rPr>
        <w:t xml:space="preserve">(1) </w:t>
      </w:r>
      <w:r>
        <w:rPr>
          <w:rFonts w:ascii="Arial;sans-serif" w:hAnsi="Arial;sans-serif"/>
          <w:b w:val="false"/>
          <w:color w:val="000000"/>
          <w:sz w:val="20"/>
          <w:shd w:fill="FFFFFF" w:val="clear"/>
        </w:rPr>
        <w:t>Other represents specified operating expenses that are included by management in the calculation of Adjusted EBITDA when analyzing monthly operating results of our subsidiaries. In the current year, the calculation of Adjusted EBITDA for Arnold includes the add-back of certain expenses that have been incurred related to the relocation of two of Arnold's facilities in the United States and costs related to the retirement of the chief executive officer at Arnold. For Altor, other includes the add-back of certain expenses incurred related to restructuring of their facilities after the acquisition of Lifoam.</w:t>
      </w:r>
    </w:p>
    <w:p>
      <w:pPr>
        <w:pStyle w:val="TextBody"/>
        <w:bidi w:val="0"/>
        <w:spacing w:before="100" w:after="283"/>
        <w:ind w:left="0" w:right="0" w:hanging="360"/>
        <w:jc w:val="left"/>
        <w:rPr/>
      </w:pPr>
      <w:r>
        <w:rPr/>
      </w:r>
    </w:p>
    <w:p>
      <w:pPr>
        <w:pStyle w:val="TextBody"/>
        <w:bidi w:val="0"/>
        <w:spacing w:lineRule="auto" w:line="288" w:before="0" w:after="0"/>
        <w:ind w:left="0" w:right="0" w:hanging="360"/>
        <w:jc w:val="left"/>
        <w:rPr>
          <w:color w:val="000000"/>
        </w:rPr>
      </w:pPr>
      <w:r>
        <w:rPr>
          <w:color w:val="000000"/>
        </w:rPr>
        <w:t>             </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4"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Arial;sans-serif" w:hAnsi="Arial;sans-serif"/>
          <w:b w:val="false"/>
          <w:i/>
          <w:color w:val="000000"/>
          <w:sz w:val="20"/>
          <w:u w:val="single"/>
        </w:rPr>
      </w:pPr>
      <w:r>
        <w:rPr>
          <w:rFonts w:ascii="Arial;sans-serif" w:hAnsi="Arial;sans-serif"/>
          <w:b w:val="false"/>
          <w:i/>
          <w:color w:val="000000"/>
          <w:sz w:val="20"/>
          <w:u w:val="single"/>
        </w:rPr>
        <w:t>Reconciliation of Net income (loss) to both Adjusted Earnings and Adjusted EBITDA</w:t>
      </w:r>
    </w:p>
    <w:p>
      <w:pPr>
        <w:pStyle w:val="TextBody"/>
        <w:bidi w:val="0"/>
        <w:spacing w:lineRule="auto" w:line="288" w:before="120" w:after="283"/>
        <w:jc w:val="left"/>
        <w:rPr/>
      </w:pPr>
      <w:r>
        <w:rPr>
          <w:rFonts w:ascii="Arial;sans-serif" w:hAnsi="Arial;sans-serif"/>
          <w:b w:val="false"/>
          <w:color w:val="000000"/>
          <w:sz w:val="20"/>
        </w:rPr>
        <w:t>The following table reconciles Net income (loss), which we consider the most comparable GAAP financial measure, to both Adjusted Earnings and Adjusted EBITDA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2254"/>
        <w:gridCol w:w="1937"/>
        <w:gridCol w:w="1931"/>
        <w:gridCol w:w="109"/>
        <w:gridCol w:w="109"/>
        <w:gridCol w:w="156"/>
        <w:gridCol w:w="156"/>
        <w:gridCol w:w="156"/>
        <w:gridCol w:w="156"/>
        <w:gridCol w:w="304"/>
        <w:gridCol w:w="1190"/>
        <w:gridCol w:w="156"/>
        <w:gridCol w:w="109"/>
        <w:gridCol w:w="109"/>
        <w:gridCol w:w="109"/>
        <w:gridCol w:w="211"/>
        <w:gridCol w:w="892"/>
        <w:gridCol w:w="161"/>
      </w:tblGrid>
      <w:tr>
        <w:trPr/>
        <w:tc>
          <w:tcPr>
            <w:tcW w:w="2254"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591" w:type="dxa"/>
            <w:gridSpan w:val="6"/>
            <w:tcBorders/>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(127,682)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(130,531)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income (loss) from continuing operations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(46,472)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Holdings -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(84,059)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paid -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(18,148)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expense - intangibles and inventory step-up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Noncomtrolling shareholder 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Integration Services Fee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receivable due from unconsolidated affiliate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product division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effect of gain on sale of product division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Plus (less):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effect of gain on sale of product division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debt modification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continuing operations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(46,472)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paid -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122,093 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92,052 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ind w:left="0" w:right="0" w:hanging="180"/>
        <w:jc w:val="both"/>
        <w:rPr>
          <w:rFonts w:ascii="Arial;sans-serif" w:hAnsi="Arial;sans-serif"/>
          <w:b w:val="false"/>
          <w:i/>
          <w:color w:val="000000"/>
          <w:sz w:val="20"/>
          <w:u w:val="single"/>
        </w:rPr>
      </w:pPr>
      <w:r>
        <w:rPr>
          <w:rFonts w:ascii="Arial;sans-serif" w:hAnsi="Arial;sans-serif"/>
          <w:b w:val="false"/>
          <w:i/>
          <w:color w:val="000000"/>
          <w:sz w:val="20"/>
          <w:u w:val="single"/>
        </w:rPr>
        <w:t>Seasonality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Earnings of certain of our operating segments are seasonal in nature due to various recurring events, holidays and seasonal weather patterns, as well as the timing of our acquisitions during a given year. Historically, the third and fourth quarter have produced the highest net sales in our fiscal year.</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Related Party Transactions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Management Services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LLC entered into a MSA with CGM effective May 16, 2006, as amended. CGM is managed by Wayfinder Partners LLC, of which Zachary T. Sawtelle, the Company’s Chief Operating Officer, is the managing member. Elias J. Sabo, the Company’s Chief Executive Officer, is also member of CGM. CGM performs services for the LLC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5"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exchange for a management fee. The management fee is required to be paid prior to the payment of any distributions to shareholders.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Pursuant to the MSA, CGM is entitled to enter into off-setting management service agreements with each of the operating segments. The amount of the fee is negotiated between CGM and the operating management of each segment and is based upon the value of the services to be provided. The fees paid directly to CGM by the segments offset on a dollar for dollar basis the amount due CGM by the LLC under the MSA.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Amendment to Management Services Agreement</w:t>
      </w:r>
    </w:p>
    <w:p>
      <w:pPr>
        <w:pStyle w:val="TextBody"/>
        <w:bidi w:val="0"/>
        <w:spacing w:lineRule="auto" w:line="288" w:before="120" w:after="283"/>
        <w:jc w:val="both"/>
        <w:rPr/>
      </w:pPr>
      <w:r>
        <w:rPr>
          <w:rFonts w:ascii="Arial;sans-serif" w:hAnsi="Arial;sans-serif"/>
          <w:b w:val="false"/>
          <w:color w:val="000000"/>
          <w:sz w:val="20"/>
        </w:rPr>
        <w:t xml:space="preserve">On February 23, 2026, the LLC and CGM entered into an Eighth Amended and Restated Management Services Agreement (the “Eighth MSA amendment”), which amended and restated the parties’ MSA. The Eighth MSA Amendment, among other things, (i) established a repayment protocol for previously overpaid management fees, including permitting the Company, subject to interest, to fund all or a portion of otherwise payable quarterly fees while an overpayment balance remains outstanding, (ii) provided for a dollar-for-dollar reduction of fees payable under the MSA for certain services outsourced by the Company to third-party service providers and excluded such services from the scope of services to be provided by CGM, (iii) clarified requirements and restrictions applicable to personnel seconded by CGM to the Company, and (iv) updated certain operational, governance, authority and indemnification provisions. On July 12, 2026, the LLC and CGM entered into the Ninth MSA, which became effective upon execution and amends and restates the Eighth MSA. The fee and incentive-award provisions of the Ninth MSA become effective January 1, 2027, and the fee provisions of the Eighth MSA remain applicable through December 31, 2026. Refer to </w:t>
      </w:r>
      <w:hyperlink w:anchor="i29996918526446a59b54dc1fd0efe432_103">
        <w:r>
          <w:rPr>
            <w:rStyle w:val="InternetLink"/>
            <w:rFonts w:ascii="Arial;sans-serif" w:hAnsi="Arial;sans-serif"/>
            <w:b w:val="false"/>
            <w:color w:val="0000FF"/>
            <w:sz w:val="20"/>
            <w:u w:val="single"/>
          </w:rPr>
          <w:t>Note P - “Subsequent Events.”</w:t>
        </w:r>
      </w:hyperlink>
    </w:p>
    <w:p>
      <w:pPr>
        <w:pStyle w:val="TextBody"/>
        <w:bidi w:val="0"/>
        <w:spacing w:lineRule="auto" w:line="288" w:before="120" w:after="283"/>
        <w:jc w:val="both"/>
        <w:rPr/>
      </w:pPr>
      <w:r>
        <w:rPr>
          <w:rFonts w:ascii="Arial;sans-serif" w:hAnsi="Arial;sans-serif"/>
          <w:b w:val="false"/>
          <w:color w:val="000000"/>
          <w:sz w:val="20"/>
          <w:shd w:fill="FFFFFF" w:val="clear"/>
        </w:rPr>
        <w:t xml:space="preserve">For the three and six months ended June 30, 2026 and </w:t>
      </w:r>
      <w:r>
        <w:rPr>
          <w:rFonts w:ascii="Arial;sans-serif" w:hAnsi="Arial;sans-serif"/>
          <w:b w:val="false"/>
          <w:color w:val="000000"/>
          <w:sz w:val="20"/>
        </w:rPr>
        <w:t>2025</w:t>
      </w:r>
      <w:r>
        <w:rPr>
          <w:rFonts w:ascii="Arial;sans-serif" w:hAnsi="Arial;sans-serif"/>
          <w:b w:val="false"/>
          <w:color w:val="000000"/>
          <w:sz w:val="20"/>
          <w:shd w:fill="FFFFFF" w:val="clear"/>
        </w:rPr>
        <w:t>, the Company incurred the following management fees to CGM, by entity:</w:t>
      </w:r>
    </w:p>
    <w:tbl>
      <w:tblPr>
        <w:tblW w:w="7519" w:type="dxa"/>
        <w:jc w:val="center"/>
        <w:tblInd w:w="0" w:type="dxa"/>
        <w:tblLayout w:type="fixed"/>
        <w:tblCellMar>
          <w:top w:w="28" w:type="dxa"/>
          <w:left w:w="28" w:type="dxa"/>
          <w:bottom w:w="28" w:type="dxa"/>
          <w:right w:w="28" w:type="dxa"/>
        </w:tblCellMar>
      </w:tblPr>
      <w:tblGrid>
        <w:gridCol w:w="603"/>
        <w:gridCol w:w="529"/>
        <w:gridCol w:w="532"/>
        <w:gridCol w:w="230"/>
        <w:gridCol w:w="785"/>
        <w:gridCol w:w="118"/>
        <w:gridCol w:w="118"/>
        <w:gridCol w:w="118"/>
        <w:gridCol w:w="118"/>
        <w:gridCol w:w="230"/>
        <w:gridCol w:w="785"/>
        <w:gridCol w:w="118"/>
        <w:gridCol w:w="109"/>
        <w:gridCol w:w="109"/>
        <w:gridCol w:w="109"/>
        <w:gridCol w:w="250"/>
        <w:gridCol w:w="855"/>
        <w:gridCol w:w="129"/>
        <w:gridCol w:w="129"/>
        <w:gridCol w:w="129"/>
        <w:gridCol w:w="129"/>
        <w:gridCol w:w="250"/>
        <w:gridCol w:w="855"/>
        <w:gridCol w:w="182"/>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2025</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5.11</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Lugano </w:t>
            </w:r>
            <w:r>
              <w:rPr>
                <w:rFonts w:ascii="Arial;sans-serif" w:hAnsi="Arial;sans-serif"/>
                <w:b/>
                <w:color w:val="000000"/>
                <w:sz w:val="12"/>
              </w:rPr>
              <w:t>(1)</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Arnold Magnetics</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Rimports</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29,751 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37,898 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sans-serif" w:hAnsi="Arial;sans-serif"/>
          <w:b/>
          <w:color w:val="000000"/>
          <w:sz w:val="12"/>
        </w:rPr>
        <w:t>(1)</w:t>
      </w:r>
      <w:r>
        <w:rPr>
          <w:color w:val="000000"/>
        </w:rPr>
        <w:t xml:space="preserve"> </w:t>
      </w:r>
      <w:r>
        <w:rPr>
          <w:rFonts w:ascii="Arial;sans-serif" w:hAnsi="Arial;sans-serif"/>
          <w:b w:val="false"/>
          <w:color w:val="000000"/>
          <w:sz w:val="18"/>
        </w:rPr>
        <w:t>Lugano ceased paying a management fee to CGM in June 2025.</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Effect of Restatement on Management Fees </w:t>
      </w:r>
    </w:p>
    <w:p>
      <w:pPr>
        <w:pStyle w:val="TextBody"/>
        <w:bidi w:val="0"/>
        <w:spacing w:lineRule="auto" w:line="288" w:before="120" w:after="283"/>
        <w:jc w:val="both"/>
        <w:rPr/>
      </w:pPr>
      <w:r>
        <w:rPr>
          <w:rFonts w:ascii="Arial;sans-serif" w:hAnsi="Arial;sans-serif"/>
          <w:b w:val="false"/>
          <w:color w:val="000000"/>
          <w:sz w:val="20"/>
          <w:shd w:fill="FFFFFF" w:val="clear"/>
        </w:rPr>
        <w:t xml:space="preserve">As a result of the restatement of the financial statements as of December 31, 2024, 2023 and 2022 and for the years ended December 31, 2024, 2023 and 2022, as well as for the period ended December 31, 2021 and revisions made in the quarter ended March 31, 2025, the management fees paid to CGM were in excess of the amounts that should have been due under the MSA. While the MSA did not, prior to the Eighth MSA amendment, contain an express mechanism that permitted the Company to immediately clawback the overpayment of management fees during these periods, the MSA provided that future payments would be reduced, on a dollar-for-dollar basis, by the aggregate amount of all overpaid management fees. The Company calculated the total aggregate amount of excess management fees paid as a result of the restatement of the financial statements as </w:t>
      </w:r>
      <w:r>
        <w:rPr>
          <w:rFonts w:ascii="Arial;sans-serif" w:hAnsi="Arial;sans-serif"/>
          <w:b w:val="false"/>
          <w:color w:val="000000"/>
          <w:sz w:val="20"/>
        </w:rPr>
        <w:t xml:space="preserve">$50.4 million. </w:t>
      </w:r>
      <w:r>
        <w:rPr>
          <w:rFonts w:ascii="Arial;sans-serif" w:hAnsi="Arial;sans-serif"/>
          <w:b w:val="false"/>
          <w:color w:val="000000"/>
          <w:sz w:val="20"/>
          <w:shd w:fill="FFFFFF" w:val="clear"/>
        </w:rPr>
        <w:t xml:space="preserve">In 2025, restrictions </w:t>
      </w:r>
      <w:r>
        <w:rPr>
          <w:rFonts w:ascii="Arial;sans-serif" w:hAnsi="Arial;sans-serif"/>
          <w:b w:val="false"/>
          <w:color w:val="000000"/>
          <w:sz w:val="20"/>
        </w:rPr>
        <w:t>under</w:t>
      </w:r>
      <w:r>
        <w:rPr>
          <w:color w:val="000000"/>
          <w:shd w:fill="FFFFFF" w:val="clear"/>
        </w:rPr>
        <w:t xml:space="preserve"> </w:t>
      </w:r>
      <w:r>
        <w:rPr>
          <w:rFonts w:ascii="Arial;sans-serif" w:hAnsi="Arial;sans-serif"/>
          <w:b w:val="false"/>
          <w:color w:val="000000"/>
          <w:sz w:val="20"/>
          <w:shd w:fill="FFFFFF" w:val="clear"/>
        </w:rPr>
        <w:t xml:space="preserve">the Company’s </w:t>
      </w:r>
      <w:r>
        <w:rPr>
          <w:rFonts w:ascii="Arial;sans-serif" w:hAnsi="Arial;sans-serif"/>
          <w:b w:val="false"/>
          <w:color w:val="000000"/>
          <w:sz w:val="20"/>
        </w:rPr>
        <w:t>financing</w:t>
      </w:r>
      <w:r>
        <w:rPr>
          <w:color w:val="000000"/>
          <w:shd w:fill="FFFFFF" w:val="clear"/>
        </w:rPr>
        <w:t xml:space="preserve"> </w:t>
      </w:r>
      <w:r>
        <w:rPr>
          <w:rFonts w:ascii="Arial;sans-serif" w:hAnsi="Arial;sans-serif"/>
          <w:b w:val="false"/>
          <w:color w:val="000000"/>
          <w:sz w:val="20"/>
          <w:shd w:fill="FFFFFF" w:val="clear"/>
        </w:rPr>
        <w:t xml:space="preserve">arrangements limited the Company’s ability to pay management fees, resulting in management fee expense being incurred but not fully paid. </w:t>
      </w:r>
      <w:r>
        <w:rPr>
          <w:rFonts w:ascii="Arial;sans-serif" w:hAnsi="Arial;sans-serif"/>
          <w:b w:val="false"/>
          <w:color w:val="000000"/>
          <w:sz w:val="20"/>
        </w:rPr>
        <w:t>The</w:t>
      </w:r>
      <w:r>
        <w:rPr>
          <w:color w:val="000000"/>
          <w:shd w:fill="FFFFFF" w:val="clear"/>
        </w:rPr>
        <w:t xml:space="preserve"> </w:t>
      </w:r>
      <w:r>
        <w:rPr>
          <w:rFonts w:ascii="Arial;sans-serif" w:hAnsi="Arial;sans-serif"/>
          <w:b w:val="false"/>
          <w:color w:val="000000"/>
          <w:sz w:val="20"/>
          <w:shd w:fill="FFFFFF" w:val="clear"/>
        </w:rPr>
        <w:t xml:space="preserve">Company determined that the </w:t>
      </w:r>
      <w:r>
        <w:rPr>
          <w:rFonts w:ascii="Arial;sans-serif" w:hAnsi="Arial;sans-serif"/>
          <w:b w:val="false"/>
          <w:color w:val="000000"/>
          <w:sz w:val="20"/>
        </w:rPr>
        <w:t xml:space="preserve">amount of </w:t>
      </w:r>
      <w:r>
        <w:rPr>
          <w:rFonts w:ascii="Arial;sans-serif" w:hAnsi="Arial;sans-serif"/>
          <w:b w:val="false"/>
          <w:color w:val="000000"/>
          <w:sz w:val="20"/>
          <w:shd w:fill="FFFFFF" w:val="clear"/>
        </w:rPr>
        <w:t>management</w:t>
      </w:r>
      <w:r>
        <w:rPr>
          <w:color w:val="000000"/>
        </w:rPr>
        <w:t xml:space="preserve"> </w:t>
      </w:r>
      <w:r>
        <w:rPr>
          <w:rFonts w:ascii="Arial;sans-serif" w:hAnsi="Arial;sans-serif"/>
          <w:b w:val="false"/>
          <w:color w:val="000000"/>
          <w:sz w:val="20"/>
        </w:rPr>
        <w:t>fees that had been overpaid</w:t>
      </w:r>
      <w:r>
        <w:rPr>
          <w:color w:val="000000"/>
          <w:shd w:fill="FFFFFF" w:val="clear"/>
        </w:rPr>
        <w:t xml:space="preserve"> </w:t>
      </w:r>
      <w:r>
        <w:rPr>
          <w:rFonts w:ascii="Arial;sans-serif" w:hAnsi="Arial;sans-serif"/>
          <w:b w:val="false"/>
          <w:color w:val="000000"/>
          <w:sz w:val="20"/>
          <w:shd w:fill="FFFFFF" w:val="clear"/>
        </w:rPr>
        <w:t xml:space="preserve">at December 31, 2025 was $33.8 million, which was recorded as an asset (“Due from CGM”) and reduced management fee expense for the year ended December 31, 2025. </w:t>
      </w:r>
      <w:r>
        <w:rPr>
          <w:rFonts w:ascii="Arial;sans-serif" w:hAnsi="Arial;sans-serif"/>
          <w:b w:val="false"/>
          <w:color w:val="000000"/>
          <w:sz w:val="20"/>
        </w:rPr>
        <w:t>For the six months ended June 30, 2026, the Company recorded management fee expense</w:t>
      </w:r>
      <w:r>
        <w:rPr>
          <w:color w:val="000000"/>
          <w:shd w:fill="FFFFFF" w:val="clear"/>
        </w:rPr>
        <w:t xml:space="preserve"> </w:t>
      </w:r>
      <w:r>
        <w:rPr>
          <w:rFonts w:ascii="Arial;sans-serif" w:hAnsi="Arial;sans-serif"/>
          <w:b w:val="false"/>
          <w:color w:val="000000"/>
          <w:sz w:val="20"/>
          <w:shd w:fill="FFFFFF" w:val="clear"/>
        </w:rPr>
        <w:t>of $29.8 million</w:t>
      </w:r>
      <w:r>
        <w:rPr>
          <w:rFonts w:ascii="Arial;sans-serif" w:hAnsi="Arial;sans-serif"/>
          <w:b w:val="false"/>
          <w:color w:val="000000"/>
          <w:sz w:val="20"/>
        </w:rPr>
        <w:t xml:space="preserve">. During the six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605" cy="14605"/>
                <wp:effectExtent l="0" t="0" r="0" b="0"/>
                <wp:wrapNone/>
                <wp:docPr id="76" name="Frame7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val="false"/>
          <w:color w:val="000000"/>
          <w:sz w:val="20"/>
        </w:rPr>
        <w:t xml:space="preserve">months ended June 30, 2026, the Company reduced the Due from CGM balance by $14.9 million for management fees applied against the prior overpayment by reducing the management fee due to CGM. As of June 30, 2026, the Due from CGM balance of </w:t>
      </w:r>
      <w:r>
        <w:rPr>
          <w:rFonts w:ascii="Arial;sans-serif" w:hAnsi="Arial;sans-serif"/>
          <w:b w:val="false"/>
          <w:color w:val="000000"/>
          <w:sz w:val="20"/>
          <w:shd w:fill="FFFFFF" w:val="clear"/>
        </w:rPr>
        <w:t>$6.3 million</w:t>
      </w:r>
      <w:r>
        <w:rPr>
          <w:color w:val="000000"/>
        </w:rPr>
        <w:t xml:space="preserve"> </w:t>
      </w:r>
      <w:r>
        <w:rPr>
          <w:rFonts w:ascii="Arial;sans-serif" w:hAnsi="Arial;sans-serif"/>
          <w:b w:val="false"/>
          <w:color w:val="000000"/>
          <w:sz w:val="20"/>
        </w:rPr>
        <w:t xml:space="preserve">reflects amounts due from CGM of $19.3 million including interest expense in accordance with the Eighth MSA Amendment, net of management fees accrued of $13.0 million. After June 30, 2026, the Company elected to fund $6.365 million of the quarterly management fee that otherwise would have been payable for the second quarter of 2026.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expects to continue to reduce future management fee payments until the overpayment has been fully recouped.</w:t>
      </w:r>
    </w:p>
    <w:p>
      <w:pPr>
        <w:pStyle w:val="TextBody"/>
        <w:bidi w:val="0"/>
        <w:spacing w:lineRule="auto" w:line="288" w:before="240" w:after="283"/>
        <w:jc w:val="both"/>
        <w:rPr>
          <w:rFonts w:ascii="Arial;sans-serif" w:hAnsi="Arial;sans-serif"/>
          <w:b w:val="false"/>
          <w:i/>
          <w:color w:val="000000"/>
          <w:sz w:val="20"/>
          <w:u w:val="single"/>
        </w:rPr>
      </w:pPr>
      <w:r>
        <w:rPr>
          <w:rFonts w:ascii="Arial;sans-serif" w:hAnsi="Arial;sans-serif"/>
          <w:b w:val="false"/>
          <w:i/>
          <w:color w:val="000000"/>
          <w:sz w:val="20"/>
          <w:u w:val="single"/>
        </w:rPr>
        <w:t>Integration Services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 integration service fees were incurred during the six months ended June 30, 2026. During the first quarter of 2025, The Honey Pot Co. paid CGM $0.9 million in integration service fees under an integration services agreement that has since been fully paid. An amendment to the Management Services Agreement entered into in January 2025 eliminated integration service fees for future acquisitions.</w:t>
      </w:r>
    </w:p>
    <w:p>
      <w:pPr>
        <w:pStyle w:val="TextBody"/>
        <w:bidi w:val="0"/>
        <w:spacing w:lineRule="auto" w:line="288" w:before="120" w:after="283"/>
        <w:jc w:val="both"/>
        <w:rPr>
          <w:rFonts w:ascii="Arial;sans-serif" w:hAnsi="Arial;sans-serif"/>
          <w:b w:val="false"/>
          <w:i/>
          <w:color w:val="000000"/>
          <w:sz w:val="20"/>
          <w:u w:val="single"/>
        </w:rPr>
      </w:pPr>
      <w:r>
        <w:rPr>
          <w:rFonts w:ascii="Arial;sans-serif" w:hAnsi="Arial;sans-serif"/>
          <w:b w:val="false"/>
          <w:i/>
          <w:color w:val="000000"/>
          <w:sz w:val="20"/>
          <w:u w:val="single"/>
        </w:rPr>
        <w:t>Allocation Interests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have issued Allocation Interests, governed by our LLC agreement, to Sostratus, LLC (the "Holder") to receive distributions pursuant to a profit allocation formula upon the occurrence of certain events. The Holder is entitled to receive, if due pursuant to the profit allocation formula, an allocation payment upon the sale of a business (a "Sale Event") and upon election of the Holder during the 30-day period following the fifth anniversary of the date upon which we acquired a controlling interest in a business (a "Holding Event"). Payments of profit allocation to the Holder are accounted for as dividends declared on Allocation Interests and recorded in stockholders' equity once they are approved by the Company’s board of directors. </w:t>
      </w:r>
    </w:p>
    <w:p>
      <w:pPr>
        <w:pStyle w:val="TextBody"/>
        <w:bidi w:val="0"/>
        <w:spacing w:lineRule="auto" w:line="288" w:before="180" w:after="283"/>
        <w:jc w:val="both"/>
        <w:rPr/>
      </w:pPr>
      <w:r>
        <w:rPr>
          <w:rFonts w:ascii="Arial;sans-serif" w:hAnsi="Arial;sans-serif"/>
          <w:b w:val="false"/>
          <w:color w:val="000000"/>
          <w:sz w:val="20"/>
          <w:shd w:fill="FFFFFF" w:val="clear"/>
        </w:rPr>
        <w:t>The Lugano Bankruptcy was a Sale Event and any corresponding loss on such Sale Event will have the effect of reducing future allocation payments. The LLC Agreement also contains a mechanism to adjust future profit allocation payments by over-paid and under-paid profit distributions. The Company intends to cause future allocation payments to be adjusted, as necessary, to reflect the impact of the restatement of the Company’s financial statements</w:t>
      </w:r>
      <w:r>
        <w:rPr>
          <w:rFonts w:ascii="Arial;sans-serif" w:hAnsi="Arial;sans-serif"/>
          <w:b w:val="false"/>
          <w:color w:val="000000"/>
          <w:sz w:val="20"/>
        </w:rPr>
        <w:t>.</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sale of the Sterno food service product division in the second quarter of 2026 was a Sale Event. Although the sale of Sterno resulted in the calculation of a positive profit allocation distribution, no amount will be paid to the Holder as a result of the sale of Sterno as the amount of profit allocation payment due was not sufficient to exceed the high water mark in the profit allocation formula.</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5.11</w:t>
      </w:r>
    </w:p>
    <w:p>
      <w:pPr>
        <w:pStyle w:val="TextBody"/>
        <w:bidi w:val="0"/>
        <w:spacing w:lineRule="auto" w:line="288" w:before="120" w:after="283"/>
        <w:jc w:val="both"/>
        <w:rPr/>
      </w:pPr>
      <w:r>
        <w:rPr>
          <w:rFonts w:ascii="Arial;sans-serif" w:hAnsi="Arial;sans-serif"/>
          <w:b w:val="false"/>
          <w:i/>
          <w:color w:val="000000"/>
          <w:sz w:val="20"/>
        </w:rPr>
        <w:t xml:space="preserve">Related Party Vendor Purchases - </w:t>
      </w:r>
      <w:r>
        <w:rPr>
          <w:rFonts w:ascii="Arial;sans-serif" w:hAnsi="Arial;sans-serif"/>
          <w:b w:val="false"/>
          <w:color w:val="000000"/>
          <w:sz w:val="20"/>
        </w:rPr>
        <w:t>5.11 purchases inventory from a vendor who is a related party to 5.11 through one of the executive officers of 5.11 via the executive's 40% ownership interest in the vendor. 5.11 purchased approximately $0.2 million and $0.3 million during the three and six months ended</w:t>
      </w:r>
      <w:r>
        <w:rPr>
          <w:color w:val="000000"/>
        </w:rPr>
        <w:t xml:space="preserve"> </w:t>
      </w:r>
      <w:r>
        <w:rPr>
          <w:rFonts w:ascii="Arial;sans-serif" w:hAnsi="Arial;sans-serif"/>
          <w:b w:val="false"/>
          <w:color w:val="000000"/>
          <w:sz w:val="20"/>
        </w:rPr>
        <w:t xml:space="preserve">June 30, 2026, respectively, and $0.2 million and $0.6 million during the three and six months ended June 30, 2025, respectively in inventory from the vendor. </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BOA</w:t>
      </w:r>
    </w:p>
    <w:p>
      <w:pPr>
        <w:pStyle w:val="TextBody"/>
        <w:bidi w:val="0"/>
        <w:spacing w:lineRule="auto" w:line="288" w:before="120" w:after="283"/>
        <w:jc w:val="both"/>
        <w:rPr/>
      </w:pPr>
      <w:r>
        <w:rPr>
          <w:rFonts w:ascii="Arial;sans-serif" w:hAnsi="Arial;sans-serif"/>
          <w:b w:val="false"/>
          <w:i/>
          <w:color w:val="000000"/>
          <w:sz w:val="20"/>
        </w:rPr>
        <w:t xml:space="preserve">Related Party Vendor Purchases - </w:t>
      </w:r>
      <w:r>
        <w:rPr>
          <w:rFonts w:ascii="Arial;sans-serif" w:hAnsi="Arial;sans-serif"/>
          <w:b w:val="false"/>
          <w:color w:val="000000"/>
          <w:sz w:val="20"/>
        </w:rPr>
        <w:t>A contract manufacturer used by BOA as the primary supplier of molded injection parts is a noncontrolling shareholder of BOA. BOA purchased approxim</w:t>
      </w:r>
      <w:r>
        <w:rPr>
          <w:rFonts w:ascii="Arial;sans-serif" w:hAnsi="Arial;sans-serif"/>
          <w:b w:val="false"/>
          <w:color w:val="000000"/>
          <w:sz w:val="20"/>
          <w:shd w:fill="FFFFFF" w:val="clear"/>
        </w:rPr>
        <w:t>ately $12.9 million and $24.0 million from this supplier</w:t>
      </w:r>
      <w:r>
        <w:rPr>
          <w:color w:val="000000"/>
        </w:rPr>
        <w:t xml:space="preserve"> </w:t>
      </w:r>
      <w:r>
        <w:rPr>
          <w:rFonts w:ascii="Arial;sans-serif" w:hAnsi="Arial;sans-serif"/>
          <w:b w:val="false"/>
          <w:color w:val="000000"/>
          <w:sz w:val="20"/>
        </w:rPr>
        <w:t xml:space="preserve">during the three and six months ended June 30, 2026, respectively, and </w:t>
      </w:r>
      <w:r>
        <w:rPr>
          <w:rFonts w:ascii="Arial;sans-serif" w:hAnsi="Arial;sans-serif"/>
          <w:b w:val="false"/>
          <w:color w:val="000000"/>
          <w:sz w:val="20"/>
          <w:shd w:fill="FFFFFF" w:val="clear"/>
        </w:rPr>
        <w:t>$11.1 million and $23.1 million from this supplier</w:t>
      </w:r>
      <w:r>
        <w:rPr>
          <w:color w:val="000000"/>
        </w:rPr>
        <w:t xml:space="preserve"> </w:t>
      </w:r>
      <w:r>
        <w:rPr>
          <w:rFonts w:ascii="Arial;sans-serif" w:hAnsi="Arial;sans-serif"/>
          <w:b w:val="false"/>
          <w:color w:val="000000"/>
          <w:sz w:val="20"/>
        </w:rPr>
        <w:t>during the three and six months ended June 30, 2025, respectively.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Off-Balance Sheet Arrangements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no special purpose entities or off-balance sheet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7"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Critical Accounting Policies and Estimates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preparation of our financial statements in conformity with GAAP requires management to adopt accounting policies and make estimates and judgments that affect the amounts reported in the financial statements and accompanying notes. Actual results could differ from these estimates under different assumptions and judgments and uncertainties, and potentially could result in materially different results under different conditions. These critical accounting policies and estimates are reviewed periodically by our independent auditors and the audit committee of our board of directors.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Except as set forth below, our critical accounting estimates have not changed materially from those disclosed in Management’s Discussion and Analysis of Financial Condition and Results of Operations included in the 2025 Form 10-K.</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Goodwill and Indefinite-lived Intangible Asset Impairment Testing</w:t>
      </w:r>
    </w:p>
    <w:p>
      <w:pPr>
        <w:pStyle w:val="TextBody"/>
        <w:bidi w:val="0"/>
        <w:spacing w:lineRule="auto" w:line="288" w:before="120" w:after="283"/>
        <w:jc w:val="both"/>
        <w:rPr/>
      </w:pPr>
      <w:r>
        <w:rPr>
          <w:rFonts w:ascii="Arial;sans-serif" w:hAnsi="Arial;sans-serif"/>
          <w:b w:val="false"/>
          <w:color w:val="000000"/>
          <w:sz w:val="20"/>
        </w:rPr>
        <w:t>Goodwill represents the excess amount of the purchase price over the fair value of the assets acquired. Our goodwill and indefinite lived intangible assets are tested for impairment on an annual basis as of March 31</w:t>
      </w:r>
      <w:r>
        <w:rPr>
          <w:rFonts w:ascii="Arial;sans-serif" w:hAnsi="Arial;sans-serif"/>
          <w:b w:val="false"/>
          <w:color w:val="000000"/>
          <w:sz w:val="13"/>
        </w:rPr>
        <w:t>st</w:t>
      </w:r>
      <w:r>
        <w:rPr>
          <w:rFonts w:ascii="Arial;sans-serif" w:hAnsi="Arial;sans-serif"/>
          <w:b w:val="false"/>
          <w:color w:val="000000"/>
          <w:sz w:val="20"/>
        </w:rPr>
        <w:t>, and if current events or circumstances require, on an interim basis. Goodwill is allocated to various reporting units, which are generally an operating segment. Each of our subsidiary businesses represents a reporting unit.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Goodwill is tested for impairment at least annually and more frequently when events or changes in circumstances indicate that it is more-likely-than-not that the fair value of a reporting unit is less than its carrying amount. The determination of whether goodwill is impaired is a critical accounting estimate because it requires management to make significant judgments and assumptions when estimating the fair value of a reporting unit, and small changes in those judgments and assumptions could result in materially different fair value estimates and impairment conclusions. When qualitative factors are not sufficient to conclude that fair value exceeds carrying amount, we perform a quantitative goodwill impairment test and estimate reporting unit fair value using the income approach (discounted cash flow method), the market approach (guideline company multiples), or a weighting of the two methods. Key assumptions and estimates include projected revenue growth, operating margins, terminal growth rate, discount rate (including the weighted-average cost of capital and company-specific risk adjustments), and market multiples for comparable companies. These assumptions are based on historical performance, current and expected market and economic conditions, and our expectations regarding future operating performance; however, actual results may differ from those assumptions. Changes in the assumptions described above, including as a result of adverse changes in macroeconomic conditions, industry trends, competitive dynamics, customer demand, or our operating performance, could reduce the estimated fair value of a reporting unit and result in additional goodwill impairment charges in future periods.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addition, certain reporting units may have fair values that exceed carrying values by a limited margin and therefore may be more sensitive to changes in key valuation assumptions or adverse business conditions. We continue to monitor these reporting units, including changes in forecasted operating results, customer demand, input costs, interest rates, market multiples and other macroeconomic or industry-specific factors. With respect to the Altor reporting unit, management continues to monitor the impact of adverse macroeconomic conditions, including sustained pressure on material costs, freight and distribution costs, customer demand, and related operating margins. Although these factors have not resulted in the identification of a goodwill impairment triggering event as of June 30, 2026, Altor’s estimated fair value may not continue to exceed its carrying value by a sufficient margin if financial performance declines relative to forecast or if valuation assumptions, including projected revenue growth, margin recovery, discount rates or market multiples, change unfavorably. Accordingly, if current trends persist or worsen, or if Altor does not achieve the operating improvements reflected in management’s forecasts, the reporting unit could become more susceptible to failing a future quantitative impairment assessment, which could result in a goodwill impairment charge in a future period.</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Annual Impairment Testing</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2026 Annual Impairment Testing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Company’s annual goodwill impairment test as of March 31, 2026, the Company performed a qualitative assessment of its reporting units with goodwill balances to determine whether it was more-likely-than-not that the fair value of each reporting unit was less than its carrying amount. Based on this assessment, the Company concluded that it was more-likely-than-not that the fair value of each reporting unit exceeded its carrying amount, except for the PrimaLoft reporting unit. As a result, the Company performed a quantitative goodwill impairment test for the PrimaLoft reporting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8"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Arial;sans-serif" w:hAnsi="Arial;sans-serif"/>
          <w:b w:val="false"/>
          <w:color w:val="000000"/>
          <w:sz w:val="20"/>
        </w:rPr>
        <w:t xml:space="preserve">The Company estimated the fair value of the PrimaLoft reporting unit using a combination of the income approach (discounted cash flow method) and the market approach (guideline company multiples). Significant assumptions used in the quantitative test included, among others, projected revenue growth, operating margins, the terminal growth rate and the discount rate, each of which reflects management’s best estimates based on historical performance, current market conditions and expectations of future operating performance. </w:t>
      </w:r>
      <w:r>
        <w:rPr>
          <w:rFonts w:ascii="Arial;sans-serif" w:hAnsi="Arial;sans-serif"/>
          <w:b w:val="false"/>
          <w:color w:val="000000"/>
          <w:sz w:val="20"/>
          <w:shd w:fill="FFFFFF" w:val="clear"/>
        </w:rPr>
        <w:t xml:space="preserve">The discount rate used in the income approach was 13.4%. </w:t>
      </w:r>
      <w:r>
        <w:rPr>
          <w:rFonts w:ascii="Arial;sans-serif" w:hAnsi="Arial;sans-serif"/>
          <w:b w:val="false"/>
          <w:color w:val="000000"/>
          <w:sz w:val="20"/>
        </w:rPr>
        <w:t>The quantitative test indicated that the fair value of the PrimaLoft reporting unit was less than its carrying amount; accordingly, the Company recorded a goodwill impairment charge of $20.5 million during the quarter ended March 31, 2026, which is included in operating income/(loss) in the consolidated statements of operations.</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2025 Annual Impairment Testing</w:t>
      </w:r>
    </w:p>
    <w:p>
      <w:pPr>
        <w:pStyle w:val="TextBody"/>
        <w:bidi w:val="0"/>
        <w:spacing w:lineRule="auto" w:line="288" w:before="180" w:after="283"/>
        <w:jc w:val="both"/>
        <w:rPr/>
      </w:pPr>
      <w:r>
        <w:rPr>
          <w:rFonts w:ascii="Arial;sans-serif" w:hAnsi="Arial;sans-serif"/>
          <w:b w:val="false"/>
          <w:color w:val="000000"/>
          <w:sz w:val="20"/>
        </w:rPr>
        <w:t>For our annual impairment testing at March 31, 2025, we performed a qualitative assessment of our reporting units with goodwill balances. The results of the qualitative analysis indicated that it was more-likely-than-not that the fair value of each of our reporting units except PrimaLoft exceeded their carrying value. Based on our analysis, we determined that the PrimaLoft operating segment required quantitative testing because we could not conclude that the fair value of the reporting unit significantly exceeded the carrying value based on qualitative factors alone. We</w:t>
      </w:r>
      <w:r>
        <w:rPr>
          <w:color w:val="000000"/>
          <w:shd w:fill="FFFFFF" w:val="clear"/>
        </w:rPr>
        <w:t xml:space="preserve"> </w:t>
      </w:r>
      <w:r>
        <w:rPr>
          <w:rFonts w:ascii="Arial;sans-serif" w:hAnsi="Arial;sans-serif"/>
          <w:b w:val="false"/>
          <w:color w:val="000000"/>
          <w:sz w:val="20"/>
          <w:shd w:fill="FFFFFF" w:val="clear"/>
        </w:rPr>
        <w:t>performed a quantitative test of PrimaLoft using an income approach and a market approach to determine the fair value of the PrimaLoft reporting unit. The discount rate used in the income approach was 11.3%. The results of the testing indicated that the fair value of PrimaLoft exceeded the carrying value by 12.1%.</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2025 Interim Impairment Testing</w:t>
      </w:r>
    </w:p>
    <w:p>
      <w:pPr>
        <w:pStyle w:val="TextBody"/>
        <w:bidi w:val="0"/>
        <w:spacing w:lineRule="auto" w:line="288" w:before="180" w:after="283"/>
        <w:jc w:val="both"/>
        <w:rPr/>
      </w:pPr>
      <w:r>
        <w:rPr>
          <w:rFonts w:ascii="Arial;sans-serif" w:hAnsi="Arial;sans-serif"/>
          <w:b w:val="false"/>
          <w:color w:val="000000"/>
          <w:sz w:val="20"/>
          <w:u w:val="single"/>
        </w:rPr>
        <w:t>Arnold</w:t>
      </w:r>
      <w:r>
        <w:rPr>
          <w:color w:val="000000"/>
        </w:rPr>
        <w:t xml:space="preserve"> </w:t>
      </w:r>
      <w:r>
        <w:rPr>
          <w:rFonts w:ascii="Arial;sans-serif" w:hAnsi="Arial;sans-serif"/>
          <w:b w:val="false"/>
          <w:i/>
          <w:color w:val="000000"/>
          <w:sz w:val="20"/>
        </w:rPr>
        <w:t xml:space="preserve">- </w:t>
      </w:r>
      <w:r>
        <w:rPr>
          <w:rFonts w:ascii="Arial;sans-serif" w:hAnsi="Arial;sans-serif"/>
          <w:b w:val="false"/>
          <w:color w:val="000000"/>
          <w:sz w:val="20"/>
        </w:rPr>
        <w:t xml:space="preserve">During 2025, Arnold was negatively impacted by both production delays related to facility transitions, and supply chain constraints caused by export controls and disruption in the market for rare earth minerals, a key component in certain of Arnold's products. As a result, the operating results of Arnold were below our forecast and prior year results for the business. While Arnold's backlog continued to grow, the production delays and supply chain disruption caused by the export controls led us to determine that a triggering event occurred in the fourth quarter of 2025 and we performed an interim impairment test of goodwill as of October 31, 2025. We performed the impairment test using an income approach. The prospective financial information used in the income approach considered macroeconomic and geopolitical factors, industry and reporting unit specific data, and our best estimate of operational results and cash flows for the Arnold reporting unit as of the date of the impairment testing. </w:t>
      </w:r>
      <w:r>
        <w:rPr>
          <w:rFonts w:ascii="Arial;sans-serif" w:hAnsi="Arial;sans-serif"/>
          <w:b w:val="false"/>
          <w:color w:val="000000"/>
          <w:sz w:val="20"/>
          <w:shd w:fill="FFFFFF" w:val="clear"/>
        </w:rPr>
        <w:t xml:space="preserve">The discount rate used in the income approach was 14.2%. The results of the testing indicated that the fair value of Arnold exceeded the carrying value by 77%.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 xml:space="preserve">Indefinite-lived intangible asset </w:t>
      </w:r>
    </w:p>
    <w:p>
      <w:pPr>
        <w:pStyle w:val="TextBody"/>
        <w:bidi w:val="0"/>
        <w:spacing w:lineRule="auto" w:line="288" w:before="120" w:after="283"/>
        <w:jc w:val="both"/>
        <w:rPr/>
      </w:pPr>
      <w:r>
        <w:rPr>
          <w:rFonts w:ascii="Arial;sans-serif" w:hAnsi="Arial;sans-serif"/>
          <w:b w:val="false"/>
          <w:color w:val="000000"/>
          <w:sz w:val="20"/>
        </w:rPr>
        <w:t>The Company's indefinite lived intangible asset consisted of a tradename of approximately $30.8 million related to the Sterno food service business which was held for sale at March 31, 2026, and subsequently sold on May 1, 2026. Accordingly, the Company no longer has an indefinite intangible asset at June 30, 2026. Refer to "</w:t>
      </w:r>
      <w:hyperlink w:anchor="i29996918526446a59b54dc1fd0efe432_52">
        <w:r>
          <w:rPr>
            <w:rStyle w:val="InternetLink"/>
            <w:rFonts w:ascii="Arial;sans-serif" w:hAnsi="Arial;sans-serif"/>
            <w:b w:val="false"/>
            <w:color w:val="0000FF"/>
            <w:sz w:val="20"/>
            <w:u w:val="single"/>
          </w:rPr>
          <w:t>Note B - Dispositions</w:t>
        </w:r>
      </w:hyperlink>
      <w:r>
        <w:rPr>
          <w:rFonts w:ascii="Arial;sans-serif" w:hAnsi="Arial;sans-serif"/>
          <w:b w:val="false"/>
          <w:color w:val="000000"/>
          <w:sz w:val="20"/>
        </w:rPr>
        <w:t>" of the condensed consolidated financial statements.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20" w:after="283"/>
        <w:jc w:val="both"/>
        <w:rPr/>
      </w:pPr>
      <w:r>
        <w:rPr>
          <w:rFonts w:ascii="Arial;sans-serif" w:hAnsi="Arial;sans-serif"/>
          <w:b w:val="false"/>
          <w:color w:val="000000"/>
          <w:sz w:val="20"/>
        </w:rPr>
        <w:t xml:space="preserve">Refer to </w:t>
      </w:r>
      <w:hyperlink w:anchor="i29996918526446a59b54dc1fd0efe432_49">
        <w:r>
          <w:rPr>
            <w:rStyle w:val="InternetLink"/>
            <w:rFonts w:ascii="Arial;sans-serif" w:hAnsi="Arial;sans-serif"/>
            <w:b w:val="false"/>
            <w:color w:val="0000FF"/>
            <w:sz w:val="20"/>
            <w:u w:val="single"/>
          </w:rPr>
          <w:t>Note A - "Presentation and Principles of Consolidation"</w:t>
        </w:r>
      </w:hyperlink>
      <w:r>
        <w:rPr>
          <w:color w:val="000000"/>
        </w:rPr>
        <w:t xml:space="preserve"> </w:t>
      </w:r>
      <w:r>
        <w:rPr>
          <w:rFonts w:ascii="Arial;sans-serif" w:hAnsi="Arial;sans-serif"/>
          <w:b w:val="false"/>
          <w:color w:val="000000"/>
          <w:sz w:val="20"/>
        </w:rPr>
        <w:t>of the condensed consolidated financial statements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have been no material changes to our market risk since December 31, 2025. For a further discussion of our exposure to market risk, refer to the section entitled "Quantitative and Qualitative Disclosures about Market Risk" in Part II, Item 7A of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Disclosure Controls and Procedures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Management, with the participation of the Company’s Chief Executive Officer and Chief Financial Officer, evaluated the effectiveness of the Company’s disclosure controls and procedures as of the end of the period covered by this Form 10-Q. As previously disclosed in the 2025 Form 10-K, management identified material weaknesses in internal control over financial reporting. Because these material weaknesses described in the 2025 Form 10-K had not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79" name="Frame7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fully remediated as of June 30, 2026, management concluded that the Company’s disclosure controls and procedures were not effective as of that date.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Notwithstanding the identified material weaknesses, management, including the Chief Executive Officer and Chief Financial Officer, believes that the condensed consolidated financial statements included in this Quarterly Report fairly present, in all material respects, the Company’s financial position, results of operations and cash flows for the periods presented, in accordance with accounting principles generally accepted in the United States.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Changes in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previously disclosed in the 2025 Form 10-K, management developed a remediation plan to address the material weaknesses in the Company’s internal control over financial reporting. During the quarter ended June 30, 2026, the Company continued remediation activities, including the remediation activities described in the 2025 Form 10-K. These remediation activities were ongoing as of June 30, 2026 and had not fully remediated the material weaknesses as of that date. Except for the ongoing remediation activities described above, there were no changes in the Company’s internal control over financial reporting during the quarter ended June 30, 2026 that materially affected, or are reasonably likely to materially affect, the Company’s internal control over financial reporting.</w:t>
      </w:r>
    </w:p>
    <w:p>
      <w:pPr>
        <w:pStyle w:val="TextBody"/>
        <w:bidi w:val="0"/>
        <w:spacing w:before="0" w:after="0"/>
        <w:jc w:val="left"/>
        <w:rPr/>
      </w:pPr>
      <w:r>
        <w:rPr/>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80" name="Frame8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ITEM 1. LEGAL PROCEEDINGS </w:t>
      </w:r>
    </w:p>
    <w:p>
      <w:pPr>
        <w:pStyle w:val="TextBody"/>
        <w:bidi w:val="0"/>
        <w:spacing w:lineRule="auto" w:line="288" w:before="120" w:after="283"/>
        <w:jc w:val="both"/>
        <w:rPr/>
      </w:pPr>
      <w:r>
        <w:rPr>
          <w:rFonts w:ascii="Arial;sans-serif" w:hAnsi="Arial;sans-serif"/>
          <w:b w:val="false"/>
          <w:color w:val="000000"/>
          <w:sz w:val="20"/>
        </w:rPr>
        <w:t xml:space="preserve">Information regarding the Company's legal proceedings incorporated by reference from </w:t>
      </w:r>
      <w:hyperlink w:anchor="i29996918526446a59b54dc1fd0efe432_88">
        <w:r>
          <w:rPr>
            <w:rStyle w:val="InternetLink"/>
            <w:rFonts w:ascii="Arial;sans-serif" w:hAnsi="Arial;sans-serif"/>
            <w:b w:val="false"/>
            <w:color w:val="0000FF"/>
            <w:sz w:val="20"/>
            <w:u w:val="single"/>
          </w:rPr>
          <w:t>Note M - Commitments and Contingencies</w:t>
        </w:r>
      </w:hyperlink>
      <w:r>
        <w:rPr>
          <w:color w:val="000000"/>
        </w:rPr>
        <w:t xml:space="preserve"> </w:t>
      </w:r>
      <w:r>
        <w:rPr>
          <w:rFonts w:ascii="Arial;sans-serif" w:hAnsi="Arial;sans-serif"/>
          <w:b w:val="false"/>
          <w:color w:val="000000"/>
          <w:sz w:val="20"/>
        </w:rPr>
        <w:t>of the accompanying Notes to the condensed consolidated financial statements and should be read together with the section entitled "Legal Proceedings" that was disclosed in Part I, Item 3 of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ITEM 1A. RISK FACTORS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risk factors disclosed in our 2025 Form 10-K for the fiscal year ended December 31, 2025 should be considered together with information included in this Quarterly Report on Form 10-Q for the quarter ended June 30, 2026 and should not be considered the only risks to which we are exposed. Additional risks and uncertainties not currently known to us or that we currently believe are immaterial also may impair our business, including our results of operations, liquidity and financial condition. We believe there have been no material changes from the risk factors previously disclosed.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81" name="Frame8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24"/>
        <w:gridCol w:w="458"/>
        <w:gridCol w:w="459"/>
        <w:gridCol w:w="148"/>
        <w:gridCol w:w="148"/>
        <w:gridCol w:w="148"/>
        <w:gridCol w:w="2587"/>
        <w:gridCol w:w="2587"/>
        <w:gridCol w:w="2773"/>
        <w:gridCol w:w="109"/>
        <w:gridCol w:w="109"/>
        <w:gridCol w:w="155"/>
      </w:tblGrid>
      <w:tr>
        <w:trPr/>
        <w:tc>
          <w:tcPr>
            <w:tcW w:w="52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ITEM 6.</w:t>
            </w:r>
            <w:r>
              <w:rPr>
                <w:color w:val="000000"/>
              </w:rPr>
              <w:t xml:space="preserve">  </w:t>
            </w:r>
            <w:r>
              <w:rPr>
                <w:rFonts w:ascii="Arial;sans-serif" w:hAnsi="Arial;sans-serif"/>
                <w:b/>
                <w:color w:val="000000"/>
                <w:sz w:val="19"/>
              </w:rPr>
              <w:t>EXHIBITS</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Exhibit Number</w:t>
            </w:r>
          </w:p>
        </w:tc>
        <w:tc>
          <w:tcPr>
            <w:tcW w:w="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Description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8"/>
                  <w:u w:val="single"/>
                </w:rPr>
                <w:t>Third Amended and Restated Trust Agreement of the Trust (incorporated by reference to Exhibit 3.1 of the Form 8-K filed on August 4, 2021 (File No. 001-34927)).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8"/>
                  <w:u w:val="single"/>
                </w:rPr>
                <w:t>First Amendment to Third Amended and Restated Trust Agreement of the Trust (incorporated by reference to Exhibit 3.1 of the Form 8-K filed on September 3, 2024 (File No. 001-34926)).</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Sixth Amended and Restated Operating Agreement of the Company (incorporated by reference to Exhibit 3.2 of the Form 8-K filed on August 4, 2021 (File No. 001-34927)).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3.4</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8"/>
                  <w:u w:val="single"/>
                </w:rPr>
                <w:t>First Amendment to the Sixth Amended and Restated Operating Agreement of the Company (incorporated by reference to Exhibit 3.1 of the Form 8-K filed on February 14, 2022 (File No. 001-34927)).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3.5</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8"/>
                  <w:u w:val="single"/>
                </w:rPr>
                <w:t xml:space="preserve">Second Amendment to the Sixth Amended and Restated Trust agreement of the Trust (incorporated by reference to Exhibit 3.2 of the Form 8-K filed on September 3, 2024 (File No. 001-34926)). </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8"/>
                  <w:u w:val="single"/>
                </w:rPr>
                <w:t>Amended and Restated Share Designation of Compass Diversified Holdings with respect to Series A Preferred Shares (incorporated by reference to Exhibit 3.3 of the Form 8-K filed on August 4, 2021 (File No. 001-34927))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3.7</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8"/>
                  <w:u w:val="single"/>
                </w:rPr>
                <w:t>First Amendment to Amended and Restated Share Designation of Compass Diversified Holdings with respect to Series A Preferred Shares (incorporated by reference to Exhibit 3.1 of the Form 8-K filed on March 20, 2024 (File No. 001-34926)).</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3.8</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8"/>
                  <w:u w:val="single"/>
                </w:rPr>
                <w:t>Second Amendment to Amended and Restated Share Designation of Compass Diversified Holdings with respect to Series A Preferred Shares (incorporated by reference Exhibit 4.11 of the Form S-3 filed on September 4, 2024 (File No. 333-281931)).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3.9</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8"/>
                  <w:u w:val="single"/>
                </w:rPr>
                <w:t>Compass Group Diversified Holdings LLC Trust Interest Designation of Series A Trust Preferred Interests (incorporated by reference to Exhibit 3.2 of the Form 8-K filed on June 28, 2017 (File No. 001-34927))</w:t>
              </w:r>
            </w:hyperlink>
            <w:r>
              <w:rPr>
                <w:rFonts w:ascii="Arial;sans-serif" w:hAnsi="Arial;sans-serif"/>
                <w:b w:val="false"/>
                <w:color w:val="000000"/>
                <w:sz w:val="18"/>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3.10</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8"/>
                  <w:u w:val="single"/>
                </w:rPr>
                <w:t>First Amendment to Trust Interest Designation of Compass Group Diversified Holdings LLC with respect to Series A Trust Preferred Interests (incorporated by reference to Exhibit 3.4 of the Form 8-K filed on March 20, 2024 (File No. 001-34926)).</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18"/>
                  <w:u w:val="single"/>
                </w:rPr>
                <w:t>Second Amendment to Trust Interest Designation of Compass Group Diversified Holdings LLC with respect to Series A Trust Preferred Interests (incorporated by reference Exhibit 4.14 of the Form S-3 filed on September 4, 2024 (File No. 333-281931)).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18"/>
                  <w:u w:val="single"/>
                </w:rPr>
                <w:t>Amended and Restated Share Designation of Compass Diversified Holdings with respect to Series B Preferred Shares (incorporated by reference to Exhibit 3.4 of the Form 8-K filed on August 4, 2021 (File No. 001-34927)).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3.13</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18"/>
                  <w:u w:val="single"/>
                </w:rPr>
                <w:t>First Amendment to Amended and Restated Share Designation of Compass Diversified Holdings with respect to Series B Preferred Shares (incorporated by reference to Exhibit 3.2 of the Form 8-K filed on March 20, 2024 (File No. 001-34926)).</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3.14</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18"/>
                  <w:u w:val="single"/>
                </w:rPr>
                <w:t>Second Amendment to Amended and Restated Share Designation of Compass Diversified Holdings with respect to Series B Preferred Shares (incorporated by reference Exhibit 4.17 of the Form S-3 filed on September 4, 2024 (File No. 333-281931)).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3.15</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18"/>
                  <w:u w:val="single"/>
                </w:rPr>
                <w:t>Trust Interest Designation of Compass Group Diversified Holdings LLC with respect to Series B Trust Preferred Interests (incorporated by reference to Exhibit 3.2 of the Form 8-K filed on March 13, 2018 (File No. 001-34927)),</w:t>
              </w:r>
            </w:hyperlink>
            <w:r>
              <w:rPr>
                <w:color w:val="000000"/>
              </w:rPr>
              <w:t xml:space="preserve"> </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3.16</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18"/>
                  <w:u w:val="single"/>
                </w:rPr>
                <w:t>First Amendment to Trust Interest Designation of Compass Group Diversified Holdings LLC with respect to Series B Trust Preferred Interests (incorporated by reference to Exhibit 3.5 of the Form 8-K filed on March 20, 2024 (File No. 001-34926)).</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3.17</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18"/>
                  <w:u w:val="single"/>
                </w:rPr>
                <w:t>Second Amendment to Trust Interest Designation of Compass Group Diversified Holdings LLC with respect to Series B Trust Preferred Interests (incorporated by reference Exhibit 4.20 of the Form S-3 filed on September 4, 2024 (File No. 333-281931)).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82" name="Frame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1"/>
        <w:gridCol w:w="193"/>
        <w:gridCol w:w="194"/>
        <w:gridCol w:w="109"/>
        <w:gridCol w:w="109"/>
        <w:gridCol w:w="109"/>
        <w:gridCol w:w="3065"/>
        <w:gridCol w:w="2901"/>
        <w:gridCol w:w="2909"/>
        <w:gridCol w:w="109"/>
        <w:gridCol w:w="109"/>
        <w:gridCol w:w="157"/>
      </w:tblGrid>
      <w:tr>
        <w:trPr/>
        <w:tc>
          <w:tcPr>
            <w:tcW w:w="24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18"/>
                  <w:u w:val="single"/>
                </w:rPr>
                <w:t>Amended and Restated Share Designation of Compass Diversified Holdings with respect to Series C Preferred Shares (incorporated by reference to Exhibit 3.5 of the Form 8-K filed on August 4, 2021 (File No. 001-34927)).</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18"/>
                  <w:u w:val="single"/>
                </w:rPr>
                <w:t>First Amendment to Amended and Restated Share Designation of Compass Diversified Holdings with respect to Series C Preferred Shares (incorporated by reference to Exhibit 3.3 of the Form 8-K filed on March 20, 2024 (File No. 001-34926)).</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18"/>
                  <w:u w:val="single"/>
                </w:rPr>
                <w:t>Second Amendment to Amended and Restated Share Designation of Compass Diversified Holdings with respect to Series C Preferred Shares (incorporated by reference Exhibit 4.23 of the Form S-3 filed on September 4, 2024 (File No. 333-281931)).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18"/>
                  <w:u w:val="single"/>
                </w:rPr>
                <w:t>Trust Interest Designation of Compass Group Diversified Holdings LLC with respect to Series C Trust Preferred Interests (incorporated by reference to Exhibit 3.2 of the Form 8-K filed on November 20, 2019 (File No. 001-34927)).</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18"/>
                  <w:u w:val="single"/>
                </w:rPr>
                <w:t>First Amendment to Trust Interest Designation of Compass Group Diversified Holdings LLC with respect to Series C Trust Preferred Interests (incorporated by reference to Exhibit 3.6 of the Form 8-K filed on March 20, 2024 (File No. 001-34926)).</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18"/>
                  <w:u w:val="single"/>
                </w:rPr>
                <w:t>Second Amendment to Trust Interest Designation of Compass Group Diversified Holdings LLC with respect to Series C Trust Preferred Interests (incorporated by reference Exhibit 4.26 of the Form S-3 filed on September 4, 2024 (File No. 333-281931)).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18"/>
                  <w:u w:val="single"/>
                </w:rPr>
                <w:t>Ninth Amended and Restated Management Services Agreement by and between Compass Group Diversified Holdings LLC and Compass Group Management LLC, dated as of July 12, 2026 and originally effective as of May 16, 2006 (incorporated by reference to Exhibit 10.1 of the Form 8-K filed on July 13, 2026 (File Nos. 001-34926 and 001-34927)).</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ex102.htm">
              <w:r>
                <w:rPr>
                  <w:rStyle w:val="InternetLink"/>
                  <w:rFonts w:ascii="Arial;sans-serif" w:hAnsi="Arial;sans-serif"/>
                  <w:b w:val="false"/>
                  <w:color w:val="0000FF"/>
                  <w:sz w:val="18"/>
                  <w:u w:val="single"/>
                </w:rPr>
                <w:t>Settlement Agreement and Mutual Release, dated as of June 24, 2026, by and among Compass Group Diversified Holdings LLC, Lugano Holding, Inc., the Official Committee of Unsecured Creditors and the other parties thereto.</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ex103.htm">
              <w:r>
                <w:rPr>
                  <w:rStyle w:val="InternetLink"/>
                  <w:rFonts w:ascii="Arial;sans-serif" w:hAnsi="Arial;sans-serif"/>
                  <w:b w:val="false"/>
                  <w:color w:val="0000FF"/>
                  <w:sz w:val="18"/>
                  <w:u w:val="single"/>
                </w:rPr>
                <w:t>Plan Support Agreement, dated as of June 24, 2026, by and among Compass Group Diversified Holdings LLC, Lugano Holding, Inc., the Official Committee of Unsecured Creditors and the other parties thereto.</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sixthcreditfaci.htm">
              <w:r>
                <w:rPr>
                  <w:rStyle w:val="InternetLink"/>
                  <w:rFonts w:ascii="Arial;sans-serif" w:hAnsi="Arial;sans-serif"/>
                  <w:b w:val="false"/>
                  <w:color w:val="0000FF"/>
                  <w:sz w:val="18"/>
                  <w:u w:val="single"/>
                </w:rPr>
                <w:t>Sixth Amendment to Credit Agreement, dated August 6, 2026, by and among Compass Group Diversified Holdings LLC, the Lenders party thereto, and Bank of America, N.A., in its capacity as Administrative Agent for the Lenders, Swing Line Lender and L/C Issuer</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ex311.htm">
              <w:r>
                <w:rPr>
                  <w:rStyle w:val="InternetLink"/>
                  <w:rFonts w:ascii="Arial;sans-serif" w:hAnsi="Arial;sans-serif"/>
                  <w:b w:val="false"/>
                  <w:color w:val="0000FF"/>
                  <w:sz w:val="18"/>
                  <w:u w:val="single"/>
                </w:rPr>
                <w:t>Rule 13a-14(a)/15d-14(a) Certification of Chief Executive Officer of Registrant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ex312.htm">
              <w:r>
                <w:rPr>
                  <w:rStyle w:val="InternetLink"/>
                  <w:rFonts w:ascii="Arial;sans-serif" w:hAnsi="Arial;sans-serif"/>
                  <w:b w:val="false"/>
                  <w:color w:val="0000FF"/>
                  <w:sz w:val="18"/>
                  <w:u w:val="single"/>
                </w:rPr>
                <w:t xml:space="preserve">Rule 13a-14(a)/15d-14(a) Rule 13a-14(a)/15d-14(a) Certification of Chief Financial Officer of Registrant </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32.1*</w:t>
            </w:r>
            <w:r>
              <w:rPr>
                <w:rFonts w:ascii="Arial;sans-serif" w:hAnsi="Arial;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ex321.htm">
              <w:r>
                <w:rPr>
                  <w:rStyle w:val="InternetLink"/>
                  <w:rFonts w:ascii="Arial;sans-serif" w:hAnsi="Arial;sans-serif"/>
                  <w:b w:val="false"/>
                  <w:color w:val="0000FF"/>
                  <w:sz w:val="18"/>
                  <w:u w:val="single"/>
                </w:rPr>
                <w:t>Certification of Chief Executive Officer of Registrant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32.2*</w:t>
            </w:r>
            <w:r>
              <w:rPr>
                <w:rFonts w:ascii="Arial;sans-serif" w:hAnsi="Arial;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ex322.htm">
              <w:r>
                <w:rPr>
                  <w:rStyle w:val="InternetLink"/>
                  <w:rFonts w:ascii="Arial;sans-serif" w:hAnsi="Arial;sans-serif"/>
                  <w:b w:val="false"/>
                  <w:color w:val="0000FF"/>
                  <w:sz w:val="18"/>
                  <w:u w:val="single"/>
                </w:rPr>
                <w:t>Certification of Chief Financial Officer of Registrant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Instance Document -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83" name="Frame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83</w:t>
                      </w:r>
                    </w:p>
                  </w:txbxContent>
                </v:textbox>
                <w10:wrap type="none"/>
              </v:rect>
            </w:pict>
          </mc:Fallback>
        </mc:AlternateContent>
      </w:r>
    </w:p>
    <w:p>
      <w:pPr>
        <w:pStyle w:val="TextBody"/>
        <w:bidi w:val="0"/>
        <w:spacing w:before="0" w:after="0"/>
        <w:jc w:val="left"/>
        <w:rPr/>
      </w:pPr>
      <w:r>
        <w:rPr/>
      </w:r>
    </w:p>
    <w:tbl>
      <w:tblPr>
        <w:tblW w:w="6640"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1833"/>
        <w:gridCol w:w="1833"/>
        <w:gridCol w:w="1839"/>
        <w:gridCol w:w="109"/>
        <w:gridCol w:w="109"/>
        <w:gridCol w:w="154"/>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formatted as Inline XBRL and contained in Exhibit 101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90"/>
        <w:gridCol w:w="2890"/>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Denotes management contracts and compensatory plans or arrangements.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Schedules and similar attachments have been omitted in reliance on Item 601(a)(5) of Regulation S-K. The registrant will provide, on a supplemental basis, a copy of any omitted schedule or attachment to the SEC or its staff upon request.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84" name="Frame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240" w:after="283"/>
        <w:jc w:val="left"/>
        <w:rPr/>
      </w:pPr>
      <w:r>
        <w:rPr/>
      </w:r>
    </w:p>
    <w:tbl>
      <w:tblPr>
        <w:tblW w:w="5693" w:type="dxa"/>
        <w:jc w:val="left"/>
        <w:tblInd w:w="0" w:type="dxa"/>
        <w:tblLayout w:type="fixed"/>
        <w:tblCellMar>
          <w:top w:w="28" w:type="dxa"/>
          <w:left w:w="28" w:type="dxa"/>
          <w:bottom w:w="28" w:type="dxa"/>
          <w:right w:w="28" w:type="dxa"/>
        </w:tblCellMar>
      </w:tblPr>
      <w:tblGrid>
        <w:gridCol w:w="749"/>
        <w:gridCol w:w="657"/>
        <w:gridCol w:w="664"/>
        <w:gridCol w:w="339"/>
        <w:gridCol w:w="339"/>
        <w:gridCol w:w="339"/>
        <w:gridCol w:w="339"/>
        <w:gridCol w:w="339"/>
        <w:gridCol w:w="339"/>
        <w:gridCol w:w="460"/>
        <w:gridCol w:w="460"/>
        <w:gridCol w:w="669"/>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10, 2026</w:t>
            </w:r>
          </w:p>
        </w:tc>
        <w:tc>
          <w:tcPr>
            <w:tcW w:w="36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COMPASS DIVERSIFIED HOLDINGS</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Stephen Keller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Stephen Keller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Regular Trustee</w:t>
            </w:r>
          </w:p>
        </w:tc>
      </w:tr>
    </w:tbl>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240" w:after="283"/>
        <w:jc w:val="left"/>
        <w:rPr/>
      </w:pPr>
      <w:r>
        <w:rPr/>
      </w:r>
    </w:p>
    <w:tbl>
      <w:tblPr>
        <w:tblW w:w="8475" w:type="dxa"/>
        <w:jc w:val="left"/>
        <w:tblInd w:w="0" w:type="dxa"/>
        <w:tblLayout w:type="fixed"/>
        <w:tblCellMar>
          <w:top w:w="28" w:type="dxa"/>
          <w:left w:w="28" w:type="dxa"/>
          <w:bottom w:w="28" w:type="dxa"/>
          <w:right w:w="28" w:type="dxa"/>
        </w:tblCellMar>
      </w:tblPr>
      <w:tblGrid>
        <w:gridCol w:w="749"/>
        <w:gridCol w:w="657"/>
        <w:gridCol w:w="664"/>
        <w:gridCol w:w="455"/>
        <w:gridCol w:w="455"/>
        <w:gridCol w:w="455"/>
        <w:gridCol w:w="455"/>
        <w:gridCol w:w="455"/>
        <w:gridCol w:w="455"/>
        <w:gridCol w:w="1064"/>
        <w:gridCol w:w="1064"/>
        <w:gridCol w:w="1547"/>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10, 2026</w:t>
            </w:r>
          </w:p>
        </w:tc>
        <w:tc>
          <w:tcPr>
            <w:tcW w:w="64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COMPASS GROUP DIVERSIFIED HOLDINGS LLC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Stephen Keller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Stephen Keller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Chief Financial Officer</w:t>
              <w:br/>
              <w:t>(Principal Financial and Accounting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85" name="Frame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9"/>
        </w:rPr>
      </w:pPr>
      <w:r>
        <w:rPr>
          <w:rFonts w:ascii="Arial;sans-serif" w:hAnsi="Arial;sans-serif"/>
          <w:b/>
          <w:color w:val="000000"/>
          <w:sz w:val="19"/>
        </w:rPr>
        <w:t>EXHIBIT INDEX</w:t>
      </w:r>
    </w:p>
    <w:tbl>
      <w:tblPr>
        <w:tblW w:w="10205" w:type="dxa"/>
        <w:jc w:val="left"/>
        <w:tblInd w:w="0" w:type="dxa"/>
        <w:tblLayout w:type="fixed"/>
        <w:tblCellMar>
          <w:top w:w="28" w:type="dxa"/>
          <w:left w:w="28" w:type="dxa"/>
          <w:bottom w:w="28" w:type="dxa"/>
          <w:right w:w="28" w:type="dxa"/>
        </w:tblCellMar>
      </w:tblPr>
      <w:tblGrid>
        <w:gridCol w:w="522"/>
        <w:gridCol w:w="459"/>
        <w:gridCol w:w="460"/>
        <w:gridCol w:w="109"/>
        <w:gridCol w:w="109"/>
        <w:gridCol w:w="109"/>
        <w:gridCol w:w="2464"/>
        <w:gridCol w:w="2464"/>
        <w:gridCol w:w="3509"/>
      </w:tblGrid>
      <w:tr>
        <w:trPr/>
        <w:tc>
          <w:tcPr>
            <w:tcW w:w="5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3509"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Description</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18"/>
                  <w:u w:val="single"/>
                </w:rPr>
                <w:t>Third Amended and Restated Trust Agreement of the Trust (incorporated by reference to Exhibit 3.1 of the Form 8-K filed on August 4, 2021 (File No. 001-34927)).</w:t>
              </w:r>
            </w:hyperlink>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18"/>
                  <w:u w:val="single"/>
                </w:rPr>
                <w:t>First Amendment to Third Amended and Restated Trust Agreement of the Trust (incorporated by reference to Exhibit 3.1 of the Form 8-K filed on September 3, 2024 (File No. 001-34926)).</w:t>
              </w:r>
            </w:hyperlink>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18"/>
                  <w:u w:val="single"/>
                </w:rPr>
                <w:t>Sixth Amended and Restated Operating Agreement of the Company (incorporated by reference to Exhibit 3.2 of the Form 8-K filed on August 4, 2021 (File No. 001-34927)).</w:t>
              </w:r>
            </w:hyperlink>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18"/>
                  <w:u w:val="single"/>
                </w:rPr>
                <w:t>First Amendment to the Sixth Amended and Restated Operating Agreement of the Company (incorporated by reference to Exhibit 3.1 of the Form 8-K filed on February 14, 2022 (File No. 001-34927)).</w:t>
              </w:r>
            </w:hyperlink>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18"/>
                  <w:u w:val="single"/>
                </w:rPr>
                <w:t>Second Amendment to the Sixth Amended and Restated Trust agreement of the Trust (incorporated by reference to Exhibit 3.2 of the Form 8-K filed on September 3, 2024 (File No. 001-34926)).</w:t>
              </w:r>
            </w:hyperlink>
            <w:r>
              <w:rPr>
                <w:color w:val="000000"/>
              </w:rPr>
              <w:t xml:space="preserve"> </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18"/>
                  <w:u w:val="single"/>
                </w:rPr>
                <w:t>Amended and Restated Share Designation of Compass Diversified Holdings with respect to Series A Preferred Shares (incorporated by reference to Exhibit 3.3 of the Form 8-K filed on August 4, 2021 (File No. 001-34927))</w:t>
              </w:r>
            </w:hyperlink>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18"/>
                  <w:u w:val="single"/>
                </w:rPr>
                <w:t>First Amendment to Amended and Restated Share Designation of Compass Diversified Holdings with respect to Series A Preferred Shares (incorporated by reference to Exhibit 3.1 of the Form 8-K filed on March 20, 2024 (File No. 001-34926)).</w:t>
              </w:r>
            </w:hyperlink>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FF"/>
                  <w:sz w:val="18"/>
                  <w:u w:val="single"/>
                </w:rPr>
                <w:t>Second Amendment to Amended and Restated Share Designation of Compass Diversified Holdings with respect to Series A Preferred Shares (incorporated by reference Exhibit 4.11 of the Form S-3 filed on September 4, 2024 (File No. 333-281931)).</w:t>
              </w:r>
            </w:hyperlink>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FF"/>
                  <w:sz w:val="18"/>
                  <w:u w:val="single"/>
                </w:rPr>
                <w:t>Compass Group Diversified Holdings LLC Trust Interest Designation of Series A Trust Preferred Interests (incorporated by reference to Exhibit 3.2 of the Form 8-K filed on June 28, 2017 (File No. 001-34927))</w:t>
              </w:r>
            </w:hyperlink>
            <w:r>
              <w:rPr>
                <w:rFonts w:ascii="Arial;sans-serif" w:hAnsi="Arial;sans-serif"/>
                <w:b w:val="false"/>
                <w:color w:val="000000"/>
                <w:sz w:val="18"/>
              </w:rPr>
              <w:t>.</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rial;sans-serif" w:hAnsi="Arial;sans-serif"/>
                  <w:b w:val="false"/>
                  <w:color w:val="0000FF"/>
                  <w:sz w:val="18"/>
                  <w:u w:val="single"/>
                </w:rPr>
                <w:t>First Amendment to Trust Interest Designation of Compass Group Diversified Holdings LLC with respect to Series A Trust Preferred Interests (incorporated by reference to Exhibit 3.4 of the Form 8-K filed on March 20, 2024 (File No. 001-34926)).</w:t>
              </w:r>
            </w:hyperlink>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sans-serif" w:hAnsi="Arial;sans-serif"/>
                  <w:b w:val="false"/>
                  <w:color w:val="0000FF"/>
                  <w:sz w:val="18"/>
                  <w:u w:val="single"/>
                </w:rPr>
                <w:t>Second Amendment to Trust Interest Designation of Compass Group Diversified Holdings LLC with respect to Series A Trust Preferred Interests (incorporated by reference Exhibit 4.14 of the Form S-3 filed on September 4, 2024 (File No. 333-281931)).</w:t>
              </w:r>
            </w:hyperlink>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Arial;sans-serif" w:hAnsi="Arial;sans-serif"/>
                  <w:b w:val="false"/>
                  <w:color w:val="0000FF"/>
                  <w:sz w:val="18"/>
                  <w:u w:val="single"/>
                </w:rPr>
                <w:t>Amended and Restated Share Designation of Compass Diversified Holdings with respect to Series B Preferred Shares (incorporated by reference to Exhibit 3.4 of the Form 8-K filed on August 4, 2021 (File No. 001-34927)).</w:t>
              </w:r>
            </w:hyperlink>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Arial;sans-serif" w:hAnsi="Arial;sans-serif"/>
                  <w:b w:val="false"/>
                  <w:color w:val="0000FF"/>
                  <w:sz w:val="18"/>
                  <w:u w:val="single"/>
                </w:rPr>
                <w:t>First Amendment to Amended and Restated Share Designation of Compass Diversified Holdings with respect to Series B Preferred Shares (incorporated by reference to Exhibit 3.2 of the Form 8-K filed on March 20, 2024 (File No. 001-34926)).</w:t>
              </w:r>
            </w:hyperlink>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Arial;sans-serif" w:hAnsi="Arial;sans-serif"/>
                  <w:b w:val="false"/>
                  <w:color w:val="0000FF"/>
                  <w:sz w:val="18"/>
                  <w:u w:val="single"/>
                </w:rPr>
                <w:t>Second Amendment to Amended and Restated Share Designation of Compass Diversified Holdings with respect to Series B Preferred Shares (incorporated by reference Exhibit 4.17 of the Form S-3 filed on September 4, 2024 (File No. 333-281931)).</w:t>
              </w:r>
            </w:hyperlink>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rial;sans-serif" w:hAnsi="Arial;sans-serif"/>
                  <w:b w:val="false"/>
                  <w:color w:val="0000FF"/>
                  <w:sz w:val="18"/>
                  <w:u w:val="single"/>
                </w:rPr>
                <w:t>Trust Interest Designation of Compass Group Diversified Holdings LLC with respect to Series B Trust Preferred Interests (incorporated by reference to Exhibit 3.2 of the Form 8-K filed on March 13, 2018 (File No. 001-34927)),</w:t>
              </w:r>
            </w:hyperlink>
            <w:r>
              <w:rPr>
                <w:color w:val="000000"/>
              </w:rPr>
              <w:t xml:space="preserve"> </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Arial;sans-serif" w:hAnsi="Arial;sans-serif"/>
                  <w:b w:val="false"/>
                  <w:color w:val="0000FF"/>
                  <w:sz w:val="18"/>
                  <w:u w:val="single"/>
                </w:rPr>
                <w:t>First Amendment to Trust Interest Designation of Compass Group Diversified Holdings LLC with respect to Series B Trust Preferred Interests (incorporated by reference to Exhibit 3.5 of the Form 8-K filed on March 20, 2024 (File No. 001-34926)).</w:t>
              </w:r>
            </w:hyperlink>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Arial;sans-serif" w:hAnsi="Arial;sans-serif"/>
                  <w:b w:val="false"/>
                  <w:color w:val="0000FF"/>
                  <w:sz w:val="18"/>
                  <w:u w:val="single"/>
                </w:rPr>
                <w:t>Second Amendment to Trust Interest Designation of Compass Group Diversified Holdings LLC with respect to Series B Trust Preferred Interests (incorporated by reference Exhibit 4.20 of the Form S-3 filed on September 4, 2024 (File No. 333-281931)).</w:t>
              </w:r>
            </w:hyperlink>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86" name="Frame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3"/>
        <w:gridCol w:w="194"/>
        <w:gridCol w:w="196"/>
        <w:gridCol w:w="109"/>
        <w:gridCol w:w="109"/>
        <w:gridCol w:w="109"/>
        <w:gridCol w:w="2821"/>
        <w:gridCol w:w="2660"/>
        <w:gridCol w:w="3764"/>
      </w:tblGrid>
      <w:tr>
        <w:trPr/>
        <w:tc>
          <w:tcPr>
            <w:tcW w:w="2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FF"/>
                  <w:sz w:val="18"/>
                  <w:u w:val="single"/>
                </w:rPr>
                <w:t>Amended and Restated Share Designation of Compass Diversified Holdings with respect to Series C Preferred Shares (incorporated by reference to Exhibit 3.5 of the Form 8-K filed on August 4, 2021 (File No. 001-34927)).</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rial;sans-serif" w:hAnsi="Arial;sans-serif"/>
                  <w:b w:val="false"/>
                  <w:color w:val="0000FF"/>
                  <w:sz w:val="18"/>
                  <w:u w:val="single"/>
                </w:rPr>
                <w:t>First Amendment to Amended and Restated Share Designation of Compass Diversified Holdings with respect to Series C Preferred Shares (incorporated by reference to Exhibit 3.3 of the Form 8-K filed on March 20, 2024 (File No. 001-34926)).</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Arial;sans-serif" w:hAnsi="Arial;sans-serif"/>
                  <w:b w:val="false"/>
                  <w:color w:val="0000FF"/>
                  <w:sz w:val="18"/>
                  <w:u w:val="single"/>
                </w:rPr>
                <w:t>Second Amendment to Amended and Restated Share Designation of Compass Diversified Holdings with respect to Series C Preferred Shares (incorporated by reference Exhibit 4.23 of the Form S-3 filed on September 4, 2024 (File No. 333-281931)).</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Arial;sans-serif" w:hAnsi="Arial;sans-serif"/>
                  <w:b w:val="false"/>
                  <w:color w:val="0000FF"/>
                  <w:sz w:val="18"/>
                  <w:u w:val="single"/>
                </w:rPr>
                <w:t>Trust Interest Designation of Compass Group Diversified Holdings LLC with respect to Series C Trust Preferred Interests (incorporated by reference to Exhibit 3.2 of the Form 8-K filed on November 20, 2019 (File No. 001-34927)).</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Arial;sans-serif" w:hAnsi="Arial;sans-serif"/>
                  <w:b w:val="false"/>
                  <w:color w:val="0000FF"/>
                  <w:sz w:val="18"/>
                  <w:u w:val="single"/>
                </w:rPr>
                <w:t>First Amendment to Trust Interest Designation of Compass Group Diversified Holdings LLC with respect to Series C Trust Preferred Interests (incorporated by reference to Exhibit 3.6 of the Form 8-K filed on March 20, 2024 (File No. 001-34926)).</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Arial;sans-serif" w:hAnsi="Arial;sans-serif"/>
                  <w:b w:val="false"/>
                  <w:color w:val="0000FF"/>
                  <w:sz w:val="18"/>
                  <w:u w:val="single"/>
                </w:rPr>
                <w:t>Second Amendment to Trust Interest Designation of Compass Group Diversified Holdings LLC with respect to Series C Trust Preferred Interests (incorporated by reference Exhibit 4.26 of the Form S-3 filed on September 4, 2024 (File No. 333-281931)).</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Arial;sans-serif" w:hAnsi="Arial;sans-serif"/>
                  <w:b w:val="false"/>
                  <w:color w:val="0000FF"/>
                  <w:sz w:val="18"/>
                  <w:u w:val="single"/>
                </w:rPr>
                <w:t>Ninth Amended and Restated Management Services Agreement by and between Compass Group Diversified Holdings LLC and Compass Group Management LLC, dated as of July 12, 2026 and originally effective as of May 16, 2006 (incorporated by reference to Exhibit 10.1 of the Form 8-K filed on July 13, 2026 (File Nos. 001-34926 and 001-34927)).</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ex102.htm">
              <w:r>
                <w:rPr>
                  <w:rStyle w:val="InternetLink"/>
                  <w:rFonts w:ascii="Arial;sans-serif" w:hAnsi="Arial;sans-serif"/>
                  <w:b w:val="false"/>
                  <w:color w:val="0000FF"/>
                  <w:sz w:val="18"/>
                  <w:u w:val="single"/>
                </w:rPr>
                <w:t>Settlement Agreement and Mutual Release, dated as of June 24, 2026, by and among Compass Group Diversified Holdings LLC, Lugano Holding, Inc., the Official Committee of Unsecured Creditors and the other parties thereto.</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ex103.htm">
              <w:r>
                <w:rPr>
                  <w:rStyle w:val="InternetLink"/>
                  <w:rFonts w:ascii="Arial;sans-serif" w:hAnsi="Arial;sans-serif"/>
                  <w:b w:val="false"/>
                  <w:color w:val="0000FF"/>
                  <w:sz w:val="18"/>
                  <w:u w:val="single"/>
                </w:rPr>
                <w:t>Plan Support Agreement, dated as of June 24, 2026, by and among Compass Group Diversified Holdings LLC, Lugano Holding, Inc., the Official Committee of Unsecured Creditors and the other parties thereto.</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sixthcreditfaci.htm">
              <w:r>
                <w:rPr>
                  <w:rStyle w:val="InternetLink"/>
                  <w:rFonts w:ascii="Arial;sans-serif" w:hAnsi="Arial;sans-serif"/>
                  <w:b w:val="false"/>
                  <w:color w:val="0000FF"/>
                  <w:sz w:val="18"/>
                  <w:u w:val="single"/>
                </w:rPr>
                <w:t>Sixth Amendment to Credit Agreement, dated August 6, 2026, by and among Compass Group Diversified Holdings LLC, the Lenders party thereto, and Bank of America, N.A., in its capacity as Administrative Agent for the Lenders, Swing Line Lender and L/C Issuer</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ex311.htm">
              <w:r>
                <w:rPr>
                  <w:rStyle w:val="InternetLink"/>
                  <w:rFonts w:ascii="Arial;sans-serif" w:hAnsi="Arial;sans-serif"/>
                  <w:b w:val="false"/>
                  <w:color w:val="0000FF"/>
                  <w:sz w:val="18"/>
                  <w:u w:val="single"/>
                </w:rPr>
                <w:t>Rule 13a-14(a)/15d-14(a) Certification of Chief Executive Officer of Registrant</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ex312.htm">
              <w:r>
                <w:rPr>
                  <w:rStyle w:val="InternetLink"/>
                  <w:rFonts w:ascii="Arial;sans-serif" w:hAnsi="Arial;sans-serif"/>
                  <w:b w:val="false"/>
                  <w:color w:val="0000FF"/>
                  <w:sz w:val="18"/>
                  <w:u w:val="single"/>
                </w:rPr>
                <w:t>Rule 13a-14(a)/15d-14(a) Certification of Chief Financial Officer of Registrant</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32.1*</w:t>
            </w:r>
            <w:r>
              <w:rPr>
                <w:rFonts w:ascii="Arial;sans-serif" w:hAnsi="Arial;sans-serif"/>
                <w:b/>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ex321.htm">
              <w:r>
                <w:rPr>
                  <w:rStyle w:val="InternetLink"/>
                  <w:rFonts w:ascii="Arial;sans-serif" w:hAnsi="Arial;sans-serif"/>
                  <w:b w:val="false"/>
                  <w:color w:val="0000FF"/>
                  <w:sz w:val="18"/>
                  <w:u w:val="single"/>
                </w:rPr>
                <w:t>Certification of Chief Executive Officer of Registrant pursuant to 18 U.S.C. Section 1350, as adopted pursuant to Section 906 of the Sarbanes-Oxley Act of 2002</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32.2*</w:t>
            </w:r>
            <w:r>
              <w:rPr>
                <w:rFonts w:ascii="Arial;sans-serif" w:hAnsi="Arial;sans-serif"/>
                <w:b/>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ex322.htm">
              <w:r>
                <w:rPr>
                  <w:rStyle w:val="InternetLink"/>
                  <w:rFonts w:ascii="Arial;sans-serif" w:hAnsi="Arial;sans-serif"/>
                  <w:b w:val="false"/>
                  <w:color w:val="0000FF"/>
                  <w:sz w:val="18"/>
                  <w:u w:val="single"/>
                </w:rPr>
                <w:t>Certification of Chief Financial Officer of Registrant pursuant to 18 U.S.C. Section 1350, as adopted pursuant to Section 906 of the Sarbanes-Oxley Act of 2002</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Instance Document - the instance document does not appear in the Interactive Data File because its XBRL tags are embedded within the Inline XBRL document.</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445"/>
                <wp:effectExtent l="0" t="0" r="0" b="0"/>
                <wp:wrapNone/>
                <wp:docPr id="87" name="Frame8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87</w:t>
                      </w:r>
                    </w:p>
                  </w:txbxContent>
                </v:textbox>
                <w10:wrap type="none"/>
              </v:rect>
            </w:pict>
          </mc:Fallback>
        </mc:AlternateContent>
      </w:r>
    </w:p>
    <w:p>
      <w:pPr>
        <w:pStyle w:val="TextBody"/>
        <w:bidi w:val="0"/>
        <w:spacing w:before="0" w:after="0"/>
        <w:jc w:val="left"/>
        <w:rPr/>
      </w:pPr>
      <w:r>
        <w:rPr/>
      </w:r>
    </w:p>
    <w:tbl>
      <w:tblPr>
        <w:tblW w:w="6313"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1623"/>
        <w:gridCol w:w="1623"/>
        <w:gridCol w:w="2304"/>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formatted as Inline XBRL and contained in Exhibit 101</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78"/>
        <w:gridCol w:w="2878"/>
        <w:gridCol w:w="41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41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Filed herewith.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Denotes management contracts and compensatory plans or arrangements.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Schedules and similar attachments have been omitted in reliance on Item 601(a)(5) of Regulation S-K. The registrant will provide, on a supplemental basis, a copy of any omitted schedule or attachment to the SEC or its staff upon request.</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1445"/>
                <wp:effectExtent l="0" t="0" r="0" b="0"/>
                <wp:wrapNone/>
                <wp:docPr id="88" name="Frame8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NOTHING CONTAINED IN THIS SETTLEMENT AGREEMENT AND MUTUAL RELEASE SHALL BE AN ADMISSION OF FACT OR LIABILITY OR, UNTIL THE OCCURRENCE OF THE EFFECTIVE DATE ON THE TERMS DESCRIBED IN THIS AGREEMENT, DEEMED BINDING ON ANY OF THE PARTIES TO THIS AGREEMENT.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SETTLEMENT AGREEMENT AND MUTUAL RELEASE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This SETTLEMENT AGREEMENT AND MUTUAL RELEASE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made and entered into by and among (i) Lugano Diamonds &amp; Jewelry Inc., (ii) Lugano Buyer, Inc., (iii) K.L.D. Jewelry, LLC, (iv) Lugano Prive, LLC, (v) Lugano Holding, Inc. (together with the entities identified in (i)-(iv), the “</w:t>
      </w:r>
      <w:r>
        <w:rPr>
          <w:rFonts w:ascii="Times New Roman;serif" w:hAnsi="Times New Roman;serif"/>
          <w:b/>
          <w:i/>
          <w:color w:val="000000"/>
          <w:sz w:val="24"/>
        </w:rPr>
        <w:t>Debtors</w:t>
      </w:r>
      <w:r>
        <w:rPr>
          <w:color w:val="000000"/>
        </w:rPr>
        <w:t>”</w:t>
      </w:r>
      <w:r>
        <w:rPr>
          <w:rFonts w:ascii="Times New Roman;serif" w:hAnsi="Times New Roman;serif"/>
          <w:b w:val="false"/>
          <w:color w:val="000000"/>
          <w:sz w:val="24"/>
        </w:rPr>
        <w:t>), (vi) Compass Diversified Holdings (“</w:t>
      </w:r>
      <w:r>
        <w:rPr>
          <w:rFonts w:ascii="Times New Roman;serif" w:hAnsi="Times New Roman;serif"/>
          <w:b/>
          <w:i/>
          <w:color w:val="000000"/>
          <w:sz w:val="24"/>
        </w:rPr>
        <w:t>CODI Parent</w:t>
      </w:r>
      <w:r>
        <w:rPr>
          <w:color w:val="000000"/>
        </w:rPr>
        <w:t>”</w:t>
      </w:r>
      <w:r>
        <w:rPr>
          <w:rFonts w:ascii="Times New Roman;serif" w:hAnsi="Times New Roman;serif"/>
          <w:b w:val="false"/>
          <w:color w:val="000000"/>
          <w:sz w:val="24"/>
        </w:rPr>
        <w:t>); (vii) Compass Group Diversified Holdings LLC (“</w:t>
      </w:r>
      <w:r>
        <w:rPr>
          <w:rFonts w:ascii="Times New Roman;serif" w:hAnsi="Times New Roman;serif"/>
          <w:b/>
          <w:i/>
          <w:color w:val="000000"/>
          <w:sz w:val="24"/>
        </w:rPr>
        <w:t>CODI</w:t>
      </w:r>
      <w:r>
        <w:rPr>
          <w:color w:val="000000"/>
        </w:rPr>
        <w:t>”</w:t>
      </w:r>
      <w:r>
        <w:rPr>
          <w:rFonts w:ascii="Times New Roman;serif" w:hAnsi="Times New Roman;serif"/>
          <w:b w:val="false"/>
          <w:color w:val="000000"/>
          <w:sz w:val="24"/>
        </w:rPr>
        <w:t>), (viii) Compass Group Management LLC (“</w:t>
      </w:r>
      <w:r>
        <w:rPr>
          <w:rFonts w:ascii="Times New Roman;serif" w:hAnsi="Times New Roman;serif"/>
          <w:b/>
          <w:i/>
          <w:color w:val="000000"/>
          <w:sz w:val="24"/>
        </w:rPr>
        <w:t>CGM</w:t>
      </w:r>
      <w:r>
        <w:rPr>
          <w:color w:val="000000"/>
        </w:rPr>
        <w:t>”</w:t>
      </w:r>
      <w:r>
        <w:rPr>
          <w:rFonts w:ascii="Times New Roman;serif" w:hAnsi="Times New Roman;serif"/>
          <w:b w:val="false"/>
          <w:color w:val="000000"/>
          <w:sz w:val="24"/>
        </w:rPr>
        <w:t>), (ix) Sostratus, LLC (“</w:t>
      </w:r>
      <w:r>
        <w:rPr>
          <w:rFonts w:ascii="Times New Roman;serif" w:hAnsi="Times New Roman;serif"/>
          <w:b/>
          <w:i/>
          <w:color w:val="000000"/>
          <w:sz w:val="24"/>
        </w:rPr>
        <w:t>Sostratus</w:t>
      </w:r>
      <w:r>
        <w:rPr>
          <w:color w:val="000000"/>
        </w:rPr>
        <w:t>”</w:t>
      </w:r>
      <w:r>
        <w:rPr>
          <w:rFonts w:ascii="Times New Roman;serif" w:hAnsi="Times New Roman;serif"/>
          <w:b w:val="false"/>
          <w:color w:val="000000"/>
          <w:sz w:val="24"/>
        </w:rPr>
        <w:t>), and (x) the Official Committee of Unsecured Creditors of the Debtors (the “</w:t>
      </w:r>
      <w:r>
        <w:rPr>
          <w:rFonts w:ascii="Times New Roman;serif" w:hAnsi="Times New Roman;serif"/>
          <w:b/>
          <w:i/>
          <w:color w:val="000000"/>
          <w:sz w:val="24"/>
        </w:rPr>
        <w:t>UCC</w:t>
      </w:r>
      <w:r>
        <w:rPr>
          <w:color w:val="000000"/>
        </w:rPr>
        <w:t>”</w:t>
      </w:r>
      <w:r>
        <w:rPr>
          <w:rFonts w:ascii="Times New Roman;serif" w:hAnsi="Times New Roman;serif"/>
          <w:b w:val="false"/>
          <w:color w:val="000000"/>
          <w:sz w:val="24"/>
        </w:rPr>
        <w:t>). The Debtors, CODI, CGM, Sostratus, and the UCC are each referred to herein individually as a “</w:t>
      </w:r>
      <w:r>
        <w:rPr>
          <w:rFonts w:ascii="Times New Roman;serif" w:hAnsi="Times New Roman;serif"/>
          <w:b/>
          <w:i/>
          <w:color w:val="000000"/>
          <w:sz w:val="24"/>
        </w:rPr>
        <w:t>Party</w:t>
      </w:r>
      <w:r>
        <w:rPr>
          <w:color w:val="000000"/>
        </w:rPr>
        <w:t xml:space="preserve">” </w:t>
      </w:r>
      <w:r>
        <w:rPr>
          <w:rFonts w:ascii="Times New Roman;serif" w:hAnsi="Times New Roman;serif"/>
          <w:b w:val="false"/>
          <w:color w:val="000000"/>
          <w:sz w:val="24"/>
        </w:rPr>
        <w:t>and collectively as the “</w:t>
      </w:r>
      <w:r>
        <w:rPr>
          <w:rFonts w:ascii="Times New Roman;serif" w:hAnsi="Times New Roman;serif"/>
          <w:b/>
          <w:i/>
          <w:color w:val="000000"/>
          <w:sz w:val="24"/>
        </w:rPr>
        <w:t>Parties</w:t>
      </w:r>
      <w:r>
        <w:rPr>
          <w:rFonts w:ascii="Times New Roman;serif" w:hAnsi="Times New Roman;serif"/>
          <w:b w:val="false"/>
          <w:color w:val="000000"/>
          <w:sz w:val="24"/>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RECITALS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Debtors were established by Mordechai Haim Ferder and his wife, Idit Ferder, in 2004 as a designer, manufacturer, and retailer of high-end jewelry.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in 2021, CODI acquired an indirect majority interest in Lugano Diamonds &amp; Jewelry Inc. from Mr. Ferder and his affiliated entities. Following the transaction, Lugano Holding, Inc. was the sole shareholder of Lugano Buyer, Inc., and Lugano Buyer, Inc. was the sole shareholder of Lugano Diamonds &amp; Jewelry Inc. In connection with the transaction, Mr. Ferder and his affiliated entities acquired a significant portion of the equity of Lugano Holding, Inc. and CODI became the majority equity holder of Lugano Holding, Inc. Mr. Ferder continued as chief executive officer and a member of the board of directors of certain Debtors.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Lugano Diamonds &amp; Jewelry Inc. and Lugano Buyer, Inc., as co-borrowers (the “</w:t>
      </w:r>
      <w:r>
        <w:rPr>
          <w:rFonts w:ascii="Times New Roman;serif" w:hAnsi="Times New Roman;serif"/>
          <w:b/>
          <w:i/>
          <w:color w:val="000000"/>
          <w:sz w:val="24"/>
        </w:rPr>
        <w:t>Borrowers</w:t>
      </w:r>
      <w:r>
        <w:rPr>
          <w:color w:val="000000"/>
        </w:rPr>
        <w:t>”</w:t>
      </w:r>
      <w:r>
        <w:rPr>
          <w:rFonts w:ascii="Times New Roman;serif" w:hAnsi="Times New Roman;serif"/>
          <w:b w:val="false"/>
          <w:color w:val="000000"/>
          <w:sz w:val="24"/>
        </w:rPr>
        <w:t>), and CODI, as lender, entered into a Credit Agreement (as amended, the “</w:t>
      </w:r>
      <w:r>
        <w:rPr>
          <w:rFonts w:ascii="Times New Roman;serif" w:hAnsi="Times New Roman;serif"/>
          <w:b/>
          <w:i/>
          <w:color w:val="000000"/>
          <w:sz w:val="24"/>
        </w:rPr>
        <w:t>Credit Agreement</w:t>
      </w:r>
      <w:r>
        <w:rPr>
          <w:color w:val="000000"/>
        </w:rPr>
        <w:t>”</w:t>
      </w:r>
      <w:r>
        <w:rPr>
          <w:rFonts w:ascii="Times New Roman;serif" w:hAnsi="Times New Roman;serif"/>
          <w:b w:val="false"/>
          <w:color w:val="000000"/>
          <w:sz w:val="24"/>
        </w:rPr>
        <w:t>) dated as of September 3, 2021. The other Debtors are guarantors (the “</w:t>
      </w:r>
      <w:r>
        <w:rPr>
          <w:rFonts w:ascii="Times New Roman;serif" w:hAnsi="Times New Roman;serif"/>
          <w:b/>
          <w:i/>
          <w:color w:val="000000"/>
          <w:sz w:val="24"/>
        </w:rPr>
        <w:t>Guarantors</w:t>
      </w:r>
      <w:r>
        <w:rPr>
          <w:color w:val="000000"/>
        </w:rPr>
        <w:t>”</w:t>
      </w:r>
      <w:r>
        <w:rPr>
          <w:rFonts w:ascii="Times New Roman;serif" w:hAnsi="Times New Roman;serif"/>
          <w:b w:val="false"/>
          <w:color w:val="000000"/>
          <w:sz w:val="24"/>
        </w:rPr>
        <w:t xml:space="preserve">) under the Credit Agreement. Pursuant to a Guarantee and Collateral Agreement dated as of September 3, 2021, the Borrowers’ obligations under the Credit Agreement are secured by liens on substantially all of the Debtors’ personal property and the obligations under the Credit Agreement are guaranteed by the Guarantors. The outstanding obligations under the Credit Agreement, including principal, prepetition interest, and fees, exceed $718 million.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on May 7, 2025, CODI and its parent entity filed a Form 8-K (the “</w:t>
      </w:r>
      <w:r>
        <w:rPr>
          <w:rFonts w:ascii="Times New Roman;serif" w:hAnsi="Times New Roman;serif"/>
          <w:b/>
          <w:i/>
          <w:color w:val="000000"/>
          <w:sz w:val="24"/>
        </w:rPr>
        <w:t>May 8</w:t>
        <w:noBreakHyphen/>
        <w:t>K</w:t>
      </w:r>
      <w:r>
        <w:rPr>
          <w:color w:val="000000"/>
        </w:rPr>
        <w:t>”</w:t>
      </w:r>
      <w:r>
        <w:rPr>
          <w:rFonts w:ascii="Times New Roman;serif" w:hAnsi="Times New Roman;serif"/>
          <w:b w:val="false"/>
          <w:color w:val="000000"/>
          <w:sz w:val="24"/>
        </w:rPr>
        <w:t xml:space="preserve">) disclosing that CODI had commenced an internal investigation into the financing, accounting, and inventory practices of Lugano Holding, Inc., based on concerns reported to CODI management. The May 8-K also disclosed that Mr. Ferder had resigned from his position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Chief Executive Officer of Lugano Holding, Inc. and from all offices and directorships previously held with the applicable Debtors and their subsidiaries and affiliates.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on June 24, 2025, Lugano Diamonds &amp; Jewelry, Inc. commenced an action against Mr. Ferder and a related trust for which he is a trustee, asserting Claims for fraud, concealment, constructive fraud, and breach of fiduciary duty.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on July 9, 2025, Mr. Thomas FitzGerald and Mr. L. Spencer Wells joined the board of directors for Lugano Diamonds &amp; Jewelry Inc. (the “</w:t>
      </w:r>
      <w:r>
        <w:rPr>
          <w:rFonts w:ascii="Times New Roman;serif" w:hAnsi="Times New Roman;serif"/>
          <w:b/>
          <w:i/>
          <w:color w:val="000000"/>
          <w:sz w:val="24"/>
        </w:rPr>
        <w:t>Lugano Board</w:t>
      </w:r>
      <w:r>
        <w:rPr>
          <w:color w:val="000000"/>
        </w:rPr>
        <w:t>”</w:t>
      </w:r>
      <w:r>
        <w:rPr>
          <w:rFonts w:ascii="Times New Roman;serif" w:hAnsi="Times New Roman;serif"/>
          <w:b w:val="false"/>
          <w:color w:val="000000"/>
          <w:sz w:val="24"/>
        </w:rPr>
        <w:t>), and a week later, on July 16, 2025, the Lugano Board delegated certain matters to a newly formed Special Committee of the Board of Directors of Lugano Diamonds (the “</w:t>
      </w:r>
      <w:r>
        <w:rPr>
          <w:rFonts w:ascii="Times New Roman;serif" w:hAnsi="Times New Roman;serif"/>
          <w:b/>
          <w:i/>
          <w:color w:val="000000"/>
          <w:sz w:val="24"/>
        </w:rPr>
        <w:t>Special Committee</w:t>
      </w:r>
      <w:r>
        <w:rPr>
          <w:color w:val="000000"/>
        </w:rPr>
        <w:t>”</w:t>
      </w:r>
      <w:r>
        <w:rPr>
          <w:rFonts w:ascii="Times New Roman;serif" w:hAnsi="Times New Roman;serif"/>
          <w:b w:val="false"/>
          <w:color w:val="000000"/>
          <w:sz w:val="24"/>
        </w:rPr>
        <w:t>), which is comprised of Messrs. FitzGerald and Wells. The Lugano Board delegated authority to the Special Committee to investigate, bring and resolve potential claims.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Special Committee retained independent advisors and commenced an internal investigation surrounding the fraud allegations, including to determine what Claims may exist as a result thereof. The Special Committee and the full board of Lugano Diamonds &amp; Jewelry Inc., and the board of directors, board of managers, or manager/member of the other Debtors, authorized the commencement of the Chapter 11 Cases.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on November 16, 2025 (the “</w:t>
      </w:r>
      <w:r>
        <w:rPr>
          <w:rFonts w:ascii="Times New Roman;serif" w:hAnsi="Times New Roman;serif"/>
          <w:b/>
          <w:i/>
          <w:color w:val="000000"/>
          <w:sz w:val="24"/>
        </w:rPr>
        <w:t>Petition Date</w:t>
      </w:r>
      <w:r>
        <w:rPr>
          <w:color w:val="000000"/>
        </w:rPr>
        <w:t>”</w:t>
      </w:r>
      <w:r>
        <w:rPr>
          <w:rFonts w:ascii="Times New Roman;serif" w:hAnsi="Times New Roman;serif"/>
          <w:b w:val="false"/>
          <w:color w:val="000000"/>
          <w:sz w:val="24"/>
        </w:rPr>
        <w:t>), each of the Debtors filed voluntary petitions for relief under chapter 11 of the Bankruptcy Code. The Debtors remain in possession of their assets as debtors-in-possession pursuant to Section 1107 and 1108 of the Bankruptcy Code.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on November 25, 2025, the U.S. Trustee appointed the UCC.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UCC, working with the Special Committee, on behalf of the Debtors, also commenced an investigation into the fraud allegations and the extent and validity of the liens and Claims (as defined below) asserted by CODI.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on January 27, 2026, CODI filed a secured Claim against the Debtors, identified in the Debtors’ Claims register as proof of claim number 153 in the amount of $718,222,591.91 (the “</w:t>
      </w:r>
      <w:r>
        <w:rPr>
          <w:rFonts w:ascii="Times New Roman;serif" w:hAnsi="Times New Roman;serif"/>
          <w:b/>
          <w:i/>
          <w:color w:val="000000"/>
          <w:sz w:val="24"/>
        </w:rPr>
        <w:t>CODI Prepetition Claim</w:t>
      </w:r>
      <w:r>
        <w:rPr>
          <w:color w:val="000000"/>
        </w:rPr>
        <w:t>”</w:t>
      </w:r>
      <w:r>
        <w:rPr>
          <w:rFonts w:ascii="Times New Roman;serif" w:hAnsi="Times New Roman;serif"/>
          <w:b w:val="false"/>
          <w:color w:val="000000"/>
          <w:sz w:val="24"/>
        </w:rPr>
        <w:t>) and withdrew two proofs of claim filed on January 19,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in addition to the CODI Prepetition Claim, CODI has asserted Claims arising under the DIP Order and the Cash Collateral Order for, among other things, the interim financing and adequate protection (the “</w:t>
      </w:r>
      <w:r>
        <w:rPr>
          <w:rFonts w:ascii="Times New Roman;serif" w:hAnsi="Times New Roman;serif"/>
          <w:b/>
          <w:i/>
          <w:color w:val="000000"/>
          <w:sz w:val="24"/>
        </w:rPr>
        <w:t>CODI Postpetition Claims</w:t>
      </w:r>
      <w:r>
        <w:rPr>
          <w:color w:val="000000"/>
        </w:rPr>
        <w:t>”</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as part of the on-going investigations, the Debtors (through the Special Committee), CODI, and the UCC agreed to non-binding mediation (the “</w:t>
      </w:r>
      <w:r>
        <w:rPr>
          <w:rFonts w:ascii="Times New Roman;serif" w:hAnsi="Times New Roman;serif"/>
          <w:b/>
          <w:i/>
          <w:color w:val="000000"/>
          <w:sz w:val="24"/>
        </w:rPr>
        <w:t>Mediation</w:t>
      </w:r>
      <w:r>
        <w:rPr>
          <w:color w:val="000000"/>
        </w:rPr>
        <w:t>”</w:t>
      </w:r>
      <w:r>
        <w:rPr>
          <w:rFonts w:ascii="Times New Roman;serif" w:hAnsi="Times New Roman;serif"/>
          <w:b w:val="false"/>
          <w:color w:val="000000"/>
          <w:sz w:val="24"/>
        </w:rPr>
        <w:t>). The Mediation resulted in an agreement in principle to material terms to resolve the disputes between the Parties, each of which is memorialized herein.</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xml:space="preserve">, in consideration of the covenants and agreements contained in this Agreement and for other valuable consideration, the receipt and sufficiency of which are acknowledged, each Party, intending to be legally bound by this Agreement, agrees as follows: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Defined Terms</w:t>
      </w:r>
      <w:r>
        <w:rPr>
          <w:rFonts w:ascii="Times New Roman;serif" w:hAnsi="Times New Roman;serif"/>
          <w:b w:val="false"/>
          <w:color w:val="000000"/>
          <w:sz w:val="24"/>
        </w:rPr>
        <w:t xml:space="preserve">. Unless otherwise defined in this Agreement, the capitalized terms shall have the following meanings. Any capitalized terms not defined herein shall have the meaning set forth in the Plan.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a.    “</w:t>
      </w:r>
      <w:r>
        <w:rPr>
          <w:rFonts w:ascii="Times New Roman;serif" w:hAnsi="Times New Roman;serif"/>
          <w:b/>
          <w:i/>
          <w:color w:val="000000"/>
          <w:sz w:val="24"/>
        </w:rPr>
        <w:t>Agency Order</w:t>
      </w:r>
      <w:r>
        <w:rPr>
          <w:color w:val="000000"/>
        </w:rPr>
        <w:t xml:space="preserve">” </w:t>
      </w:r>
      <w:r>
        <w:rPr>
          <w:rFonts w:ascii="Times New Roman;serif" w:hAnsi="Times New Roman;serif"/>
          <w:b w:val="false"/>
          <w:color w:val="000000"/>
          <w:sz w:val="24"/>
        </w:rPr>
        <w:t xml:space="preserve">means that </w:t>
      </w:r>
      <w:r>
        <w:rPr>
          <w:rFonts w:ascii="Times New Roman;serif" w:hAnsi="Times New Roman;serif"/>
          <w:b w:val="false"/>
          <w:i/>
          <w:color w:val="000000"/>
          <w:sz w:val="24"/>
        </w:rPr>
        <w:t>Final Approval Order (I) Authorizing the Debtors to Assume the Agency Agreement, (II) Approving the Sale Guidelines, Dispute Resolution Procedures, Waiver of Various Lease Restrictions, and Modifications to The Debtors’ Customer Programs, and (III) Granting Related Relief</w:t>
      </w:r>
      <w:r>
        <w:rPr>
          <w:color w:val="000000"/>
        </w:rPr>
        <w:t xml:space="preserve"> </w:t>
      </w:r>
      <w:r>
        <w:rPr>
          <w:rFonts w:ascii="Times New Roman;serif" w:hAnsi="Times New Roman;serif"/>
          <w:b w:val="false"/>
          <w:color w:val="000000"/>
          <w:sz w:val="24"/>
        </w:rPr>
        <w:t>[Docket No. 263].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    “</w:t>
      </w:r>
      <w:r>
        <w:rPr>
          <w:rFonts w:ascii="Times New Roman;serif" w:hAnsi="Times New Roman;serif"/>
          <w:b/>
          <w:i/>
          <w:color w:val="000000"/>
          <w:sz w:val="24"/>
        </w:rPr>
        <w:t>Affiliate</w:t>
      </w:r>
      <w:r>
        <w:rPr>
          <w:color w:val="000000"/>
        </w:rPr>
        <w:t xml:space="preserve">” </w:t>
      </w:r>
      <w:r>
        <w:rPr>
          <w:rFonts w:ascii="Times New Roman;serif" w:hAnsi="Times New Roman;serif"/>
          <w:b w:val="false"/>
          <w:color w:val="000000"/>
          <w:sz w:val="24"/>
        </w:rPr>
        <w:t>has the meaning ascribed thereto in Section 101(2) of the Bankruptcy Code as if such entity were a debtor in a case under the Bankruptcy Code.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c.    “</w:t>
      </w:r>
      <w:r>
        <w:rPr>
          <w:rFonts w:ascii="Times New Roman;serif" w:hAnsi="Times New Roman;serif"/>
          <w:b/>
          <w:i/>
          <w:color w:val="000000"/>
          <w:sz w:val="24"/>
        </w:rPr>
        <w:t>Agreement</w:t>
      </w:r>
      <w:r>
        <w:rPr>
          <w:color w:val="000000"/>
        </w:rPr>
        <w:t xml:space="preserve">” </w:t>
      </w:r>
      <w:r>
        <w:rPr>
          <w:rFonts w:ascii="Times New Roman;serif" w:hAnsi="Times New Roman;serif"/>
          <w:b w:val="false"/>
          <w:color w:val="000000"/>
          <w:sz w:val="24"/>
        </w:rPr>
        <w:t>has the meaning ascribed thereto in the Preamble of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d.    “</w:t>
      </w:r>
      <w:r>
        <w:rPr>
          <w:rFonts w:ascii="Times New Roman;serif" w:hAnsi="Times New Roman;serif"/>
          <w:b/>
          <w:i/>
          <w:color w:val="000000"/>
          <w:sz w:val="24"/>
        </w:rPr>
        <w:t>Avoidance Actions</w:t>
      </w:r>
      <w:r>
        <w:rPr>
          <w:color w:val="000000"/>
        </w:rPr>
        <w:t xml:space="preserve">” </w:t>
      </w:r>
      <w:r>
        <w:rPr>
          <w:rFonts w:ascii="Times New Roman;serif" w:hAnsi="Times New Roman;serif"/>
          <w:b w:val="false"/>
          <w:color w:val="000000"/>
          <w:sz w:val="24"/>
        </w:rPr>
        <w:t>means any and all actual or potential avoidance, recovery, subordination, or other Claims, Causes of Action, or remedies that may be brought by or on behalf of the Debtors or their Estates or other authorized parties-in-interest under Bankruptcy Code §§ 510, 544, 547, 548, 549, 550, 551, 553(b) and 724(a) or applicable non-bankruptcy Law, including Claims, Causes of Action, or remedies arising under chapter 5 and Bankruptcy Code § 724(a) or under similar or related local, state, federal, or foreign statutes or common Law, including fraudulent transfer Law or other Law.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e.    “</w:t>
      </w:r>
      <w:r>
        <w:rPr>
          <w:rFonts w:ascii="Times New Roman;serif" w:hAnsi="Times New Roman;serif"/>
          <w:b/>
          <w:i/>
          <w:color w:val="000000"/>
          <w:sz w:val="24"/>
        </w:rPr>
        <w:t>Bankruptcy Code</w:t>
      </w:r>
      <w:r>
        <w:rPr>
          <w:color w:val="000000"/>
        </w:rPr>
        <w:t xml:space="preserve">” </w:t>
      </w:r>
      <w:r>
        <w:rPr>
          <w:rFonts w:ascii="Times New Roman;serif" w:hAnsi="Times New Roman;serif"/>
          <w:b w:val="false"/>
          <w:color w:val="000000"/>
          <w:sz w:val="24"/>
        </w:rPr>
        <w:t>means title 11 of the United States Code, 11 U.S.C. §§101-1532, as amended.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f.    “</w:t>
      </w:r>
      <w:r>
        <w:rPr>
          <w:rFonts w:ascii="Times New Roman;serif" w:hAnsi="Times New Roman;serif"/>
          <w:b/>
          <w:i/>
          <w:color w:val="000000"/>
          <w:sz w:val="24"/>
        </w:rPr>
        <w:t>Bankruptcy Court</w:t>
      </w:r>
      <w:r>
        <w:rPr>
          <w:color w:val="000000"/>
        </w:rPr>
        <w:t xml:space="preserve">” </w:t>
      </w:r>
      <w:r>
        <w:rPr>
          <w:rFonts w:ascii="Times New Roman;serif" w:hAnsi="Times New Roman;serif"/>
          <w:b w:val="false"/>
          <w:color w:val="000000"/>
          <w:sz w:val="24"/>
        </w:rPr>
        <w:t xml:space="preserve">means the United States Bankruptcy Court for the District of Delaware having jurisdiction over the Chapter 11 Cases, including to the extent of the withdrawal of any reference under 28 U.S.C. § 157, the United States District Court of the District of Delaware, or in the event such court ceases to exercise jurisdiction over any Chapter 11 Case.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g.    “</w:t>
      </w:r>
      <w:r>
        <w:rPr>
          <w:rFonts w:ascii="Times New Roman;serif" w:hAnsi="Times New Roman;serif"/>
          <w:b/>
          <w:i/>
          <w:color w:val="000000"/>
          <w:sz w:val="24"/>
        </w:rPr>
        <w:t>Bankruptcy Release Parties</w:t>
      </w:r>
      <w:r>
        <w:rPr>
          <w:color w:val="000000"/>
        </w:rPr>
        <w:t xml:space="preserve">” </w:t>
      </w:r>
      <w:r>
        <w:rPr>
          <w:rFonts w:ascii="Times New Roman;serif" w:hAnsi="Times New Roman;serif"/>
          <w:b w:val="false"/>
          <w:color w:val="000000"/>
          <w:sz w:val="24"/>
        </w:rPr>
        <w:t xml:space="preserve">means each of, and in each case in its capacity as such: (i) the Debtors and each of the Estates; (ii) the UCC (and its individual members solely in their capacities as members of the UCC and not in their capacity as parties that conducted business with or otherwise transacted with the Debtors or any Excluded Party); and (iii) each Related Party of each entity in clauses (i) and (ii); </w:t>
      </w:r>
      <w:r>
        <w:rPr>
          <w:rFonts w:ascii="Times New Roman;serif" w:hAnsi="Times New Roman;serif"/>
          <w:b w:val="false"/>
          <w:i/>
          <w:color w:val="000000"/>
          <w:sz w:val="24"/>
        </w:rPr>
        <w:t>provided, however</w:t>
      </w:r>
      <w:r>
        <w:rPr>
          <w:rFonts w:ascii="Times New Roman;serif" w:hAnsi="Times New Roman;serif"/>
          <w:b w:val="false"/>
          <w:color w:val="000000"/>
          <w:sz w:val="24"/>
        </w:rPr>
        <w:t>, no Excluded Party shall be a Bankruptcy Release Party.</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h.    “</w:t>
      </w:r>
      <w:r>
        <w:rPr>
          <w:rFonts w:ascii="Times New Roman;serif" w:hAnsi="Times New Roman;serif"/>
          <w:b/>
          <w:i/>
          <w:color w:val="000000"/>
          <w:sz w:val="24"/>
        </w:rPr>
        <w:t>Business Day</w:t>
      </w:r>
      <w:r>
        <w:rPr>
          <w:color w:val="000000"/>
        </w:rPr>
        <w:t xml:space="preserve">” </w:t>
      </w:r>
      <w:r>
        <w:rPr>
          <w:rFonts w:ascii="Times New Roman;serif" w:hAnsi="Times New Roman;serif"/>
          <w:b w:val="false"/>
          <w:color w:val="000000"/>
          <w:sz w:val="24"/>
        </w:rPr>
        <w:t>means any day other than a Saturday, a Sunday, a “legal holiday” (as defined in Bankruptcy Rule 9006(a)), or any other day on which commercial banks in New York, New York are required or authorized to close by Law or executive order.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i.    “</w:t>
      </w:r>
      <w:r>
        <w:rPr>
          <w:rFonts w:ascii="Times New Roman;serif" w:hAnsi="Times New Roman;serif"/>
          <w:b/>
          <w:i/>
          <w:color w:val="000000"/>
          <w:sz w:val="24"/>
        </w:rPr>
        <w:t>Cash</w:t>
      </w:r>
      <w:r>
        <w:rPr>
          <w:color w:val="000000"/>
        </w:rPr>
        <w:t xml:space="preserve">” </w:t>
      </w:r>
      <w:r>
        <w:rPr>
          <w:rFonts w:ascii="Times New Roman;serif" w:hAnsi="Times New Roman;serif"/>
          <w:b w:val="false"/>
          <w:color w:val="000000"/>
          <w:sz w:val="24"/>
        </w:rPr>
        <w:t>means cash and cash equivalents, including bank deposits, wire transfers, checks representing good funds, and legal tender of the United States of America or instrumentalities thereof.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j.    “</w:t>
      </w:r>
      <w:r>
        <w:rPr>
          <w:rFonts w:ascii="Times New Roman;serif" w:hAnsi="Times New Roman;serif"/>
          <w:b/>
          <w:i/>
          <w:color w:val="000000"/>
          <w:sz w:val="24"/>
        </w:rPr>
        <w:t>Cash Collateral Order</w:t>
      </w:r>
      <w:r>
        <w:rPr>
          <w:color w:val="000000"/>
        </w:rPr>
        <w:t xml:space="preserve">” </w:t>
      </w:r>
      <w:r>
        <w:rPr>
          <w:rFonts w:ascii="Times New Roman;serif" w:hAnsi="Times New Roman;serif"/>
          <w:b w:val="false"/>
          <w:color w:val="000000"/>
          <w:sz w:val="24"/>
        </w:rPr>
        <w:t xml:space="preserve">means that </w:t>
      </w:r>
      <w:r>
        <w:rPr>
          <w:rFonts w:ascii="Times New Roman;serif" w:hAnsi="Times New Roman;serif"/>
          <w:b w:val="false"/>
          <w:i/>
          <w:color w:val="000000"/>
          <w:sz w:val="24"/>
        </w:rPr>
        <w:t xml:space="preserve">Final Order (I) Authorizing the Debtors to Use Cash Collateral; (II) Granting Adequate Protection to the Prepetition Lender; (III) Modifying the Automatic Stay; and (IV) Granting Related Relief </w:t>
      </w:r>
      <w:r>
        <w:rPr>
          <w:rFonts w:ascii="Times New Roman;serif" w:hAnsi="Times New Roman;serif"/>
          <w:b w:val="false"/>
          <w:color w:val="000000"/>
          <w:sz w:val="24"/>
        </w:rPr>
        <w:t>entered by the Bankruptcy Court on February 10, 2026 [Docket No. 364].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k.    “</w:t>
      </w:r>
      <w:r>
        <w:rPr>
          <w:rFonts w:ascii="Times New Roman;serif" w:hAnsi="Times New Roman;serif"/>
          <w:b/>
          <w:i/>
          <w:color w:val="000000"/>
          <w:sz w:val="24"/>
        </w:rPr>
        <w:t>Causes of Action</w:t>
      </w:r>
      <w:r>
        <w:rPr>
          <w:color w:val="000000"/>
        </w:rPr>
        <w:t xml:space="preserve">” </w:t>
      </w:r>
      <w:r>
        <w:rPr>
          <w:rFonts w:ascii="Times New Roman;serif" w:hAnsi="Times New Roman;serif"/>
          <w:b w:val="false"/>
          <w:color w:val="000000"/>
          <w:sz w:val="24"/>
        </w:rPr>
        <w:t>mean any and all Claims (including Investment Contract Claims), rights, actions, Avoidance Actions, Contributed Claims, proceedings, causes of action, liabilities, obligations, suits, debts, remedies, dues, sums of money, accounts, reckonings, bonds, bills, specialties, covenants, contracts, controversies, agreements, promises, variances, trespasses, rights of setoff, third-party claims, subordination claims, subrogation claims, contribution claims, reimbursement claims, indemnity claims, counterclaims, and cross claims, legal remedies, equitable remedies, claims, damages, judgments whatsoever, whether known or unknown, reduced to judgment, liquidated or unliquidated, fixed or contingent, matured or unmatured, disputed or undisputed, foreseen or unforeseen, asserted or unasserted, existing or hereafter arising, secured or unsecured, whether asserted directly or derivatively, in Law, at equity, or otherwise, by statute, whether for tort, fraud, contract, or otherwise, including any recharacterization, subordination, avoidance or other claim under any other similar provision of applicable state or federal Law.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l.    “</w:t>
      </w:r>
      <w:r>
        <w:rPr>
          <w:rFonts w:ascii="Times New Roman;serif" w:hAnsi="Times New Roman;serif"/>
          <w:b/>
          <w:i/>
          <w:color w:val="000000"/>
          <w:sz w:val="24"/>
        </w:rPr>
        <w:t>CGM</w:t>
      </w:r>
      <w:r>
        <w:rPr>
          <w:color w:val="000000"/>
        </w:rPr>
        <w:t xml:space="preserve">” </w:t>
      </w:r>
      <w:r>
        <w:rPr>
          <w:rFonts w:ascii="Times New Roman;serif" w:hAnsi="Times New Roman;serif"/>
          <w:b w:val="false"/>
          <w:color w:val="000000"/>
          <w:sz w:val="24"/>
        </w:rPr>
        <w:t>has the meaning ascribed thereto in the Preamble of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m.    “</w:t>
      </w:r>
      <w:r>
        <w:rPr>
          <w:rFonts w:ascii="Times New Roman;serif" w:hAnsi="Times New Roman;serif"/>
          <w:b/>
          <w:i/>
          <w:color w:val="000000"/>
          <w:sz w:val="24"/>
        </w:rPr>
        <w:t>Chapter 11 Cases</w:t>
      </w:r>
      <w:r>
        <w:rPr>
          <w:color w:val="000000"/>
        </w:rPr>
        <w:t xml:space="preserve">” </w:t>
      </w:r>
      <w:r>
        <w:rPr>
          <w:rFonts w:ascii="Times New Roman;serif" w:hAnsi="Times New Roman;serif"/>
          <w:b w:val="false"/>
          <w:color w:val="000000"/>
          <w:sz w:val="24"/>
        </w:rPr>
        <w:t>means with respect to all Debtors,</w:t>
      </w:r>
      <w:r>
        <w:rPr>
          <w:color w:val="000000"/>
        </w:rPr>
        <w:t xml:space="preserve"> </w:t>
      </w:r>
      <w:r>
        <w:rPr>
          <w:rFonts w:ascii="Times New Roman;serif" w:hAnsi="Times New Roman;serif"/>
          <w:b w:val="false"/>
          <w:color w:val="000000"/>
          <w:sz w:val="24"/>
        </w:rPr>
        <w:t xml:space="preserve">the chapter 11 bankruptcy cases commenced by the Debtors, which are being jointly administered under the case caption </w:t>
      </w:r>
      <w:r>
        <w:rPr>
          <w:rFonts w:ascii="Times New Roman;serif" w:hAnsi="Times New Roman;serif"/>
          <w:b w:val="false"/>
          <w:i/>
          <w:color w:val="000000"/>
          <w:sz w:val="24"/>
        </w:rPr>
        <w:t xml:space="preserve">In </w:t>
      </w:r>
      <w:r>
        <w:rPr>
          <w:rFonts w:ascii="Times New Roman;serif" w:hAnsi="Times New Roman;serif"/>
          <w:b w:val="false"/>
          <w:color w:val="000000"/>
          <w:sz w:val="24"/>
        </w:rPr>
        <w:t>re</w:t>
      </w:r>
      <w:r>
        <w:rPr>
          <w:color w:val="000000"/>
        </w:rPr>
        <w:t xml:space="preserve"> </w:t>
      </w:r>
      <w:r>
        <w:rPr>
          <w:rFonts w:ascii="Times New Roman;serif" w:hAnsi="Times New Roman;serif"/>
          <w:b w:val="false"/>
          <w:i/>
          <w:color w:val="000000"/>
          <w:sz w:val="24"/>
        </w:rPr>
        <w:t>Lugano Diamonds &amp; Jewelry Inc. et al.</w:t>
      </w:r>
      <w:r>
        <w:rPr>
          <w:rFonts w:ascii="Times New Roman;serif" w:hAnsi="Times New Roman;serif"/>
          <w:b w:val="false"/>
          <w:color w:val="000000"/>
          <w:sz w:val="24"/>
        </w:rPr>
        <w:t xml:space="preserve">, Case No. 25-12055 (BLS) (Bankr. D. Del.), and with respect to a particular Debtor, the chapter 11 bankruptcy case of such Debtor pending in the Bankruptcy Court.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n.    “</w:t>
      </w:r>
      <w:r>
        <w:rPr>
          <w:rFonts w:ascii="Times New Roman;serif" w:hAnsi="Times New Roman;serif"/>
          <w:b/>
          <w:i/>
          <w:color w:val="000000"/>
          <w:sz w:val="24"/>
        </w:rPr>
        <w:t>Claim</w:t>
      </w:r>
      <w:r>
        <w:rPr>
          <w:color w:val="000000"/>
        </w:rPr>
        <w:t xml:space="preserve">” </w:t>
      </w:r>
      <w:r>
        <w:rPr>
          <w:rFonts w:ascii="Times New Roman;serif" w:hAnsi="Times New Roman;serif"/>
          <w:b w:val="false"/>
          <w:color w:val="000000"/>
          <w:sz w:val="24"/>
        </w:rPr>
        <w:t xml:space="preserve">means any “claim,” as defined in Bankruptcy Code § 101(5) against any of the Debtors or against any property of the Debtors.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o.    “</w:t>
      </w:r>
      <w:r>
        <w:rPr>
          <w:rFonts w:ascii="Times New Roman;serif" w:hAnsi="Times New Roman;serif"/>
          <w:b/>
          <w:i/>
          <w:color w:val="000000"/>
          <w:sz w:val="24"/>
        </w:rPr>
        <w:t>CODI</w:t>
      </w:r>
      <w:r>
        <w:rPr>
          <w:color w:val="000000"/>
        </w:rPr>
        <w:t xml:space="preserve">” </w:t>
      </w:r>
      <w:r>
        <w:rPr>
          <w:rFonts w:ascii="Times New Roman;serif" w:hAnsi="Times New Roman;serif"/>
          <w:b w:val="false"/>
          <w:color w:val="000000"/>
          <w:sz w:val="24"/>
        </w:rPr>
        <w:t>has the meaning ascribed thereto in the Preamble of this Agreement.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p.    “</w:t>
      </w:r>
      <w:r>
        <w:rPr>
          <w:rFonts w:ascii="Times New Roman;serif" w:hAnsi="Times New Roman;serif"/>
          <w:b/>
          <w:i/>
          <w:color w:val="000000"/>
          <w:sz w:val="24"/>
        </w:rPr>
        <w:t>CODI Auditor Claim</w:t>
      </w:r>
      <w:r>
        <w:rPr>
          <w:color w:val="000000"/>
        </w:rPr>
        <w:t xml:space="preserve">” </w:t>
      </w:r>
      <w:r>
        <w:rPr>
          <w:rFonts w:ascii="Times New Roman;serif" w:hAnsi="Times New Roman;serif"/>
          <w:b w:val="false"/>
          <w:color w:val="000000"/>
          <w:sz w:val="24"/>
        </w:rPr>
        <w:t xml:space="preserve">means all Causes of Action CODI now holds or could hold against GT arising from or related to GT’s services to any of the Debtors and services GT rendered to CODI in connection with the Debtors.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q.    “</w:t>
      </w:r>
      <w:r>
        <w:rPr>
          <w:rFonts w:ascii="Times New Roman;serif" w:hAnsi="Times New Roman;serif"/>
          <w:b/>
          <w:i/>
          <w:color w:val="000000"/>
          <w:sz w:val="24"/>
        </w:rPr>
        <w:t>CODI Auditor Recovery</w:t>
      </w:r>
      <w:r>
        <w:rPr>
          <w:color w:val="000000"/>
        </w:rPr>
        <w:t xml:space="preserve">” </w:t>
      </w:r>
      <w:r>
        <w:rPr>
          <w:rFonts w:ascii="Times New Roman;serif" w:hAnsi="Times New Roman;serif"/>
          <w:b w:val="false"/>
          <w:color w:val="000000"/>
          <w:sz w:val="24"/>
        </w:rPr>
        <w:t xml:space="preserve">means the recovery set forth in Paragraph 3.b of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r.    “</w:t>
      </w:r>
      <w:r>
        <w:rPr>
          <w:rFonts w:ascii="Times New Roman;serif" w:hAnsi="Times New Roman;serif"/>
          <w:b/>
          <w:i/>
          <w:color w:val="000000"/>
          <w:sz w:val="24"/>
        </w:rPr>
        <w:t>CODI Claims</w:t>
      </w:r>
      <w:r>
        <w:rPr>
          <w:color w:val="000000"/>
        </w:rPr>
        <w:t xml:space="preserve">” </w:t>
      </w:r>
      <w:r>
        <w:rPr>
          <w:rFonts w:ascii="Times New Roman;serif" w:hAnsi="Times New Roman;serif"/>
          <w:b w:val="false"/>
          <w:color w:val="000000"/>
          <w:sz w:val="24"/>
        </w:rPr>
        <w:t>mean the CODI Prepetition Claim and CODI Postpetition Claims.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    “</w:t>
      </w:r>
      <w:r>
        <w:rPr>
          <w:rFonts w:ascii="Times New Roman;serif" w:hAnsi="Times New Roman;serif"/>
          <w:b/>
          <w:i/>
          <w:color w:val="000000"/>
          <w:sz w:val="24"/>
        </w:rPr>
        <w:t>CODI Parent</w:t>
      </w:r>
      <w:r>
        <w:rPr>
          <w:color w:val="000000"/>
        </w:rPr>
        <w:t xml:space="preserve">” </w:t>
      </w:r>
      <w:r>
        <w:rPr>
          <w:rFonts w:ascii="Times New Roman;serif" w:hAnsi="Times New Roman;serif"/>
          <w:b w:val="false"/>
          <w:color w:val="000000"/>
          <w:sz w:val="24"/>
        </w:rPr>
        <w:t>has the meaning ascribed thereto in the Preamble of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    “</w:t>
      </w:r>
      <w:r>
        <w:rPr>
          <w:rFonts w:ascii="Times New Roman;serif" w:hAnsi="Times New Roman;serif"/>
          <w:b/>
          <w:i/>
          <w:color w:val="000000"/>
          <w:sz w:val="24"/>
        </w:rPr>
        <w:t>CODI Parties</w:t>
      </w:r>
      <w:r>
        <w:rPr>
          <w:color w:val="000000"/>
        </w:rPr>
        <w:t xml:space="preserve">” </w:t>
      </w:r>
      <w:r>
        <w:rPr>
          <w:rFonts w:ascii="Times New Roman;serif" w:hAnsi="Times New Roman;serif"/>
          <w:b w:val="false"/>
          <w:color w:val="000000"/>
          <w:sz w:val="24"/>
        </w:rPr>
        <w:t>means CODI Parent, CODI, CGM, Sostratus, and each of their subsidiaries in their individual capacities and collectively as context requires, provided that no Excluded Party and no Debtor or any of its subsidiaries is a CODI Party.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u.    “</w:t>
      </w:r>
      <w:r>
        <w:rPr>
          <w:rFonts w:ascii="Times New Roman;serif" w:hAnsi="Times New Roman;serif"/>
          <w:b/>
          <w:i/>
          <w:color w:val="000000"/>
          <w:sz w:val="24"/>
        </w:rPr>
        <w:t>CODI Related Parties</w:t>
      </w:r>
      <w:r>
        <w:rPr>
          <w:color w:val="000000"/>
        </w:rPr>
        <w:t xml:space="preserve">” </w:t>
      </w:r>
      <w:r>
        <w:rPr>
          <w:rFonts w:ascii="Times New Roman;serif" w:hAnsi="Times New Roman;serif"/>
          <w:b w:val="false"/>
          <w:color w:val="000000"/>
          <w:sz w:val="24"/>
        </w:rPr>
        <w:t xml:space="preserve">means the Related Parties of the CODI Parties, which includes Patrick A Maciariello and Raj U. Dalal, in each case solely in its or their capacity as such;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(i) none of the Excluded Parties are CODI Related Parties; and (ii) the Debtors and their subsidiaries shall not be considered CODI Related 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v.    “</w:t>
      </w:r>
      <w:r>
        <w:rPr>
          <w:rFonts w:ascii="Times New Roman;serif" w:hAnsi="Times New Roman;serif"/>
          <w:b/>
          <w:i/>
          <w:color w:val="000000"/>
          <w:sz w:val="24"/>
        </w:rPr>
        <w:t>CODI Release Parties</w:t>
      </w:r>
      <w:r>
        <w:rPr>
          <w:color w:val="000000"/>
        </w:rPr>
        <w:t xml:space="preserve">” </w:t>
      </w:r>
      <w:r>
        <w:rPr>
          <w:rFonts w:ascii="Times New Roman;serif" w:hAnsi="Times New Roman;serif"/>
          <w:b w:val="false"/>
          <w:color w:val="000000"/>
          <w:sz w:val="24"/>
        </w:rPr>
        <w:t>means the CODI Parties and CODI Related 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    “</w:t>
      </w:r>
      <w:r>
        <w:rPr>
          <w:rFonts w:ascii="Times New Roman;serif" w:hAnsi="Times New Roman;serif"/>
          <w:b/>
          <w:i/>
          <w:color w:val="000000"/>
          <w:sz w:val="24"/>
        </w:rPr>
        <w:t>CODI Recoveries</w:t>
      </w:r>
      <w:r>
        <w:rPr>
          <w:color w:val="000000"/>
        </w:rPr>
        <w:t xml:space="preserve">” </w:t>
      </w:r>
      <w:r>
        <w:rPr>
          <w:rFonts w:ascii="Times New Roman;serif" w:hAnsi="Times New Roman;serif"/>
          <w:b w:val="false"/>
          <w:color w:val="000000"/>
          <w:sz w:val="24"/>
        </w:rPr>
        <w:t>mean the CODI Specified Asset Recoveries, CODI Auditor Recovery, CODI Remainder Recovery, and CODI Residual Recovery.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x.    “</w:t>
      </w:r>
      <w:r>
        <w:rPr>
          <w:rFonts w:ascii="Times New Roman;serif" w:hAnsi="Times New Roman;serif"/>
          <w:b/>
          <w:i/>
          <w:color w:val="000000"/>
          <w:sz w:val="24"/>
        </w:rPr>
        <w:t>CODI Remainder Recovery</w:t>
      </w:r>
      <w:r>
        <w:rPr>
          <w:color w:val="000000"/>
        </w:rPr>
        <w:t xml:space="preserve">” </w:t>
      </w:r>
      <w:r>
        <w:rPr>
          <w:rFonts w:ascii="Times New Roman;serif" w:hAnsi="Times New Roman;serif"/>
          <w:b w:val="false"/>
          <w:color w:val="000000"/>
          <w:sz w:val="24"/>
        </w:rPr>
        <w:t>means the recovery set forth in Paragraph 3.c of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y.    “</w:t>
      </w:r>
      <w:r>
        <w:rPr>
          <w:rFonts w:ascii="Times New Roman;serif" w:hAnsi="Times New Roman;serif"/>
          <w:b/>
          <w:i/>
          <w:color w:val="000000"/>
          <w:sz w:val="24"/>
        </w:rPr>
        <w:t>CODI Residual Recovery</w:t>
      </w:r>
      <w:r>
        <w:rPr>
          <w:color w:val="000000"/>
        </w:rPr>
        <w:t xml:space="preserve">” </w:t>
      </w:r>
      <w:r>
        <w:rPr>
          <w:rFonts w:ascii="Times New Roman;serif" w:hAnsi="Times New Roman;serif"/>
          <w:b w:val="false"/>
          <w:color w:val="000000"/>
          <w:sz w:val="24"/>
        </w:rPr>
        <w:t xml:space="preserve">means the recovery set forth in Paragraph 3.d of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z.    “</w:t>
      </w:r>
      <w:r>
        <w:rPr>
          <w:rFonts w:ascii="Times New Roman;serif" w:hAnsi="Times New Roman;serif"/>
          <w:b/>
          <w:i/>
          <w:color w:val="000000"/>
          <w:sz w:val="24"/>
        </w:rPr>
        <w:t>CODI Specified Asset Recoveries</w:t>
      </w:r>
      <w:r>
        <w:rPr>
          <w:color w:val="000000"/>
        </w:rPr>
        <w:t xml:space="preserve">” </w:t>
      </w:r>
      <w:r>
        <w:rPr>
          <w:rFonts w:ascii="Times New Roman;serif" w:hAnsi="Times New Roman;serif"/>
          <w:b w:val="false"/>
          <w:color w:val="000000"/>
          <w:sz w:val="24"/>
        </w:rPr>
        <w:t>means the recovery set forth in Paragraph 3.a of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aa.    “</w:t>
      </w:r>
      <w:r>
        <w:rPr>
          <w:rFonts w:ascii="Times New Roman;serif" w:hAnsi="Times New Roman;serif"/>
          <w:b/>
          <w:i/>
          <w:color w:val="000000"/>
          <w:sz w:val="24"/>
        </w:rPr>
        <w:t>Confirmation Order</w:t>
      </w:r>
      <w:r>
        <w:rPr>
          <w:color w:val="000000"/>
        </w:rPr>
        <w:t xml:space="preserve">” </w:t>
      </w:r>
      <w:r>
        <w:rPr>
          <w:rFonts w:ascii="Times New Roman;serif" w:hAnsi="Times New Roman;serif"/>
          <w:b w:val="false"/>
          <w:color w:val="000000"/>
          <w:sz w:val="24"/>
        </w:rPr>
        <w:t>means the order of the Bankruptcy Court confirming the Plan pursuant to Bankruptcy Code § 1129 and approving this Agreement, which order must be acceptable to CODI and the UCC in all respects.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bb.    “</w:t>
      </w:r>
      <w:r>
        <w:rPr>
          <w:rFonts w:ascii="Times New Roman;serif" w:hAnsi="Times New Roman;serif"/>
          <w:b/>
          <w:i/>
          <w:color w:val="000000"/>
          <w:sz w:val="24"/>
        </w:rPr>
        <w:t>Debtors</w:t>
      </w:r>
      <w:r>
        <w:rPr>
          <w:color w:val="000000"/>
        </w:rPr>
        <w:t xml:space="preserve">” </w:t>
      </w:r>
      <w:r>
        <w:rPr>
          <w:rFonts w:ascii="Times New Roman;serif" w:hAnsi="Times New Roman;serif"/>
          <w:b w:val="false"/>
          <w:color w:val="000000"/>
          <w:sz w:val="24"/>
        </w:rPr>
        <w:t>has the meaning ascribed thereto in the Preamble of this Agreement.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cc.    “</w:t>
      </w:r>
      <w:r>
        <w:rPr>
          <w:rFonts w:ascii="Times New Roman;serif" w:hAnsi="Times New Roman;serif"/>
          <w:b/>
          <w:i/>
          <w:color w:val="000000"/>
          <w:sz w:val="24"/>
        </w:rPr>
        <w:t>DIP Order</w:t>
      </w:r>
      <w:r>
        <w:rPr>
          <w:color w:val="000000"/>
        </w:rPr>
        <w:t xml:space="preserve">” </w:t>
      </w:r>
      <w:r>
        <w:rPr>
          <w:rFonts w:ascii="Times New Roman;serif" w:hAnsi="Times New Roman;serif"/>
          <w:b w:val="false"/>
          <w:color w:val="000000"/>
          <w:sz w:val="24"/>
        </w:rPr>
        <w:t xml:space="preserve">means the </w:t>
      </w:r>
      <w:r>
        <w:rPr>
          <w:rFonts w:ascii="Times New Roman;serif" w:hAnsi="Times New Roman;serif"/>
          <w:b w:val="false"/>
          <w:i/>
          <w:color w:val="000000"/>
          <w:sz w:val="24"/>
        </w:rPr>
        <w:t xml:space="preserve">Interim Order (I) Authorizing the Debtors to (A) Obtain Postpetition Financing, and (B) Use Cash Collateral; (II) Granting Liens and Providing Superpriority Administrative Expense Claims; (III) Granting Adequate Protection to the Prepetition Lender; (IV) Modifying the Automatic Stay; (V) Scheduling a Final Hearing; and (VI) Granting Related Relief </w:t>
      </w:r>
      <w:r>
        <w:rPr>
          <w:rFonts w:ascii="Times New Roman;serif" w:hAnsi="Times New Roman;serif"/>
          <w:b w:val="false"/>
          <w:color w:val="000000"/>
          <w:sz w:val="24"/>
        </w:rPr>
        <w:t>[Docket No. 66].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dd.    “</w:t>
      </w:r>
      <w:r>
        <w:rPr>
          <w:rFonts w:ascii="Times New Roman;serif" w:hAnsi="Times New Roman;serif"/>
          <w:b/>
          <w:i/>
          <w:color w:val="000000"/>
          <w:sz w:val="24"/>
        </w:rPr>
        <w:t>Disclosure Statement</w:t>
      </w:r>
      <w:r>
        <w:rPr>
          <w:color w:val="000000"/>
        </w:rPr>
        <w:t xml:space="preserve">” </w:t>
      </w:r>
      <w:r>
        <w:rPr>
          <w:rFonts w:ascii="Times New Roman;serif" w:hAnsi="Times New Roman;serif"/>
          <w:b w:val="false"/>
          <w:color w:val="000000"/>
          <w:sz w:val="24"/>
        </w:rPr>
        <w:t>means the disclosure statement relating to the Plan, including all exhibits and schedules thereto, as approved by the Bankruptcy Court pursuant to Bankruptcy Code § 1125, as it subsequently may be amended, modified, or supplemented by the Debtors.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ee.    “</w:t>
      </w:r>
      <w:r>
        <w:rPr>
          <w:rFonts w:ascii="Times New Roman;serif" w:hAnsi="Times New Roman;serif"/>
          <w:b/>
          <w:i/>
          <w:color w:val="000000"/>
          <w:sz w:val="24"/>
        </w:rPr>
        <w:t>Effective Date</w:t>
      </w:r>
      <w:r>
        <w:rPr>
          <w:color w:val="000000"/>
        </w:rPr>
        <w:t xml:space="preserve">” </w:t>
      </w:r>
      <w:r>
        <w:rPr>
          <w:rFonts w:ascii="Times New Roman;serif" w:hAnsi="Times New Roman;serif"/>
          <w:b w:val="false"/>
          <w:color w:val="000000"/>
          <w:sz w:val="24"/>
        </w:rPr>
        <w:t xml:space="preserve">has the meaning set forth in Paragraph 2 of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ff.    “</w:t>
      </w:r>
      <w:r>
        <w:rPr>
          <w:rFonts w:ascii="Times New Roman;serif" w:hAnsi="Times New Roman;serif"/>
          <w:b/>
          <w:i/>
          <w:color w:val="000000"/>
          <w:sz w:val="24"/>
        </w:rPr>
        <w:t>Estates</w:t>
      </w:r>
      <w:r>
        <w:rPr>
          <w:color w:val="000000"/>
        </w:rPr>
        <w:t xml:space="preserve">” </w:t>
      </w:r>
      <w:r>
        <w:rPr>
          <w:rFonts w:ascii="Times New Roman;serif" w:hAnsi="Times New Roman;serif"/>
          <w:b w:val="false"/>
          <w:color w:val="000000"/>
          <w:sz w:val="24"/>
        </w:rPr>
        <w:t xml:space="preserve">mean the chapter 11 estates of the Debtors created by Bankruptcy Code § 541(a).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gg.    “</w:t>
      </w:r>
      <w:r>
        <w:rPr>
          <w:rFonts w:ascii="Times New Roman;serif" w:hAnsi="Times New Roman;serif"/>
          <w:b/>
          <w:i/>
          <w:color w:val="000000"/>
          <w:sz w:val="24"/>
        </w:rPr>
        <w:t>Excluded Parties</w:t>
      </w:r>
      <w:r>
        <w:rPr>
          <w:color w:val="000000"/>
        </w:rPr>
        <w:t xml:space="preserve">” </w:t>
      </w:r>
      <w:r>
        <w:rPr>
          <w:rFonts w:ascii="Times New Roman;serif" w:hAnsi="Times New Roman;serif"/>
          <w:b w:val="false"/>
          <w:color w:val="000000"/>
          <w:sz w:val="24"/>
        </w:rPr>
        <w:t xml:space="preserve">mean, collectively, (a) Ferder Affiliated Parties, (b) GT, (c) Josh Gaynor, (d) Investment Contract Counterparties, (e) any Person or entity set forth on Exhibit I. to the Plan Supplement, (f) any relative, shareholder, member, advisor, attorney, professional, Related Party, or beneficiaries of any of the persons or entities listed in the foregoing (a) – (e), and (g) any immediate or mediate transferee of property from any of the foregoing,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the following are not Excluded Parties: (i) the CODI Parties, (ii) the Debtors, (iii) the Lugano Prive Investment Trust, (iv) the Creditors’ Committee and its members only in their capacities as members of the Creditors’ Committee, and (v) the Related Parties of the Persons or entities listed in the foregoing (i) – (iv) who are not Ferder Related Parties and who are not specifically identified in the preceding clauses of this definition.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hh.    “</w:t>
      </w:r>
      <w:r>
        <w:rPr>
          <w:rFonts w:ascii="Times New Roman;serif" w:hAnsi="Times New Roman;serif"/>
          <w:b/>
          <w:i/>
          <w:color w:val="000000"/>
          <w:sz w:val="24"/>
        </w:rPr>
        <w:t>GT</w:t>
      </w:r>
      <w:r>
        <w:rPr>
          <w:color w:val="000000"/>
        </w:rPr>
        <w:t xml:space="preserve">” </w:t>
      </w:r>
      <w:r>
        <w:rPr>
          <w:rFonts w:ascii="Times New Roman;serif" w:hAnsi="Times New Roman;serif"/>
          <w:b w:val="false"/>
          <w:color w:val="000000"/>
          <w:sz w:val="24"/>
        </w:rPr>
        <w:t>means Grant Thornton LLP and its affiliates, which served as auditor for the Debtors and CODI.</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ii.    “</w:t>
      </w:r>
      <w:r>
        <w:rPr>
          <w:rFonts w:ascii="Times New Roman;serif" w:hAnsi="Times New Roman;serif"/>
          <w:b/>
          <w:i/>
          <w:color w:val="000000"/>
          <w:sz w:val="24"/>
        </w:rPr>
        <w:t>Investment Contract</w:t>
      </w:r>
      <w:r>
        <w:rPr>
          <w:color w:val="000000"/>
        </w:rPr>
        <w:t xml:space="preserve">” </w:t>
      </w:r>
      <w:r>
        <w:rPr>
          <w:rFonts w:ascii="Times New Roman;serif" w:hAnsi="Times New Roman;serif"/>
          <w:b w:val="false"/>
          <w:color w:val="000000"/>
          <w:sz w:val="24"/>
        </w:rPr>
        <w:t>means any contract or agreement with one or more of the Debtors or with any Ferder Affiliated Party under which an Investment Contract Counterparty provided consideration purportedly for the shared purchase of, or a loan in connection with the purported acquisition of, or secured by, diamonds, precious stones or minerals, or jewelry in exchange for a return of principal or invested amount with interest or other additional return on principal or other investment and guarantee of such a contract or agreement. The CODI Claims are not Investment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jj.    “</w:t>
      </w:r>
      <w:r>
        <w:rPr>
          <w:rFonts w:ascii="Times New Roman;serif" w:hAnsi="Times New Roman;serif"/>
          <w:b/>
          <w:i/>
          <w:color w:val="000000"/>
          <w:sz w:val="24"/>
        </w:rPr>
        <w:t>Investment Contract Claims</w:t>
      </w:r>
      <w:r>
        <w:rPr>
          <w:color w:val="000000"/>
        </w:rPr>
        <w:t xml:space="preserve">” </w:t>
      </w:r>
      <w:r>
        <w:rPr>
          <w:rFonts w:ascii="Times New Roman;serif" w:hAnsi="Times New Roman;serif"/>
          <w:b w:val="false"/>
          <w:color w:val="000000"/>
          <w:sz w:val="24"/>
        </w:rPr>
        <w:t>means any Claim or Cause of Action a Debtor may have against an Investment Contract Counterparty or a Related Party to such Investment Contract Counterparty.</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kk.    “</w:t>
      </w:r>
      <w:r>
        <w:rPr>
          <w:rFonts w:ascii="Times New Roman;serif" w:hAnsi="Times New Roman;serif"/>
          <w:b/>
          <w:i/>
          <w:color w:val="000000"/>
          <w:sz w:val="24"/>
        </w:rPr>
        <w:t>Investment Contract Counterparty</w:t>
      </w:r>
      <w:r>
        <w:rPr>
          <w:color w:val="000000"/>
        </w:rPr>
        <w:t xml:space="preserve">” </w:t>
      </w:r>
      <w:r>
        <w:rPr>
          <w:rFonts w:ascii="Times New Roman;serif" w:hAnsi="Times New Roman;serif"/>
          <w:b w:val="false"/>
          <w:color w:val="000000"/>
          <w:sz w:val="24"/>
        </w:rPr>
        <w:t>means a non-Debtor party to an Investment Contract.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ll.    “</w:t>
      </w:r>
      <w:r>
        <w:rPr>
          <w:rFonts w:ascii="Times New Roman;serif" w:hAnsi="Times New Roman;serif"/>
          <w:b/>
          <w:i/>
          <w:color w:val="000000"/>
          <w:sz w:val="24"/>
        </w:rPr>
        <w:t>Law</w:t>
      </w:r>
      <w:r>
        <w:rPr>
          <w:color w:val="000000"/>
        </w:rPr>
        <w:t xml:space="preserve">” </w:t>
      </w:r>
      <w:r>
        <w:rPr>
          <w:rFonts w:ascii="Times New Roman;serif" w:hAnsi="Times New Roman;serif"/>
          <w:b w:val="false"/>
          <w:color w:val="000000"/>
          <w:sz w:val="24"/>
        </w:rPr>
        <w:t>means any federal, state, local, or foreign law (including common law), statute, code, ordinance, rule, regulation, order, listing rule, ruling, or judgment, in each case, that is validly adopted, promulgated, issued, or entered by a governmental authority of competent jurisdiction (including the Bankruptcy Court) or stock exchange.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mm.    “</w:t>
      </w:r>
      <w:r>
        <w:rPr>
          <w:rFonts w:ascii="Times New Roman;serif" w:hAnsi="Times New Roman;serif"/>
          <w:b/>
          <w:i/>
          <w:color w:val="000000"/>
          <w:sz w:val="24"/>
        </w:rPr>
        <w:t>Liquidation Trust</w:t>
      </w:r>
      <w:r>
        <w:rPr>
          <w:color w:val="000000"/>
        </w:rPr>
        <w:t xml:space="preserve">” </w:t>
      </w:r>
      <w:r>
        <w:rPr>
          <w:rFonts w:ascii="Times New Roman;serif" w:hAnsi="Times New Roman;serif"/>
          <w:b w:val="false"/>
          <w:color w:val="000000"/>
          <w:sz w:val="24"/>
        </w:rPr>
        <w:t>means a liquidation trust established on the Effective Date for the benefit of the Liquidation Trust Beneficiaries in accordance with the terms of the Plan and the Liquidation Trust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nn.    “</w:t>
      </w:r>
      <w:r>
        <w:rPr>
          <w:rFonts w:ascii="Times New Roman;serif" w:hAnsi="Times New Roman;serif"/>
          <w:b/>
          <w:i/>
          <w:color w:val="000000"/>
          <w:sz w:val="24"/>
        </w:rPr>
        <w:t>Liquidation Trust Agreement</w:t>
      </w:r>
      <w:r>
        <w:rPr>
          <w:color w:val="000000"/>
        </w:rPr>
        <w:t xml:space="preserve">” </w:t>
      </w:r>
      <w:r>
        <w:rPr>
          <w:rFonts w:ascii="Times New Roman;serif" w:hAnsi="Times New Roman;serif"/>
          <w:b w:val="false"/>
          <w:color w:val="000000"/>
          <w:sz w:val="24"/>
        </w:rPr>
        <w:t>means the agreement establishing and delineating the terms and conditions of the Liquidation Trust, including the rights and duties of the Liquidation Trustee and the Liquidation Trust Oversight Board.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oo.    “</w:t>
      </w:r>
      <w:r>
        <w:rPr>
          <w:rFonts w:ascii="Times New Roman;serif" w:hAnsi="Times New Roman;serif"/>
          <w:b/>
          <w:i/>
          <w:color w:val="000000"/>
          <w:sz w:val="24"/>
        </w:rPr>
        <w:t>Liquidation Trust Assets</w:t>
      </w:r>
      <w:r>
        <w:rPr>
          <w:color w:val="000000"/>
        </w:rPr>
        <w:t xml:space="preserve">” </w:t>
      </w:r>
      <w:r>
        <w:rPr>
          <w:rFonts w:ascii="Times New Roman;serif" w:hAnsi="Times New Roman;serif"/>
          <w:b w:val="false"/>
          <w:color w:val="000000"/>
          <w:sz w:val="24"/>
        </w:rPr>
        <w:t>mean all assets of the Estates, including all Causes of Action, Cash in the Estates, any proceeds of the Tax Refund realized by the Post-Confirmation Debtor and transferred to the Liquidation Trust on receipt as provided in the Plan, the equity in the Post-Confirmation Debtor, any proceeds realized or received from such assets, all rights of setoff, recoupment, and other defenses with respect, relating to, or arising from the assets but excluding (a) the Tax Refund, (b) the Effective Date Reserves, and (c) the Professional Fee Reserve.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pp.    “</w:t>
      </w:r>
      <w:r>
        <w:rPr>
          <w:rFonts w:ascii="Times New Roman;serif" w:hAnsi="Times New Roman;serif"/>
          <w:b/>
          <w:i/>
          <w:color w:val="000000"/>
          <w:sz w:val="24"/>
        </w:rPr>
        <w:t>Liquidation Trust Oversight Board</w:t>
      </w:r>
      <w:r>
        <w:rPr>
          <w:color w:val="000000"/>
        </w:rPr>
        <w:t xml:space="preserve">” </w:t>
      </w:r>
      <w:r>
        <w:rPr>
          <w:rFonts w:ascii="Times New Roman;serif" w:hAnsi="Times New Roman;serif"/>
          <w:b w:val="false"/>
          <w:color w:val="000000"/>
          <w:sz w:val="24"/>
        </w:rPr>
        <w:t>means the board set forth in Paragraph 11 of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qq.    “</w:t>
      </w:r>
      <w:r>
        <w:rPr>
          <w:rFonts w:ascii="Times New Roman;serif" w:hAnsi="Times New Roman;serif"/>
          <w:b/>
          <w:i/>
          <w:color w:val="000000"/>
          <w:sz w:val="24"/>
        </w:rPr>
        <w:t>Liquidation Trustee</w:t>
      </w:r>
      <w:r>
        <w:rPr>
          <w:color w:val="000000"/>
        </w:rPr>
        <w:t xml:space="preserve">” </w:t>
      </w:r>
      <w:r>
        <w:rPr>
          <w:rFonts w:ascii="Times New Roman;serif" w:hAnsi="Times New Roman;serif"/>
          <w:b w:val="false"/>
          <w:color w:val="000000"/>
          <w:sz w:val="24"/>
        </w:rPr>
        <w:t>means Michael Goldberg and any successor appointed pursuant to the Liquidation Trust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rr.    “</w:t>
      </w:r>
      <w:r>
        <w:rPr>
          <w:rFonts w:ascii="Times New Roman;serif" w:hAnsi="Times New Roman;serif"/>
          <w:b/>
          <w:i/>
          <w:color w:val="000000"/>
          <w:sz w:val="24"/>
        </w:rPr>
        <w:t>Mediation Materials</w:t>
      </w:r>
      <w:r>
        <w:rPr>
          <w:color w:val="000000"/>
        </w:rPr>
        <w:t xml:space="preserve">” </w:t>
      </w:r>
      <w:r>
        <w:rPr>
          <w:rFonts w:ascii="Times New Roman;serif" w:hAnsi="Times New Roman;serif"/>
          <w:b w:val="false"/>
          <w:color w:val="000000"/>
          <w:sz w:val="24"/>
        </w:rPr>
        <w:t>mean all communications, documents, information, and other materials disclosed or submitted during the mediation held between May 6 and May 7,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ss.    “</w:t>
      </w:r>
      <w:r>
        <w:rPr>
          <w:rFonts w:ascii="Times New Roman;serif" w:hAnsi="Times New Roman;serif"/>
          <w:b/>
          <w:i/>
          <w:color w:val="000000"/>
          <w:sz w:val="24"/>
        </w:rPr>
        <w:t>Net Proceeds</w:t>
      </w:r>
      <w:r>
        <w:rPr>
          <w:color w:val="000000"/>
        </w:rPr>
        <w:t xml:space="preserve">” </w:t>
      </w:r>
      <w:r>
        <w:rPr>
          <w:rFonts w:ascii="Times New Roman;serif" w:hAnsi="Times New Roman;serif"/>
          <w:b w:val="false"/>
          <w:color w:val="000000"/>
          <w:sz w:val="24"/>
        </w:rPr>
        <w:t>mean Cash recoveries from Liquidation Trust Assets, less all reasonable expenses incurred in obtaining such recoveries.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tt.    “</w:t>
      </w:r>
      <w:r>
        <w:rPr>
          <w:rFonts w:ascii="Times New Roman;serif" w:hAnsi="Times New Roman;serif"/>
          <w:b/>
          <w:i/>
          <w:color w:val="000000"/>
          <w:sz w:val="24"/>
        </w:rPr>
        <w:t>Ordinary Course Professional</w:t>
      </w:r>
      <w:r>
        <w:rPr>
          <w:color w:val="000000"/>
        </w:rPr>
        <w:t xml:space="preserve">” </w:t>
      </w:r>
      <w:r>
        <w:rPr>
          <w:rFonts w:ascii="Times New Roman;serif" w:hAnsi="Times New Roman;serif"/>
          <w:b w:val="false"/>
          <w:color w:val="000000"/>
          <w:sz w:val="24"/>
        </w:rPr>
        <w:t xml:space="preserve">has the meaning as that term is defined in the </w:t>
      </w:r>
      <w:r>
        <w:rPr>
          <w:rFonts w:ascii="Times New Roman;serif" w:hAnsi="Times New Roman;serif"/>
          <w:b w:val="false"/>
          <w:i/>
          <w:color w:val="000000"/>
          <w:sz w:val="24"/>
        </w:rPr>
        <w:t>Order (A) Authorizing the Debtors to Retain and Compensate Professionals Used in the Ordinary Course of Business, and (B) Granting Related Relief</w:t>
      </w:r>
      <w:r>
        <w:rPr>
          <w:color w:val="000000"/>
        </w:rPr>
        <w:t xml:space="preserve"> </w:t>
      </w:r>
      <w:r>
        <w:rPr>
          <w:rFonts w:ascii="Times New Roman;serif" w:hAnsi="Times New Roman;serif"/>
          <w:b w:val="false"/>
          <w:color w:val="000000"/>
          <w:sz w:val="24"/>
        </w:rPr>
        <w:t xml:space="preserve">[Docket No. 194] and who has been retained by the Debtors in accordance with the order.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uu.    “</w:t>
      </w:r>
      <w:r>
        <w:rPr>
          <w:rFonts w:ascii="Times New Roman;serif" w:hAnsi="Times New Roman;serif"/>
          <w:b/>
          <w:i/>
          <w:color w:val="000000"/>
          <w:sz w:val="24"/>
        </w:rPr>
        <w:t>Person</w:t>
      </w:r>
      <w:r>
        <w:rPr>
          <w:color w:val="000000"/>
        </w:rPr>
        <w:t xml:space="preserve">” </w:t>
      </w:r>
      <w:r>
        <w:rPr>
          <w:rFonts w:ascii="Times New Roman;serif" w:hAnsi="Times New Roman;serif"/>
          <w:b w:val="false"/>
          <w:color w:val="000000"/>
          <w:sz w:val="24"/>
        </w:rPr>
        <w:t xml:space="preserve">means any person or organization created or recognized by Law, including any association, company, cooperative, corporation, entity, estate, fund, individual, joint stock company, joint venture, limited liability company, partnership,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trust, trustee, unincorporated organization, government (including any federal, state, local, municipal, or foreign government) or any political subdivision or agency, department, or instrumentality thereof, or any other entity or organization of whatever nature, and any other entity as defined in Bankruptcy Code § 101(15).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vv.    “</w:t>
      </w:r>
      <w:r>
        <w:rPr>
          <w:rFonts w:ascii="Times New Roman;serif" w:hAnsi="Times New Roman;serif"/>
          <w:b/>
          <w:i/>
          <w:color w:val="000000"/>
          <w:sz w:val="24"/>
        </w:rPr>
        <w:t>Plan</w:t>
      </w:r>
      <w:r>
        <w:rPr>
          <w:color w:val="000000"/>
        </w:rPr>
        <w:t xml:space="preserve">” </w:t>
      </w:r>
      <w:r>
        <w:rPr>
          <w:rFonts w:ascii="Times New Roman;serif" w:hAnsi="Times New Roman;serif"/>
          <w:b w:val="false"/>
          <w:color w:val="000000"/>
          <w:sz w:val="24"/>
        </w:rPr>
        <w:t>means the chapter 11 plan of the Debtors, which incorporates this Agreement, in the pending Chapter 11 Cases, including all exhibits, schedules, supplements, appendices, annexes and attachments thereto, as the same may be amended, modified, or supplemented in accordance with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ww.    “</w:t>
      </w:r>
      <w:r>
        <w:rPr>
          <w:rFonts w:ascii="Times New Roman;serif" w:hAnsi="Times New Roman;serif"/>
          <w:b/>
          <w:i/>
          <w:color w:val="000000"/>
          <w:sz w:val="24"/>
        </w:rPr>
        <w:t>Plan Effective Date</w:t>
      </w:r>
      <w:r>
        <w:rPr>
          <w:color w:val="000000"/>
        </w:rPr>
        <w:t xml:space="preserve">” </w:t>
      </w:r>
      <w:r>
        <w:rPr>
          <w:rFonts w:ascii="Times New Roman;serif" w:hAnsi="Times New Roman;serif"/>
          <w:b w:val="false"/>
          <w:color w:val="000000"/>
          <w:sz w:val="24"/>
        </w:rPr>
        <w:t>means the date the Plan becomes effective in accordance with its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xx</w:t>
      </w:r>
      <w:r>
        <w:rPr>
          <w:rFonts w:ascii="Times New Roman;serif" w:hAnsi="Times New Roman;serif"/>
          <w:b w:val="false"/>
          <w:i/>
          <w:color w:val="000000"/>
          <w:sz w:val="24"/>
        </w:rPr>
        <w:t>.    “</w:t>
      </w:r>
      <w:r>
        <w:rPr>
          <w:rFonts w:ascii="Times New Roman;serif" w:hAnsi="Times New Roman;serif"/>
          <w:b/>
          <w:i/>
          <w:color w:val="000000"/>
          <w:sz w:val="24"/>
        </w:rPr>
        <w:t>Plan Effective Date Cash</w:t>
      </w:r>
      <w:r>
        <w:rPr>
          <w:color w:val="000000"/>
        </w:rPr>
        <w:t xml:space="preserve">” </w:t>
      </w:r>
      <w:r>
        <w:rPr>
          <w:rFonts w:ascii="Times New Roman;serif" w:hAnsi="Times New Roman;serif"/>
          <w:b w:val="false"/>
          <w:color w:val="000000"/>
          <w:sz w:val="24"/>
        </w:rPr>
        <w:t xml:space="preserve">means all Cash in the Estates on the Plan Effective Date, less the amount of Cash required to fund the Effective Date Reserves (as defined in the Plan).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yy.    “</w:t>
      </w:r>
      <w:r>
        <w:rPr>
          <w:rFonts w:ascii="Times New Roman;serif" w:hAnsi="Times New Roman;serif"/>
          <w:b/>
          <w:i/>
          <w:color w:val="000000"/>
          <w:sz w:val="24"/>
        </w:rPr>
        <w:t>Post-Confirmation Debtor</w:t>
      </w:r>
      <w:r>
        <w:rPr>
          <w:color w:val="000000"/>
        </w:rPr>
        <w:t xml:space="preserve">” </w:t>
      </w:r>
      <w:r>
        <w:rPr>
          <w:rFonts w:ascii="Times New Roman;serif" w:hAnsi="Times New Roman;serif"/>
          <w:b w:val="false"/>
          <w:color w:val="000000"/>
          <w:sz w:val="24"/>
        </w:rPr>
        <w:t>means Lugano Holding,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zz.    “</w:t>
      </w:r>
      <w:r>
        <w:rPr>
          <w:rFonts w:ascii="Times New Roman;serif" w:hAnsi="Times New Roman;serif"/>
          <w:b/>
          <w:i/>
          <w:color w:val="000000"/>
          <w:sz w:val="24"/>
        </w:rPr>
        <w:t>PSA</w:t>
      </w:r>
      <w:r>
        <w:rPr>
          <w:color w:val="000000"/>
        </w:rPr>
        <w:t xml:space="preserve">” </w:t>
      </w:r>
      <w:r>
        <w:rPr>
          <w:rFonts w:ascii="Times New Roman;serif" w:hAnsi="Times New Roman;serif"/>
          <w:b w:val="false"/>
          <w:color w:val="000000"/>
          <w:sz w:val="24"/>
        </w:rPr>
        <w:t xml:space="preserve">means the agreement by and among the CODI Parties, the Debtors, and the UCC establishing the Debtors’ obligations to, among other things, propose the Plan containing provisions consistent with all material terms of this Agreement and all such parties’ obligations to, among other things, vote to accept this Plan and support its confirmation.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aaa.    “</w:t>
      </w:r>
      <w:r>
        <w:rPr>
          <w:rFonts w:ascii="Times New Roman;serif" w:hAnsi="Times New Roman;serif"/>
          <w:b/>
          <w:i/>
          <w:color w:val="000000"/>
          <w:sz w:val="24"/>
        </w:rPr>
        <w:t>Related Parties</w:t>
      </w:r>
      <w:r>
        <w:rPr>
          <w:color w:val="000000"/>
        </w:rPr>
        <w:t xml:space="preserve">” </w:t>
      </w:r>
      <w:r>
        <w:rPr>
          <w:rFonts w:ascii="Times New Roman;serif" w:hAnsi="Times New Roman;serif"/>
          <w:b w:val="false"/>
          <w:color w:val="000000"/>
          <w:sz w:val="24"/>
        </w:rPr>
        <w:t xml:space="preserve">means, collectively, with respect to any Person or entity, and in each case solely in its capacity as such, all current and former directors, managers, officers, committee members, members of any governing body, shareholders, unitholders, equity holders (regardless of whether such interests are held directly or indirectly), affiliated investment funds or investment vehicles, managed accounts or funds, predecessors, assignors, participants, successors, assignees (whether by operation of Law or otherwise), subsidiaries, partners, limited partners, general partners, principals, members, management companies, fund advisors or managers, fiduciaries, employees, agents, trusts, trustees, advisory board members, financial advisors, attorneys (including any other attorneys or professionals retained by any current or former director or manager in his or her capacity as director or manager of an entity), accountants, investment bankers, consultants, representatives, and other professionals and advisors and any such Person’s or entity’s respective heirs, executors, estates, and nominees;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Excluded Party is a Related Party. Related Parties of the Debtors include the Special Committee and its members, advisors, and attorneys.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bbb.    “</w:t>
      </w:r>
      <w:r>
        <w:rPr>
          <w:rFonts w:ascii="Times New Roman;serif" w:hAnsi="Times New Roman;serif"/>
          <w:b/>
          <w:i/>
          <w:color w:val="000000"/>
          <w:sz w:val="24"/>
        </w:rPr>
        <w:t>Sostratus</w:t>
      </w:r>
      <w:r>
        <w:rPr>
          <w:color w:val="000000"/>
        </w:rPr>
        <w:t xml:space="preserve">” </w:t>
      </w:r>
      <w:r>
        <w:rPr>
          <w:rFonts w:ascii="Times New Roman;serif" w:hAnsi="Times New Roman;serif"/>
          <w:b w:val="false"/>
          <w:color w:val="000000"/>
          <w:sz w:val="24"/>
        </w:rPr>
        <w:t>has the meaning ascribed thereto in the Preamble of this Agreement.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ccc.    “</w:t>
      </w:r>
      <w:r>
        <w:rPr>
          <w:rFonts w:ascii="Times New Roman;serif" w:hAnsi="Times New Roman;serif"/>
          <w:b/>
          <w:i/>
          <w:color w:val="000000"/>
          <w:sz w:val="24"/>
        </w:rPr>
        <w:t>Specified Assets</w:t>
      </w:r>
      <w:r>
        <w:rPr>
          <w:color w:val="000000"/>
        </w:rPr>
        <w:t xml:space="preserve">” </w:t>
      </w:r>
      <w:r>
        <w:rPr>
          <w:rFonts w:ascii="Times New Roman;serif" w:hAnsi="Times New Roman;serif"/>
          <w:b w:val="false"/>
          <w:color w:val="000000"/>
          <w:sz w:val="24"/>
        </w:rPr>
        <w:t>means, collectively, (a) the Agency Agreement Proceeds; (b) the Tax Refund; and (c) the Theft Policy, and (d) Causes of Action to establish, and realize upon, the amounts due to the Estates under any agreement or law with respect to clauses (a) – (c).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ddd.    “</w:t>
      </w:r>
      <w:r>
        <w:rPr>
          <w:rFonts w:ascii="Times New Roman;serif" w:hAnsi="Times New Roman;serif"/>
          <w:b/>
          <w:i/>
          <w:color w:val="000000"/>
          <w:sz w:val="24"/>
        </w:rPr>
        <w:t>Tax Refund</w:t>
      </w:r>
      <w:r>
        <w:rPr>
          <w:color w:val="000000"/>
        </w:rPr>
        <w:t xml:space="preserve">” </w:t>
      </w:r>
      <w:r>
        <w:rPr>
          <w:rFonts w:ascii="Times New Roman;serif" w:hAnsi="Times New Roman;serif"/>
          <w:b w:val="false"/>
          <w:color w:val="000000"/>
          <w:sz w:val="24"/>
        </w:rPr>
        <w:t xml:space="preserve">means any federal, state, and local income tax refunds or other tax refunds owing or that become owing to any of the Debtors, including refunds owing to the Post-Confirmation Debtor from any taxing authorities, including the United States government and any state and local governments.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eee.    “</w:t>
      </w:r>
      <w:r>
        <w:rPr>
          <w:rFonts w:ascii="Times New Roman;serif" w:hAnsi="Times New Roman;serif"/>
          <w:b/>
          <w:i/>
          <w:color w:val="000000"/>
          <w:sz w:val="24"/>
        </w:rPr>
        <w:t>Theft Policy</w:t>
      </w:r>
      <w:r>
        <w:rPr>
          <w:color w:val="000000"/>
        </w:rPr>
        <w:t xml:space="preserve">” </w:t>
      </w:r>
      <w:r>
        <w:rPr>
          <w:rFonts w:ascii="Times New Roman;serif" w:hAnsi="Times New Roman;serif"/>
          <w:b w:val="false"/>
          <w:color w:val="000000"/>
          <w:sz w:val="24"/>
        </w:rPr>
        <w:t xml:space="preserve">means the Primary and Excess All Risks (LDI) policies, policy numbers B080123941W24 and B080123942W24, issued by Lloyd’s (syndicated) that insure against, among other things, theft of certain of the Debtors’ precious stone inventory under which the Debtors are the insured.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fff.    “</w:t>
      </w:r>
      <w:r>
        <w:rPr>
          <w:rFonts w:ascii="Times New Roman;serif" w:hAnsi="Times New Roman;serif"/>
          <w:b/>
          <w:i/>
          <w:color w:val="000000"/>
          <w:sz w:val="24"/>
        </w:rPr>
        <w:t>Third-Party Litigation</w:t>
      </w:r>
      <w:r>
        <w:rPr>
          <w:color w:val="000000"/>
        </w:rPr>
        <w:t xml:space="preserve">” </w:t>
      </w:r>
      <w:r>
        <w:rPr>
          <w:rFonts w:ascii="Times New Roman;serif" w:hAnsi="Times New Roman;serif"/>
          <w:b w:val="false"/>
          <w:color w:val="000000"/>
          <w:sz w:val="24"/>
        </w:rPr>
        <w:t>means any litigation or investigation between a third-party and CODI relating to the Debtors.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ggg.    “</w:t>
      </w:r>
      <w:r>
        <w:rPr>
          <w:rFonts w:ascii="Times New Roman;serif" w:hAnsi="Times New Roman;serif"/>
          <w:b/>
          <w:i/>
          <w:color w:val="000000"/>
          <w:sz w:val="24"/>
        </w:rPr>
        <w:t>UCC</w:t>
      </w:r>
      <w:r>
        <w:rPr>
          <w:color w:val="000000"/>
        </w:rPr>
        <w:t xml:space="preserve">” </w:t>
      </w:r>
      <w:r>
        <w:rPr>
          <w:rFonts w:ascii="Times New Roman;serif" w:hAnsi="Times New Roman;serif"/>
          <w:b w:val="false"/>
          <w:color w:val="000000"/>
          <w:sz w:val="24"/>
        </w:rPr>
        <w:t>has the meaning ascribed thereto in the Preamble of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FF"/>
          <w:sz w:val="24"/>
        </w:rPr>
        <w:t>.    </w:t>
      </w:r>
      <w:r>
        <w:rPr>
          <w:rFonts w:ascii="Times New Roman;serif" w:hAnsi="Times New Roman;serif"/>
          <w:b w:val="false"/>
          <w:color w:val="000000"/>
          <w:sz w:val="24"/>
          <w:u w:val="single"/>
        </w:rPr>
        <w:t>Conditions to Effectiveness</w:t>
      </w:r>
      <w:r>
        <w:rPr>
          <w:rFonts w:ascii="Times New Roman;serif" w:hAnsi="Times New Roman;serif"/>
          <w:b w:val="false"/>
          <w:color w:val="000000"/>
          <w:sz w:val="24"/>
        </w:rPr>
        <w:t xml:space="preserve">. This Agreement shall become effective and binding upon each of the Parties at 12:00 a.m. (prevailing Eastern Time), on the Effective Date, which is the date on which all the following conditions have been satisfied or waived in accordance with this Agreement: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Entering into this Agreement must be approved and executed by the requisite majority of the members of the relevant boards of directors or managers of CODI Parent, CODI, CGM, and Sostratus in accordance with their respective governing documents;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Each of the Parties shall have executed and delivered counterpart signature pages of this Agreement and the PSA to counsel for the other Parties (as applicable);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Plan Effective Date shall have occurred.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CODI Recoveries</w:t>
      </w:r>
      <w:r>
        <w:rPr>
          <w:rFonts w:ascii="Times New Roman;serif" w:hAnsi="Times New Roman;serif"/>
          <w:b w:val="false"/>
          <w:color w:val="000000"/>
          <w:sz w:val="24"/>
        </w:rPr>
        <w:t>. The Plan shall provide for the following treatment on account of the CODI Claims, which treatment shall be in full and final satisfaction of the CODI Claims: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    CODI Specified Asset Recoveries</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On the Plan Effective Date, the Debtors shall pay CODI 34.79% of the amount of the Effective Date Cash.</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After the Plan Effective Date, the Liquidation Trustee shall pay CODI (A) a subsequent Distribution from the Liquidation Trust equal to 34.79%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of Cash released from the Effective Date Reserves and Professional Fee Reserve to the extent not necessary to satisfy all Allowed Administrative, Professional Fee, Priority, Priority Tax, Other Secured, and Convenience Claims; and (B) periodic Distributions from the Liquidation Trust pursuant to the Liquidation Trust Agreement equal to 34.79% of all Net Proceeds of Specified Assets received by the Liquidation Trust after the Effective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    CODI Auditor Recovery</w:t>
      </w:r>
      <w:r>
        <w:rPr>
          <w:rFonts w:ascii="Times New Roman;serif" w:hAnsi="Times New Roman;serif"/>
          <w:b w:val="false"/>
          <w:color w:val="000000"/>
          <w:sz w:val="24"/>
        </w:rPr>
        <w:t xml:space="preserve">. The Liquidation Trust shall pay CODI 45% of any Net Proceeds of all GT Claims. The Liquidation Trustee shall ensure its professionals maintain a record of fees and expenses under a separate billing designation for all work associated with the CODI Auditor Recovery.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rPr>
        <w:t>.    CODI Remainder Recovery</w:t>
      </w:r>
      <w:r>
        <w:rPr>
          <w:rFonts w:ascii="Times New Roman;serif" w:hAnsi="Times New Roman;serif"/>
          <w:b w:val="false"/>
          <w:color w:val="000000"/>
          <w:sz w:val="24"/>
        </w:rPr>
        <w:t>. The Liquidation Trust shall pay CODI 25% of any Net Proceeds of Causes of Action (including recoveries under any representations and warranty policy and Avoidance Actions) other than the GT Claims and Specified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rPr>
        <w:t>.    CODI Residual Recovery</w:t>
      </w:r>
      <w:r>
        <w:rPr>
          <w:rFonts w:ascii="Times New Roman;serif" w:hAnsi="Times New Roman;serif"/>
          <w:b w:val="false"/>
          <w:color w:val="000000"/>
          <w:sz w:val="24"/>
        </w:rPr>
        <w:t>. The Liquidation Trust shall pay CODI any Net Proceeds remaining in the Liquidation Trust after Holders of General Beneficial Interests receive Distributions equal to the full amount of their Allowed General Unsecured Claims plus GUC Interest (as defined in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CODI Recoveries Mechanics</w:t>
      </w:r>
      <w:r>
        <w:rPr>
          <w:rFonts w:ascii="Times New Roman;serif" w:hAnsi="Times New Roman;serif"/>
          <w:b w:val="false"/>
          <w:color w:val="000000"/>
          <w:sz w:val="24"/>
        </w:rPr>
        <w:t>. All CODI Recoveries shall be made by wire transfer or similar transfer of immediately available funds pursuant to written directions provided by CODI to the Debtors or the Liquidation Trustee, as applicable.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Assignment of Certain Claims and Causes of Action to Liquidation Trust</w:t>
      </w:r>
      <w:r>
        <w:rPr>
          <w:rFonts w:ascii="Times New Roman;serif" w:hAnsi="Times New Roman;serif"/>
          <w:b w:val="false"/>
          <w:color w:val="000000"/>
          <w:sz w:val="24"/>
        </w:rPr>
        <w:t xml:space="preserve">. CODI irrevocably assigns and transfers the CODI Auditor Claims to the Liquidation Trust. The Plan shall offer holders of general unsecured Claims in the Chapter 11 Cases the opportunity to assign any individual Claims or Causes of Action such creditor may have against GT to the Liquidation Trust in exchange for an enhanced recovery on such creditor’s unsecured Claim against a Debtor;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enhanced recovery shall not affect the treatment of the CODI Claims, reduce the CODI Recoveries, or have any material adverse effect of any kind on any of the CODI Parties or CODI Related Parties.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Disputes</w:t>
      </w:r>
      <w:r>
        <w:rPr>
          <w:rFonts w:ascii="Times New Roman;serif" w:hAnsi="Times New Roman;serif"/>
          <w:b w:val="false"/>
          <w:color w:val="000000"/>
          <w:sz w:val="24"/>
        </w:rPr>
        <w:t xml:space="preserve">. After the Effective Date, the Parties agree that any disputes arising under or relating to this Agreement shall be decided by the Bankruptcy Court and hereby agree to the sole and exclusive jurisdiction of the Bankruptcy Court for purposes of such disputes.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To the extent they remain in existence at the relevant time—it being understood that the Debtors (except for the Post-Confirmation Debtor) and the UCC cease to exist on the Plan Effective Date:</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    Agreement Cooperation</w:t>
      </w:r>
      <w:r>
        <w:rPr>
          <w:rFonts w:ascii="Times New Roman;serif" w:hAnsi="Times New Roman;serif"/>
          <w:b w:val="false"/>
          <w:color w:val="000000"/>
          <w:sz w:val="24"/>
        </w:rPr>
        <w:t xml:space="preserve">. The Parties shall cooperate reasonably with each other and with each other’s respective representatives in connection with any steps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required to be taken as part of their respective obligations under this Agreement, and shall (i) furnish upon request to each other such further information, (ii) execute and deliver to each other such other documents, and (iii) do such other acts as a Party may reasonably request for the purpose of carrying out the transactions and compromises contemplated by this Agreement. The Parties shall cooperate with each other as necessary to obtain all consents and authorizations of third-parties, if any, to make all filings with and give all notices to third-parties that may be necessary or reasonably required in order to carry out the intent of this Agreement and the transactions and compromises contemplated hereby.</w:t>
      </w:r>
    </w:p>
    <w:p>
      <w:pPr>
        <w:pStyle w:val="TextBody"/>
        <w:bidi w:val="0"/>
        <w:spacing w:lineRule="auto" w:line="288" w:before="0" w:after="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    Third-Party Litigation Cooperation</w:t>
      </w:r>
      <w:r>
        <w:rPr>
          <w:rFonts w:ascii="Times New Roman;serif" w:hAnsi="Times New Roman;serif"/>
          <w:b w:val="false"/>
          <w:color w:val="000000"/>
          <w:sz w:val="24"/>
        </w:rPr>
        <w:t xml:space="preserve">. Each of the Parties agrees to (i) respond (at the requesting Party’s expense) to each other’s reasonable requests for information relating to any Third-Party Litigation for 24 months after the Effective Date and (ii) upon request from a Party, and to the extent a common interest or joint defense exists, enter into a reasonable Common Interest Agreement or Joint Defense Agreement to govern the sharing of such information as contemplated in this Paragraph 7b; </w:t>
      </w:r>
      <w:r>
        <w:rPr>
          <w:rFonts w:ascii="Times New Roman;serif" w:hAnsi="Times New Roman;serif"/>
          <w:b w:val="false"/>
          <w:i/>
          <w:color w:val="000000"/>
          <w:sz w:val="24"/>
        </w:rPr>
        <w:t>provided, however</w:t>
      </w:r>
      <w:r>
        <w:rPr>
          <w:rFonts w:ascii="Times New Roman;serif" w:hAnsi="Times New Roman;serif"/>
          <w:b w:val="false"/>
          <w:color w:val="000000"/>
          <w:sz w:val="24"/>
        </w:rPr>
        <w:t>, that no Party is required to participate in any Third-Party Litigation in which it is not a party, to create or provide work product or other documents that do not already exist, or to take, assist with, or support any position or action in any Third-Party Litigation that the responding Party does not support or agree with, in its sole or absolute discretion. Nothing in this subparagraph alters or is intended to alter any Party’s obligation to respond to a valid subpoena or any Party’s right to object to a subpoena pursuant to applicable Law. Nothing in this Agreement shall require any CODI Release Parties to incur any expenses or costs in providing such cooperation.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rPr>
        <w:t>.    No Cooperation Regarding Litigation Against the CODI Release Parties</w:t>
      </w:r>
      <w:r>
        <w:rPr>
          <w:rFonts w:ascii="Times New Roman;serif" w:hAnsi="Times New Roman;serif"/>
          <w:b w:val="false"/>
          <w:color w:val="000000"/>
          <w:sz w:val="24"/>
        </w:rPr>
        <w:t xml:space="preserve">. No Party to this Agreement shall encourage or voluntarily cooperate in any litigation or anticipated litigation against the CODI Release Parties.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FF"/>
          <w:sz w:val="24"/>
        </w:rPr>
        <w:t>.    </w:t>
      </w:r>
      <w:r>
        <w:rPr>
          <w:rFonts w:ascii="Times New Roman;serif" w:hAnsi="Times New Roman;serif"/>
          <w:b w:val="false"/>
          <w:color w:val="000000"/>
          <w:sz w:val="24"/>
          <w:u w:val="single"/>
        </w:rPr>
        <w:t>Releases by the Bankruptcy Release Parties</w:t>
      </w:r>
      <w:r>
        <w:rPr>
          <w:rFonts w:ascii="Times New Roman;serif" w:hAnsi="Times New Roman;serif"/>
          <w:b w:val="false"/>
          <w:color w:val="000000"/>
          <w:sz w:val="24"/>
        </w:rPr>
        <w:t>.</w:t>
      </w:r>
      <w:r>
        <w:rPr>
          <w:color w:val="0000FF"/>
        </w:rPr>
        <w:t xml:space="preserve"> </w:t>
      </w:r>
      <w:r>
        <w:rPr>
          <w:rFonts w:ascii="Times New Roman;serif" w:hAnsi="Times New Roman;serif"/>
          <w:b w:val="false"/>
          <w:color w:val="000000"/>
          <w:sz w:val="24"/>
        </w:rPr>
        <w:t>Except as provided in Paragraph 10, the Bankruptcy Release Parties, to the extent controlled by a Party hereto, shall forever release the CODI Release Parties from any and all Claims, actions, Causes of Action, suits, debts, dues, sums of money, accounts, controversies, agreements, promises, damages, judgments, executions, and demands whatsoever, in Law or equity, whether known or unknown, liquidated or unliquidated, which the Bankruptcy Release Parties ever had, now have, or hereafter can, shall, or may have against any of the CODI Release Parties or Bankruptcy Release Parties for any matter, cause, thing, or reason whatsoever as of the Plan Effective Date, including but not limited to, for or arising out of, or related to, prepetition matters with the Debtors, the Debtors’ business, the Debtors’ actual or alleged fraud, the Chapter 11 Cases, the CODI Claims, and other actual or potential Claims that were or could have been asserted against any of the CODI Release Parties or any of the Bankruptcy Release Party.</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Releases by the CODI Release Parties</w:t>
      </w:r>
      <w:r>
        <w:rPr>
          <w:rFonts w:ascii="Times New Roman;serif" w:hAnsi="Times New Roman;serif"/>
          <w:b w:val="false"/>
          <w:color w:val="000000"/>
          <w:sz w:val="24"/>
        </w:rPr>
        <w:t xml:space="preserve">. Except as provided in Paragraph 10, the CODI Release Parties, to the extent controlled by a Party hereto, hereby forever release and discharge the Bankruptcy Release Parties from any and all Claims, actions, Causes of Action, suits, debts, dues, sums of money, accounts, controversies, agreements, promises, damages,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judgments, executions, and demands whatsoever, in Law or equity, whether known or unknown, liquidated or unliquidated, which the CODI Release Parties ever had, now have, or hereafter can, shall, or may have against any of the Bankruptcy Release Parties for any matter, cause, thing, or reason whatsoever as of the Plan Effective Date, including but not limited to, for or arising out of, or related to, prepetition matters with the Debtors, the Debtors’ business, the Debtors’ actual or alleged fraud, the Chapter 11 Cases, and any other actual or potential Claims that were or could have been asserted against any of the Bankruptcy Release Parties. </w:t>
      </w:r>
    </w:p>
    <w:p>
      <w:pPr>
        <w:pStyle w:val="TextBody"/>
        <w:bidi w:val="0"/>
        <w:spacing w:lineRule="auto" w:line="288" w:before="0" w:after="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Exclusions from Releases</w:t>
      </w:r>
      <w:r>
        <w:rPr>
          <w:rFonts w:ascii="Times New Roman;serif" w:hAnsi="Times New Roman;serif"/>
          <w:b w:val="false"/>
          <w:color w:val="000000"/>
          <w:sz w:val="24"/>
        </w:rPr>
        <w:t>. Notwithstanding anything to the contrary in Paragraph 8, Paragraph 9, or any other Paragraph of this Agreement, the Parties agree and acknowledge that, subject to their treatment in the Plan, this Agreement and the releases to be provided in the Plan shall not release or waive: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CODI Claims;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CODI Recoveries;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c.    Any and all Claims, Causes of Action, derivative claims and causes of action, obligations, suits, judgments, damages, debts, rights, remedies, and liabilities of any unmatured, known or unknown, foreseen or unforeseen, then existing or thereafter arising, in law equity, contract, tort, or otherwise, that a CODI Party would have been legally entitled to assert in their own right (whether individually, derivatively, or collectively) against another CODI Party </w:t>
      </w:r>
      <w:r>
        <w:rPr>
          <w:rFonts w:ascii="Times New Roman;serif" w:hAnsi="Times New Roman;serif"/>
          <w:b w:val="false"/>
          <w:color w:val="010000"/>
          <w:sz w:val="24"/>
        </w:rPr>
        <w:t>or any of their officers, directors, members, managers, trustees, or employees</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any obligation of a Party arising under or created by this Agreement;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any Claim or litigation by a Party against a third-party that is not expressly released pursuant to this Agreement and the Plan, including but not limited to, Claims or litigation by the Debtors, Estates, Liquidation Trust, or CODI Release Parties against (a) any Excluded Party, (b) against any member of the UCC (in a capacity other than as a member of the UCC, and (c) against any Investment Contract Counterparty.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Liquidation Trust Oversight Board</w:t>
      </w:r>
      <w:r>
        <w:rPr>
          <w:rFonts w:ascii="Times New Roman;serif" w:hAnsi="Times New Roman;serif"/>
          <w:b w:val="false"/>
          <w:color w:val="000000"/>
          <w:sz w:val="24"/>
        </w:rPr>
        <w:t xml:space="preserve">. The Plan shall provide that the Liquidation Trust shall have a board comprising five members established under the Plan and Article III of the Liquidation Trust Agreement to oversee the Liquidation Trustee’s performance of his duties and otherwise serve the functions set forth in the Liquidation Trust Agreement. The initial members of the Liquidation Trust Oversight Board are: (i) Stephen Keller; (ii) Adam Rothstein; (iii) Avi Wazana; (iv) Spencer Wells; and (v) Craig Barbarosh. The last two named Board Members are the independent board members of the Liquidation Trust Oversight Board.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Except as explicitly provided in the Plan or required under applicable law, the Parties agree, and the Plan shall provide, that the Parties shall keep all Mediation Materials confidential to the maximum extent allowable by Law and that they shall not make, or cause any other person or entity to make, any public statements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communications concerning this Agreement or its subject matter. In the event a Party, in its sole discretion, makes a good faith determination that disclosure of any Mediation Materials is necessary to comply with its obligations, including but not limited to, in order to comply with direction of the Bankruptcy Court or to respond to request for compelled disclosure, such disclosing Party shall (to the extent reasonably possible) provide the other Parties with reasonably prompt, advance written notice so as to permit the other Parties an opportunity to consult with, and advise the disclosing Party of, the other Parties’ position. In the event of a filing, subpoena, or similar request for compelled disclosure of the terms of any Mediation Materials, the Party receiving such filing, subpoena, or request shall provide a copy of such request to the other Parties promptly upon receipt. This notice and consultation requirement does not impose any obligation upon any Party to forego or resist disclosure if such Party determines in its good faith discretion that such disclosure is necessary to comply with such Party's obligations. The obligations of the Parties set forth in this Paragraph 12 shall survive the termination of this Agreement regardless of whether the Effective Date has occurred.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Miscellaneous</w:t>
      </w:r>
      <w:r>
        <w:rPr>
          <w:rFonts w:ascii="Times New Roman;serif" w:hAnsi="Times New Roman;serif"/>
          <w:b w:val="false"/>
          <w:color w:val="000000"/>
          <w:sz w:val="24"/>
        </w:rPr>
        <w:t xml:space="preserve">. Each Party acknowledges, represents, and agrees that: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no promise, inducement, or consideration has been offered or promised to any Party except as expressly set forth herein;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this Agreement is executed without reliance upon any statement or representation by any other Party or other Party’s attorneys or representatives concerning the nature and extent of any Claims and/or damages or legal liability therefor;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this Agreement, together with the PSA and Plan, constitutes the final and fully-integrated agreement of the Parties concerning the subject matter hereof and supersedes all prior or contemporaneous oral and written statements, understandings, and agreements between them or their counsel regarding the subject matter hereof;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this Agreement shall be governed by the Laws of the State of Delaware without regard to any choice of Law analysis that might call for application of some different Law;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this Agreement may not be modified except in a writing signed by each Party and no Party shall be entitled to rely on any other manner of attempted modification, which shall be void (and not merely voidable);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no Party has assigned or purported to assign any Claim that otherwise would be released or discharged by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this Agreement may be executed in two or more counterparts, but all of which taken together shall constitute one and the same agreement; and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signatures exchanged by email or facsimile transmission shall be deemed original signatures for all purposes and shall indicate and evidence such Party’s final and fully-enforceable agreement to the terms of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Authority</w:t>
      </w:r>
      <w:r>
        <w:rPr>
          <w:rFonts w:ascii="Times New Roman;serif" w:hAnsi="Times New Roman;serif"/>
          <w:b w:val="false"/>
          <w:color w:val="000000"/>
          <w:sz w:val="24"/>
        </w:rPr>
        <w:t>. Each Party and each signatory below represents that the signatory has all necessary authority to enter into the terms of this Agreement on behalf of the Party for which she or he is signing and to bind that Party to the terms of this Agreement. Each Party acknowledge that each other Party is specifically relying on these representations in entering into this Agreement and that the Parties’ respective signatories have actual, apparent, and inherent authority to bind the Parties to the terms of this Agreement. Each of the Parties agree that none of the Parties has an obligation to inquire into the authority of the signatories for any Party and the Parties’ reliance on the representations in this Agreement and apparent authority is reasonable and justifiable.</w:t>
      </w:r>
    </w:p>
    <w:p>
      <w:pPr>
        <w:pStyle w:val="TextBody"/>
        <w:bidi w:val="0"/>
        <w:spacing w:lineRule="auto" w:line="288" w:before="0" w:after="0"/>
        <w:ind w:left="0" w:right="0" w:firstLine="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Third-Party Beneficiaries</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Except as set forth in Paragraph 15(b), the Parties do not confer any rights or remedies upon any person other than the Parties to this Agreement and their respective successors and assigns.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Parties hereby designate the Bankruptcy Release Parties and CODI Release Parties as third-party beneficiaries of this Agreement having the right to enforce the releases provided under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Conflicts</w:t>
      </w:r>
      <w:r>
        <w:rPr>
          <w:rFonts w:ascii="Times New Roman;serif" w:hAnsi="Times New Roman;serif"/>
          <w:b w:val="false"/>
          <w:color w:val="000000"/>
          <w:sz w:val="24"/>
        </w:rPr>
        <w:t>. In the event of any inconsistency between this Agreement and the Plan, the Plan shall govern.</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duly executed as of the dates indicated below.</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Pages Intentionally Omitted</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PLAN SUPPORT AGREEMENT IS NOT AN OFFER OR ACCEPTANCE WITH RESPECT TO ANY SECURITIES OR A SOLICITATION OF ACCEPTANCES OF A CHAPTER 11 PLAN WITHIN THE MEANING OF SECTION 1125 OF THE BANKRUPTCY CODE. ANY SUCH OFFER WILL COMPLY WITH ALL APPLICABLE SECURITIES LAWS AND/OR PROVISIONS OF THE BANKRUPTCY CODE. NOTHING CONTAINED IN THIS PLAN SUPPORT AGREEMENT SHALL BE AN ADMISSION OF FACT OR LIABILITY OR, UNTIL THE OCCURRENCE OF THE AGREEMENT EFFECTIVE DATE ON THE TERMS DESCRIBED IN THIS AGREEMENT, DEEMED BINDING ON ANY OF THE PARTIES TO THIS AGREEMENT.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PLAN SUPPORT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This PLAN SUPPORT AGREEMENT (including all exhibits, annexes, and schedules attached to this agreement in accordance with Section 11.2,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made and entered into as of this 24th day of June 2026 (the “</w:t>
      </w:r>
      <w:r>
        <w:rPr>
          <w:rFonts w:ascii="Times New Roman;serif" w:hAnsi="Times New Roman;serif"/>
          <w:b/>
          <w:i/>
          <w:color w:val="000000"/>
          <w:sz w:val="24"/>
        </w:rPr>
        <w:t>Execution Date</w:t>
      </w:r>
      <w:r>
        <w:rPr>
          <w:color w:val="000000"/>
        </w:rPr>
        <w:t>”</w:t>
      </w:r>
      <w:r>
        <w:rPr>
          <w:rFonts w:ascii="Times New Roman;serif" w:hAnsi="Times New Roman;serif"/>
          <w:b w:val="false"/>
          <w:color w:val="000000"/>
          <w:sz w:val="24"/>
        </w:rPr>
        <w:t>), by and among (i) Lugano Diamonds &amp; Jewelry Inc. (“</w:t>
      </w:r>
      <w:r>
        <w:rPr>
          <w:rFonts w:ascii="Times New Roman;serif" w:hAnsi="Times New Roman;serif"/>
          <w:b/>
          <w:i/>
          <w:color w:val="000000"/>
          <w:sz w:val="24"/>
        </w:rPr>
        <w:t>Lugano Diamonds</w:t>
      </w:r>
      <w:r>
        <w:rPr>
          <w:color w:val="000000"/>
        </w:rPr>
        <w:t>”</w:t>
      </w:r>
      <w:r>
        <w:rPr>
          <w:rFonts w:ascii="Times New Roman;serif" w:hAnsi="Times New Roman;serif"/>
          <w:b w:val="false"/>
          <w:color w:val="000000"/>
          <w:sz w:val="24"/>
        </w:rPr>
        <w:t>), (ii) Lugano Buyer, Inc. (“</w:t>
      </w:r>
      <w:r>
        <w:rPr>
          <w:rFonts w:ascii="Times New Roman;serif" w:hAnsi="Times New Roman;serif"/>
          <w:b/>
          <w:i/>
          <w:color w:val="000000"/>
          <w:sz w:val="24"/>
        </w:rPr>
        <w:t>Lugano Buyer</w:t>
      </w:r>
      <w:r>
        <w:rPr>
          <w:color w:val="000000"/>
        </w:rPr>
        <w:t>”</w:t>
      </w:r>
      <w:r>
        <w:rPr>
          <w:rFonts w:ascii="Times New Roman;serif" w:hAnsi="Times New Roman;serif"/>
          <w:b w:val="false"/>
          <w:color w:val="000000"/>
          <w:sz w:val="24"/>
        </w:rPr>
        <w:t>), (iii) K.L.D. Jewelry, LLC, (iv) Lugano Prive, LLC, (v) Lugano Holding, Inc. (“</w:t>
      </w:r>
      <w:r>
        <w:rPr>
          <w:rFonts w:ascii="Times New Roman;serif" w:hAnsi="Times New Roman;serif"/>
          <w:b/>
          <w:i/>
          <w:color w:val="000000"/>
          <w:sz w:val="24"/>
        </w:rPr>
        <w:t>Lugano Holding</w:t>
      </w:r>
      <w:r>
        <w:rPr>
          <w:rFonts w:ascii="Times New Roman;serif" w:hAnsi="Times New Roman;serif"/>
          <w:b w:val="false"/>
          <w:color w:val="000000"/>
          <w:sz w:val="24"/>
        </w:rPr>
        <w:t>,” and together with the entities identified in (i)-(iv), the “</w:t>
      </w:r>
      <w:r>
        <w:rPr>
          <w:rFonts w:ascii="Times New Roman;serif" w:hAnsi="Times New Roman;serif"/>
          <w:b/>
          <w:i/>
          <w:color w:val="000000"/>
          <w:sz w:val="24"/>
        </w:rPr>
        <w:t>Debtors</w:t>
      </w:r>
      <w:r>
        <w:rPr>
          <w:color w:val="000000"/>
        </w:rPr>
        <w:t>”</w:t>
      </w:r>
      <w:r>
        <w:rPr>
          <w:rFonts w:ascii="Times New Roman;serif" w:hAnsi="Times New Roman;serif"/>
          <w:b w:val="false"/>
          <w:color w:val="000000"/>
          <w:sz w:val="24"/>
        </w:rPr>
        <w:t>), (vi) Compass Group Diversified Holdings LLC (“</w:t>
      </w:r>
      <w:r>
        <w:rPr>
          <w:rFonts w:ascii="Times New Roman;serif" w:hAnsi="Times New Roman;serif"/>
          <w:b/>
          <w:i/>
          <w:color w:val="000000"/>
          <w:sz w:val="24"/>
        </w:rPr>
        <w:t>CODI</w:t>
      </w:r>
      <w:r>
        <w:rPr>
          <w:color w:val="000000"/>
        </w:rPr>
        <w:t>”</w:t>
      </w:r>
      <w:r>
        <w:rPr>
          <w:rFonts w:ascii="Times New Roman;serif" w:hAnsi="Times New Roman;serif"/>
          <w:b w:val="false"/>
          <w:color w:val="000000"/>
          <w:sz w:val="24"/>
        </w:rPr>
        <w:t>) and (vii) the Official Committee of Unsecured Creditors of the Debtors (the “</w:t>
      </w:r>
      <w:r>
        <w:rPr>
          <w:rFonts w:ascii="Times New Roman;serif" w:hAnsi="Times New Roman;serif"/>
          <w:b/>
          <w:i/>
          <w:color w:val="000000"/>
          <w:sz w:val="24"/>
        </w:rPr>
        <w:t>UCC</w:t>
      </w:r>
      <w:r>
        <w:rPr>
          <w:color w:val="000000"/>
        </w:rPr>
        <w:t>”</w:t>
      </w:r>
      <w:r>
        <w:rPr>
          <w:rFonts w:ascii="Times New Roman;serif" w:hAnsi="Times New Roman;serif"/>
          <w:b w:val="false"/>
          <w:color w:val="000000"/>
          <w:sz w:val="24"/>
        </w:rPr>
        <w:t>). The Debtors, CODI and the UCC are each referred to herein individually as a “</w:t>
      </w:r>
      <w:r>
        <w:rPr>
          <w:rFonts w:ascii="Times New Roman;serif" w:hAnsi="Times New Roman;serif"/>
          <w:b/>
          <w:i/>
          <w:color w:val="000000"/>
          <w:sz w:val="24"/>
        </w:rPr>
        <w:t>Party</w:t>
      </w:r>
      <w:r>
        <w:rPr>
          <w:color w:val="000000"/>
        </w:rPr>
        <w:t xml:space="preserve">” </w:t>
      </w:r>
      <w:r>
        <w:rPr>
          <w:rFonts w:ascii="Times New Roman;serif" w:hAnsi="Times New Roman;serif"/>
          <w:b w:val="false"/>
          <w:color w:val="000000"/>
          <w:sz w:val="24"/>
        </w:rPr>
        <w:t>and collectively as the “</w:t>
      </w:r>
      <w:r>
        <w:rPr>
          <w:rFonts w:ascii="Times New Roman;serif" w:hAnsi="Times New Roman;serif"/>
          <w:b/>
          <w:i/>
          <w:color w:val="000000"/>
          <w:sz w:val="24"/>
        </w:rPr>
        <w:t>Parties</w:t>
      </w:r>
      <w:r>
        <w:rPr>
          <w:rFonts w:ascii="Times New Roman;serif" w:hAnsi="Times New Roman;serif"/>
          <w:b w:val="false"/>
          <w:color w:val="000000"/>
          <w:sz w:val="24"/>
        </w:rPr>
        <w:t>.” Capitalized terms used but not otherwise defined herein shall have the meanings ascribed to such terms in Settlement Agreement between the Parties (the “</w:t>
      </w:r>
      <w:r>
        <w:rPr>
          <w:rFonts w:ascii="Times New Roman;serif" w:hAnsi="Times New Roman;serif"/>
          <w:b/>
          <w:i/>
          <w:color w:val="000000"/>
          <w:sz w:val="24"/>
        </w:rPr>
        <w:t>Settlement Agreement</w:t>
      </w:r>
      <w:r>
        <w:rPr>
          <w:color w:val="000000"/>
        </w:rPr>
        <w:t>”</w:t>
      </w:r>
      <w:r>
        <w:rPr>
          <w:rFonts w:ascii="Times New Roman;serif" w:hAnsi="Times New Roman;serif"/>
          <w:b w:val="false"/>
          <w:color w:val="000000"/>
          <w:sz w:val="24"/>
        </w:rPr>
        <w:t xml:space="preserve">) attached hereto as </w:t>
      </w:r>
      <w:r>
        <w:rPr>
          <w:rFonts w:ascii="Times New Roman;serif" w:hAnsi="Times New Roman;serif"/>
          <w:b/>
          <w:color w:val="000000"/>
          <w:sz w:val="24"/>
          <w:u w:val="single"/>
        </w:rPr>
        <w:t>Exhibit 1</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Debtors were established by Mordechai Haim Ferder and his wife, Idit Ferder, in 2004 as a designer, manufacturer, and retailer of high-end jewelry.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in 2021, CODI acquired an indirect majority interest in Lugano Diamonds &amp; Jewelry Inc. from Mr. Ferder and his affiliated entities. Following the transaction, Lugano Holding, Inc. was the sole shareholder of Lugano Buyer, Inc., and Lugano Buyer, Inc. was the sole shareholder of Lugano Diamonds &amp; Jewelry Inc. In connection with the transaction, Mr. Ferder and his affiliated entities retained a significant portion of the equity of Lugano Holding, Inc. and CODI became the majority equity holder of Lugano Holding, Inc. Mr. Ferder continued as chief executive officer and a member of the board of directors of certain Debtors.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Lugano Diamonds &amp; Jewelry, Inc. and Lugano Buyer, Inc., as co-borrowers (the “</w:t>
      </w:r>
      <w:r>
        <w:rPr>
          <w:rFonts w:ascii="Times New Roman;serif" w:hAnsi="Times New Roman;serif"/>
          <w:b/>
          <w:i/>
          <w:color w:val="000000"/>
          <w:sz w:val="24"/>
        </w:rPr>
        <w:t>Borrowers</w:t>
      </w:r>
      <w:r>
        <w:rPr>
          <w:color w:val="000000"/>
        </w:rPr>
        <w:t>”</w:t>
      </w:r>
      <w:r>
        <w:rPr>
          <w:rFonts w:ascii="Times New Roman;serif" w:hAnsi="Times New Roman;serif"/>
          <w:b w:val="false"/>
          <w:color w:val="000000"/>
          <w:sz w:val="24"/>
        </w:rPr>
        <w:t>), and CODI, as lender, entered into a Credit Agreement (as amended, the “</w:t>
      </w:r>
      <w:r>
        <w:rPr>
          <w:rFonts w:ascii="Times New Roman;serif" w:hAnsi="Times New Roman;serif"/>
          <w:b/>
          <w:i/>
          <w:color w:val="000000"/>
          <w:sz w:val="24"/>
        </w:rPr>
        <w:t>Credit Agreement</w:t>
      </w:r>
      <w:r>
        <w:rPr>
          <w:color w:val="000000"/>
        </w:rPr>
        <w:t>”</w:t>
      </w:r>
      <w:r>
        <w:rPr>
          <w:rFonts w:ascii="Times New Roman;serif" w:hAnsi="Times New Roman;serif"/>
          <w:b w:val="false"/>
          <w:color w:val="000000"/>
          <w:sz w:val="24"/>
        </w:rPr>
        <w:t>) dated as of September 3, 2021. The other Debtors are guarantors (the “</w:t>
      </w:r>
      <w:r>
        <w:rPr>
          <w:rFonts w:ascii="Times New Roman;serif" w:hAnsi="Times New Roman;serif"/>
          <w:b/>
          <w:i/>
          <w:color w:val="000000"/>
          <w:sz w:val="24"/>
        </w:rPr>
        <w:t>Guarantors</w:t>
      </w:r>
      <w:r>
        <w:rPr>
          <w:color w:val="000000"/>
        </w:rPr>
        <w:t>”</w:t>
      </w:r>
      <w:r>
        <w:rPr>
          <w:rFonts w:ascii="Times New Roman;serif" w:hAnsi="Times New Roman;serif"/>
          <w:b w:val="false"/>
          <w:color w:val="000000"/>
          <w:sz w:val="24"/>
        </w:rPr>
        <w:t xml:space="preserve">) under the Credit Agreement. The Credit Agreement provided for both revolving and term loans. Pursuant to a Guarantee and Collateral Agreement dated as of September 3, 2021, the Borrowers’ obligations under the Credit Agreement are secured by liens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on substantially all of the Debtors’ personal property and the obligations under the Credit Agreement are guaranteed by the Guarantors. The outstanding obligations under the Credit Agreement, including principal, prepetition interest, and fees, exceed $718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on May 7, 2025, CODI and its parent entity filed a Form 8-K (the “</w:t>
      </w:r>
      <w:r>
        <w:rPr>
          <w:rFonts w:ascii="Times New Roman;serif" w:hAnsi="Times New Roman;serif"/>
          <w:b w:val="false"/>
          <w:color w:val="000000"/>
          <w:sz w:val="24"/>
          <w:u w:val="single"/>
        </w:rPr>
        <w:t>May 8-K</w:t>
      </w:r>
      <w:r>
        <w:rPr>
          <w:color w:val="000000"/>
        </w:rPr>
        <w:t>”</w:t>
      </w:r>
      <w:r>
        <w:rPr>
          <w:rFonts w:ascii="Times New Roman;serif" w:hAnsi="Times New Roman;serif"/>
          <w:b w:val="false"/>
          <w:color w:val="000000"/>
          <w:sz w:val="24"/>
        </w:rPr>
        <w:t>) disclosing that CODI had commenced an internal investigation into the financing, accounting, and inventory practices of Lugano Holding, based on concerns reported to CODI management. The May 8-K also disclosed that Mr. Ferder had resigned from his position as Chief Executive Officer of Lugano Holding and from all offices and directorships previously held with Lugano and its subsidiaries and affiliates.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on June 24, 2025, Lugano Diamonds commenced an action against Mr. Ferder and a related trust for which he is a trustee, asserting claims for fraud, concealment, constructive fraud, and breach of fiduciary duty.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beginning in early 2024, Lugano Diamonds brought in a new management team, including Mr. Joshua Gaynor as President and Christoph Pachler as Chief Financial Officer. On June 4, 2025, the Debtors instituted governance changes. Mr. Gaynor and Mr. Pachler were selected as directors of Lugano Holding, Lugano Buyer, and Lugano Diamonds. To address potential conflicts and to provide for independent governance where appropriate, the Board selected two independent directors (to supplement two legacy independent directors that remain on the Board) with no prior connection to the Debtors, CODI, or the Ferders. Mr. Thomas FitzGerald and Mr. L. Spencer Wells joined the Lugano Diamonds board of directors (the “</w:t>
      </w:r>
      <w:r>
        <w:rPr>
          <w:rFonts w:ascii="Times New Roman;serif" w:hAnsi="Times New Roman;serif"/>
          <w:b/>
          <w:i/>
          <w:color w:val="000000"/>
          <w:sz w:val="24"/>
        </w:rPr>
        <w:t>Lugano Board</w:t>
      </w:r>
      <w:r>
        <w:rPr>
          <w:color w:val="000000"/>
        </w:rPr>
        <w:t>”</w:t>
      </w:r>
      <w:r>
        <w:rPr>
          <w:rFonts w:ascii="Times New Roman;serif" w:hAnsi="Times New Roman;serif"/>
          <w:b w:val="false"/>
          <w:color w:val="000000"/>
          <w:sz w:val="24"/>
        </w:rPr>
        <w:t>) on July 9, 2025, and a week later, on July 16, 2025, the Lugano Board delegated certain matters to a newly formed Special Committee of the Board of Directors of Lugano Diamonds (the “</w:t>
      </w:r>
      <w:r>
        <w:rPr>
          <w:rFonts w:ascii="Times New Roman;serif" w:hAnsi="Times New Roman;serif"/>
          <w:b/>
          <w:i/>
          <w:color w:val="000000"/>
          <w:sz w:val="24"/>
        </w:rPr>
        <w:t>Special Committee</w:t>
      </w:r>
      <w:r>
        <w:rPr>
          <w:color w:val="000000"/>
        </w:rPr>
        <w:t>”</w:t>
      </w:r>
      <w:r>
        <w:rPr>
          <w:rFonts w:ascii="Times New Roman;serif" w:hAnsi="Times New Roman;serif"/>
          <w:b w:val="false"/>
          <w:color w:val="000000"/>
          <w:sz w:val="24"/>
        </w:rPr>
        <w:t xml:space="preserve">), which comprises Messrs. FitzGerald and Wells.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Special Committee retained separate advisors and commenced an internal investigation surrounding the fraud allegations to determine, among other things, what happened and what claims may exist as a result thereof. The Special Committee and the full board of Lugano Diamonds &amp; Jewelry Inc. and the boards of directors, boards of managers, or manager/member of the other Debtors, on behalf of the Debtors, also authorized the commencement of the Chapter 11 Cases.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on November 16, 2025 (the “</w:t>
      </w:r>
      <w:r>
        <w:rPr>
          <w:rFonts w:ascii="Times New Roman;serif" w:hAnsi="Times New Roman;serif"/>
          <w:b/>
          <w:i/>
          <w:color w:val="000000"/>
          <w:sz w:val="24"/>
        </w:rPr>
        <w:t>Petition Date</w:t>
      </w:r>
      <w:r>
        <w:rPr>
          <w:color w:val="000000"/>
        </w:rPr>
        <w:t>”</w:t>
      </w:r>
      <w:r>
        <w:rPr>
          <w:rFonts w:ascii="Times New Roman;serif" w:hAnsi="Times New Roman;serif"/>
          <w:b w:val="false"/>
          <w:color w:val="000000"/>
          <w:sz w:val="24"/>
        </w:rPr>
        <w:t>), each of the Debtors filed voluntary petitions for relief under chapter 11 of the Bankruptcy Code. The Debtors remain in possession of their assets as debtors-in-possession pursuant to section 1107 and 1108 of the Bankruptcy Code.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on November 25, 2025, the United States Trustee appointed the UCC.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UCC, working with the Special Committee, on behalf of the Debtors, also commenced an investigation into the fraud allegations and the extent and validity of the liens and claims asserted by CODI.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on January 27, 2026, CODI filed a secured claim identified in the Debtors’ claims register as proof of claim number 153 in the amount of $718,222,591.91 against the Debtors (the “</w:t>
      </w:r>
      <w:r>
        <w:rPr>
          <w:rFonts w:ascii="Times New Roman;serif" w:hAnsi="Times New Roman;serif"/>
          <w:b/>
          <w:i/>
          <w:color w:val="000000"/>
          <w:sz w:val="24"/>
        </w:rPr>
        <w:t>CODI Prepetition Claim</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in addition to the CODI Prepetition Claim, CODI has Claims arising under the </w:t>
      </w:r>
      <w:r>
        <w:rPr>
          <w:rFonts w:ascii="Times New Roman;serif" w:hAnsi="Times New Roman;serif"/>
          <w:b w:val="false"/>
          <w:i/>
          <w:color w:val="000000"/>
          <w:sz w:val="24"/>
        </w:rPr>
        <w:t xml:space="preserve">Interim Order (I) Authorizing the Debtors to (A) Obtain Postpetition Financing, and (B) Use Cash Collateral; (II) Granting Liens and Providing Superpriority Administrative Expense Claims; (III) Granting Adequate Protection to the Prepetition Lender; (IV) Modifying the Automatic Stay; (V) Scheduling a Final Hearing; and (VI) Granting Related Relief </w:t>
      </w:r>
      <w:r>
        <w:rPr>
          <w:rFonts w:ascii="Times New Roman;serif" w:hAnsi="Times New Roman;serif"/>
          <w:b w:val="false"/>
          <w:color w:val="000000"/>
          <w:sz w:val="24"/>
        </w:rPr>
        <w:t xml:space="preserve">[Docket No. 66] and the </w:t>
      </w:r>
      <w:r>
        <w:rPr>
          <w:rFonts w:ascii="Times New Roman;serif" w:hAnsi="Times New Roman;serif"/>
          <w:b w:val="false"/>
          <w:i/>
          <w:color w:val="000000"/>
          <w:sz w:val="24"/>
        </w:rPr>
        <w:t xml:space="preserve">Final Order (I) Authorizing the Debtors to Use Cash Collateral; (II) Granting Adequate Protection to the Prepetition Lender; (III) Modifying the Automatic Stay, and (IV) Granting Related Relief </w:t>
      </w:r>
      <w:r>
        <w:rPr>
          <w:rFonts w:ascii="Times New Roman;serif" w:hAnsi="Times New Roman;serif"/>
          <w:b w:val="false"/>
          <w:color w:val="000000"/>
          <w:sz w:val="24"/>
        </w:rPr>
        <w:t>[Dkt. No. 364] (the “</w:t>
      </w:r>
      <w:r>
        <w:rPr>
          <w:rFonts w:ascii="Times New Roman;serif" w:hAnsi="Times New Roman;serif"/>
          <w:b/>
          <w:i/>
          <w:color w:val="000000"/>
          <w:sz w:val="24"/>
        </w:rPr>
        <w:t>Cash Collateral Order</w:t>
      </w:r>
      <w:r>
        <w:rPr>
          <w:color w:val="000000"/>
        </w:rPr>
        <w:t>”</w:t>
      </w:r>
      <w:r>
        <w:rPr>
          <w:rFonts w:ascii="Times New Roman;serif" w:hAnsi="Times New Roman;serif"/>
          <w:b w:val="false"/>
          <w:color w:val="000000"/>
          <w:sz w:val="24"/>
        </w:rPr>
        <w:t>) for, among other things, the interim financing provided and adequate protection.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as part of the on-going investigations, the Debtors (including the Special Committee), CODI and the UCC agreed to non-binding mediation (the “</w:t>
      </w:r>
      <w:r>
        <w:rPr>
          <w:rFonts w:ascii="Times New Roman;serif" w:hAnsi="Times New Roman;serif"/>
          <w:b/>
          <w:i/>
          <w:color w:val="000000"/>
          <w:sz w:val="24"/>
        </w:rPr>
        <w:t>Mediation</w:t>
      </w:r>
      <w:r>
        <w:rPr>
          <w:color w:val="000000"/>
        </w:rPr>
        <w:t>”</w:t>
      </w:r>
      <w:r>
        <w:rPr>
          <w:rFonts w:ascii="Times New Roman;serif" w:hAnsi="Times New Roman;serif"/>
          <w:b w:val="false"/>
          <w:color w:val="000000"/>
          <w:sz w:val="24"/>
        </w:rPr>
        <w:t>), which mediation resulted in the resolution of the disputes between the Parties and which is memorialized in the Settlement Agreement attached hereto as Exhibit 1 (the “</w:t>
      </w:r>
      <w:r>
        <w:rPr>
          <w:rFonts w:ascii="Times New Roman;serif" w:hAnsi="Times New Roman;serif"/>
          <w:b/>
          <w:i/>
          <w:color w:val="000000"/>
          <w:sz w:val="24"/>
        </w:rPr>
        <w:t>Settlement</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covenants and agreements contained in this Agreement and for other valuable consideration, the receipt and sufficiency of which are acknowledged, each Party, intending to be legally bound by this Agreement, agrees as follows: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DEFINITIONS</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1.1    </w:t>
      </w:r>
      <w:r>
        <w:rPr>
          <w:rFonts w:ascii="Times New Roman;serif" w:hAnsi="Times New Roman;serif"/>
          <w:b w:val="false"/>
          <w:color w:val="000000"/>
          <w:sz w:val="24"/>
          <w:u w:val="single"/>
        </w:rPr>
        <w:t>Definitions and Interpretations</w:t>
      </w:r>
      <w:r>
        <w:rPr>
          <w:rFonts w:ascii="Times New Roman;serif" w:hAnsi="Times New Roman;serif"/>
          <w:b w:val="false"/>
          <w:color w:val="000000"/>
          <w:sz w:val="24"/>
        </w:rPr>
        <w:t>. The following terms shall have the following meanings: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(a)    “</w:t>
      </w:r>
      <w:r>
        <w:rPr>
          <w:rFonts w:ascii="Times New Roman;serif" w:hAnsi="Times New Roman;serif"/>
          <w:b/>
          <w:i/>
          <w:color w:val="000000"/>
          <w:sz w:val="24"/>
        </w:rPr>
        <w:t>Affiliate</w:t>
      </w:r>
      <w:r>
        <w:rPr>
          <w:color w:val="000000"/>
        </w:rPr>
        <w:t xml:space="preserve">” </w:t>
      </w:r>
      <w:r>
        <w:rPr>
          <w:rFonts w:ascii="Times New Roman;serif" w:hAnsi="Times New Roman;serif"/>
          <w:b w:val="false"/>
          <w:color w:val="000000"/>
          <w:sz w:val="24"/>
        </w:rPr>
        <w:t>has the meaning set forth in section 101(2) of the Bankruptcy Code.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    “</w:t>
      </w:r>
      <w:r>
        <w:rPr>
          <w:rFonts w:ascii="Times New Roman;serif" w:hAnsi="Times New Roman;serif"/>
          <w:b/>
          <w:color w:val="000000"/>
          <w:sz w:val="24"/>
        </w:rPr>
        <w:t>Agreed Pre-Effective Date Fee Budget</w:t>
      </w:r>
      <w:r>
        <w:rPr>
          <w:color w:val="000000"/>
        </w:rPr>
        <w:t xml:space="preserve">” </w:t>
      </w:r>
      <w:r>
        <w:rPr>
          <w:rFonts w:ascii="Times New Roman;serif" w:hAnsi="Times New Roman;serif"/>
          <w:b w:val="false"/>
          <w:color w:val="000000"/>
          <w:sz w:val="24"/>
        </w:rPr>
        <w:t xml:space="preserve">means the budget attached as Exhibit A to the Plan, agreed to among CODI, the Debtors, the Special Committee, and the Creditors’ Committee, establishing the maximum amount of Professional Fees that CODI, the Debtors, the Special Committee, and the Creditors’ Committee have agreed can be deducted from Effective Date Cash for purposes of determining the Effective Date Distribution on account of the CODI Claim,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the Agreed Pre-Effective Date Fee Budget is not a cap on the total amount of Professional Fees Allowable for the period between the Petition Date and the Effective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(c)    “</w:t>
      </w:r>
      <w:r>
        <w:rPr>
          <w:rFonts w:ascii="Times New Roman;serif" w:hAnsi="Times New Roman;serif"/>
          <w:b/>
          <w:i/>
          <w:color w:val="000000"/>
          <w:sz w:val="24"/>
        </w:rPr>
        <w:t>Agreement</w:t>
      </w:r>
      <w:r>
        <w:rPr>
          <w:color w:val="000000"/>
        </w:rPr>
        <w:t xml:space="preserve">” </w:t>
      </w:r>
      <w:r>
        <w:rPr>
          <w:rFonts w:ascii="Times New Roman;serif" w:hAnsi="Times New Roman;serif"/>
          <w:b w:val="false"/>
          <w:color w:val="000000"/>
          <w:sz w:val="24"/>
        </w:rPr>
        <w:t>has the meaning set forth in the preamble to this Agreement and, for the avoidance of doubt, includes all the exhibits, annexes, and schedules attached to this Agreement in accordance with Section 11.2.</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(d)    “</w:t>
      </w:r>
      <w:r>
        <w:rPr>
          <w:rFonts w:ascii="Times New Roman;serif" w:hAnsi="Times New Roman;serif"/>
          <w:b/>
          <w:i/>
          <w:color w:val="000000"/>
          <w:sz w:val="24"/>
        </w:rPr>
        <w:t>Agreement Effective Date</w:t>
      </w:r>
      <w:r>
        <w:rPr>
          <w:color w:val="000000"/>
        </w:rPr>
        <w:t xml:space="preserve">” </w:t>
      </w:r>
      <w:r>
        <w:rPr>
          <w:rFonts w:ascii="Times New Roman;serif" w:hAnsi="Times New Roman;serif"/>
          <w:b w:val="false"/>
          <w:color w:val="000000"/>
          <w:sz w:val="24"/>
        </w:rPr>
        <w:t>means the date on which the conditions set forth in Section 2.1 have been satisfied or waived in accordance with this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(e)    “</w:t>
      </w:r>
      <w:r>
        <w:rPr>
          <w:rFonts w:ascii="Times New Roman;serif" w:hAnsi="Times New Roman;serif"/>
          <w:b/>
          <w:i/>
          <w:color w:val="000000"/>
          <w:sz w:val="24"/>
        </w:rPr>
        <w:t>Alternative Transaction Proposal</w:t>
      </w:r>
      <w:r>
        <w:rPr>
          <w:color w:val="000000"/>
        </w:rPr>
        <w:t xml:space="preserve">” </w:t>
      </w:r>
      <w:r>
        <w:rPr>
          <w:rFonts w:ascii="Times New Roman;serif" w:hAnsi="Times New Roman;serif"/>
          <w:b w:val="false"/>
          <w:color w:val="000000"/>
          <w:sz w:val="24"/>
        </w:rPr>
        <w:t>means any inquiry, proposal, offer, bid, term sheet, discussion or agreement with respect to a sale, disposition, new-money investment, restructuring, reorganization, merger, amalgamation, acquisition, consolidation, dissolution, debt investment, equity investment, liquidation, tender offer, recapitalization, plan of reorganization, share exchange, business combination, or similar transaction involving any one or more Debtors or the debt, equity, or other interests in any one or more Debtors other than the transactions and agreements provided for in the Settlement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(f)    “</w:t>
      </w:r>
      <w:r>
        <w:rPr>
          <w:rFonts w:ascii="Times New Roman;serif" w:hAnsi="Times New Roman;serif"/>
          <w:b/>
          <w:i/>
          <w:color w:val="000000"/>
          <w:sz w:val="24"/>
        </w:rPr>
        <w:t>Avoidance Actions</w:t>
      </w:r>
      <w:r>
        <w:rPr>
          <w:color w:val="000000"/>
        </w:rPr>
        <w:t xml:space="preserve">” </w:t>
      </w:r>
      <w:r>
        <w:rPr>
          <w:rFonts w:ascii="Times New Roman;serif" w:hAnsi="Times New Roman;serif"/>
          <w:b w:val="false"/>
          <w:color w:val="000000"/>
          <w:sz w:val="24"/>
        </w:rPr>
        <w:t>means any and all actual or potential avoidance, recovery, subordination, or other Claims, Causes of Action, or remedies that may be brought by or on behalf of the Debtors or their Estates or other authorized parties-in-interest under sections 510, 544, 547, 548, 549, 550, 551, 553(b) and 724(a) of the Bankruptcy Code or applicable non-bankruptcy Law, including Claims, Causes of Action, or remedies arising under chapter 5 and section 724(a) of the Bankruptcy Code or under similar or related local, state, federal, or foreign statutes or common Law, including fraudulent transfer Law or other Law.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(g)    “</w:t>
      </w:r>
      <w:r>
        <w:rPr>
          <w:rFonts w:ascii="Times New Roman;serif" w:hAnsi="Times New Roman;serif"/>
          <w:b/>
          <w:i/>
          <w:color w:val="000000"/>
          <w:sz w:val="24"/>
        </w:rPr>
        <w:t>Bankruptcy Code</w:t>
      </w:r>
      <w:r>
        <w:rPr>
          <w:color w:val="000000"/>
        </w:rPr>
        <w:t xml:space="preserve">” </w:t>
      </w:r>
      <w:r>
        <w:rPr>
          <w:rFonts w:ascii="Times New Roman;serif" w:hAnsi="Times New Roman;serif"/>
          <w:b w:val="false"/>
          <w:color w:val="000000"/>
          <w:sz w:val="24"/>
        </w:rPr>
        <w:t>means title 11 of the United States Code, 11 U.S.C. §§ 101–1532, as amended.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(h)    “</w:t>
      </w:r>
      <w:r>
        <w:rPr>
          <w:rFonts w:ascii="Times New Roman;serif" w:hAnsi="Times New Roman;serif"/>
          <w:b/>
          <w:i/>
          <w:color w:val="000000"/>
          <w:sz w:val="24"/>
        </w:rPr>
        <w:t>Bankruptcy Court</w:t>
      </w:r>
      <w:r>
        <w:rPr>
          <w:color w:val="000000"/>
        </w:rPr>
        <w:t xml:space="preserve">” </w:t>
      </w:r>
      <w:r>
        <w:rPr>
          <w:rFonts w:ascii="Times New Roman;serif" w:hAnsi="Times New Roman;serif"/>
          <w:b w:val="false"/>
          <w:color w:val="000000"/>
          <w:sz w:val="24"/>
        </w:rPr>
        <w:t>means the United States Bankruptcy Court for the District of Delaware having jurisdiction over the Chapter 11 Cases, including to the extent of the withdrawal of any reference under 28 U.S.C. § 157, the United States District Court of the District of Delaware, or in the event such court ceases to exercise jurisdiction over any Chapter 11 Case.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(i)    “</w:t>
      </w:r>
      <w:r>
        <w:rPr>
          <w:rFonts w:ascii="Times New Roman;serif" w:hAnsi="Times New Roman;serif"/>
          <w:b/>
          <w:i/>
          <w:color w:val="000000"/>
          <w:sz w:val="24"/>
        </w:rPr>
        <w:t>Business Day</w:t>
      </w:r>
      <w:r>
        <w:rPr>
          <w:color w:val="000000"/>
        </w:rPr>
        <w:t xml:space="preserve">” </w:t>
      </w:r>
      <w:r>
        <w:rPr>
          <w:rFonts w:ascii="Times New Roman;serif" w:hAnsi="Times New Roman;serif"/>
          <w:b w:val="false"/>
          <w:color w:val="000000"/>
          <w:sz w:val="24"/>
        </w:rPr>
        <w:t>means any day other than a Saturday, a Sunday, a “legal holiday” (as defined in Bankruptcy Rule 9006(a)), or any other day on which commercial banks in New York, New York are required or authorized to close by law or executive order.</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(j)    “</w:t>
      </w:r>
      <w:r>
        <w:rPr>
          <w:rFonts w:ascii="Times New Roman;serif" w:hAnsi="Times New Roman;serif"/>
          <w:b/>
          <w:i/>
          <w:color w:val="000000"/>
          <w:sz w:val="24"/>
        </w:rPr>
        <w:t>Causes of Action</w:t>
      </w:r>
      <w:r>
        <w:rPr>
          <w:color w:val="000000"/>
        </w:rPr>
        <w:t xml:space="preserve">” </w:t>
      </w:r>
      <w:r>
        <w:rPr>
          <w:rFonts w:ascii="Times New Roman;serif" w:hAnsi="Times New Roman;serif"/>
          <w:b w:val="false"/>
          <w:color w:val="000000"/>
          <w:sz w:val="24"/>
        </w:rPr>
        <w:t xml:space="preserve">mean any and all Claims (including Investment Contract Claims), rights, actions, Avoidance Actions, Contributed Claims, proceedings, causes of action, liabilities, obligations, suits, debts, remedies, dues, sums of money, accounts, reckonings, bonds, bills, specialties, covenants, contracts, controversies, agreements, promises, variances, trespasses, rights of setoff, third-party claims, subordination claims, subrogation claims, contribution claims, reimbursement claims, indemnity claims, counterclaims, and cross claims, legal remedies, equitable remedies, claims, damages, or judgments whatsoever, whether known or unknown, reduced to judgment, liquidated or unliquidated, fixed or contingent, matured or unmatured, disputed or undisputed, foreseen or unforeseen, asserted or unasserted, existing or hereafter arising, secured or unsecured,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whether asserted directly or derivatively, in Law, at equity, or otherwise, by statute, whether for tort, fraud, contract, or otherwise, including any recharacterization, subordination, avoidance or other claim under any other similar provision of applicable state or federal Law.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(k)    “</w:t>
      </w:r>
      <w:r>
        <w:rPr>
          <w:rFonts w:ascii="Times New Roman;serif" w:hAnsi="Times New Roman;serif"/>
          <w:b/>
          <w:i/>
          <w:color w:val="000000"/>
          <w:sz w:val="24"/>
        </w:rPr>
        <w:t>CGM</w:t>
      </w:r>
      <w:r>
        <w:rPr>
          <w:color w:val="000000"/>
        </w:rPr>
        <w:t xml:space="preserve">” </w:t>
      </w:r>
      <w:r>
        <w:rPr>
          <w:rFonts w:ascii="Times New Roman;serif" w:hAnsi="Times New Roman;serif"/>
          <w:b w:val="false"/>
          <w:color w:val="000000"/>
          <w:sz w:val="24"/>
        </w:rPr>
        <w:t>means Compass Group Management LLC.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(l)    “</w:t>
      </w:r>
      <w:r>
        <w:rPr>
          <w:rFonts w:ascii="Times New Roman;serif" w:hAnsi="Times New Roman;serif"/>
          <w:b/>
          <w:i/>
          <w:color w:val="000000"/>
          <w:sz w:val="24"/>
        </w:rPr>
        <w:t>Chapter 11 Cases</w:t>
      </w:r>
      <w:r>
        <w:rPr>
          <w:color w:val="000000"/>
        </w:rPr>
        <w:t xml:space="preserve">” </w:t>
      </w:r>
      <w:r>
        <w:rPr>
          <w:rFonts w:ascii="Times New Roman;serif" w:hAnsi="Times New Roman;serif"/>
          <w:b w:val="false"/>
          <w:color w:val="000000"/>
          <w:sz w:val="24"/>
        </w:rPr>
        <w:t xml:space="preserve">means the Debtors’ jointly administered bankruptcy cases under lead case number 25-12055 (BLS), styled as </w:t>
      </w:r>
      <w:r>
        <w:rPr>
          <w:rFonts w:ascii="Times New Roman;serif" w:hAnsi="Times New Roman;serif"/>
          <w:b w:val="false"/>
          <w:i/>
          <w:color w:val="000000"/>
          <w:sz w:val="24"/>
        </w:rPr>
        <w:t>In re Lugano Diamonds &amp; Jewelry Inc., et al.</w:t>
      </w:r>
      <w:r>
        <w:rPr>
          <w:rFonts w:ascii="Times New Roman;serif" w:hAnsi="Times New Roman;serif"/>
          <w:b w:val="false"/>
          <w:color w:val="000000"/>
          <w:sz w:val="24"/>
        </w:rPr>
        <w:t>, pending in the Bankruptcy Court.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(m)    “</w:t>
      </w:r>
      <w:r>
        <w:rPr>
          <w:rFonts w:ascii="Times New Roman;serif" w:hAnsi="Times New Roman;serif"/>
          <w:b/>
          <w:i/>
          <w:color w:val="000000"/>
          <w:sz w:val="24"/>
        </w:rPr>
        <w:t>Claim</w:t>
      </w:r>
      <w:r>
        <w:rPr>
          <w:color w:val="000000"/>
        </w:rPr>
        <w:t xml:space="preserve">” </w:t>
      </w:r>
      <w:r>
        <w:rPr>
          <w:rFonts w:ascii="Times New Roman;serif" w:hAnsi="Times New Roman;serif"/>
          <w:b w:val="false"/>
          <w:color w:val="000000"/>
          <w:sz w:val="24"/>
        </w:rPr>
        <w:t>means any “claim,” as defined in section 101(5) of the Bankruptcy Code, against any of the Debtors or against any property of the Debtors.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(n)    “</w:t>
      </w:r>
      <w:r>
        <w:rPr>
          <w:rFonts w:ascii="Times New Roman;serif" w:hAnsi="Times New Roman;serif"/>
          <w:b/>
          <w:i/>
          <w:color w:val="000000"/>
          <w:sz w:val="24"/>
        </w:rPr>
        <w:t>Class</w:t>
      </w:r>
      <w:r>
        <w:rPr>
          <w:color w:val="000000"/>
        </w:rPr>
        <w:t xml:space="preserve">” </w:t>
      </w:r>
      <w:r>
        <w:rPr>
          <w:rFonts w:ascii="Times New Roman;serif" w:hAnsi="Times New Roman;serif"/>
          <w:b w:val="false"/>
          <w:color w:val="000000"/>
          <w:sz w:val="24"/>
        </w:rPr>
        <w:t>means any group of Claims or Equity Interests classified by the Plan pursuant to section 1122(a) of the Bankruptcy Code.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(o)    “</w:t>
      </w:r>
      <w:r>
        <w:rPr>
          <w:rFonts w:ascii="Times New Roman;serif" w:hAnsi="Times New Roman;serif"/>
          <w:b/>
          <w:i/>
          <w:color w:val="000000"/>
          <w:sz w:val="24"/>
        </w:rPr>
        <w:t>CODI Cash Collateral Claim</w:t>
      </w:r>
      <w:r>
        <w:rPr>
          <w:color w:val="000000"/>
        </w:rPr>
        <w:t xml:space="preserve">” </w:t>
      </w:r>
      <w:r>
        <w:rPr>
          <w:rFonts w:ascii="Times New Roman;serif" w:hAnsi="Times New Roman;serif"/>
          <w:b w:val="false"/>
          <w:color w:val="000000"/>
          <w:sz w:val="24"/>
        </w:rPr>
        <w:t>means any and all Claims held by CODI arising from or in connection with the Cash Collateral Order, which are more specifically detailed in the Cash Collateral Order and which include any Claims for adequate protection due to the diminution in value of CODI’s collateral.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(p)    “</w:t>
      </w:r>
      <w:r>
        <w:rPr>
          <w:rFonts w:ascii="Times New Roman;serif" w:hAnsi="Times New Roman;serif"/>
          <w:b/>
          <w:i/>
          <w:color w:val="000000"/>
          <w:sz w:val="24"/>
        </w:rPr>
        <w:t>CODI Claims</w:t>
      </w:r>
      <w:r>
        <w:rPr>
          <w:color w:val="000000"/>
        </w:rPr>
        <w:t xml:space="preserve">” </w:t>
      </w:r>
      <w:r>
        <w:rPr>
          <w:rFonts w:ascii="Times New Roman;serif" w:hAnsi="Times New Roman;serif"/>
          <w:b w:val="false"/>
          <w:color w:val="000000"/>
          <w:sz w:val="24"/>
        </w:rPr>
        <w:t xml:space="preserve">means, collectively, any and all Claims of any CODI Party including the CODI Cash Collateral Claim, DIP Claims, CODI Secured Claim, and any other Claim arising under the </w:t>
      </w:r>
      <w:r>
        <w:rPr>
          <w:rFonts w:ascii="Times New Roman;serif" w:hAnsi="Times New Roman;serif"/>
          <w:b w:val="false"/>
          <w:i/>
          <w:color w:val="000000"/>
          <w:sz w:val="24"/>
        </w:rPr>
        <w:t xml:space="preserve">Credit Agreement </w:t>
      </w:r>
      <w:r>
        <w:rPr>
          <w:rFonts w:ascii="Times New Roman;serif" w:hAnsi="Times New Roman;serif"/>
          <w:b w:val="false"/>
          <w:color w:val="000000"/>
          <w:sz w:val="24"/>
        </w:rPr>
        <w:t>dated as of September 3, 2021, by and among each of the Debtors (whether in its capacity as a borrower, co-borrower, or a guarantor), and CODI as lender, as such credit agreement was thereafter amended, modified, and restated as of the Petition Date, including any Claims for diminution in value, any other Claims arising out of CODI’s relationship with the Debtors, and the Claim of Bank of America against the Debtors to which CODI is subrogated.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(q)    “</w:t>
      </w:r>
      <w:r>
        <w:rPr>
          <w:rFonts w:ascii="Times New Roman;serif" w:hAnsi="Times New Roman;serif"/>
          <w:b/>
          <w:i/>
          <w:color w:val="000000"/>
          <w:sz w:val="24"/>
        </w:rPr>
        <w:t>CODI Parent</w:t>
      </w:r>
      <w:r>
        <w:rPr>
          <w:color w:val="000000"/>
        </w:rPr>
        <w:t xml:space="preserve">” </w:t>
      </w:r>
      <w:r>
        <w:rPr>
          <w:rFonts w:ascii="Times New Roman;serif" w:hAnsi="Times New Roman;serif"/>
          <w:b w:val="false"/>
          <w:color w:val="000000"/>
          <w:sz w:val="24"/>
        </w:rPr>
        <w:t xml:space="preserve">means Compass Diversified Holdings LLC.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(r)    “</w:t>
      </w:r>
      <w:r>
        <w:rPr>
          <w:rFonts w:ascii="Times New Roman;serif" w:hAnsi="Times New Roman;serif"/>
          <w:b/>
          <w:i/>
          <w:color w:val="000000"/>
          <w:sz w:val="24"/>
        </w:rPr>
        <w:t>CODI Parties</w:t>
      </w:r>
      <w:r>
        <w:rPr>
          <w:color w:val="000000"/>
        </w:rPr>
        <w:t xml:space="preserve">” </w:t>
      </w:r>
      <w:r>
        <w:rPr>
          <w:rFonts w:ascii="Times New Roman;serif" w:hAnsi="Times New Roman;serif"/>
          <w:b w:val="false"/>
          <w:color w:val="000000"/>
          <w:sz w:val="24"/>
        </w:rPr>
        <w:t>means, collectively, CODI Parent, CODI, CGM, Sostratus, and each of their subsidiaries in their individual capacities and collectively, as context requires, provided that no Excluded Party and no Debtor or any of its subsidiaries is a CODI Party.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(s)    “</w:t>
      </w:r>
      <w:r>
        <w:rPr>
          <w:rFonts w:ascii="Times New Roman;serif" w:hAnsi="Times New Roman;serif"/>
          <w:b/>
          <w:i/>
          <w:color w:val="000000"/>
          <w:sz w:val="24"/>
        </w:rPr>
        <w:t>CODI Related Parties</w:t>
      </w:r>
      <w:r>
        <w:rPr>
          <w:color w:val="000000"/>
        </w:rPr>
        <w:t xml:space="preserve">” </w:t>
      </w:r>
      <w:r>
        <w:rPr>
          <w:rFonts w:ascii="Times New Roman;serif" w:hAnsi="Times New Roman;serif"/>
          <w:b w:val="false"/>
          <w:color w:val="000000"/>
          <w:sz w:val="24"/>
        </w:rPr>
        <w:t xml:space="preserve">means the Related Parties of the CODI Parties, which includes Patrick A Maciariello and Raj U. Dalal, in each case solely in its capacity as such;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none of the Excluded Parties are CODI Related Parties; </w:t>
      </w:r>
      <w:r>
        <w:rPr>
          <w:rFonts w:ascii="Times New Roman;serif" w:hAnsi="Times New Roman;serif"/>
          <w:b w:val="false"/>
          <w:i/>
          <w:color w:val="000000"/>
          <w:sz w:val="24"/>
        </w:rPr>
        <w:t>provided further,</w:t>
      </w:r>
      <w:r>
        <w:rPr>
          <w:color w:val="000000"/>
        </w:rPr>
        <w:t xml:space="preserve"> </w:t>
      </w:r>
      <w:r>
        <w:rPr>
          <w:rFonts w:ascii="Times New Roman;serif" w:hAnsi="Times New Roman;serif"/>
          <w:b w:val="false"/>
          <w:color w:val="000000"/>
          <w:sz w:val="24"/>
        </w:rPr>
        <w:t>that the Debtors and their subsidiaries shall not be considered CODI Related Parties.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(t)    “</w:t>
      </w:r>
      <w:r>
        <w:rPr>
          <w:rFonts w:ascii="Times New Roman;serif" w:hAnsi="Times New Roman;serif"/>
          <w:b/>
          <w:i/>
          <w:color w:val="000000"/>
          <w:sz w:val="24"/>
        </w:rPr>
        <w:t>CODI Secured Claim</w:t>
      </w:r>
      <w:r>
        <w:rPr>
          <w:color w:val="000000"/>
        </w:rPr>
        <w:t xml:space="preserve">” </w:t>
      </w:r>
      <w:r>
        <w:rPr>
          <w:rFonts w:ascii="Times New Roman;serif" w:hAnsi="Times New Roman;serif"/>
          <w:b w:val="false"/>
          <w:color w:val="000000"/>
          <w:sz w:val="24"/>
        </w:rPr>
        <w:t>means the CODI Claims to the extent such Claims are Secured Claims, including to the extent Secured by any Lien.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(u)    “</w:t>
      </w:r>
      <w:r>
        <w:rPr>
          <w:rFonts w:ascii="Times New Roman;serif" w:hAnsi="Times New Roman;serif"/>
          <w:b/>
          <w:i/>
          <w:color w:val="000000"/>
          <w:sz w:val="24"/>
        </w:rPr>
        <w:t>Confirmation Order</w:t>
      </w:r>
      <w:r>
        <w:rPr>
          <w:color w:val="000000"/>
        </w:rPr>
        <w:t xml:space="preserve">” </w:t>
      </w:r>
      <w:r>
        <w:rPr>
          <w:rFonts w:ascii="Times New Roman;serif" w:hAnsi="Times New Roman;serif"/>
          <w:b w:val="false"/>
          <w:color w:val="000000"/>
          <w:sz w:val="24"/>
        </w:rPr>
        <w:t>means the order of the Bankruptcy Court confirming the Plan pursuant to section 1129 of the Bankruptcy Code and approving the Settlement Agreement, which order must be acceptable to the CODI Parties and the UCC in all respects.</w:t>
      </w:r>
    </w:p>
    <w:p>
      <w:pPr>
        <w:pStyle w:val="TextBody"/>
        <w:bidi w:val="0"/>
        <w:spacing w:lineRule="auto" w:line="288" w:before="0" w:after="0"/>
        <w:jc w:val="both"/>
        <w:rPr/>
      </w:pPr>
      <w:r>
        <w:rPr>
          <w:rFonts w:ascii="Times New Roman;serif" w:hAnsi="Times New Roman;serif"/>
          <w:b w:val="false"/>
          <w:color w:val="000000"/>
          <w:sz w:val="24"/>
        </w:rPr>
        <w:t>(v)    “</w:t>
      </w:r>
      <w:r>
        <w:rPr>
          <w:rFonts w:ascii="Times New Roman;serif" w:hAnsi="Times New Roman;serif"/>
          <w:b/>
          <w:i/>
          <w:color w:val="000000"/>
          <w:sz w:val="24"/>
        </w:rPr>
        <w:t>Debtors</w:t>
      </w:r>
      <w:r>
        <w:rPr>
          <w:color w:val="000000"/>
        </w:rPr>
        <w:t xml:space="preserve">” </w:t>
      </w:r>
      <w:r>
        <w:rPr>
          <w:rFonts w:ascii="Times New Roman;serif" w:hAnsi="Times New Roman;serif"/>
          <w:b w:val="false"/>
          <w:color w:val="000000"/>
          <w:sz w:val="24"/>
        </w:rPr>
        <w:t>has the meaning ascribed thereto in the Preamble of this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(w)    “</w:t>
      </w:r>
      <w:r>
        <w:rPr>
          <w:rFonts w:ascii="Times New Roman;serif" w:hAnsi="Times New Roman;serif"/>
          <w:b/>
          <w:i/>
          <w:color w:val="000000"/>
          <w:sz w:val="24"/>
        </w:rPr>
        <w:t>Definitive Documents</w:t>
      </w:r>
      <w:r>
        <w:rPr>
          <w:color w:val="000000"/>
        </w:rPr>
        <w:t xml:space="preserve">” </w:t>
      </w:r>
      <w:r>
        <w:rPr>
          <w:rFonts w:ascii="Times New Roman;serif" w:hAnsi="Times New Roman;serif"/>
          <w:b w:val="false"/>
          <w:color w:val="000000"/>
          <w:sz w:val="24"/>
        </w:rPr>
        <w:t>means all of the definitive documents implementing the Settlement, including those set forth in Section 3.1.</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(x)    “</w:t>
      </w:r>
      <w:r>
        <w:rPr>
          <w:rFonts w:ascii="Times New Roman;serif" w:hAnsi="Times New Roman;serif"/>
          <w:b/>
          <w:i/>
          <w:color w:val="000000"/>
          <w:sz w:val="24"/>
        </w:rPr>
        <w:t>Disclosure Statement</w:t>
      </w:r>
      <w:r>
        <w:rPr>
          <w:color w:val="000000"/>
        </w:rPr>
        <w:t xml:space="preserve">” </w:t>
      </w:r>
      <w:r>
        <w:rPr>
          <w:rFonts w:ascii="Times New Roman;serif" w:hAnsi="Times New Roman;serif"/>
          <w:b w:val="false"/>
          <w:color w:val="000000"/>
          <w:sz w:val="24"/>
        </w:rPr>
        <w:t>means the disclosure statement relating to the Plan, including all exhibits and schedules thereto, as approved by the Bankruptcy Court pursuant to section 1125 of the Bankruptcy Code, as it subsequently may be amended, modified, or supplemented by the Debtors.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(y)    “</w:t>
      </w:r>
      <w:r>
        <w:rPr>
          <w:rFonts w:ascii="Times New Roman;serif" w:hAnsi="Times New Roman;serif"/>
          <w:b/>
          <w:i/>
          <w:color w:val="000000"/>
          <w:sz w:val="24"/>
        </w:rPr>
        <w:t>Effective Date</w:t>
      </w:r>
      <w:r>
        <w:rPr>
          <w:color w:val="000000"/>
        </w:rPr>
        <w:t xml:space="preserve">” </w:t>
      </w:r>
      <w:r>
        <w:rPr>
          <w:rFonts w:ascii="Times New Roman;serif" w:hAnsi="Times New Roman;serif"/>
          <w:b w:val="false"/>
          <w:color w:val="000000"/>
          <w:sz w:val="24"/>
        </w:rPr>
        <w:t>has the meaning set forth in the Settlement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(z)    “</w:t>
      </w:r>
      <w:r>
        <w:rPr>
          <w:rFonts w:ascii="Times New Roman;serif" w:hAnsi="Times New Roman;serif"/>
          <w:b/>
          <w:i/>
          <w:color w:val="000000"/>
          <w:sz w:val="24"/>
        </w:rPr>
        <w:t>Entity</w:t>
      </w:r>
      <w:r>
        <w:rPr>
          <w:color w:val="000000"/>
        </w:rPr>
        <w:t xml:space="preserve">” </w:t>
      </w:r>
      <w:r>
        <w:rPr>
          <w:rFonts w:ascii="Times New Roman;serif" w:hAnsi="Times New Roman;serif"/>
          <w:b w:val="false"/>
          <w:color w:val="000000"/>
          <w:sz w:val="24"/>
        </w:rPr>
        <w:t>shall have the meaning set forth in Section 101(15) of the Bankruptcy Code.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(aa)    “</w:t>
      </w:r>
      <w:r>
        <w:rPr>
          <w:rFonts w:ascii="Times New Roman;serif" w:hAnsi="Times New Roman;serif"/>
          <w:b/>
          <w:i/>
          <w:color w:val="000000"/>
          <w:sz w:val="24"/>
        </w:rPr>
        <w:t>Equity Interests</w:t>
      </w:r>
      <w:r>
        <w:rPr>
          <w:color w:val="000000"/>
        </w:rPr>
        <w:t xml:space="preserve">” </w:t>
      </w:r>
      <w:r>
        <w:rPr>
          <w:rFonts w:ascii="Times New Roman;serif" w:hAnsi="Times New Roman;serif"/>
          <w:b w:val="false"/>
          <w:color w:val="000000"/>
          <w:sz w:val="24"/>
        </w:rPr>
        <w:t xml:space="preserve">means any (or any class thereof) common stock, preferred stock, general or limited partnership interests or units, limited liability company interests or units, equity security (as defined in section 101(16) of the Bankruptcy Code), and any other equity, ownership or profit interest, options, warrants rights, stock appreciation rights, phantom stock rights, restricted stock units, redemption rights, repurchase rights, convertible, exercisable, exchangeable or other securities or agreements to acquire or subscribe for, or which are convertible into or based on the value of such shares (or any class thereof) of, common stock, preferred stock, general or limited partnership interests, limited liability company interests, or other equity, ownership, or profits interests (in each case whether or not arising under or in connection with any employment agreement). </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(bb)    “</w:t>
      </w:r>
      <w:r>
        <w:rPr>
          <w:rFonts w:ascii="Times New Roman;serif" w:hAnsi="Times New Roman;serif"/>
          <w:b/>
          <w:i/>
          <w:color w:val="000000"/>
          <w:sz w:val="24"/>
        </w:rPr>
        <w:t>Excluded Parties</w:t>
      </w:r>
      <w:r>
        <w:rPr>
          <w:color w:val="000000"/>
        </w:rPr>
        <w:t xml:space="preserve">” </w:t>
      </w:r>
      <w:r>
        <w:rPr>
          <w:rFonts w:ascii="Times New Roman;serif" w:hAnsi="Times New Roman;serif"/>
          <w:b w:val="false"/>
          <w:color w:val="000000"/>
          <w:sz w:val="24"/>
        </w:rPr>
        <w:t xml:space="preserve">mean, collectively, (a) Feder Affiliated Parties, (b) GT, (c) Josh Gaynor, (d) Investment Contract Counterparties, (e) any Person or Entity set forth on Exhibit I. to the Plan Supplement, (f) any relative, shareholder, member, advisor, attorney, professional, Related Party, or beneficiaries of any of the persons or entities listed in the foregoing (a) – (e), and (g) any immediate or mediate transferee of property from any of the foregoing,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the following are not Excluded Parties: (i) the CODI Parties, (ii) the Debtors, (iii) the Lugano Prive Investment Trust, (iv) the Creditors’ Committee and its members only in their capacities as members of the Creditors’ Committee, and (v) the Related Parties of the Persons or entities listed in the foregoing (i) – (iv) who are not Ferder Related Parties and who are not specifically identified in the preceding clauses of this definition.</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(cc)    “</w:t>
      </w:r>
      <w:r>
        <w:rPr>
          <w:rFonts w:ascii="Times New Roman;serif" w:hAnsi="Times New Roman;serif"/>
          <w:b/>
          <w:i/>
          <w:color w:val="000000"/>
          <w:sz w:val="24"/>
        </w:rPr>
        <w:t>Ferder Affiliated Party</w:t>
      </w:r>
      <w:r>
        <w:rPr>
          <w:color w:val="000000"/>
        </w:rPr>
        <w:t xml:space="preserve">” </w:t>
      </w:r>
      <w:r>
        <w:rPr>
          <w:rFonts w:ascii="Times New Roman;serif" w:hAnsi="Times New Roman;serif"/>
          <w:b w:val="false"/>
          <w:color w:val="000000"/>
          <w:sz w:val="24"/>
        </w:rPr>
        <w:t xml:space="preserve">means, collectively, (a) Mordechai Haim Ferder, (b) Edit Ferder, (c) Tom Ferder, (d) RF 2021 Irrevocable Trust, dated August 30, 2021, (e) TF 2021 Irrevocable Trust, dated August 30, 2021, (f) Simba IL Holdings, LLC, (g) Serenade Newport, LLC, (h) The Haim Family Trust, dated February 24, 2009, (i) VAD &amp; Company, Inc., and (j) any relative, shareholder, member, advisor, attorney, professional, Affiliate, or beneficiary of any of the persons or entities listed in the foregoing (a) – (i), and (k) any immediate or mediate transferee of property from any of the foregoing;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Debtors and the CODI Parties are not Ferder Affiliated Parties.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(dd)    “</w:t>
      </w:r>
      <w:r>
        <w:rPr>
          <w:rFonts w:ascii="Times New Roman;serif" w:hAnsi="Times New Roman;serif"/>
          <w:b/>
          <w:i/>
          <w:color w:val="000000"/>
          <w:sz w:val="24"/>
        </w:rPr>
        <w:t>Final Order</w:t>
      </w:r>
      <w:r>
        <w:rPr>
          <w:color w:val="000000"/>
        </w:rPr>
        <w:t xml:space="preserve">” </w:t>
      </w:r>
      <w:r>
        <w:rPr>
          <w:rFonts w:ascii="Times New Roman;serif" w:hAnsi="Times New Roman;serif"/>
          <w:b w:val="false"/>
          <w:color w:val="000000"/>
          <w:sz w:val="24"/>
        </w:rPr>
        <w:t xml:space="preserve">mean, as applicable, an order or judgment of the Bankruptcy Court or other court of competent jurisdiction with respect to the relevant subject matter that has not been reversed, rescinded, stayed, modified, or amended and as to which the time to appeal, seek certiorari, or move for a new trial, reargument, or rehearing has expired and no appeal, petition for certiorari, or other proceeding for a new trial, reargument, or rehearing thereof has been timely sought or, if an appeal, writ of certiorari, new trial, reargument, or rehearing thereof has been sought, such order or judgment has been affirmed by the highest court to which such order was appealed or certiorari has been denied, or a new trial, reargument, or rehearing has been denied, or resulted in no modification of such order, and the time to take any further appeal, petition for certiorari, or move for a new trial, reargument, or rehearing has expired;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no order or judgment fails to be a “Final Order” solely because of the possibility that a motion under Rules 59 or 60 of the Federal Rules of Civil Procedure, Bankruptcy Rules 9023 or 9024 (or any analogous rules applying in another court of competent jurisdiction) or Bankruptcy Code § 502(j) or 1144 has been or may be Filed with respect to such order or judgment.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(ee)    “</w:t>
      </w:r>
      <w:r>
        <w:rPr>
          <w:rFonts w:ascii="Times New Roman;serif" w:hAnsi="Times New Roman;serif"/>
          <w:b/>
          <w:i/>
          <w:color w:val="000000"/>
          <w:sz w:val="24"/>
        </w:rPr>
        <w:t>GT</w:t>
      </w:r>
      <w:r>
        <w:rPr>
          <w:color w:val="000000"/>
        </w:rPr>
        <w:t xml:space="preserve">” </w:t>
      </w:r>
      <w:r>
        <w:rPr>
          <w:rFonts w:ascii="Times New Roman;serif" w:hAnsi="Times New Roman;serif"/>
          <w:b w:val="false"/>
          <w:color w:val="000000"/>
          <w:sz w:val="24"/>
        </w:rPr>
        <w:t>means Grant Thornton LLP and its affiliates, which served as auditors for the Debtors and CODI.</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(ff)    “</w:t>
      </w:r>
      <w:r>
        <w:rPr>
          <w:rFonts w:ascii="Times New Roman;serif" w:hAnsi="Times New Roman;serif"/>
          <w:b/>
          <w:i/>
          <w:color w:val="000000"/>
          <w:sz w:val="24"/>
        </w:rPr>
        <w:t>Investment Contract</w:t>
      </w:r>
      <w:r>
        <w:rPr>
          <w:color w:val="000000"/>
        </w:rPr>
        <w:t xml:space="preserve">” </w:t>
      </w:r>
      <w:r>
        <w:rPr>
          <w:rFonts w:ascii="Times New Roman;serif" w:hAnsi="Times New Roman;serif"/>
          <w:b w:val="false"/>
          <w:color w:val="000000"/>
          <w:sz w:val="24"/>
        </w:rPr>
        <w:t>means any contract or agreement with one or more of the Debtors or with any Ferder Affiliated Party under which an Investment Contract Counterparty provided consideration purportedly for the shared purchase of, or a loan in connection with the purported acquisition of, or secured by, diamonds, precious stones or minerals, or jewelry in exchange for a return of principal or invested amount with interest or other additional return on principal or other consideration and guarantee of such a contract or agreement. The CODI Claims are not Investment Contracts.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(gg)    “</w:t>
      </w:r>
      <w:r>
        <w:rPr>
          <w:rFonts w:ascii="Times New Roman;serif" w:hAnsi="Times New Roman;serif"/>
          <w:b/>
          <w:i/>
          <w:color w:val="000000"/>
          <w:sz w:val="24"/>
        </w:rPr>
        <w:t>Investment Contract Claims</w:t>
      </w:r>
      <w:r>
        <w:rPr>
          <w:color w:val="000000"/>
        </w:rPr>
        <w:t xml:space="preserve">” </w:t>
      </w:r>
      <w:r>
        <w:rPr>
          <w:rFonts w:ascii="Times New Roman;serif" w:hAnsi="Times New Roman;serif"/>
          <w:b w:val="false"/>
          <w:color w:val="000000"/>
          <w:sz w:val="24"/>
        </w:rPr>
        <w:t>means any Claim or Cause of Action a Debtor may have against an Investment Contract Counterparty or a Related Party to such Investment Contract Counterparty.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(hh)    “</w:t>
      </w:r>
      <w:r>
        <w:rPr>
          <w:rFonts w:ascii="Times New Roman;serif" w:hAnsi="Times New Roman;serif"/>
          <w:b/>
          <w:i/>
          <w:color w:val="000000"/>
          <w:sz w:val="24"/>
        </w:rPr>
        <w:t>Investment Contract Counterparty</w:t>
      </w:r>
      <w:r>
        <w:rPr>
          <w:color w:val="000000"/>
        </w:rPr>
        <w:t xml:space="preserve">” </w:t>
      </w:r>
      <w:r>
        <w:rPr>
          <w:rFonts w:ascii="Times New Roman;serif" w:hAnsi="Times New Roman;serif"/>
          <w:b w:val="false"/>
          <w:color w:val="000000"/>
          <w:sz w:val="24"/>
        </w:rPr>
        <w:t xml:space="preserve">means a non-Debtor party to an Investment Contract.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(ii)    “</w:t>
      </w:r>
      <w:r>
        <w:rPr>
          <w:rFonts w:ascii="Times New Roman;serif" w:hAnsi="Times New Roman;serif"/>
          <w:b/>
          <w:i/>
          <w:color w:val="000000"/>
          <w:sz w:val="24"/>
        </w:rPr>
        <w:t>Law</w:t>
      </w:r>
      <w:r>
        <w:rPr>
          <w:color w:val="000000"/>
        </w:rPr>
        <w:t xml:space="preserve">” </w:t>
      </w:r>
      <w:r>
        <w:rPr>
          <w:rFonts w:ascii="Times New Roman;serif" w:hAnsi="Times New Roman;serif"/>
          <w:b w:val="false"/>
          <w:color w:val="000000"/>
          <w:sz w:val="24"/>
        </w:rPr>
        <w:t>means any federal, state, local, or foreign law (including common law), statute, code, ordinance, rule, regulation, order, listing rule, ruling, or judgment, in each case, that is validly adopted, promulgated, issued, or entered by a governmental authority of competent jurisdiction (including the Bankruptcy Court) or stock exchange.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(jj)    “</w:t>
      </w:r>
      <w:r>
        <w:rPr>
          <w:rFonts w:ascii="Times New Roman;serif" w:hAnsi="Times New Roman;serif"/>
          <w:b/>
          <w:i/>
          <w:color w:val="000000"/>
          <w:sz w:val="24"/>
        </w:rPr>
        <w:t>Milestones</w:t>
      </w:r>
      <w:r>
        <w:rPr>
          <w:color w:val="000000"/>
        </w:rPr>
        <w:t xml:space="preserve">” </w:t>
      </w:r>
      <w:r>
        <w:rPr>
          <w:rFonts w:ascii="Times New Roman;serif" w:hAnsi="Times New Roman;serif"/>
          <w:b w:val="false"/>
          <w:color w:val="000000"/>
          <w:sz w:val="24"/>
        </w:rPr>
        <w:t>means the milestones set forth in Article 4 hereof.</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(kk)    “</w:t>
      </w:r>
      <w:r>
        <w:rPr>
          <w:rFonts w:ascii="Times New Roman;serif" w:hAnsi="Times New Roman;serif"/>
          <w:b/>
          <w:i/>
          <w:color w:val="000000"/>
          <w:sz w:val="24"/>
        </w:rPr>
        <w:t>Parties</w:t>
      </w:r>
      <w:r>
        <w:rPr>
          <w:color w:val="000000"/>
        </w:rPr>
        <w:t xml:space="preserve">” </w:t>
      </w:r>
      <w:r>
        <w:rPr>
          <w:rFonts w:ascii="Times New Roman;serif" w:hAnsi="Times New Roman;serif"/>
          <w:b w:val="false"/>
          <w:color w:val="000000"/>
          <w:sz w:val="24"/>
        </w:rPr>
        <w:t>has the meaning ascribed thereto in the Preamble of this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(ll)    “</w:t>
      </w:r>
      <w:r>
        <w:rPr>
          <w:rFonts w:ascii="Times New Roman;serif" w:hAnsi="Times New Roman;serif"/>
          <w:b/>
          <w:i/>
          <w:color w:val="000000"/>
          <w:sz w:val="24"/>
        </w:rPr>
        <w:t>Person</w:t>
      </w:r>
      <w:r>
        <w:rPr>
          <w:color w:val="000000"/>
        </w:rPr>
        <w:t xml:space="preserve">” </w:t>
      </w:r>
      <w:r>
        <w:rPr>
          <w:rFonts w:ascii="Times New Roman;serif" w:hAnsi="Times New Roman;serif"/>
          <w:b w:val="false"/>
          <w:color w:val="000000"/>
          <w:sz w:val="24"/>
        </w:rPr>
        <w:t>means any person or organization created or recognized by Law, including any association, company, cooperative, corporation, Entity, estate, fund, individual, joint stock company, joint venture, limited liability company, partnership, trust, trustee, unincorporated organization, government (including any federal, state, local, municipal, or foreign government) or any political subdivision or agency, department, or instrumentality thereof.</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(mm)    “</w:t>
      </w:r>
      <w:r>
        <w:rPr>
          <w:rFonts w:ascii="Times New Roman;serif" w:hAnsi="Times New Roman;serif"/>
          <w:b/>
          <w:i/>
          <w:color w:val="000000"/>
          <w:sz w:val="24"/>
        </w:rPr>
        <w:t>Petition Date</w:t>
      </w:r>
      <w:r>
        <w:rPr>
          <w:color w:val="000000"/>
        </w:rPr>
        <w:t xml:space="preserve">” </w:t>
      </w:r>
      <w:r>
        <w:rPr>
          <w:rFonts w:ascii="Times New Roman;serif" w:hAnsi="Times New Roman;serif"/>
          <w:b w:val="false"/>
          <w:color w:val="000000"/>
          <w:sz w:val="24"/>
        </w:rPr>
        <w:t>has the meaning ascribed thereto in the Recitals of this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(nn)    “</w:t>
      </w:r>
      <w:r>
        <w:rPr>
          <w:rFonts w:ascii="Times New Roman;serif" w:hAnsi="Times New Roman;serif"/>
          <w:b/>
          <w:i/>
          <w:color w:val="000000"/>
          <w:sz w:val="24"/>
        </w:rPr>
        <w:t>Plan</w:t>
      </w:r>
      <w:r>
        <w:rPr>
          <w:color w:val="000000"/>
        </w:rPr>
        <w:t xml:space="preserve">” </w:t>
      </w:r>
      <w:r>
        <w:rPr>
          <w:rFonts w:ascii="Times New Roman;serif" w:hAnsi="Times New Roman;serif"/>
          <w:b w:val="false"/>
          <w:color w:val="000000"/>
          <w:sz w:val="24"/>
        </w:rPr>
        <w:t>means the chapter 11 plan of the Debtors, which incorporates the Settlement Agreement, in the pending Chapter 11 Cases, including all exhibits, schedules, supplements, appendices, annexes and attachments thereto.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(oo)    “</w:t>
      </w:r>
      <w:r>
        <w:rPr>
          <w:rFonts w:ascii="Times New Roman;serif" w:hAnsi="Times New Roman;serif"/>
          <w:b/>
          <w:i/>
          <w:color w:val="000000"/>
          <w:sz w:val="24"/>
        </w:rPr>
        <w:t>Plan Supplement</w:t>
      </w:r>
      <w:r>
        <w:rPr>
          <w:color w:val="000000"/>
        </w:rPr>
        <w:t xml:space="preserve">” </w:t>
      </w:r>
      <w:r>
        <w:rPr>
          <w:rFonts w:ascii="Times New Roman;serif" w:hAnsi="Times New Roman;serif"/>
          <w:b w:val="false"/>
          <w:color w:val="000000"/>
          <w:sz w:val="24"/>
        </w:rPr>
        <w:t xml:space="preserve">means the ancillary documents regarding the implementation and effectuation of the Plan Filed on or before the date that is seven calendar days prior to the Voting Deadline, as such documents may be amended and supplemented prior to the Confirmation Hearing.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(pp)    “</w:t>
      </w:r>
      <w:r>
        <w:rPr>
          <w:rFonts w:ascii="Times New Roman;serif" w:hAnsi="Times New Roman;serif"/>
          <w:b/>
          <w:i/>
          <w:color w:val="000000"/>
          <w:sz w:val="24"/>
        </w:rPr>
        <w:t>Related Parties</w:t>
      </w:r>
      <w:r>
        <w:rPr>
          <w:color w:val="000000"/>
        </w:rPr>
        <w:t xml:space="preserve">” </w:t>
      </w:r>
      <w:r>
        <w:rPr>
          <w:rFonts w:ascii="Times New Roman;serif" w:hAnsi="Times New Roman;serif"/>
          <w:b w:val="false"/>
          <w:color w:val="000000"/>
          <w:sz w:val="24"/>
        </w:rPr>
        <w:t xml:space="preserve">means, collectively, with respect to any Person or Entity, and in each case solely in its capacity as such, all current and former directors, managers, officers, committee members, members of any governing body, shareholders, unitholders, equity holders (regardless of whether such interests are held directly or indirectly), affiliated investment funds or investment vehicles, managed accounts or funds, predecessors, assignors, participants, successors, assignees (whether by operation of Law or otherwise), subsidiaries, partners, limited partners, general partners, principals, members, management companies, fund advisors or managers, fiduciaries, employees, agents, trusts, trustees, advisory board members, financial advisors, attorneys (including any other attorneys or professionals retained by any current or former director or manager in the capacity as director or manager of an Entity), accountants, investment bankers, consultants, representatives, and other professionals and advisors and any such Person’s or Entity’s respective heirs, executors, estates, and nominees;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Excluded Party is a Related Party. Related Parties of the Debtors include the Special Committee and its members, advisors, and attorneys.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(qq)    “</w:t>
      </w:r>
      <w:r>
        <w:rPr>
          <w:rFonts w:ascii="Times New Roman;serif" w:hAnsi="Times New Roman;serif"/>
          <w:b/>
          <w:i/>
          <w:color w:val="000000"/>
          <w:sz w:val="24"/>
        </w:rPr>
        <w:t>Releases &amp; Exculpation Provisions</w:t>
      </w:r>
      <w:r>
        <w:rPr>
          <w:color w:val="000000"/>
        </w:rPr>
        <w:t xml:space="preserve">” </w:t>
      </w:r>
      <w:r>
        <w:rPr>
          <w:rFonts w:ascii="Times New Roman;serif" w:hAnsi="Times New Roman;serif"/>
          <w:b w:val="false"/>
          <w:color w:val="000000"/>
          <w:sz w:val="24"/>
        </w:rPr>
        <w:t>means the releases and exculpation provisions to be included in the Plan, which shall be acceptable to the CODI in its sole discretion, and shall include Debtor and third party releases, on the terms set forth in the Settlement Agreement, by and for the benefit of (a) the CODI Parties and the CODI Related Parties, (b) the Debtors and each of their Related Parties, and (c) the UCC and each of their Related Parties.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(rr)    “</w:t>
      </w:r>
      <w:r>
        <w:rPr>
          <w:rFonts w:ascii="Times New Roman;serif" w:hAnsi="Times New Roman;serif"/>
          <w:b/>
          <w:i/>
          <w:color w:val="000000"/>
          <w:sz w:val="24"/>
        </w:rPr>
        <w:t>Solicitation Materials</w:t>
      </w:r>
      <w:r>
        <w:rPr>
          <w:color w:val="000000"/>
        </w:rPr>
        <w:t xml:space="preserve">” </w:t>
      </w:r>
      <w:r>
        <w:rPr>
          <w:rFonts w:ascii="Times New Roman;serif" w:hAnsi="Times New Roman;serif"/>
          <w:b w:val="false"/>
          <w:color w:val="000000"/>
          <w:sz w:val="24"/>
        </w:rPr>
        <w:t xml:space="preserve">means the Disclosure Statement, ballots, documents, forms and all other materials provided in connection with the solicitation of the Plan pursuant to sections 1125 and 1126 of the Bankruptcy Code, which shall be consistent with this Agreement and the Settlement Agreement.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(ss)    “</w:t>
      </w:r>
      <w:r>
        <w:rPr>
          <w:rFonts w:ascii="Times New Roman;serif" w:hAnsi="Times New Roman;serif"/>
          <w:b/>
          <w:i/>
          <w:color w:val="000000"/>
          <w:sz w:val="24"/>
        </w:rPr>
        <w:t>Sostratus</w:t>
      </w:r>
      <w:r>
        <w:rPr>
          <w:color w:val="000000"/>
        </w:rPr>
        <w:t xml:space="preserve">” </w:t>
      </w:r>
      <w:r>
        <w:rPr>
          <w:rFonts w:ascii="Times New Roman;serif" w:hAnsi="Times New Roman;serif"/>
          <w:b w:val="false"/>
          <w:color w:val="000000"/>
          <w:sz w:val="24"/>
        </w:rPr>
        <w:t>means Sostratus, LLC.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(tt)    “</w:t>
      </w:r>
      <w:r>
        <w:rPr>
          <w:rFonts w:ascii="Times New Roman;serif" w:hAnsi="Times New Roman;serif"/>
          <w:b/>
          <w:i/>
          <w:color w:val="000000"/>
          <w:sz w:val="24"/>
        </w:rPr>
        <w:t>Termination Date</w:t>
      </w:r>
      <w:r>
        <w:rPr>
          <w:color w:val="000000"/>
        </w:rPr>
        <w:t xml:space="preserve">” </w:t>
      </w:r>
      <w:r>
        <w:rPr>
          <w:rFonts w:ascii="Times New Roman;serif" w:hAnsi="Times New Roman;serif"/>
          <w:b w:val="false"/>
          <w:color w:val="000000"/>
          <w:sz w:val="24"/>
        </w:rPr>
        <w:t>means, with respect to a Party to this Agreement, the date on which termination of this Agreement as to a Party is effective in accordance with Section 9.1, Section 9.2, Section 9.3 or Section 9.4 hereof, as applicable.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(uu)    “</w:t>
      </w:r>
      <w:r>
        <w:rPr>
          <w:rFonts w:ascii="Times New Roman;serif" w:hAnsi="Times New Roman;serif"/>
          <w:b/>
          <w:i/>
          <w:color w:val="000000"/>
          <w:sz w:val="24"/>
        </w:rPr>
        <w:t>Termination Event</w:t>
      </w:r>
      <w:r>
        <w:rPr>
          <w:color w:val="000000"/>
        </w:rPr>
        <w:t xml:space="preserve">” </w:t>
      </w:r>
      <w:r>
        <w:rPr>
          <w:rFonts w:ascii="Times New Roman;serif" w:hAnsi="Times New Roman;serif"/>
          <w:b w:val="false"/>
          <w:color w:val="000000"/>
          <w:sz w:val="24"/>
        </w:rPr>
        <w:t>shall have the meaning set forth in, as applicable, Section 9.1 and Section 9.2.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1.2    Interpretation. For purposes of this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in the appropriate context, each term, whether stated in the singular or the plural, shall include both the singular and the plural, and pronouns stated in the masculine, feminine, or neutral gender shall include the masculine, feminine, and the neutral gender;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    capitalized terms defined only in the plural or singular form shall nonetheless have their defined meanings when used in the opposite form;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unless otherwise specified, any reference in this Agreement to a contract, lease, instrument, release, indenture, or other agreement or document being in a particular form or on particular terms and conditions means that such document shall be substantially in such form or substantially on such terms and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    unless otherwise specified, any reference in this Agreement to an existing document, schedule, or exhibit shall mean such document, schedule, or exhibit, as it may have been or may be amended, restated, supplemented, or otherwise modified from time to time; notwithstanding the foregoing, any capitalized terms in this Agreement that are defined with reference to another agreement, are defined with reference to such other agreement as of the date of this Agreement, without giving effect to any termination of such other agreement or amendments to such capitalized terms in any such other agreement following the date of this Agreement;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    unless otherwise specified in this Agreement, the provisions of Bankruptcy Rule 9006(a) shall apply in computing any period of time prescribed or allowed herein. If any payment, distribution, act or deadline under the Plan is required to be made or performed or occurs on a day that is not a Business Day, then the making of such payment or distribution, the performance of such act, or the occurrence of such deadline shall be deemed to be on the next succeeding Business Day, but shall be deemed to have been completed or to have occurred as of the required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    unless otherwise specified, all references in this Agreement to “Sections” are references to Sections of this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    the words “herein,” “hereof,” and “hereto” refer to this Agreement in its entirety rather than to any particular portion of this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    captions and headings to Sections are inserted for convenience of reference only and are not intended to be a part of or to affect the interpretation of this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references to “shareholders,” “directors,” and/or “officers” shall also include “members” and/or “managers,” as applicable, as such terms are defined under the applicable limited liability company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(j)    the use of “include” or “including” is without limitation, whether stated or not;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(k)    the word “or” shall not be exclusive.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EFFECTIVENESS OF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2.1    </w:t>
      </w:r>
      <w:r>
        <w:rPr>
          <w:rFonts w:ascii="Times New Roman;serif" w:hAnsi="Times New Roman;serif"/>
          <w:b w:val="false"/>
          <w:color w:val="000000"/>
          <w:sz w:val="24"/>
          <w:u w:val="single"/>
        </w:rPr>
        <w:t>Conditions to Effectiveness</w:t>
      </w:r>
      <w:r>
        <w:rPr>
          <w:rFonts w:ascii="Times New Roman;serif" w:hAnsi="Times New Roman;serif"/>
          <w:b w:val="false"/>
          <w:color w:val="000000"/>
          <w:sz w:val="24"/>
        </w:rPr>
        <w:t xml:space="preserve">. This Agreement shall become effective and binding upon each of the Parties at 12:00 a.m. (prevailing Eastern Time), on the Agreement Effective Date, which is the date on which all of the following conditions have been satisfied or waived in accordance with this Agreement: </w:t>
      </w:r>
    </w:p>
    <w:p>
      <w:pPr>
        <w:pStyle w:val="TextBody"/>
        <w:bidi w:val="0"/>
        <w:spacing w:lineRule="auto" w:line="288" w:before="0" w:after="0"/>
        <w:ind w:left="0" w:right="0" w:firstLine="720"/>
        <w:jc w:val="both"/>
        <w:rPr/>
      </w:pPr>
      <w:r>
        <w:rPr>
          <w:rFonts w:ascii="Times New Roman;serif" w:hAnsi="Times New Roman;serif"/>
          <w:b w:val="false"/>
          <w:color w:val="000000"/>
          <w:sz w:val="24"/>
        </w:rPr>
        <w:t>(a)    The Debtors shall have delivered to CODI and the UCC</w:t>
      </w:r>
      <w:r>
        <w:rPr>
          <w:color w:val="000000"/>
        </w:rPr>
        <w:t xml:space="preserve"> </w:t>
      </w:r>
      <w:r>
        <w:rPr>
          <w:rFonts w:ascii="Times New Roman;serif" w:hAnsi="Times New Roman;serif"/>
          <w:b w:val="false"/>
          <w:color w:val="000000"/>
          <w:sz w:val="24"/>
        </w:rPr>
        <w:t>a resolution</w:t>
      </w:r>
      <w:r>
        <w:rPr>
          <w:color w:val="000000"/>
        </w:rPr>
        <w:t xml:space="preserve"> </w:t>
      </w:r>
      <w:r>
        <w:rPr>
          <w:rFonts w:ascii="Times New Roman;serif" w:hAnsi="Times New Roman;serif"/>
          <w:b w:val="false"/>
          <w:color w:val="000000"/>
          <w:sz w:val="24"/>
        </w:rPr>
        <w:t>of the Debtors (i) authorizing the Debtors to enter into the Settlement Agreement and (ii) authorizing the Debtors to execute the Settlement Agreement and this Agreement (the “</w:t>
      </w:r>
      <w:r>
        <w:rPr>
          <w:rFonts w:ascii="Times New Roman;serif" w:hAnsi="Times New Roman;serif"/>
          <w:b/>
          <w:i/>
          <w:color w:val="000000"/>
          <w:sz w:val="24"/>
        </w:rPr>
        <w:t>Resolution</w:t>
      </w:r>
      <w:r>
        <w:rPr>
          <w:color w:val="000000"/>
        </w:rPr>
        <w:t>”</w:t>
      </w:r>
      <w:r>
        <w:rPr>
          <w:rFonts w:ascii="Times New Roman;serif" w:hAnsi="Times New Roman;serif"/>
          <w:b w:val="false"/>
          <w:color w:val="000000"/>
          <w:sz w:val="24"/>
        </w:rPr>
        <w:t xml:space="preserve">); 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    Each of the Debtors, CODI, and the UCC shall</w:t>
      </w:r>
      <w:r>
        <w:rPr>
          <w:color w:val="000000"/>
        </w:rPr>
        <w:t xml:space="preserve"> </w:t>
      </w:r>
      <w:r>
        <w:rPr>
          <w:rFonts w:ascii="Times New Roman;serif" w:hAnsi="Times New Roman;serif"/>
          <w:b w:val="false"/>
          <w:color w:val="000000"/>
          <w:sz w:val="24"/>
        </w:rPr>
        <w:t xml:space="preserve">have executed and delivered counterpart signature pages of this Agreement and the Settlement Agreement to counsel for the other Parties. </w:t>
      </w:r>
    </w:p>
    <w:p>
      <w:pPr>
        <w:pStyle w:val="TextBody"/>
        <w:bidi w:val="0"/>
        <w:ind w:left="0" w:right="0" w:firstLine="7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3</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DEFINITIVE DOCUMENTS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3.1    The Definitive Documents governing the Settlement shall include the following (in each case, and any order, or amendment or modification of any order, entered by the Bankruptcy Court related to the below items):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Plan (and all exhibits, ballots, solicitation procedures, and other documents and instruments related thereto), including any “Definitive Documentation” as defined therein and not explicitly so defined herein;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The Plan Supplement and all documents, annexes, exhibits, schedules contained therein, including any schedules of rejected contracts;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The Disclosure Statement and the Solicitation Materials;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The order of the Bankruptcy Court approving the Disclosure Statement and the other Solicitation Materials (which may also be the Confirmation Order);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The Confirmation Order and pleadings in support of entry of the Confirmation Order;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This Agreement, the Settlement Agreement attached hereto and all other exhibits to this Agreement or the Settlement Agreement; 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Any other material agreements, motions, pleadings, briefs, applications, orders and other filings with the Bankruptcy Court related to the Settlement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3.2    The Definitive Documents that are not executed or in a form attached to this Agreement as of the Execution Date remain subject to negotiation and completion. Upon completion, the Definitive Documents and every other document, deed, agreement, filing, notification, letter, or instrument related to the Settlement Agreement and the Plan shall contain terms, conditions, representations, warranties, and covenants not inconsistent with the terms of this Agreement, as they may be modified, amended, or supplemented in accordance with Article 10. All Definitive Documents shall be in form and substance acceptable to the 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4</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MILESTONES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4.1    The following Milestones shall apply to this Agreement unless extended or waived in writing by the Debtors, CODI and the UCC: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Restructuring Milestones: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(i)    This Agreement and the Settlement Agreement shall be executed no later than June 23, 2026 (the “</w:t>
      </w:r>
      <w:r>
        <w:rPr>
          <w:rFonts w:ascii="Times New Roman;serif" w:hAnsi="Times New Roman;serif"/>
          <w:b/>
          <w:i/>
          <w:color w:val="000000"/>
          <w:sz w:val="24"/>
        </w:rPr>
        <w:t>PSA Effective Date</w:t>
      </w:r>
      <w:r>
        <w:rPr>
          <w:color w:val="000000"/>
        </w:rPr>
        <w:t>”</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The Plan, the Disclosure Statement, and a motion seeking approval thereof shall be filed no later than June 23,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The Plan Supplement shall be filed no later than seven (7) days prior to the voting deadline;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    An order approving the Disclosure Statement (which may be combined with the order confirming the Plan) shall be entered no later than July 17,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(v)    An order confirming the Plan shall be entered no later than September 15, 2026 (the “</w:t>
      </w:r>
      <w:r>
        <w:rPr>
          <w:rFonts w:ascii="Times New Roman;serif" w:hAnsi="Times New Roman;serif"/>
          <w:b/>
          <w:i/>
          <w:color w:val="000000"/>
          <w:sz w:val="24"/>
        </w:rPr>
        <w:t>Confirmation Date</w:t>
      </w:r>
      <w:r>
        <w:rPr>
          <w:color w:val="000000"/>
        </w:rPr>
        <w:t>”</w:t>
      </w:r>
      <w:r>
        <w:rPr>
          <w:rFonts w:ascii="Times New Roman;serif" w:hAnsi="Times New Roman;serif"/>
          <w:b w:val="false"/>
          <w:color w:val="000000"/>
          <w:sz w:val="24"/>
        </w:rPr>
        <w:t xml:space="preserve">); 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(vi)    The Effective Date shall occur no later than September 30, 2026 (the “</w:t>
      </w:r>
      <w:r>
        <w:rPr>
          <w:rFonts w:ascii="Times New Roman;serif" w:hAnsi="Times New Roman;serif"/>
          <w:b/>
          <w:i/>
          <w:color w:val="000000"/>
          <w:sz w:val="24"/>
        </w:rPr>
        <w:t>Outside</w:t>
      </w:r>
      <w:r>
        <w:rPr>
          <w:color w:val="000000"/>
        </w:rPr>
        <w:t xml:space="preserve"> </w:t>
      </w:r>
      <w:r>
        <w:rPr>
          <w:rFonts w:ascii="Times New Roman;serif" w:hAnsi="Times New Roman;serif"/>
          <w:b/>
          <w:i/>
          <w:color w:val="000000"/>
          <w:sz w:val="24"/>
        </w:rPr>
        <w:t>Date</w:t>
      </w:r>
      <w:r>
        <w:rPr>
          <w:color w:val="000000"/>
        </w:rPr>
        <w:t>”</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5</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COMMITMENTS OF CODI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5.1    Affirmative Commitments. CODI agrees to: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Support the Settlement and vote and exercise any powers or rights available to it (including in any creditors’ meeting or in any process requiring voting or approval to which they are legally entitled to participate) in each case in favor of any matter requiring approval to the extent necessary to implement the Settlement and the terms of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Negotiate in good faith any additional or alternative provisions or agreements necessary to address any legal, financial, or structural impediment that may arise that would prevent, hinder, impede, delay, or are necessary to effectuate the consummation of the Settlement in accordance with this Agreement and the Plan; 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Negotiate in good faith upon reasonable request of any other Party any modifications to the Settlement that improve the tax efficiency of the Settlement or are otherwise necessary to address any legal, financial, or structural impediment that may prevent the consummation of the Settlement, in each case to the extent such modifications can be implemented without any adverse effect on CODI or the Debtors;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Maintain all materials submitted by the Parties in the Mediation as confidential and prohibit the public disclosure or reproduction of the same, except as otherwise required by law, in which case any Party objecting to disclosure required by a subpoena must promptly exert reasonable efforts to either quash the subpoena or obtain a protective order restricting such disclosure; and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To the extent the Confirmation Order is not entered by August 31, 2026, CODI shall, in good faith, negotiate an extension of the Agreed Pre-Effective Date Fee Budget with the Debtors, the UCC, and representatives of the Special Committee.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5.2    </w:t>
      </w:r>
      <w:r>
        <w:rPr>
          <w:rFonts w:ascii="Times New Roman;serif" w:hAnsi="Times New Roman;serif"/>
          <w:b w:val="false"/>
          <w:color w:val="000000"/>
          <w:sz w:val="24"/>
          <w:u w:val="single"/>
        </w:rPr>
        <w:t>Negative Commitments</w:t>
      </w:r>
      <w:r>
        <w:rPr>
          <w:rFonts w:ascii="Times New Roman;serif" w:hAnsi="Times New Roman;serif"/>
          <w:b w:val="false"/>
          <w:color w:val="000000"/>
          <w:sz w:val="24"/>
        </w:rPr>
        <w:t xml:space="preserve">. CODI agrees that it shall not, directly or indirectly, and shall not direct any other Entity to: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Object to, delay, impede, or take (directly or indirectly) any other action to interfere with acceptance, implementation, or consummation of the Settlement and the transactions contemplated by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Knowingly pursue, propose, file, support, solicit support for or vote for any Alternative Transaction Proposal; or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Initiate, or have initiated on its behalf, any litigation or proceeding of any kind with respect to this Agreement, the Settlement contemplated in this Agreement other than to enforce this Agreement or any Definitive Document or as otherwise permitted under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5.3    </w:t>
      </w:r>
      <w:r>
        <w:rPr>
          <w:rFonts w:ascii="Times New Roman;serif" w:hAnsi="Times New Roman;serif"/>
          <w:b w:val="false"/>
          <w:color w:val="000000"/>
          <w:sz w:val="24"/>
          <w:u w:val="single"/>
        </w:rPr>
        <w:t>Commitments with Respect to the Chapter 11 Cases</w:t>
      </w:r>
      <w:r>
        <w:rPr>
          <w:rFonts w:ascii="Times New Roman;serif" w:hAnsi="Times New Roman;serif"/>
          <w:b w:val="false"/>
          <w:color w:val="000000"/>
          <w:sz w:val="24"/>
        </w:rPr>
        <w:t xml:space="preserve">. In connection with the Chapter 11 Cases: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CODI shall: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Vote each of its Claims to accept the Plan by delivering its duly executed and completed ballot accepting the Plan on a timely basis following the commencement of the solicitation of the Plan and its actual receipt of the Solicitation Materials and the ballot;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Support the Releases &amp; Exculpation Provisions, which provisions shall be in form and substance acceptable to the Parties;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To the extent it is permitted to elect whether to opt in or opt out of the releases set forth in the Plan, as applicable, either opt in or elect not to opt out of the releases set forth in the Plan by timely delivering its duly executed and completed ballot(s) indicating that it either opts in or does not opt out of the releases;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 xml:space="preserve">(iv)    Not change, withdraw, amend, or revoke (or cause to be changed, withdrawn, amended, or revoked) any vote or election referred to in clauses (a)(i) and (a)(ii) above;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such vote may be changed, withdrawn, amended or revoked (and, upon such revocation, deemed ineffective and void </w:t>
      </w:r>
      <w:r>
        <w:rPr>
          <w:rFonts w:ascii="Times New Roman;serif" w:hAnsi="Times New Roman;serif"/>
          <w:b w:val="false"/>
          <w:i/>
          <w:color w:val="000000"/>
          <w:sz w:val="24"/>
        </w:rPr>
        <w:t>ab initio</w:t>
      </w:r>
      <w:r>
        <w:rPr>
          <w:rFonts w:ascii="Times New Roman;serif" w:hAnsi="Times New Roman;serif"/>
          <w:b w:val="false"/>
          <w:color w:val="000000"/>
          <w:sz w:val="24"/>
        </w:rPr>
        <w:t xml:space="preserve">), by CODI at any time following the expiration or termination of this Agreement or the Settlement Agreement (it being understood that the termination of this Agreement or the Settlement Agreement shall entitle CODI to change its vote in accordance with section 1127(d) of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Bankruptcy Code, and the Solicitation Materials with respect to the Plan shall be consistent with this proviso); 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    Not directly or indirectly, through any Person, seek, solicit, propose, support, assist, engage in negotiations in connection with or participate in the formulation, preparation, filing, or prosecution of any Alternative Transaction Proposal or object to or take any other action that would reasonably be expected to prevent, interfere with, delay, or impede the solicitation, approval of the Disclosure Statement, or the confirmation and consummation of the Plan and the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(vi)    Not file any motion, pleading or other document with the Bankruptcy Court or any other court (including any modifications or amendments thereof) that, in whole or in part, is not consistent with this Agreement or the Plan; or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(vii)    Not object to, delay, impede or take any other action to interfere with the Debtors’ ownership and possession of its assets, wherever located, or interfere with the automatic stay arising under section 362 of the Bankruptcy Code.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Subject to Section 5.4 hereof, CODI will support, and will not directly or indirectly object to, delay, impede, or take any other action to interfere with any motion or other pleading or document filed by a Debtor in the Bankruptcy Court that is not inconsistent with this Agreement subject in each case to the consent rights set forth herein.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5.4    </w:t>
      </w:r>
      <w:r>
        <w:rPr>
          <w:rFonts w:ascii="Times New Roman;serif" w:hAnsi="Times New Roman;serif"/>
          <w:b w:val="false"/>
          <w:color w:val="000000"/>
          <w:sz w:val="24"/>
          <w:u w:val="single"/>
        </w:rPr>
        <w:t>Additional Provisions Regarding CODI’s Commitments</w:t>
      </w:r>
      <w:r>
        <w:rPr>
          <w:rFonts w:ascii="Times New Roman;serif" w:hAnsi="Times New Roman;serif"/>
          <w:b w:val="false"/>
          <w:color w:val="000000"/>
          <w:sz w:val="24"/>
        </w:rPr>
        <w:t xml:space="preserve">. Notwithstanding anything contained in this Agreement, nothing in this Agreement shall: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Impair or waive the rights of CODI to appear as a party in interest in any matter to be adjudicated in any court of competent jurisdiction, including the Bankruptcy Court, so long as such appearance and the positions advocated in connection therewith are not inconsistent with this Agreement or for the purpose of delaying, interfering, impeding, or taking any other action to delay, interfere or impede, directly or indirectly, the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Affect the ability of CODI to consult with the Debtors and the UCC or any other party in interest in any applicable proceeding so long as, in the case of consultation with any party in interest, the appearance, and positions advocated in connection therewith are not inconsistent with this Agreement or for the purpose of delaying, interfering, impeding, or taking any other action to delay, interfere or impede, directly or indirectly, the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Impair or waive the rights of CODI to assert or raise any objection permitted under this Agreement in connection with the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Prevent CODI from enforcing this Agreement or contesting whether any matter, fact, or thing is a breach of, or is inconsistent with, this Agreement;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Prevent CODI from enforcing or exercising any rights, remedies, conditions, consents or approval requirements under any of the Definitive Documents; or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Obligate CODI to deliver a vote to support the Plan or prohibit CODI from withdrawing such vote, in each case from and after the Termination Date (other than a Termination Date as a result of the occurrence of the Outside 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5.5    </w:t>
      </w:r>
      <w:r>
        <w:rPr>
          <w:rFonts w:ascii="Times New Roman;serif" w:hAnsi="Times New Roman;serif"/>
          <w:b w:val="false"/>
          <w:color w:val="000000"/>
          <w:sz w:val="24"/>
          <w:u w:val="single"/>
        </w:rPr>
        <w:t>Limitation on CODI Commitments</w:t>
      </w:r>
      <w:r>
        <w:rPr>
          <w:rFonts w:ascii="Times New Roman;serif" w:hAnsi="Times New Roman;serif"/>
          <w:b w:val="false"/>
          <w:color w:val="000000"/>
          <w:sz w:val="24"/>
        </w:rPr>
        <w:t xml:space="preserve">. Notwithstanding any other provision of this Agreement to the contrary, including this Article 5, nothing in this Agreement shall require CODI to incur, assume, become liable for any expenses, liabilities or other obligations, or to commence litigation or agree to any commitments, undertakings, concessions, indemnities, or other arrangements to CODI that could result in expenses, liabilities, or other obligations to CODI.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6</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COMMITMENTS OF THE UCC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6.1     </w:t>
      </w:r>
      <w:r>
        <w:rPr>
          <w:rFonts w:ascii="Times New Roman;serif" w:hAnsi="Times New Roman;serif"/>
          <w:b w:val="false"/>
          <w:color w:val="000000"/>
          <w:sz w:val="24"/>
          <w:u w:val="single"/>
        </w:rPr>
        <w:t>Affirmative Commitments.</w:t>
      </w:r>
      <w:r>
        <w:rPr>
          <w:color w:val="000000"/>
        </w:rPr>
        <w:t xml:space="preserve"> </w:t>
      </w:r>
      <w:r>
        <w:rPr>
          <w:rFonts w:ascii="Times New Roman;serif" w:hAnsi="Times New Roman;serif"/>
          <w:b w:val="false"/>
          <w:color w:val="000000"/>
          <w:sz w:val="24"/>
        </w:rPr>
        <w:t xml:space="preserve">The UCC agrees to: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Support the Settlement and prepare a letter to be included in the solicitation materials that encourages all unsecured creditors to vote to accept the Plan, which incorporates the Settlement and the terms of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Negotiate in good faith any appropriate additional or alternative provisions or agreements necessary to address any legal, financial, or structural impediment that may arise that would prevent, hinder, impede, delay, or are necessary to effectuate the consummation of the Settlement in accordance with this Agreement and the Plan;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Negotiate in good faith upon reasonable request of any other Party any modifications to the Settlement that improve the tax efficiency of the Settlement or are otherwise necessary to address any legal, financial, or structural impediment that may prevent the consummation of the Settlement, in each case to the extent such modifications can be implemented without any adverse effect on the Debtors;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Together with each member of the UCC solely in its capacity as a member of the UCC, maintain all materials submitted by the Parties in the Mediation as confidential and prohibit the public disclosure or reproduction of the same, except as otherwise required by Law, in which case any Party objecting to disclosure required by a subpoena must promptly exert reasonable efforts to either quash the subpoena or obtain a protective order restricting such disclosure; 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To the extent the Confirmation Order is not entered by August 31, 2026, the UCC shall, in good faith, negotiate an extension of the Agreed Pre-Effective Date Fee Budget with the Debtors, CODI, and representatives of the Special Committee.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6.2    </w:t>
      </w:r>
      <w:r>
        <w:rPr>
          <w:rFonts w:ascii="Times New Roman;serif" w:hAnsi="Times New Roman;serif"/>
          <w:b w:val="false"/>
          <w:color w:val="000000"/>
          <w:sz w:val="24"/>
          <w:u w:val="single"/>
        </w:rPr>
        <w:t>Negative Commitments</w:t>
      </w:r>
      <w:r>
        <w:rPr>
          <w:rFonts w:ascii="Times New Roman;serif" w:hAnsi="Times New Roman;serif"/>
          <w:b w:val="false"/>
          <w:color w:val="000000"/>
          <w:sz w:val="24"/>
        </w:rPr>
        <w:t xml:space="preserve">. The UCC, and each member thereof solely in its capacity as such severally, and not jointly, agrees that it shall not, directly or indirectly, and shall not direct any other Entity to: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Object to, delay, impede, or take (directly or indirectly) any other action to interfere with acceptance, implementation, or consummation of the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Knowingly pursue, propose, file, support, solicit support for or vote for any Alternative Transaction Proposal;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Initiate, or have initiated on its behalf, any litigation or proceeding of any kind with respect to this Agreement, the Settlement other than to enforce this Agreement or any Definitive Document or as otherwise permitted under this Agreement; or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Encourage or voluntarily cooperate in litigation against CODI or any Related Party.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6.3    </w:t>
      </w:r>
      <w:r>
        <w:rPr>
          <w:rFonts w:ascii="Times New Roman;serif" w:hAnsi="Times New Roman;serif"/>
          <w:b w:val="false"/>
          <w:color w:val="000000"/>
          <w:sz w:val="24"/>
          <w:u w:val="single"/>
        </w:rPr>
        <w:t>Commitments with Respect to the Chapter 11 Cases</w:t>
      </w:r>
      <w:r>
        <w:rPr>
          <w:rFonts w:ascii="Times New Roman;serif" w:hAnsi="Times New Roman;serif"/>
          <w:b w:val="false"/>
          <w:color w:val="000000"/>
          <w:sz w:val="24"/>
        </w:rPr>
        <w:t xml:space="preserve">. In connection with the Chapter 11 Cases: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UCC agrees to encourage, through the delivery of a letter in the Solicitation Materials, each creditor that is entitled to vote to accept or reject the Plan pursuant to its terms, and support the Plan’s exculpation provisions, which shall be in form and substance acceptable to the Parties;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Each member of the UCC agrees to (i) vote each of its Claims to accept the Plan by delivering its duly executed and completed ballot accepting the Plan on a timely basis following the commencement of the solicitation of the Plan and its actual receipt of the Solicitation Materials and the ballot, and (ii) not change, withdraw, amend, or revoke (or cause to be changed, withdrawn, amended, or revoked) its vote;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The UCC and each of its members agrees not, directly or indirectly, through any Person, to seek, solicit, propose, support, assist, engage in negotiations in connection with or participate in the formulation, preparation, filing, or prosecution of any Alternative Transaction Proposal or object to or take any other action that would reasonably be expected to prevent, interfere with, delay, or impede the solicitation, approval of the Disclosure Statement, or the confirmation and consummation of the Plan and the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The UCC and each of its members (in its capacity as a UCC member) agrees not to file any motion, pleading or other document with the Bankruptcy Court or any other court (including any modifications or amendments thereof) that, in whole or in part, is not consistent with this Agreement or the Plan; or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The UCC and each of its members agrees not to object to, delay, impede or take any other action to interfere with the Debtors’ ownership and possession of its assets, wherever located, or interfere with the automatic stay arising under section 362 of the Bankruptcy Code.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Subject to Section 6.4 of this Agreement, the UCC and each of its members (in its capacity as a UCC member) agrees to support, and not directly or indirectly object to, delay, impede, or take any other action to interfere with, any motion or other pleading or document filed by a Debtor in the Bankruptcy Court that is consistent with this Agreement, subject in each case to the consent rights set forth in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6.4    </w:t>
      </w:r>
      <w:r>
        <w:rPr>
          <w:rFonts w:ascii="Times New Roman;serif" w:hAnsi="Times New Roman;serif"/>
          <w:b w:val="false"/>
          <w:color w:val="000000"/>
          <w:sz w:val="24"/>
          <w:u w:val="single"/>
        </w:rPr>
        <w:t>Additional Provisions Regarding the UCC’s Commitments</w:t>
      </w:r>
      <w:r>
        <w:rPr>
          <w:rFonts w:ascii="Times New Roman;serif" w:hAnsi="Times New Roman;serif"/>
          <w:b w:val="false"/>
          <w:color w:val="000000"/>
          <w:sz w:val="24"/>
        </w:rPr>
        <w:t xml:space="preserve">. Notwithstanding anything contained in this Agreement, nothing in this Agreement shall: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Impair or waive the rights of the UCC to appear as a party in interest in any matter to be adjudicated in any court of competent jurisdiction, including the Bankruptcy Court, so long as such appearance and the positions advocated in connection therewith are not inconsistent with this Agreement or for the purpose of delaying, interfering, impeding, or taking any other action to delay, interfere or impede, directly or indirectly, the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Affect the ability of the UCC to consult with the Debtors or any other party in interest in any applicable proceeding so long as, in the case of consultation with any party in interest, the appearance, and positions advocated in connection therewith are not inconsistent with this Agreement or for the purpose of delaying, interfering, impeding, or taking any other action to delay, interfere or impede, directly or indirectly, the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Impair or waive the rights of the UCC to assert or raise any objection permitted under this Agreement in connection with the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Prevent the UCC from enforcing this Agreement or contesting whether any matter, fact, or thing is a breach of, or is inconsistent with, this Agreement; 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Prevent the UCC from enforcing or exercising any rights, remedies, conditions, consents or approval requirements under any of the Definitive Documents.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7</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COMMITMENTS OF THE DEBTORS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7.1    </w:t>
      </w:r>
      <w:r>
        <w:rPr>
          <w:rFonts w:ascii="Times New Roman;serif" w:hAnsi="Times New Roman;serif"/>
          <w:b w:val="false"/>
          <w:color w:val="000000"/>
          <w:sz w:val="24"/>
          <w:u w:val="single"/>
        </w:rPr>
        <w:t>Affirmative Commitments</w:t>
      </w:r>
      <w:r>
        <w:rPr>
          <w:rFonts w:ascii="Times New Roman;serif" w:hAnsi="Times New Roman;serif"/>
          <w:b w:val="false"/>
          <w:color w:val="000000"/>
          <w:sz w:val="24"/>
        </w:rPr>
        <w:t xml:space="preserve">. Except as set forth in Section 7.4, each of the Debtors, on behalf of themselves and the Special Committee and each member thereof, agrees to: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Support, act in good faith and take all steps reasonably necessary and desirable to implement and consummate the Settlement in accordance with this Agreement and the Settlement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To the extent any legal or structural impediment arises that would prevent, hinder, or delay the consummation of the Settlement contemplated in this Agreement, support and take all steps reasonably necessary and desirable to address any such impediment;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Use commercially reasonable efforts to obtain any and all necessary or required governmental, regulatory and/or third-party approvals and consents for the implementation or consummation for the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Maintain all materials submitted in the Mediation as confidential and prohibit the public disclosure or reproduction of the same, except as otherwise required by Law, in which case any Party objecting to disclosure required by a subpoena must promptly exert reasonable efforts to either quash the subpoena or obtain a protective order restricting such disclosure;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Negotiate in good faith and use commercially reasonable efforts to finalize, execute and deliver the Definitive Documents and any other required agreements to effectuate and consummate the Settlement, as contemplated by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To the extent the Confirmation Order is not entered by August 31, 2026, the Debtors and the Special Committee shall, in good faith, negotiate an extension of the Agreed Pre-Effective Date Fee Budget with CODI and the UCC;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Provide counsel for the CODI and the UCC a reasonable opportunity (which, to the extent reasonably practicable, shall be no less than five Business Days) to review draft copies of all Definitive Documents that the Debtors intend to file with the Bankruptcy Court;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    Actively oppose and object to the efforts of any person seeking to object to, delay, impede, or take any other action to interfere with the acceptance, implementation, or consummation of the Settlement (including, if applicable, the filing of timely filed objections or written responses) to the extent such opposition or objection is reasonably necessary or desirable to facilitate implementation of the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Consult and negotiate in good faith with CODI and the UCC and their advisors regarding the preparation and execution of the Definitive Documents and the implementation of the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(j)    Comply with all Milestones;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(k)    Inform advisors to CODI and the UCC as soon as reasonably practicable after becoming aware of (i) any matter or circumstance which they know, or have reason to believe, to be a material impediment to the implementation or consummation of the Settlement, (ii) a breach of this Agreement (including a breach by any Debtor); (iii) any representation or statement made by them under this Agreement which is or proves to have been incorrect or misleading in any material respect when made; (iv) the initiation, institution or commencement of any material proceeding by a Governmental Authority or other Person (or communications indicating that the same may be contemplated or threatened) (</w:t>
      </w:r>
      <w:r>
        <w:rPr>
          <w:rFonts w:ascii="Times New Roman;serif" w:hAnsi="Times New Roman;serif"/>
          <w:b w:val="false"/>
          <w:i/>
          <w:color w:val="000000"/>
          <w:sz w:val="24"/>
        </w:rPr>
        <w:t>x</w:t>
      </w:r>
      <w:r>
        <w:rPr>
          <w:rFonts w:ascii="Times New Roman;serif" w:hAnsi="Times New Roman;serif"/>
          <w:b w:val="false"/>
          <w:color w:val="000000"/>
          <w:sz w:val="24"/>
        </w:rPr>
        <w:t>) involving any of the Debtors or any of their respective current officers, employees, managers, directors, members or equity holders (in their capacities as such), or (</w:t>
      </w:r>
      <w:r>
        <w:rPr>
          <w:rFonts w:ascii="Times New Roman;serif" w:hAnsi="Times New Roman;serif"/>
          <w:b w:val="false"/>
          <w:i/>
          <w:color w:val="000000"/>
          <w:sz w:val="24"/>
        </w:rPr>
        <w:t>y</w:t>
      </w:r>
      <w:r>
        <w:rPr>
          <w:rFonts w:ascii="Times New Roman;serif" w:hAnsi="Times New Roman;serif"/>
          <w:b w:val="false"/>
          <w:color w:val="000000"/>
          <w:sz w:val="24"/>
        </w:rPr>
        <w:t xml:space="preserve">) challenging the validity of the transactions contemplated by this Agreement or any other Definitive Document or seeking to enjoin, restrain or prohibit this Agreement or any other Definitive Document or the consummation of the transactions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contemplated hereby or thereby; (v) the happening or existence of any event that shall have made any of the conditions precedent to any Party’s obligations set forth in (or to be set forth in) the Settlement Agreement, the Plan or any of the other Definitive Documents, incapable of being satisfied so as to permit consummation of the Settlement prior to the Effective Date; or (vii) the occurrence of a Termination Event;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(l)    Use commercially reasonable efforts to maintain their good standing under the Laws of the state or other jurisdictions in which they are incorporated or organized; 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(m)    Negotiate in good faith upon reasonable request of any Party any modifications to the Settlement that improve tax efficiency of the Settlement or are otherwise necessary to address any legal, financial, or structural impediment that may prevent the consummation of the Settlement, in each case to the extent such modifications can be implemented without any adverse effect on such Debtor.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7.2    </w:t>
      </w:r>
      <w:r>
        <w:rPr>
          <w:rFonts w:ascii="Times New Roman;serif" w:hAnsi="Times New Roman;serif"/>
          <w:b w:val="false"/>
          <w:color w:val="000000"/>
          <w:sz w:val="24"/>
          <w:u w:val="single"/>
        </w:rPr>
        <w:t>Negative Commitments</w:t>
      </w:r>
      <w:r>
        <w:rPr>
          <w:rFonts w:ascii="Times New Roman;serif" w:hAnsi="Times New Roman;serif"/>
          <w:b w:val="false"/>
          <w:color w:val="000000"/>
          <w:sz w:val="24"/>
        </w:rPr>
        <w:t xml:space="preserve">. Except as set forth in Section 7.4, each of the Debtors shall not directly or indirectly: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Object to, delay, impede, or take any other action to interfere with acceptance, implementation, or consummation of the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Take any action that is inconsistent in any material respect with, or is intended to frustrate or impede approval, implementation and consummation of the Settlement described in, this Agreement or the Definitive Documents;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File any motion, pleading or other document with the Bankruptcy Court or any other court (including any modifications or amendments thereof) that, in whole or in part, is materially inconsistent with this Agreement, the Plan or the Definitive Documents;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Amend, alter, supplement, restate or otherwise modify any Definitive Document, in whole or in part, in a manner that is materially inconsistent with this Agreement or the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Except to the extent permitted, required, or contemplated by the Agency Agreement between Lugano Diamonds &amp; Jewelry Inc. and Enhanced Retail Funding, LLC, dated as of November 16, 2025 (including the cessation of operations at one or more locations and any sales or lease rejections), (i) operate its business outside the ordinary course, taking into account the Settlement or (ii) other than the Settlement or any activities contemplated or required in connection with the Settlement, engage in any material merger, consolidation, disposition, acquisition, investment, dividend, incurrence of indebtedness or other similar transaction or transfer any asset or right of the Debtors or any asset or right used in the business of the Debtors to any Person or Entity outside the ordinary course of business, in each of cases (i) and (ii) and without the consent of the other Parties to this Agreement;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Except to the extent required by this Agreement or otherwise required to consummate the Settlement, make or change any tax election, change any income allocation under a Definitive Document, change any annual tax accounting period, adopt or change any method of tax accounting, file any amended tax return, enter into any closing agreement, settle any tax claim or assessment, surrender any right to claim a tax refund, offset or other reduction in tax liability or consent to any extension or waiver of the limitation period applicable to any tax claim or assessment, in each case without the reasonable consent of the other Parties to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Encourage or voluntarily cooperate in litigation against CODI or any Related Party;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    Amend or propose to amend any of their respective organizational documents; or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Directly or indirectly solicit, through any Person, seek, propose, support, assist, engage in negotiations in connection with or participate in the formulation, preparation, filing, or prosecution of any Alternative Transaction Proposal without the consent of the other Parties to this Agreement, subject to Section 7.4.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7.3    </w:t>
      </w:r>
      <w:r>
        <w:rPr>
          <w:rFonts w:ascii="Times New Roman;serif" w:hAnsi="Times New Roman;serif"/>
          <w:b w:val="false"/>
          <w:color w:val="000000"/>
          <w:sz w:val="24"/>
          <w:u w:val="single"/>
        </w:rPr>
        <w:t>Commitments with Respect to the Chapter 11 Cases</w:t>
      </w:r>
      <w:r>
        <w:rPr>
          <w:rFonts w:ascii="Times New Roman;serif" w:hAnsi="Times New Roman;serif"/>
          <w:b w:val="false"/>
          <w:color w:val="000000"/>
          <w:sz w:val="24"/>
        </w:rPr>
        <w:t xml:space="preserve">. Except as set forth in Section 7.4, each of the Debtors agrees to: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Timely file a formal objection to any motion filed with the Bankruptcy Court by any Person seeking the entry of an order (i) directing the appointment of an examiner (with expanded powers beyond those set forth in sections 1106(a)(3) and (4) of the Bankruptcy Code) or a trustee, (ii) converting the Chapter 11 Cases to cases under chapter 7 of the Bankruptcy Code, (iii) dismissing the Chapter 11 Cases, (iv) modifying or terminating the Debtors’ exclusive right to file and solicit acceptances of a plan of reorganization or (v) for relief that (A) is inconsistent with this Agreement in any respect or (B) would, or would reasonably be expected to, frustrate the purposes of this Agreement, including by preventing the consummation of the Settlement; 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Timely file a formal objection to any motion, application, or adversary proceeding challenging the treatment of CODI’s claims as set forth in the Settlement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7.4    </w:t>
      </w:r>
      <w:r>
        <w:rPr>
          <w:rFonts w:ascii="Times New Roman;serif" w:hAnsi="Times New Roman;serif"/>
          <w:b w:val="false"/>
          <w:color w:val="000000"/>
          <w:sz w:val="24"/>
          <w:u w:val="single"/>
        </w:rPr>
        <w:t>Additional Provisions Regarding Debtors’ Commitments</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 xml:space="preserve">(a)    Notwithstanding anything to the contrary in this Agreement, nothing in this Agreement shall require a Debtor to take or refrain from taking any action (including termination of this Agreement under Article 9) to the extent such Debtor determines, based on the advice of counsel, that taking or refraining from taking such action, as applicable, would be inconsistent with applicable Law or its fiduciary obligations;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the foregoing shall not be deemed to amend, supplement, or otherwise modify, or constitute a waiver of, any termination rights of the other Parties under this Agreement that may arise as a result of any such action or inaction. This Section 7.4(a) shall not impede any Party’s right to terminate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Article 9, including, for the avoidance of doubt, CODI’s rights to terminate in accordance with Section 9.1.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(b)    Notwithstanding anything to the contrary in this Agreement, upon receipt of an Alternative Transaction Proposal, the Debtors and their respective directors, managers, officers, employees, investment bankers, attorneys, accountants, consultants, and other advisors or representatives shall have the right to consider, consistent with their fiduciary duties such Alternative Transaction Proposal;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any Debtor or the UCC receives an Alternative Transaction Proposal, then such Debtor or the UCC shall (A) within three (3) calendar days of receiving such proposal, notify the other Parties of the receipt of such proposal and deliver to the advisors for the other Parties a copy of such proposal and all communications with the party concerning such proposal; (B) provide each advisor to the Parties with regular updates as to the status and progress of such Alternative Transaction Proposal; and (C) use commercially reasonable efforts to respond promptly to reasonable information requests and questions from advisors to the Parties relating to such Alternative Transaction Proposal. If the Debtors decide to file, support, make a written proposal or counterproposal to any party relating to an Alternative Transaction Proposal, the Debtors shall provide notice to CODI and the UCC at least two (2) Business Days prior to taking any such action, with such notice including any proposed communication with any such party, any proposal, counterproposal or other transaction related documents the Debtors intend to send to such party. Upon receipt of such notice, each of CODI and the UCC shall have the right to terminate this Agreement pursuant to Section 9.1(m) of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8</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REPRESENTATIONS AND WARRANTIES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8.1    </w:t>
      </w:r>
      <w:r>
        <w:rPr>
          <w:rFonts w:ascii="Times New Roman;serif" w:hAnsi="Times New Roman;serif"/>
          <w:b w:val="false"/>
          <w:color w:val="000000"/>
          <w:sz w:val="24"/>
          <w:u w:val="single"/>
        </w:rPr>
        <w:t>Representations and Warranties of CODI</w:t>
      </w:r>
      <w:r>
        <w:rPr>
          <w:rFonts w:ascii="Times New Roman;serif" w:hAnsi="Times New Roman;serif"/>
          <w:b w:val="false"/>
          <w:color w:val="000000"/>
          <w:sz w:val="24"/>
        </w:rPr>
        <w:t xml:space="preserve">. CODI represents and warrants that, as of the date CODI executes and delivers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it is the owner of the CODI Claims;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it has the full power and authority to act on behalf of, vote and consent to matters concerning, such Claims;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other than the liens granted to CODI’s secured lenders, such Claims are free and clear of any pledge, lien, security interest, charge, claim, equity, option, proxy, voting restriction, right of first refusal, or other limitation on disposition, transfer, or encumbrances of any kind, that would adversely affect in any way CODI’s ability to perform any of its obligations under this Agreement at the time such obligations are required to be performed;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it has reviewed, or had the opportunity to review, with the assistance of professional and legal advisors of its choosing, all information it deems necessary and appropriate for it to evaluate the financial risks inherent in the Settlement and accept the terms of this Agreement; and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it has knowledge and experience in financial and business matters of this type that it is capable of evaluating the merits and risks of entering into this Agreement and of making an informed investment decision, and has conducted an independent review and analysis of the business and affairs of the Debtors that it considers sufficient and reasonable for the purposes of entering into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8.2    </w:t>
      </w:r>
      <w:r>
        <w:rPr>
          <w:rFonts w:ascii="Times New Roman;serif" w:hAnsi="Times New Roman;serif"/>
          <w:b w:val="false"/>
          <w:color w:val="000000"/>
          <w:sz w:val="24"/>
          <w:u w:val="single"/>
        </w:rPr>
        <w:t>Representations and Warranties of the UCC</w:t>
      </w:r>
      <w:r>
        <w:rPr>
          <w:rFonts w:ascii="Times New Roman;serif" w:hAnsi="Times New Roman;serif"/>
          <w:b w:val="false"/>
          <w:color w:val="000000"/>
          <w:sz w:val="24"/>
        </w:rPr>
        <w:t xml:space="preserve">. The UCC represents and warrants that, as of the date the UCC executes and delivers this Agreement and as of the Agreement Effective 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it has reviewed, or had the opportunity to review, with the assistance of professional and legal advisors of its choosing, all information it deems necessary and appropriate for it to evaluate the financial risks inherent in the Settlement and accept the terms of this Agreement; 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it has knowledge and experience in financial and business matters of this type that it is capable of evaluating the merits and risks of entering into this Agreement and of making an informed investment decision, and has conducted an independent review and analysis of the business and affairs of the Debtors that it considers sufficient and reasonable for the purposes of entering into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8.3    </w:t>
      </w:r>
      <w:r>
        <w:rPr>
          <w:rFonts w:ascii="Times New Roman;serif" w:hAnsi="Times New Roman;serif"/>
          <w:b w:val="false"/>
          <w:color w:val="000000"/>
          <w:sz w:val="24"/>
          <w:u w:val="single"/>
        </w:rPr>
        <w:t>Mutual Representations, Warranties and Covenants</w:t>
      </w:r>
      <w:r>
        <w:rPr>
          <w:rFonts w:ascii="Times New Roman;serif" w:hAnsi="Times New Roman;serif"/>
          <w:b w:val="false"/>
          <w:color w:val="000000"/>
          <w:sz w:val="24"/>
        </w:rPr>
        <w:t>. Each of the Parties, severally, and not jointly, represents, warrants and covenants to each other Party that, as of the date such Party executes and delivers this Agreement and as of the Agreement Effective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except for the UCC, it is validly existing and in good standing under the Laws of the state of its organization, and this Agreement is a legal, valid, and binding obligation of such Party, enforceable against it in accordance with its terms, except as enforcement may be limited by applicable Laws relating to or limiting creditors’ rights generally or by equitable principles relating to enforceability;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except as expressly provided in this Agreement, the Plan and the Bankruptcy Code, no consent or approval is required by any other Entity in order for it to effectuate the Settlement contemplated by, and perform its respective obligations under,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the entry into and performance by it of, and the transactions contemplated by, this Agreement do not, and will not, conflict in any material respect with any Law or regulation applicable to it or with any of its articles of association, memorandum of association, or other constitutional documents;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except as expressly provided in this Agreement, it has (or will have, at the relevant time) all requisite corporate or other power and authority to enter into, execute, and deliver this Agreement and to effectuate the Settlement contemplated by, and perform its respective obligations under, this Agreement;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except as expressly provided by this Agreement, it is not party to any restructuring or similar agreements or arrangements, with the other Parties to this Agreement that have not been disclosed to all Parties to this Agreement; 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no Party is considering, or has any agreement or understanding with respect to, any Alternative Transaction Proposal that has not been disclosed to the other Parties.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9</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TERMINATION EVENTS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9.1    </w:t>
      </w:r>
      <w:r>
        <w:rPr>
          <w:rFonts w:ascii="Times New Roman;serif" w:hAnsi="Times New Roman;serif"/>
          <w:b w:val="false"/>
          <w:color w:val="000000"/>
          <w:sz w:val="24"/>
          <w:u w:val="single"/>
        </w:rPr>
        <w:t>CODI Termination Events</w:t>
      </w:r>
      <w:r>
        <w:rPr>
          <w:rFonts w:ascii="Times New Roman;serif" w:hAnsi="Times New Roman;serif"/>
          <w:b w:val="false"/>
          <w:color w:val="000000"/>
          <w:sz w:val="24"/>
        </w:rPr>
        <w:t xml:space="preserve">. This Agreement may be terminated by CODI by the delivery to the Debtors and the UCC of a written notice in accordance with Section 11.10 hereof upon the occurrence of any of the following events (unless waived in writing by the CODI in its sole discretion);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breach in any material respect by a Debtor or the UCC of any of covenants of such Party set forth in this Agreement, which, solely for a breach that is curable, remains uncured for five (5) Business Days after CODI transmits a written notice in accordance with Section 11.10 of this Agreement detailing any such breach;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Any representation or warranty in this Agreement made by any of the Debtors and the UCC shall have been untrue in any material respect when made or shall have become untrue in any material respect, which, solely for a breach that is curable, remains uncured five (5) Business Days after any of the Debtors (including acting through the Special Committee or a member thereof) or the UCC discovers the untrue nature of the representation or warranty;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(c)    The issuance by any governmental authority, including any regulatory authority or court of competent jurisdiction, of any final, non-appealable ruling, judgment or order that (i) enjoins the consummation of a material portion of the Settlement and (ii) either (1) such ruling, judgment or order has been issued at the request of any of any of the Debtors (including the Special Committee or member thereof) or the UCC in contravention of any obligations set forth in this Agreement or (2) remains in effect for fifteen (15) Business Days after the issuance of such ruling, judgment or order; notwithstanding the foregoing, this termination right may not be exercised by any Party that sought or requested such ruling or order in contravention of any obligation set out in this Agreement;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for the avoidance of doubt, this provision shall not have the effect of amending, extending or waiving any of the Milestones;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The entry of an order by the Bankruptcy Court, or the filing of a motion or application by any Debtor (including the Special Committee or member thereof) or the UCC seeking an order (without the prior written consent of CODI), (i) converting the Chapter 11 Cases to cases under chapter 7 of the Bankruptcy Code, (ii) appointing an examiner with expanded powers beyond those set forth in sections 1106(a)(3) and (4) of the Bankruptcy Code or a trustee in the Chapter 11 Cases, (iii) dismissing the Chapter 11 Cases, without the prior written consent of CODI, (iv) terminating exclusivity under Section 1121 of the Bankruptcy Code, or (v) rejecting this Agreement or declaring any material portion to be unenforceable;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Entry of a final order that grants relief terminating, annulling, or modifying the automatic stay (as set forth in section 362 of the Bankruptcy Code) with regard to any material asset that, to the extent such relief were granted, would have a material adverse effect on the consummation of the Settlement or the Plan;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The filing by the Debtors (including the Special Committee acting on behalf of the Debtors) or the UCC of any complaint or other action in the Bankruptcy Court or any other judicial body challenging the extent, validity or amount of the CODI Claim, including, but not limited to, the commencement of any action to subordinate or avoid the liens and Claims asserted in the CODI Claim;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Any of the Debtors (including the Special Committee or member thereof) or the UCC files or otherwise makes public any of the Definitive Documents (including any modification or amendments thereto) (i) in a form that is materially inconsistent with this Agreement and (ii) without the consent of the required parties in accordance with this Agreement, which occurrence remains uncured (to the extent curable) for two (2) Business Days after CODI transmits a written notice in accordance with Section 9.2, except as otherwise required by Law, in which case any Party objecting to disclosure required by a subpoena must promptly exert reasonable efforts to either quash the subpoena or obtain a protective order restricting such disclosure;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    The Bankruptcy Court enters an order denying confirmation of the Plan, except for an order conditionally denying confirmation of the Plan without prejudice;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The Debtors lose the exclusive right to file a Plan;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(j)    The Confirmation Order is reversed or vacated, and the Bankruptcy Court does not enter a revised Confirmation Order reasonably acceptable to CODI within seven (7) Business Days;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(k)    Any Debtor (including the Special Committee or member thereof) or the UCC publicly announces its intention not to support the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(l)    The Bankruptcy Court enters an order granting relief that is inconsistent with, or denies relief sought that is contemplated by, this Agreement or the Plan in any materially adverse respect to CODI;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(m)    Any Debtor exercises its right, consistent with its fiduciary duties, to not pursue any the Settlement or take any action in reliance on Section 9.2 of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    Any Debtor (including the Special Committee or member thereof) or the UCC files, supports, makes a written proposal or counterproposal to any party relating to an Alternate Transaction Proposal that was not approved in advance by CODI;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    Any Debtor (including the Special Committee or member thereof) or the UCC terminates this Agreement with respect to itself in accordance with Section 9.2 of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    Any Debtor (including the Special Committee or member thereof) or the UCC (i) files any motion or objection seeking to avoid, disallow, subordinate, or recharacterize the CODI Claims or any other claim, lien, or interest held by CODI relating to any of the Debtors or (ii) shall have supported any application, adversary proceeding, or cause of action referred to in the immediately preceding clause (i) filed by a third party, or consents to the standing of any such third party to bring such application, adversary proceeding, or cause of action; or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(q)    The occurrence of the Outside Date, subject to Section 4.1 and Section 9.4 of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9.2    </w:t>
      </w:r>
      <w:r>
        <w:rPr>
          <w:rFonts w:ascii="Times New Roman;serif" w:hAnsi="Times New Roman;serif"/>
          <w:b w:val="false"/>
          <w:color w:val="000000"/>
          <w:sz w:val="24"/>
          <w:u w:val="single"/>
        </w:rPr>
        <w:t>The Debtors and UCC Termination Events</w:t>
      </w:r>
      <w:r>
        <w:rPr>
          <w:rFonts w:ascii="Times New Roman;serif" w:hAnsi="Times New Roman;serif"/>
          <w:b w:val="false"/>
          <w:color w:val="000000"/>
          <w:sz w:val="24"/>
        </w:rPr>
        <w:t xml:space="preserve">. Any of the Debtors or the UCC may terminate this Agreement with respect to their obligations under this Agreement upon written notice to CODI in accordance with Section 11.10 of this Agreement upon the occurrence of any of the following events: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breach in any material respect by CODI of any of the covenants of CODI set forth in this Agreement that would have, or could reasonably be expected to have, an adverse effect on the Settlement, which breach remains uncured for five Business Days after such terminating party transmits a written notice in accordance with Section 11.10 of this Agreement detailing any such breach;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any representation or warranty in this Agreement made by CODI shall have been untrue in any material respect when made or shall have become untrue in any material respect, which remains uncured for ten (10) Business Days after CODI discovers the untrue nature of the representation or warranty;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the issuance by any governmental authority, including any regulatory authority or court of competent jurisdiction, of any final, non-appealable ruling, judgment or order that (i) enjoins the consummation of a material portion of the Settlement and (ii) either (1) such ruling, judgment or order has been issued at the request of CODI in contravention of any obligations set forth in this Agreement or (2) remains in effect for ten (10) Business Days after such delivery of a written notice terminating this Agreement by the Debtors or the UCC, as applicable, in accordance with Section 11.10 of this Agreement detailing any such issuance; notwithstanding the foregoing, this termination right may not be exercised by any Party that sought or requested such ruling or order in contravention of any obligation set out in this Agreement;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The entry of an order by the Bankruptcy Court, or the filing of a motion or application by any Debtor (including the Special Committee or member thereof) seeking an order (without the prior written consent of CODI), (i) converting the Chapter 11 Cases to cases under chapter 7 of the Bankruptcy Code, (ii) appointing an examiner with expanded powers beyond those set forth in sections 1106(a)(3) and (4) of the Bankruptcy Code or a trustee in the Chapter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11 Cases, (iii) dismissing the Chapter 11 Cases, without the prior written consent of CODI, (iv) terminating exclusivity under Section 1121 of the Bankruptcy Code, or (v) rejecting this Agreement or declaring any material portion to be unenforceable;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Entry of a final order that grants relief terminating, annulling, or modifying the automatic stay (as set forth in section 362 of the Bankruptcy Code) with regard to any material asset that, to the extent such relief were granted, would have a material adverse effect on the consummation of the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The Debtors lose the exclusive right to file a Plan;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The Confirmation Order is reversed or vacated, and the Bankruptcy Court does not enter a revised Confirmation Order reasonably acceptable to CODI or the UCC within seven (7) Business Days;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    Any Debtor (including the Special Committee or member thereof), the UCC, or CODI publicly announces its intention not to support the Settlement;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The Bankruptcy Court enters an order granting relief that is inconsistent with, or denies relief sought that is contemplated by, this Agreement or the Plan in any materially adverse respect to CODI;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(j)    Any Debtor exercises its right, consistent with its fiduciary duties, to not pursue any the Settlement or take any action in reliance on Section 9.2 of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(k)    Any Debtor (including the Special Committee or member thereof) files, supports, makes a written proposal or counterproposal to any party relating to an Alternate Transaction Proposal that was not approved in advance by CODI or the UCC;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(l)    CODI files, supports, makes a written proposal or counterproposal to any party relating to an Alternate Transaction Proposal;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(m)    The occurrence of the Outside Date, subject to Section 4.1 and Section 9.4 of this Agreement; or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    the Bankruptcy Court enters an order denying confirmation of the Plan, except for an order conditionally denying confirmation of the Plan without prejudice.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9.3    </w:t>
      </w:r>
      <w:r>
        <w:rPr>
          <w:rFonts w:ascii="Times New Roman;serif" w:hAnsi="Times New Roman;serif"/>
          <w:b w:val="false"/>
          <w:color w:val="000000"/>
          <w:sz w:val="24"/>
          <w:u w:val="single"/>
        </w:rPr>
        <w:t>Mutual Termination</w:t>
      </w:r>
      <w:r>
        <w:rPr>
          <w:rFonts w:ascii="Times New Roman;serif" w:hAnsi="Times New Roman;serif"/>
          <w:b w:val="false"/>
          <w:color w:val="000000"/>
          <w:sz w:val="24"/>
        </w:rPr>
        <w:t xml:space="preserve">. This Agreement, and all obligations of all Parties hereunder, may be terminated by mutual written agreement among all of the following: (a) CODI, (b) the Debtors and (c) the UCC.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Section 9.4    </w:t>
      </w:r>
      <w:r>
        <w:rPr>
          <w:rFonts w:ascii="Times New Roman;serif" w:hAnsi="Times New Roman;serif"/>
          <w:b w:val="false"/>
          <w:color w:val="000000"/>
          <w:sz w:val="24"/>
          <w:u w:val="single"/>
        </w:rPr>
        <w:t>Automatic Termination</w:t>
      </w:r>
      <w:r>
        <w:rPr>
          <w:rFonts w:ascii="Times New Roman;serif" w:hAnsi="Times New Roman;serif"/>
          <w:b w:val="false"/>
          <w:color w:val="000000"/>
          <w:sz w:val="24"/>
        </w:rPr>
        <w:t xml:space="preserve">. This Agreement shall terminate automatically without any further required action or notice if the Transaction Effective Date has not occurred on or before the Outside Date unless such date is extended by mutual consent of the Parties.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9.5    </w:t>
      </w:r>
      <w:r>
        <w:rPr>
          <w:rFonts w:ascii="Times New Roman;serif" w:hAnsi="Times New Roman;serif"/>
          <w:b w:val="false"/>
          <w:color w:val="000000"/>
          <w:sz w:val="24"/>
          <w:u w:val="single"/>
        </w:rPr>
        <w:t>Effect of Termination</w:t>
      </w:r>
      <w:r>
        <w:rPr>
          <w:rFonts w:ascii="Times New Roman;serif" w:hAnsi="Times New Roman;serif"/>
          <w:b w:val="false"/>
          <w:color w:val="000000"/>
          <w:sz w:val="24"/>
        </w:rPr>
        <w:t xml:space="preserve">. After the occurrence of a Termination Date as to a Party, this Agreement shall be of no further force and effect to the Parties and each Party, subject to such termination shall be released from its commitments, undertakings, and agreements under or related to this Agreement and shall have the rights and remedies that it would have had, had it not entered into this Agreement, and shall be entitled to take all actions, whether with respect to the Settlement or otherwise, that it would have been entitled to take had it not entered into this Agreement, including with respect to any and all Claims or Causes of Action. Upon the occurrence of a Termination Date prior to the Confirmation Order being entered by a Bankruptcy Court, all Parties agree that any and all ballots tendered by the Parties subject to such termination before a Termination Date shall be deemed, for all purposes, to be null and void from the first instance and shall not be considered or otherwise used in any manner by the Parties in connection with the Settlement and this Agreement or otherwise. Nothing in this Agreement shall be construed as prohibiting a Party from contesting whether any such termination is in accordance with the terms or to seek enforcement of any rights under this Agreement that arose or existed before a Termination Date. Except as expressly provided in this Agreement, nothing in this Agreement is intended to, or does, in any manner waive, limit, impair, or restrict any right of any Party or the ability of any Party to protect and reserve its rights (including rights under this Agreement), remedies, and interests, including its claims against any other Party. No purported termination of this Agreement shall be effective under this Section 9.5 or otherwise if the Party seeking to terminate this Agreement is in material breach of this Agreement, except a termination pursuant to Section 9.3.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10</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AMENDMENTS AND WAIVERS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10.1    This Agreement, may not be modified, amended, or supplemented, and no condition or requirement of this Agreement may be waived, in any manner except in accordance with this Article 10.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10.2    This Agreement may be modified, amended, or supplemented, or a condition or requirement of this Agreement may be waived, (i) in writing signed by each Debtor, CODI and the UCC or (ii) confirmed by email by counsel to each Debtor, CODI and the UCC.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10.3 Any proposed modification, amendment, waiver, or supplement that does not comply with this Article 10 shall be ineffective and void </w:t>
      </w:r>
      <w:r>
        <w:rPr>
          <w:rFonts w:ascii="Times New Roman;serif" w:hAnsi="Times New Roman;serif"/>
          <w:b w:val="false"/>
          <w:i/>
          <w:color w:val="000000"/>
          <w:sz w:val="24"/>
        </w:rPr>
        <w:t>ab initio</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10.4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under this Agreement shall operate as a waiver of any such right, power, or remedy or any provision of this Agreement, nor shall any single or partial exercise of such right, power, or remedy by such Party preclude any other or further exercise of such right, power, or remedy or the exercise of any other right, power, or remedy. All remedies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under this Agreement are cumulative and are not exclusive of any other remedies provided by Law.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11</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MISCELLANEOUS</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11.1    </w:t>
      </w:r>
      <w:r>
        <w:rPr>
          <w:rFonts w:ascii="Times New Roman;serif" w:hAnsi="Times New Roman;serif"/>
          <w:b w:val="false"/>
          <w:color w:val="000000"/>
          <w:sz w:val="24"/>
          <w:u w:val="single"/>
        </w:rPr>
        <w:t>Acknowledgements</w:t>
      </w:r>
      <w:r>
        <w:rPr>
          <w:rFonts w:ascii="Times New Roman;serif" w:hAnsi="Times New Roman;serif"/>
          <w:b w:val="false"/>
          <w:color w:val="000000"/>
          <w:sz w:val="24"/>
        </w:rPr>
        <w:t xml:space="preserve">. Notwithstanding any other provision of this Agreement, this Agreement is not and shall not be deemed to be an offer with respect to any securities or solicitation of votes for the acceptance of a plan of reorganization for purposes of sections 1125 and 1126 of the Bankruptcy Code or otherwise. Any such offer or solicitation will be made only in compliance with all applicable securities Laws, provisions of the Bankruptcy Code and/or other applicable Law.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11.2    </w:t>
      </w:r>
      <w:r>
        <w:rPr>
          <w:rFonts w:ascii="Times New Roman;serif" w:hAnsi="Times New Roman;serif"/>
          <w:b w:val="false"/>
          <w:color w:val="000000"/>
          <w:sz w:val="24"/>
          <w:u w:val="single"/>
        </w:rPr>
        <w:t>Exhibits Incorporated by Reference; Conflicts</w:t>
      </w:r>
      <w:r>
        <w:rPr>
          <w:rFonts w:ascii="Times New Roman;serif" w:hAnsi="Times New Roman;serif"/>
          <w:b w:val="false"/>
          <w:color w:val="000000"/>
          <w:sz w:val="24"/>
        </w:rPr>
        <w:t>. Each of the exhibits, annexes, signatures pages, and schedules attached to this Agreement (together with any exhibits, annexes or schedules thereto) is expressly incorporated and made a part of this Agreement, and all references to this Agreement shall include such exhibits, annexes, and schedules (it being understood and agreed that any actions and obligations required to be taken by any Party that are included in the exhibits attached to this Agreement, but not in this Agreement are to be considered “covenants” of such Party and therefore covenants of this Agreement, notwithstanding the failure of any specific provision in any of the exhibits to be re-copied into this Agreement). In the event of any inconsistency between this Agreement (without reference to the exhibits, annexes, and schedules attached to this Agreement) and the exhibits, annexes, and schedules attached to this Agreement, this Agreement (without reference to the exhibits, annexes, and schedules thereto) shall govern,</w:t>
      </w:r>
      <w:r>
        <w:rPr>
          <w:color w:val="000000"/>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in the event of any inconsistency between this Agreement and the Settlement Agreement, the Settlement Agreement shall govern until such time as the Plan has been confirmed, at which time, the terms and conditions set forth in the Plan, to the extent intended to supersede the Settlement Agreement, shall govern.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11.3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xml:space="preserve">. Subject to the other terms of this Agreement, the Parties agree to execute and deliver such other instruments and perform such acts, in addition to the matters specified in this Agreement, as may be reasonably appropriate or necessary, or as may be required by order of the Bankruptcy Court, from time to time, to effectuate the Settlement, as applicable.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11.4    </w:t>
      </w:r>
      <w:r>
        <w:rPr>
          <w:rFonts w:ascii="Times New Roman;serif" w:hAnsi="Times New Roman;serif"/>
          <w:b w:val="false"/>
          <w:color w:val="000000"/>
          <w:sz w:val="24"/>
          <w:u w:val="single"/>
        </w:rPr>
        <w:t>Complete Agreement</w:t>
      </w:r>
      <w:r>
        <w:rPr>
          <w:rFonts w:ascii="Times New Roman;serif" w:hAnsi="Times New Roman;serif"/>
          <w:b w:val="false"/>
          <w:color w:val="000000"/>
          <w:sz w:val="24"/>
        </w:rPr>
        <w:t xml:space="preserve">. Except as otherwise explicitly provided in this Agreement, this Agreement constitutes the entire agreement among the Parties with respect to the subject matter of this Agreement and supersedes all prior agreements, oral or written, among the Parties with respect thereto, other than any confidentiality agreement. The Parties acknowledge and agree that they are not relying on any representations or warranties other than as set forth in this Agreement.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Section 11.5    </w:t>
      </w:r>
      <w:r>
        <w:rPr>
          <w:rFonts w:ascii="Times New Roman;serif" w:hAnsi="Times New Roman;serif"/>
          <w:b w:val="false"/>
          <w:color w:val="000000"/>
          <w:sz w:val="24"/>
          <w:u w:val="single"/>
        </w:rPr>
        <w:t>GOVERNING LAW; SUBMISSION TO JURISDICTION; SELECTION OF FORUM</w:t>
      </w:r>
      <w:r>
        <w:rPr>
          <w:rFonts w:ascii="Times New Roman;serif" w:hAnsi="Times New Roman;serif"/>
          <w:b w:val="false"/>
          <w:color w:val="000000"/>
          <w:sz w:val="24"/>
        </w:rPr>
        <w:t xml:space="preserve">. THIS AGREEMENT IS TO BE GOVERNED BY AND CONSTRUED IN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ACCORDANCE WITH THE LAWS OF THE STATE OF NEW YORK APPLICABLE TO CONTRACTS MADE AND TO BE PERFORMED IN THE CHOSEN STATE, WITHOUT GIVING EFFECT TO ITS CONFLICT OF LAWS PRINCIPLES. Each Party to this Agreement agrees that it shall bring any action or proceeding in respect of any claim arising out of or related to this Agreement, to the extent possible, in the Bankruptcy Court. Solely in connection with claims arising under this Agreement, each Party to this Agreement: (a) irrevocably submits to the exclusive jurisdiction of the Bankruptcy Court; (b) waives any objection to laying venue in any such action or proceeding in the Bankruptcy Court; and (c) waives any objection that the Bankruptcy Court is an inconvenient forum or does not have jurisdiction over any Party to this Agreement. </w:t>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11.6    </w:t>
      </w:r>
      <w:r>
        <w:rPr>
          <w:rFonts w:ascii="Times New Roman;serif" w:hAnsi="Times New Roman;serif"/>
          <w:b w:val="false"/>
          <w:color w:val="000000"/>
          <w:sz w:val="24"/>
          <w:u w:val="single"/>
        </w:rPr>
        <w:t>TRIAL BY JURY WAIVER</w:t>
      </w:r>
      <w:r>
        <w:rPr>
          <w:rFonts w:ascii="Times New Roman;serif" w:hAnsi="Times New Roman;serif"/>
          <w:b w:val="false"/>
          <w:color w:val="000000"/>
          <w:sz w:val="24"/>
        </w:rPr>
        <w:t xml:space="preserve">. EACH PARTY TO THIS AGREEMENT IRREVOCABLY WAIVES ANY AND ALL RIGHT TO TRIAL BY JURY IN ANY LEGAL PROCEEDING ARISING OUT OF OR RELATING TO THIS AGREEMENT OR THE TRANSACTIONS CONTEMPLATED BY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11.7    </w:t>
      </w:r>
      <w:r>
        <w:rPr>
          <w:rFonts w:ascii="Times New Roman;serif" w:hAnsi="Times New Roman;serif"/>
          <w:b w:val="false"/>
          <w:color w:val="000000"/>
          <w:sz w:val="24"/>
          <w:u w:val="single"/>
        </w:rPr>
        <w:t>Execution of Agreement</w:t>
      </w:r>
      <w:r>
        <w:rPr>
          <w:rFonts w:ascii="Times New Roman;serif" w:hAnsi="Times New Roman;serif"/>
          <w:b w:val="false"/>
          <w:color w:val="000000"/>
          <w:sz w:val="24"/>
        </w:rPr>
        <w:t xml:space="preserve">. This Agreement may be executed and delivered in any number of counterparts and by way of electronic signature and delivery, each such counterpart, when executed and delivered, shall be deemed an original, and all of which together shall constitute the same agreement. Except as expressly provided in this Agreement, each Person executing this Agreement on behalf of a Party has been duly authorized and empowered to execute and deliver this Agreement on behalf of said Party.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11.8    </w:t>
      </w:r>
      <w:r>
        <w:rPr>
          <w:rFonts w:ascii="Times New Roman;serif" w:hAnsi="Times New Roman;serif"/>
          <w:b w:val="false"/>
          <w:color w:val="000000"/>
          <w:sz w:val="24"/>
          <w:u w:val="single"/>
        </w:rPr>
        <w:t>Rules of Construction</w:t>
      </w:r>
      <w:r>
        <w:rPr>
          <w:rFonts w:ascii="Times New Roman;serif" w:hAnsi="Times New Roman;serif"/>
          <w:b w:val="false"/>
          <w:color w:val="000000"/>
          <w:sz w:val="24"/>
        </w:rPr>
        <w:t xml:space="preserve">. This Agreement is the product of negotiations among the Debtors (including the Special Committee), CODI and the UCC, and in the enforcement or interpretation of this Agreement, is to be interpreted in a neutral manner, and any presumption with regard to interpretation for or against any Party by reason of that Party having drafted or caused to be drafted this Agreement, or any portion of this Agreement, shall not be effective in regard to the interpretation of this Agreement. The Debtors, CODI, the UCC and the Special Committee were each represented by counsel during the negotiations and drafting of this Agreement and continue to be represented by counsel.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11.9    </w:t>
      </w:r>
      <w:r>
        <w:rPr>
          <w:rFonts w:ascii="Times New Roman;serif" w:hAnsi="Times New Roman;serif"/>
          <w:b w:val="false"/>
          <w:color w:val="000000"/>
          <w:sz w:val="24"/>
          <w:u w:val="single"/>
        </w:rPr>
        <w:t>Successors and Assigns; Third Parties</w:t>
      </w:r>
      <w:r>
        <w:rPr>
          <w:rFonts w:ascii="Times New Roman;serif" w:hAnsi="Times New Roman;serif"/>
          <w:b w:val="false"/>
          <w:color w:val="000000"/>
          <w:sz w:val="24"/>
        </w:rPr>
        <w:t xml:space="preserve">. This Agreement is intended to bind and inure to the benefit of the Parties and their respective successors and permitted assigns, as applicable. There are no third-party beneficiaries under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11.10    </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All notices hereunder shall be deemed given if in writing and delivered, by electronic mail, courier, or registered or certified mail (return receipt requested), to the following addresses (or at such other addresses as shall be specified by like notice):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4"/>
        </w:rPr>
        <w:t>If to the Debtors</w:t>
      </w:r>
      <w:r>
        <w:rPr>
          <w:rFonts w:ascii="Times New Roman;serif" w:hAnsi="Times New Roman;serif"/>
          <w:b w:val="false"/>
          <w:color w:val="000000"/>
          <w:sz w:val="24"/>
        </w:rPr>
        <w:t xml:space="preserve">: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J. Michael Issa and Christoph Pachler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c/o Lugano Diamonds &amp; Jewelry Inc.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Newport Center Dr., Suite 100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Newport Beach, CA 92660 </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Emails missa@glassratner.com and cpachler@luganodiamonds.com</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with a copy to: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Keller Benvenutti Kim LLP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101 Montgomery Street, Suite 1950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San Francisco, CA 94104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Attn: Tobias S. Keller (tkeller@kbkllp.com) and Scott J. Friedman (sfriedman@kbkllp.com)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4"/>
        </w:rPr>
        <w:t>If to CODI</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Carrie W. Ryan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General Counsel, Chief Compliance Officer &amp; Secretary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301 Riverside Avenue, Second Floor, Westport, CT 06880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Email: cryan@compassdiversified.com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with a copy to: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Squire Patton Boggs (US) LLP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201 E. Fourth Street, Suite 1900 Cincinnati, OH 45202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Attn: Stephen D. Lerner (stephen.lerner@squirepb.com), Peter R. Morrison (peter.morrison@squirepb.com), and Jeffrey N. Rothleder (jeffrey.rothleder@squirepb.com)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4"/>
        </w:rPr>
        <w:t>If to the UCC</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Adam Rothstein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c/o Pachulski Stang Ziehl &amp; Jones LLP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10100 Santa Monica Blvd., 13th Floor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Los Angeles, CA 90067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Attn: Jeffrey N. Pomerantz (jpomerantz@pszjlaw.com) and Jordan A. Kroop (jkroop@pszjlaw.com)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Any notice given by delivery, mail, or courier shall be effective when received.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11.11    </w:t>
      </w:r>
      <w:r>
        <w:rPr>
          <w:rFonts w:ascii="Times New Roman;serif" w:hAnsi="Times New Roman;serif"/>
          <w:b w:val="false"/>
          <w:color w:val="000000"/>
          <w:sz w:val="24"/>
          <w:u w:val="single"/>
        </w:rPr>
        <w:t>Enforceability of Agreement</w:t>
      </w:r>
      <w:r>
        <w:rPr>
          <w:rFonts w:ascii="Times New Roman;serif" w:hAnsi="Times New Roman;serif"/>
          <w:b w:val="false"/>
          <w:color w:val="000000"/>
          <w:sz w:val="24"/>
        </w:rPr>
        <w:t xml:space="preserve">. Each of the Parties to the extent enforceable waives any right to assert that the exercise of termination rights under this Agreement is subject to the automatic stay provisions of the Bankruptcy Code, and expressly stipulates and consents hereunder to the prospective modification of the automatic stay provisions of the Bankruptcy Code for purposes of exercising termination rights under this Agreement, to the extent the Bankruptcy Court determines that such relief is required.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Section 11.12    </w:t>
      </w:r>
      <w:r>
        <w:rPr>
          <w:rFonts w:ascii="Times New Roman;serif" w:hAnsi="Times New Roman;serif"/>
          <w:b w:val="false"/>
          <w:color w:val="000000"/>
          <w:sz w:val="24"/>
          <w:u w:val="single"/>
        </w:rPr>
        <w:t>Admissibility</w:t>
      </w:r>
      <w:r>
        <w:rPr>
          <w:rFonts w:ascii="Times New Roman;serif" w:hAnsi="Times New Roman;serif"/>
          <w:b w:val="false"/>
          <w:color w:val="000000"/>
          <w:sz w:val="24"/>
        </w:rPr>
        <w:t xml:space="preserve">. Pursuant to Federal Rule of Evidence 408 and any other applicable rules of evidence, this Agreement and all negotiations relating to this Agreement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not be admissible into evidence in any proceeding other than a proceeding to enforce its terms or the payment of damages to which a Party may be entitled under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11.13    </w:t>
      </w:r>
      <w:r>
        <w:rPr>
          <w:rFonts w:ascii="Times New Roman;serif" w:hAnsi="Times New Roman;serif"/>
          <w:b w:val="false"/>
          <w:color w:val="000000"/>
          <w:sz w:val="24"/>
          <w:u w:val="single"/>
        </w:rPr>
        <w:t>Specific Performance</w:t>
      </w:r>
      <w:r>
        <w:rPr>
          <w:rFonts w:ascii="Times New Roman;serif" w:hAnsi="Times New Roman;serif"/>
          <w:b w:val="false"/>
          <w:color w:val="000000"/>
          <w:sz w:val="24"/>
        </w:rPr>
        <w:t xml:space="preserve">. It is understood and agreed by the Parties that money damages would be an insufficient remedy for any breach of this Agreement by any Party, and each non-breaching Party shall be entitled to specific performance and injunctive or other equitable relief (without the posting of any bond and without proof of actual damages) as a remedy of any such breach, including an order of a court of competent jurisdiction requiring any Party to comply promptly with any of its obligations hereunder.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11.14    </w:t>
      </w:r>
      <w:r>
        <w:rPr>
          <w:rFonts w:ascii="Times New Roman;serif" w:hAnsi="Times New Roman;serif"/>
          <w:b w:val="false"/>
          <w:color w:val="000000"/>
          <w:sz w:val="24"/>
          <w:u w:val="single"/>
        </w:rPr>
        <w:t>Several, Not Joint, Claims</w:t>
      </w:r>
      <w:r>
        <w:rPr>
          <w:rFonts w:ascii="Times New Roman;serif" w:hAnsi="Times New Roman;serif"/>
          <w:b w:val="false"/>
          <w:color w:val="000000"/>
          <w:sz w:val="24"/>
        </w:rPr>
        <w:t xml:space="preserve">. Except where otherwise specified, the agreements, representations, warranties, and obligations of the Parties under this Agreement are, in all respects, several and not joint.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11.15    </w:t>
      </w:r>
      <w:r>
        <w:rPr>
          <w:rFonts w:ascii="Times New Roman;serif" w:hAnsi="Times New Roman;serif"/>
          <w:b w:val="false"/>
          <w:color w:val="000000"/>
          <w:sz w:val="24"/>
          <w:u w:val="single"/>
        </w:rPr>
        <w:t>Severability and Construction</w:t>
      </w:r>
      <w:r>
        <w:rPr>
          <w:rFonts w:ascii="Times New Roman;serif" w:hAnsi="Times New Roman;serif"/>
          <w:b w:val="false"/>
          <w:color w:val="000000"/>
          <w:sz w:val="24"/>
        </w:rPr>
        <w:t xml:space="preserve">. If any provision of this Agreement shall be held by a court of competent jurisdiction to be illegal, invalid, or unenforceable, the remaining provisions shall remain in full force and effect if essential terms and conditions of this Agreement for each Party remain valid, binding, and enforceable.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11.16    </w:t>
      </w:r>
      <w:r>
        <w:rPr>
          <w:rFonts w:ascii="Times New Roman;serif" w:hAnsi="Times New Roman;serif"/>
          <w:b w:val="false"/>
          <w:color w:val="000000"/>
          <w:sz w:val="24"/>
          <w:u w:val="single"/>
        </w:rPr>
        <w:t>Remedies Cumulative</w:t>
      </w:r>
      <w:r>
        <w:rPr>
          <w:rFonts w:ascii="Times New Roman;serif" w:hAnsi="Times New Roman;serif"/>
          <w:b w:val="false"/>
          <w:color w:val="000000"/>
          <w:sz w:val="24"/>
        </w:rPr>
        <w:t xml:space="preserve">. All rights, powers, and remedies provided under this Agreement or otherwise available in respect hereof at Law or in equity shall be cumulative and not alternative, and the exercise of any right, power, or remedy thereof by any Party shall not preclude the simultaneous or later exercise of any other such right, power, or remedy by such Party.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Section 11.17    </w:t>
      </w:r>
      <w:r>
        <w:rPr>
          <w:rFonts w:ascii="Times New Roman;serif" w:hAnsi="Times New Roman;serif"/>
          <w:b w:val="false"/>
          <w:color w:val="000000"/>
          <w:sz w:val="24"/>
          <w:u w:val="single"/>
        </w:rPr>
        <w:t>Email Consents.</w:t>
      </w:r>
      <w:r>
        <w:rPr>
          <w:color w:val="000000"/>
        </w:rPr>
        <w:t xml:space="preserve"> </w:t>
      </w:r>
      <w:r>
        <w:rPr>
          <w:rFonts w:ascii="Times New Roman;serif" w:hAnsi="Times New Roman;serif"/>
          <w:b w:val="false"/>
          <w:color w:val="000000"/>
          <w:sz w:val="24"/>
        </w:rPr>
        <w:t xml:space="preserve">Where a written consent, acceptance, approval, or waiver is required pursuant to or contemplated by this Agreement, such written consent, acceptance, approval, or waiver shall be deemed to have occurred if, by agreement between counsel to, as applicable, the Debtors, CODI or, the UCC, submitting and receiving such consent, acceptance, approval, or waiver, it is conveyed in writing (including electronic mail) between each such counsel without representations or warranties of any kind on behalf of such counsel.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Section 11.18    </w:t>
      </w:r>
      <w:r>
        <w:rPr>
          <w:rFonts w:ascii="Times New Roman;serif" w:hAnsi="Times New Roman;serif"/>
          <w:b w:val="false"/>
          <w:color w:val="000000"/>
          <w:sz w:val="24"/>
          <w:u w:val="single"/>
        </w:rPr>
        <w:t>No Recourse</w:t>
      </w:r>
      <w:r>
        <w:rPr>
          <w:rFonts w:ascii="Times New Roman;serif" w:hAnsi="Times New Roman;serif"/>
          <w:b w:val="false"/>
          <w:color w:val="000000"/>
          <w:sz w:val="24"/>
        </w:rPr>
        <w:t xml:space="preserve">. This Agreement may only be enforced against the named parties hereto (and then only to the extent of the specific obligations undertaken by such parties in this Agreement). All claims or Causes of Action (whether in contract, tort, equity or any other theory) that may be based upon, arise out of or relate to this Agreement, or the negotiation, execution or performance of this Agreement, may be made only against the Persons that are expressly identified as parties hereto (and then only to the extent of the specific obligations undertaken by such parties herein). No past, present or future direct or indirect director, manager, officer, employee, incorporator, member, partner, stockholder, equity holder, trustee, affiliate, controlling person, agent, attorney or other representative of any party hereto (including any person negotiating or executing this Agreement on behalf of a party hereto), nor any past, present or future direct or indirect director, manager, officer, employee, incorporator, member, partner, stockholder, equity holder, trustee, affiliate, controlling person, agent, attorney or other representative of any of the foregoing (other than any of the foregoing that is a party hereto) (any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such Person, a “</w:t>
      </w:r>
      <w:r>
        <w:rPr>
          <w:rFonts w:ascii="Times New Roman;serif" w:hAnsi="Times New Roman;serif"/>
          <w:b/>
          <w:i/>
          <w:color w:val="000000"/>
          <w:sz w:val="24"/>
        </w:rPr>
        <w:t>No Recourse Party</w:t>
      </w:r>
      <w:r>
        <w:rPr>
          <w:color w:val="000000"/>
        </w:rPr>
        <w:t>”</w:t>
      </w:r>
      <w:r>
        <w:rPr>
          <w:rFonts w:ascii="Times New Roman;serif" w:hAnsi="Times New Roman;serif"/>
          <w:b w:val="false"/>
          <w:color w:val="000000"/>
          <w:sz w:val="24"/>
        </w:rPr>
        <w:t xml:space="preserve">), shall have any liability with respect to this Agreement or with respect to any proceeding (whether in contract, tort, equity or any other theory that seeks to “pierce the corporate veil” or impose liability of an Entity against its owners or affiliates or otherwise) that may arise out of or relate to this Agreement, or the negotiation, execution or performance of this Agreement.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the parties have executed this agreement on the day and year first above written.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LUGANO DIAMONDS &amp; JEWELRY INC.</w:t>
      </w:r>
      <w:r>
        <w:rPr>
          <w:rFonts w:ascii="Times New Roman;serif" w:hAnsi="Times New Roman;serif"/>
          <w:b w:val="false"/>
          <w:color w:val="000000"/>
          <w:sz w:val="24"/>
        </w:rPr>
        <w:t xml:space="preserve">, </w:t>
      </w:r>
      <w:r>
        <w:rPr>
          <w:rFonts w:ascii="Times New Roman;serif" w:hAnsi="Times New Roman;serif"/>
          <w:b/>
          <w:color w:val="000000"/>
          <w:sz w:val="24"/>
        </w:rPr>
        <w:t>acting through the Special Committee, on behalf of the following entities:</w:t>
      </w:r>
    </w:p>
    <w:p>
      <w:pPr>
        <w:pStyle w:val="TextBody"/>
        <w:bidi w:val="0"/>
        <w:spacing w:before="0" w:after="0"/>
        <w:jc w:val="both"/>
        <w:rPr/>
      </w:pPr>
      <w:r>
        <w:rPr/>
      </w:r>
    </w:p>
    <w:tbl>
      <w:tblPr>
        <w:tblW w:w="8715" w:type="dxa"/>
        <w:jc w:val="left"/>
        <w:tblInd w:w="0" w:type="dxa"/>
        <w:tblLayout w:type="fixed"/>
        <w:tblCellMar>
          <w:top w:w="28" w:type="dxa"/>
          <w:left w:w="28" w:type="dxa"/>
          <w:bottom w:w="28" w:type="dxa"/>
          <w:right w:w="28" w:type="dxa"/>
        </w:tblCellMar>
      </w:tblPr>
      <w:tblGrid>
        <w:gridCol w:w="1727"/>
        <w:gridCol w:w="1520"/>
        <w:gridCol w:w="1523"/>
        <w:gridCol w:w="1155"/>
        <w:gridCol w:w="1155"/>
        <w:gridCol w:w="1635"/>
      </w:tblGrid>
      <w:tr>
        <w:trPr/>
        <w:tc>
          <w:tcPr>
            <w:tcW w:w="1727"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LUGANO DIAMONDS &amp; JEWELRY INC.:</w:t>
            </w:r>
          </w:p>
        </w:tc>
        <w:tc>
          <w:tcPr>
            <w:tcW w:w="39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LUGANO HOLDING, INC.:</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Spencer Wells</w:t>
            </w:r>
          </w:p>
        </w:tc>
        <w:tc>
          <w:tcPr>
            <w:tcW w:w="394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Spencer Wells</w:t>
            </w:r>
          </w:p>
        </w:tc>
      </w:tr>
      <w:tr>
        <w:trPr/>
        <w:tc>
          <w:tcPr>
            <w:tcW w:w="477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Printed Name: </w:t>
            </w:r>
            <w:r>
              <w:rPr>
                <w:rFonts w:ascii="Times New Roman;serif" w:hAnsi="Times New Roman;serif"/>
                <w:b w:val="false"/>
                <w:color w:val="000000"/>
                <w:sz w:val="24"/>
                <w:u w:val="single"/>
              </w:rPr>
              <w:t>Spencer Wells</w:t>
            </w:r>
          </w:p>
        </w:tc>
        <w:tc>
          <w:tcPr>
            <w:tcW w:w="394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Printed Name: </w:t>
            </w:r>
            <w:r>
              <w:rPr>
                <w:rFonts w:ascii="Times New Roman;serif" w:hAnsi="Times New Roman;serif"/>
                <w:b w:val="false"/>
                <w:color w:val="000000"/>
                <w:sz w:val="24"/>
                <w:u w:val="single"/>
              </w:rPr>
              <w:t>Spencer Wells</w:t>
            </w:r>
          </w:p>
        </w:tc>
      </w:tr>
      <w:tr>
        <w:trPr/>
        <w:tc>
          <w:tcPr>
            <w:tcW w:w="477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Member of the Special Committee</w:t>
            </w:r>
          </w:p>
        </w:tc>
        <w:tc>
          <w:tcPr>
            <w:tcW w:w="394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Member of the Special Committee</w:t>
            </w:r>
          </w:p>
        </w:tc>
      </w:tr>
      <w:tr>
        <w:trPr/>
        <w:tc>
          <w:tcPr>
            <w:tcW w:w="477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6/23/2026</w:t>
            </w:r>
          </w:p>
        </w:tc>
        <w:tc>
          <w:tcPr>
            <w:tcW w:w="394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6/23/2026</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LUGANO BUYER, INC.:</w:t>
            </w:r>
          </w:p>
        </w:tc>
        <w:tc>
          <w:tcPr>
            <w:tcW w:w="39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K.L.D. JEWELRY, LLC:</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Spencer Wells</w:t>
            </w:r>
          </w:p>
        </w:tc>
        <w:tc>
          <w:tcPr>
            <w:tcW w:w="394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Spencer Wells</w:t>
            </w:r>
          </w:p>
        </w:tc>
      </w:tr>
      <w:tr>
        <w:trPr/>
        <w:tc>
          <w:tcPr>
            <w:tcW w:w="477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Printed Name: </w:t>
            </w:r>
            <w:r>
              <w:rPr>
                <w:rFonts w:ascii="Times New Roman;serif" w:hAnsi="Times New Roman;serif"/>
                <w:b w:val="false"/>
                <w:color w:val="000000"/>
                <w:sz w:val="24"/>
                <w:u w:val="single"/>
              </w:rPr>
              <w:t>Spencer Wells</w:t>
            </w:r>
          </w:p>
        </w:tc>
        <w:tc>
          <w:tcPr>
            <w:tcW w:w="394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Printed Name: </w:t>
            </w:r>
            <w:r>
              <w:rPr>
                <w:rFonts w:ascii="Times New Roman;serif" w:hAnsi="Times New Roman;serif"/>
                <w:b w:val="false"/>
                <w:color w:val="000000"/>
                <w:sz w:val="24"/>
                <w:u w:val="single"/>
              </w:rPr>
              <w:t>Spencer Wells</w:t>
            </w:r>
          </w:p>
        </w:tc>
      </w:tr>
      <w:tr>
        <w:trPr/>
        <w:tc>
          <w:tcPr>
            <w:tcW w:w="477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Member of the Special Committee</w:t>
            </w:r>
          </w:p>
        </w:tc>
        <w:tc>
          <w:tcPr>
            <w:tcW w:w="394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Member of the Special Committee</w:t>
            </w:r>
          </w:p>
        </w:tc>
      </w:tr>
      <w:tr>
        <w:trPr/>
        <w:tc>
          <w:tcPr>
            <w:tcW w:w="477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6/23/2026</w:t>
            </w:r>
          </w:p>
        </w:tc>
        <w:tc>
          <w:tcPr>
            <w:tcW w:w="394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6/23/2026</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LUGANO PRIVE, LLC:</w:t>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Spencer Wells</w:t>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Printed Name: </w:t>
            </w:r>
            <w:r>
              <w:rPr>
                <w:rFonts w:ascii="Times New Roman;serif" w:hAnsi="Times New Roman;serif"/>
                <w:b w:val="false"/>
                <w:color w:val="000000"/>
                <w:sz w:val="24"/>
                <w:u w:val="single"/>
              </w:rPr>
              <w:t>Spencer Wells</w:t>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Member of the Special Committee</w:t>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6/23/2026</w:t>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135"/>
        <w:gridCol w:w="998"/>
        <w:gridCol w:w="998"/>
        <w:gridCol w:w="998"/>
        <w:gridCol w:w="998"/>
        <w:gridCol w:w="1424"/>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6551"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OFFICIAL COMMITTEE OF UNSECURED CREDITORS:</w:t>
            </w:r>
          </w:p>
        </w:tc>
      </w:tr>
      <w:tr>
        <w:trPr/>
        <w:tc>
          <w:tcPr>
            <w:tcW w:w="3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4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Adam Rothstein</w:t>
            </w:r>
          </w:p>
        </w:tc>
      </w:tr>
      <w:tr>
        <w:trPr/>
        <w:tc>
          <w:tcPr>
            <w:tcW w:w="31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Printed Name: </w:t>
            </w:r>
          </w:p>
        </w:tc>
        <w:tc>
          <w:tcPr>
            <w:tcW w:w="34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Adam Rothstein</w:t>
            </w:r>
          </w:p>
        </w:tc>
      </w:tr>
      <w:tr>
        <w:trPr/>
        <w:tc>
          <w:tcPr>
            <w:tcW w:w="31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c>
          <w:tcPr>
            <w:tcW w:w="34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Chair</w:t>
            </w:r>
          </w:p>
        </w:tc>
      </w:tr>
      <w:tr>
        <w:trPr/>
        <w:tc>
          <w:tcPr>
            <w:tcW w:w="31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4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6/24/2026</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135"/>
        <w:gridCol w:w="998"/>
        <w:gridCol w:w="998"/>
        <w:gridCol w:w="998"/>
        <w:gridCol w:w="998"/>
        <w:gridCol w:w="1424"/>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6551"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OFFICIAL COMMITTEE OF UNSECURED CREDITORS:</w:t>
            </w:r>
          </w:p>
        </w:tc>
      </w:tr>
      <w:tr>
        <w:trPr/>
        <w:tc>
          <w:tcPr>
            <w:tcW w:w="3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4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Stephen Keller</w:t>
            </w:r>
          </w:p>
        </w:tc>
      </w:tr>
      <w:tr>
        <w:trPr/>
        <w:tc>
          <w:tcPr>
            <w:tcW w:w="31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Printed Name: </w:t>
            </w:r>
          </w:p>
        </w:tc>
        <w:tc>
          <w:tcPr>
            <w:tcW w:w="34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Stephen Keller</w:t>
            </w:r>
          </w:p>
        </w:tc>
      </w:tr>
      <w:tr>
        <w:trPr/>
        <w:tc>
          <w:tcPr>
            <w:tcW w:w="31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c>
          <w:tcPr>
            <w:tcW w:w="342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u w:val="single"/>
              </w:rPr>
              <w:t>Chief Financial Officer</w:t>
            </w:r>
            <w:r>
              <w:rPr>
                <w:color w:val="000000"/>
              </w:rPr>
              <w:t xml:space="preserve"> </w:t>
            </w:r>
          </w:p>
        </w:tc>
      </w:tr>
      <w:tr>
        <w:trPr/>
        <w:tc>
          <w:tcPr>
            <w:tcW w:w="31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4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6/22/2026</w:t>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10.4</w:t>
      </w:r>
    </w:p>
    <w:p>
      <w:pPr>
        <w:pStyle w:val="TextBody"/>
        <w:bidi w:val="0"/>
        <w:spacing w:before="0" w:after="0"/>
        <w:jc w:val="right"/>
        <w:rPr/>
      </w:pPr>
      <w:r>
        <w:rPr/>
      </w:r>
    </w:p>
    <w:p>
      <w:pPr>
        <w:pStyle w:val="TextBody"/>
        <w:bidi w:val="0"/>
        <w:spacing w:lineRule="auto" w:line="268" w:before="0" w:after="0"/>
        <w:ind w:left="0" w:right="0" w:firstLine="720"/>
        <w:jc w:val="center"/>
        <w:rPr>
          <w:rFonts w:ascii="Times New Roman;serif" w:hAnsi="Times New Roman;serif"/>
          <w:b/>
          <w:color w:val="000000"/>
          <w:sz w:val="22"/>
        </w:rPr>
      </w:pPr>
      <w:r>
        <w:rPr>
          <w:rFonts w:ascii="Times New Roman;serif" w:hAnsi="Times New Roman;serif"/>
          <w:b/>
          <w:color w:val="000000"/>
          <w:sz w:val="22"/>
        </w:rPr>
        <w:t xml:space="preserve">SIXTH AMENDMENT TO CREDIT AGREEMENT </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4"/>
        </w:rPr>
        <w:t>THIS SIXTH AMENDMENT TO CREDIT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xml:space="preserve">), dated as of August </w:t>
      </w:r>
      <w:r>
        <w:rPr>
          <w:rFonts w:ascii="Times New Roman;serif" w:hAnsi="Times New Roman;serif"/>
          <w:b w:val="false"/>
          <w:color w:val="000000"/>
          <w:sz w:val="22"/>
        </w:rPr>
        <w:t>6,</w:t>
      </w:r>
      <w:r>
        <w:rPr>
          <w:color w:val="000000"/>
        </w:rPr>
        <w:t xml:space="preserve"> </w:t>
      </w:r>
      <w:r>
        <w:rPr>
          <w:rFonts w:ascii="Times New Roman;serif" w:hAnsi="Times New Roman;serif"/>
          <w:b w:val="false"/>
          <w:color w:val="000000"/>
          <w:sz w:val="22"/>
        </w:rPr>
        <w:t>2026,</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entered</w:t>
      </w:r>
      <w:r>
        <w:rPr>
          <w:color w:val="000000"/>
        </w:rPr>
        <w:t xml:space="preserve"> </w:t>
      </w:r>
      <w:r>
        <w:rPr>
          <w:rFonts w:ascii="Times New Roman;serif" w:hAnsi="Times New Roman;serif"/>
          <w:b w:val="false"/>
          <w:color w:val="000000"/>
          <w:sz w:val="22"/>
        </w:rPr>
        <w:t>into</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among</w:t>
      </w:r>
      <w:r>
        <w:rPr>
          <w:color w:val="000000"/>
        </w:rPr>
        <w:t xml:space="preserve"> </w:t>
      </w:r>
      <w:r>
        <w:rPr>
          <w:rFonts w:ascii="Times New Roman;serif" w:hAnsi="Times New Roman;serif"/>
          <w:b w:val="false"/>
          <w:color w:val="000000"/>
          <w:sz w:val="22"/>
        </w:rPr>
        <w:t>COMPASS</w:t>
      </w:r>
      <w:r>
        <w:rPr>
          <w:color w:val="000000"/>
        </w:rPr>
        <w:t xml:space="preserve"> </w:t>
      </w:r>
      <w:r>
        <w:rPr>
          <w:rFonts w:ascii="Times New Roman;serif" w:hAnsi="Times New Roman;serif"/>
          <w:b w:val="false"/>
          <w:color w:val="000000"/>
          <w:sz w:val="22"/>
        </w:rPr>
        <w:t>GROUP</w:t>
      </w:r>
      <w:r>
        <w:rPr>
          <w:color w:val="000000"/>
        </w:rPr>
        <w:t xml:space="preserve"> </w:t>
      </w:r>
      <w:r>
        <w:rPr>
          <w:rFonts w:ascii="Times New Roman;serif" w:hAnsi="Times New Roman;serif"/>
          <w:b w:val="false"/>
          <w:color w:val="000000"/>
          <w:sz w:val="22"/>
        </w:rPr>
        <w:t>DIVERSIFIED</w:t>
      </w:r>
      <w:r>
        <w:rPr>
          <w:color w:val="000000"/>
        </w:rPr>
        <w:t xml:space="preserve"> </w:t>
      </w:r>
      <w:r>
        <w:rPr>
          <w:rFonts w:ascii="Times New Roman;serif" w:hAnsi="Times New Roman;serif"/>
          <w:b w:val="false"/>
          <w:color w:val="000000"/>
          <w:sz w:val="22"/>
        </w:rPr>
        <w:t>HOLDINGS</w:t>
      </w:r>
      <w:r>
        <w:rPr>
          <w:color w:val="000000"/>
        </w:rPr>
        <w:t xml:space="preserve"> </w:t>
      </w:r>
      <w:r>
        <w:rPr>
          <w:rFonts w:ascii="Times New Roman;serif" w:hAnsi="Times New Roman;serif"/>
          <w:b w:val="false"/>
          <w:color w:val="000000"/>
          <w:sz w:val="22"/>
        </w:rPr>
        <w:t>LLC,</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 limited</w:t>
      </w:r>
      <w:r>
        <w:rPr>
          <w:color w:val="000000"/>
        </w:rPr>
        <w:t xml:space="preserve"> </w:t>
      </w:r>
      <w:r>
        <w:rPr>
          <w:rFonts w:ascii="Times New Roman;serif" w:hAnsi="Times New Roman;serif"/>
          <w:b w:val="false"/>
          <w:color w:val="000000"/>
          <w:sz w:val="22"/>
        </w:rPr>
        <w:t>liability</w:t>
      </w:r>
      <w:r>
        <w:rPr>
          <w:color w:val="000000"/>
        </w:rPr>
        <w:t xml:space="preserve"> </w:t>
      </w:r>
      <w:r>
        <w:rPr>
          <w:rFonts w:ascii="Times New Roman;serif" w:hAnsi="Times New Roman;serif"/>
          <w:b w:val="false"/>
          <w:color w:val="000000"/>
          <w:sz w:val="22"/>
        </w:rPr>
        <w:t>company</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party</w:t>
      </w:r>
      <w:r>
        <w:rPr>
          <w:color w:val="000000"/>
        </w:rPr>
        <w:t xml:space="preserve"> </w:t>
      </w:r>
      <w:r>
        <w:rPr>
          <w:rFonts w:ascii="Times New Roman;serif" w:hAnsi="Times New Roman;serif"/>
          <w:b w:val="false"/>
          <w:color w:val="000000"/>
          <w:sz w:val="22"/>
        </w:rPr>
        <w:t>hereto,</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AMERICA,</w:t>
      </w:r>
      <w:r>
        <w:rPr>
          <w:color w:val="000000"/>
        </w:rPr>
        <w:t xml:space="preserve"> </w:t>
      </w:r>
      <w:r>
        <w:rPr>
          <w:rFonts w:ascii="Times New Roman;serif" w:hAnsi="Times New Roman;serif"/>
          <w:b w:val="false"/>
          <w:color w:val="000000"/>
          <w:sz w:val="22"/>
        </w:rPr>
        <w:t>N.A.,</w:t>
      </w:r>
      <w:r>
        <w:rPr>
          <w:color w:val="000000"/>
        </w:rPr>
        <w:t xml:space="preserve"> </w:t>
      </w:r>
      <w:r>
        <w:rPr>
          <w:rFonts w:ascii="Times New Roman;serif" w:hAnsi="Times New Roman;serif"/>
          <w:b w:val="false"/>
          <w:color w:val="000000"/>
          <w:sz w:val="22"/>
        </w:rPr>
        <w:t>in its</w:t>
      </w:r>
      <w:r>
        <w:rPr>
          <w:color w:val="000000"/>
        </w:rPr>
        <w:t xml:space="preserve"> </w:t>
      </w:r>
      <w:r>
        <w:rPr>
          <w:rFonts w:ascii="Times New Roman;serif" w:hAnsi="Times New Roman;serif"/>
          <w:b w:val="false"/>
          <w:color w:val="000000"/>
          <w:sz w:val="22"/>
        </w:rPr>
        <w:t>capacity</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Swing</w:t>
      </w:r>
      <w:r>
        <w:rPr>
          <w:color w:val="000000"/>
        </w:rPr>
        <w:t xml:space="preserve"> </w:t>
      </w:r>
      <w:r>
        <w:rPr>
          <w:rFonts w:ascii="Times New Roman;serif" w:hAnsi="Times New Roman;serif"/>
          <w:b w:val="false"/>
          <w:color w:val="000000"/>
          <w:sz w:val="22"/>
        </w:rPr>
        <w:t>Line</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and L/C Issuer.</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RECITALS</w:t>
      </w:r>
    </w:p>
    <w:p>
      <w:pPr>
        <w:pStyle w:val="TextBody"/>
        <w:bidi w:val="0"/>
        <w:spacing w:lineRule="auto" w:line="288" w:before="120" w:after="283"/>
        <w:ind w:left="0" w:right="0" w:firstLine="720"/>
        <w:jc w:val="both"/>
        <w:rPr/>
      </w:pPr>
      <w:r>
        <w:rPr>
          <w:rFonts w:ascii="Times New Roman;serif" w:hAnsi="Times New Roman;serif"/>
          <w:b w:val="false"/>
          <w:color w:val="000000"/>
          <w:sz w:val="22"/>
        </w:rPr>
        <w:t>WHEREAS, the Borrower, the Lenders from time-to-time party thereto and the Administrative Agent</w:t>
      </w:r>
      <w:r>
        <w:rPr>
          <w:color w:val="000000"/>
        </w:rPr>
        <w:t xml:space="preserve">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2"/>
        </w:rPr>
        <w:t>parties</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certain</w:t>
      </w:r>
      <w:r>
        <w:rPr>
          <w:color w:val="000000"/>
        </w:rPr>
        <w:t xml:space="preserve"> </w:t>
      </w:r>
      <w:r>
        <w:rPr>
          <w:rFonts w:ascii="Times New Roman;serif" w:hAnsi="Times New Roman;serif"/>
          <w:b w:val="false"/>
          <w:color w:val="000000"/>
          <w:sz w:val="22"/>
        </w:rPr>
        <w:t>Third</w:t>
      </w:r>
      <w:r>
        <w:rPr>
          <w:color w:val="000000"/>
        </w:rPr>
        <w:t xml:space="preserve"> </w:t>
      </w:r>
      <w:r>
        <w:rPr>
          <w:rFonts w:ascii="Times New Roman;serif" w:hAnsi="Times New Roman;serif"/>
          <w:b w:val="false"/>
          <w:color w:val="000000"/>
          <w:sz w:val="22"/>
        </w:rPr>
        <w:t>Amended</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Restated</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dated</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July</w:t>
      </w:r>
      <w:r>
        <w:rPr>
          <w:color w:val="000000"/>
        </w:rPr>
        <w:t xml:space="preserve"> </w:t>
      </w:r>
      <w:r>
        <w:rPr>
          <w:rFonts w:ascii="Times New Roman;serif" w:hAnsi="Times New Roman;serif"/>
          <w:b w:val="false"/>
          <w:color w:val="000000"/>
          <w:sz w:val="22"/>
        </w:rPr>
        <w:t>12,</w:t>
      </w:r>
      <w:r>
        <w:rPr>
          <w:color w:val="000000"/>
        </w:rPr>
        <w:t xml:space="preserve"> </w:t>
      </w:r>
      <w:r>
        <w:rPr>
          <w:rFonts w:ascii="Times New Roman;serif" w:hAnsi="Times New Roman;serif"/>
          <w:b w:val="false"/>
          <w:color w:val="000000"/>
          <w:sz w:val="22"/>
        </w:rPr>
        <w:t>2022 (as amended, modified, extended, restated, replaced, or supplemented in writing from time to time,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2"/>
        </w:rPr>
        <w:t>);</w:t>
      </w:r>
    </w:p>
    <w:p>
      <w:pPr>
        <w:pStyle w:val="TextBody"/>
        <w:bidi w:val="0"/>
        <w:spacing w:lineRule="auto" w:line="288"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Borrower has requested that the Lenders agree to extend the Maturity Date with respect to the Revolving Commitments and the Term Loan and to make certain other modifications to the Credit Agreement; and</w:t>
      </w:r>
    </w:p>
    <w:p>
      <w:pPr>
        <w:pStyle w:val="TextBody"/>
        <w:bidi w:val="0"/>
        <w:spacing w:lineRule="auto" w:line="288" w:before="180" w:after="283"/>
        <w:ind w:left="0" w:right="0" w:firstLine="720"/>
        <w:jc w:val="both"/>
        <w:rPr/>
      </w:pPr>
      <w:r>
        <w:rPr>
          <w:rFonts w:ascii="Times New Roman;serif" w:hAnsi="Times New Roman;serif"/>
          <w:b w:val="false"/>
          <w:color w:val="000000"/>
          <w:sz w:val="22"/>
        </w:rPr>
        <w:t>WHEREAS,</w:t>
      </w:r>
      <w:r>
        <w:rPr>
          <w:color w:val="000000"/>
        </w:rPr>
        <w:t xml:space="preserve"> </w:t>
      </w:r>
      <w:r>
        <w:rPr>
          <w:rFonts w:ascii="Times New Roman;serif" w:hAnsi="Times New Roman;serif"/>
          <w:b w:val="false"/>
          <w:color w:val="000000"/>
          <w:sz w:val="22"/>
        </w:rPr>
        <w:t>certain</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u w:val="single"/>
        </w:rPr>
        <w:t>Extending Lenders</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agreed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requested</w:t>
      </w:r>
      <w:r>
        <w:rPr>
          <w:color w:val="000000"/>
        </w:rPr>
        <w:t xml:space="preserve"> </w:t>
      </w:r>
      <w:r>
        <w:rPr>
          <w:rFonts w:ascii="Times New Roman;serif" w:hAnsi="Times New Roman;serif"/>
          <w:b w:val="false"/>
          <w:color w:val="000000"/>
          <w:sz w:val="22"/>
        </w:rPr>
        <w:t>extension</w:t>
      </w:r>
      <w:r>
        <w:rPr>
          <w:color w:val="000000"/>
        </w:rPr>
        <w:t xml:space="preserve"> </w:t>
      </w:r>
      <w:r>
        <w:rPr>
          <w:rFonts w:ascii="Times New Roman;serif" w:hAnsi="Times New Roman;serif"/>
          <w:b w:val="false"/>
          <w:color w:val="000000"/>
          <w:sz w:val="22"/>
        </w:rPr>
        <w:t>and other modifications on the terms and conditions set forth in this Agreement.</w:t>
      </w:r>
    </w:p>
    <w:p>
      <w:pPr>
        <w:pStyle w:val="TextBody"/>
        <w:bidi w:val="0"/>
        <w:spacing w:lineRule="auto" w:line="276" w:before="24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these premises and other good and valuable consideration, the receipt and sufficiency of which is hereby acknowledged, the parties hereto agree as follows:</w:t>
      </w:r>
    </w:p>
    <w:p>
      <w:pPr>
        <w:pStyle w:val="TextBody"/>
        <w:bidi w:val="0"/>
        <w:spacing w:lineRule="auto" w:line="288" w:before="180" w:after="283"/>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Definitions</w:t>
      </w:r>
      <w:r>
        <w:rPr>
          <w:rFonts w:ascii="Times New Roman;serif" w:hAnsi="Times New Roman;serif"/>
          <w:b w:val="false"/>
          <w:color w:val="000000"/>
          <w:sz w:val="22"/>
        </w:rPr>
        <w:t xml:space="preserve">. Capitalized terms used herein but not otherwise defined herein shall have the meanings provided to such terms in the Credit Agreement. </w:t>
      </w:r>
    </w:p>
    <w:p>
      <w:pPr>
        <w:pStyle w:val="TextBody"/>
        <w:bidi w:val="0"/>
        <w:spacing w:lineRule="auto" w:line="288" w:before="180" w:after="283"/>
        <w:ind w:left="0" w:right="0" w:firstLine="720"/>
        <w:jc w:val="both"/>
        <w:rPr/>
      </w:pPr>
      <w:r>
        <w:rPr>
          <w:rFonts w:ascii="Times New Roman;serif" w:hAnsi="Times New Roman;serif"/>
          <w:b w:val="false"/>
          <w:color w:val="000000"/>
          <w:sz w:val="22"/>
        </w:rPr>
        <w:t xml:space="preserve">2. </w:t>
      </w:r>
      <w:r>
        <w:rPr>
          <w:rFonts w:ascii="Times New Roman;serif" w:hAnsi="Times New Roman;serif"/>
          <w:b w:val="false"/>
          <w:color w:val="000000"/>
          <w:sz w:val="24"/>
          <w:u w:val="single"/>
        </w:rPr>
        <w:t>Amendments to Credit Agreement &amp; Waiver</w:t>
      </w:r>
      <w:r>
        <w:rPr>
          <w:rFonts w:ascii="Times New Roman;serif" w:hAnsi="Times New Roman;serif"/>
          <w:b w:val="false"/>
          <w:color w:val="000000"/>
          <w:sz w:val="24"/>
        </w:rPr>
        <w:t>.</w:t>
      </w:r>
    </w:p>
    <w:p>
      <w:pPr>
        <w:pStyle w:val="TextBody"/>
        <w:bidi w:val="0"/>
        <w:spacing w:lineRule="auto" w:line="288" w:before="180" w:after="283"/>
        <w:ind w:left="0" w:right="0" w:hanging="360"/>
        <w:jc w:val="both"/>
        <w:rPr/>
      </w:pPr>
      <w:r>
        <w:rPr>
          <w:rFonts w:ascii="Times New Roman;serif" w:hAnsi="Times New Roman;serif"/>
          <w:b w:val="false"/>
          <w:color w:val="000000"/>
          <w:sz w:val="22"/>
        </w:rPr>
        <w:t>(a)The Credit Agreement (other than the schedules and exhibits thereto) is hereby amended to delete the bold, stricken text (indicated textually in the same manner as the following example:</w:t>
      </w:r>
      <w:r>
        <w:rPr>
          <w:color w:val="000000"/>
        </w:rPr>
        <w:t xml:space="preserve"> </w:t>
      </w:r>
      <w:r>
        <w:rPr>
          <w:rFonts w:ascii="Times New Roman;serif" w:hAnsi="Times New Roman;serif"/>
          <w:b w:val="false"/>
          <w:strike/>
          <w:color w:val="FF0000"/>
          <w:sz w:val="24"/>
        </w:rPr>
        <w:t>stricken text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add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bold,</w:t>
      </w:r>
      <w:r>
        <w:rPr>
          <w:color w:val="000000"/>
        </w:rPr>
        <w:t xml:space="preserve"> </w:t>
      </w:r>
      <w:r>
        <w:rPr>
          <w:rFonts w:ascii="Times New Roman;serif" w:hAnsi="Times New Roman;serif"/>
          <w:b w:val="false"/>
          <w:color w:val="000000"/>
          <w:sz w:val="22"/>
        </w:rPr>
        <w:t>double-underlined</w:t>
      </w:r>
      <w:r>
        <w:rPr>
          <w:color w:val="000000"/>
        </w:rPr>
        <w:t xml:space="preserve"> </w:t>
      </w:r>
      <w:r>
        <w:rPr>
          <w:rFonts w:ascii="Times New Roman;serif" w:hAnsi="Times New Roman;serif"/>
          <w:b w:val="false"/>
          <w:color w:val="000000"/>
          <w:sz w:val="22"/>
        </w:rPr>
        <w:t>text</w:t>
      </w:r>
      <w:r>
        <w:rPr>
          <w:color w:val="000000"/>
        </w:rPr>
        <w:t xml:space="preserve"> </w:t>
      </w:r>
      <w:r>
        <w:rPr>
          <w:rFonts w:ascii="Times New Roman;serif" w:hAnsi="Times New Roman;serif"/>
          <w:b w:val="false"/>
          <w:color w:val="000000"/>
          <w:sz w:val="22"/>
        </w:rPr>
        <w:t>(indicated</w:t>
      </w:r>
      <w:r>
        <w:rPr>
          <w:color w:val="000000"/>
        </w:rPr>
        <w:t xml:space="preserve"> </w:t>
      </w:r>
      <w:r>
        <w:rPr>
          <w:rFonts w:ascii="Times New Roman;serif" w:hAnsi="Times New Roman;serif"/>
          <w:b w:val="false"/>
          <w:color w:val="000000"/>
          <w:sz w:val="22"/>
        </w:rPr>
        <w:t>textually</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same manner as the following example: </w:t>
      </w:r>
      <w:r>
        <w:rPr>
          <w:rFonts w:ascii="Times New Roman;serif" w:hAnsi="Times New Roman;serif"/>
          <w:b w:val="false"/>
          <w:color w:val="0000FF"/>
          <w:sz w:val="24"/>
          <w:u w:val="single"/>
        </w:rPr>
        <w:t>double-underlined text</w:t>
      </w:r>
      <w:r>
        <w:rPr>
          <w:rFonts w:ascii="Times New Roman;serif" w:hAnsi="Times New Roman;serif"/>
          <w:b w:val="false"/>
          <w:color w:val="000000"/>
          <w:sz w:val="22"/>
        </w:rPr>
        <w:t>) as set forth in the Credit Agreement attached as Exhibit A hereto (the “</w:t>
      </w:r>
      <w:r>
        <w:rPr>
          <w:rFonts w:ascii="Times New Roman;serif" w:hAnsi="Times New Roman;serif"/>
          <w:b w:val="false"/>
          <w:color w:val="000000"/>
          <w:sz w:val="24"/>
          <w:u w:val="single"/>
        </w:rPr>
        <w:t>Amended Credit Agreement</w:t>
      </w:r>
      <w:r>
        <w:rPr>
          <w:color w:val="000000"/>
        </w:rPr>
        <w:t>”</w:t>
      </w:r>
      <w:r>
        <w:rPr>
          <w:rFonts w:ascii="Times New Roman;serif" w:hAnsi="Times New Roman;serif"/>
          <w:b w:val="false"/>
          <w:color w:val="000000"/>
          <w:sz w:val="22"/>
        </w:rPr>
        <w:t>).</w:t>
      </w:r>
    </w:p>
    <w:p>
      <w:pPr>
        <w:pStyle w:val="TextBody"/>
        <w:bidi w:val="0"/>
        <w:spacing w:lineRule="auto" w:line="288" w:before="180" w:after="283"/>
        <w:ind w:left="0" w:right="0" w:hanging="360"/>
        <w:jc w:val="both"/>
        <w:rPr/>
      </w:pPr>
      <w:r>
        <w:rPr>
          <w:rFonts w:ascii="Times New Roman;serif" w:hAnsi="Times New Roman;serif"/>
          <w:b w:val="false"/>
          <w:color w:val="000000"/>
          <w:sz w:val="22"/>
        </w:rPr>
        <w:t>(b)Schedule</w:t>
      </w:r>
      <w:r>
        <w:rPr>
          <w:color w:val="000000"/>
        </w:rPr>
        <w:t xml:space="preserve"> </w:t>
      </w:r>
      <w:r>
        <w:rPr>
          <w:rFonts w:ascii="Times New Roman;serif" w:hAnsi="Times New Roman;serif"/>
          <w:b w:val="false"/>
          <w:color w:val="000000"/>
          <w:sz w:val="22"/>
        </w:rPr>
        <w:t>2.01</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hereby</w:t>
      </w:r>
      <w:r>
        <w:rPr>
          <w:color w:val="000000"/>
        </w:rPr>
        <w:t xml:space="preserve"> </w:t>
      </w:r>
      <w:r>
        <w:rPr>
          <w:rFonts w:ascii="Times New Roman;serif" w:hAnsi="Times New Roman;serif"/>
          <w:b w:val="false"/>
          <w:color w:val="000000"/>
          <w:sz w:val="22"/>
        </w:rPr>
        <w:t>amended</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restated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its entirety as set forth on Schedule 2.01 hereto.</w:t>
      </w:r>
    </w:p>
    <w:p>
      <w:pPr>
        <w:pStyle w:val="TextBody"/>
        <w:bidi w:val="0"/>
        <w:spacing w:lineRule="auto" w:line="288" w:before="180" w:after="283"/>
        <w:ind w:left="0" w:right="0" w:hanging="360"/>
        <w:jc w:val="left"/>
        <w:rPr/>
      </w:pPr>
      <w:r>
        <w:rPr>
          <w:rFonts w:ascii="Times New Roman;serif" w:hAnsi="Times New Roman;serif"/>
          <w:b w:val="false"/>
          <w:color w:val="000000"/>
          <w:sz w:val="22"/>
        </w:rPr>
        <w:t>(c)The Required Lenders waive payment of the Milestone Fees set forth in</w:t>
      </w:r>
      <w:r>
        <w:rPr>
          <w:color w:val="000000"/>
        </w:rPr>
        <w:t xml:space="preserve"> </w:t>
      </w:r>
      <w:r>
        <w:rPr>
          <w:rFonts w:ascii="Times New Roman;serif" w:hAnsi="Times New Roman;serif"/>
          <w:b w:val="false"/>
          <w:color w:val="000000"/>
          <w:sz w:val="22"/>
        </w:rPr>
        <w:t>the Fifth Amendment Transaction Letter.</w:t>
      </w:r>
    </w:p>
    <w:p>
      <w:pPr>
        <w:pStyle w:val="TextBody"/>
        <w:bidi w:val="0"/>
        <w:spacing w:lineRule="auto" w:line="288" w:before="180" w:after="283"/>
        <w:ind w:left="0" w:right="0" w:firstLine="720"/>
        <w:jc w:val="both"/>
        <w:rPr/>
      </w:pPr>
      <w:r>
        <w:rPr>
          <w:rFonts w:ascii="Times New Roman;serif" w:hAnsi="Times New Roman;serif"/>
          <w:b w:val="false"/>
          <w:color w:val="000000"/>
          <w:sz w:val="22"/>
        </w:rPr>
        <w:t xml:space="preserve">3. </w:t>
      </w:r>
      <w:r>
        <w:rPr>
          <w:rFonts w:ascii="Times New Roman;serif" w:hAnsi="Times New Roman;serif"/>
          <w:b w:val="false"/>
          <w:color w:val="000000"/>
          <w:sz w:val="24"/>
          <w:u w:val="single"/>
        </w:rPr>
        <w:t>Reallocation of Risk Participations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After giving effect to this Agreement, the risk participations held by the Lenders in the outstanding L/C Obligations and outstanding Swing Line Loans shall</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reallocated</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holds</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risk</w:t>
      </w:r>
      <w:r>
        <w:rPr>
          <w:color w:val="000000"/>
        </w:rPr>
        <w:t xml:space="preserve"> </w:t>
      </w:r>
      <w:r>
        <w:rPr>
          <w:rFonts w:ascii="Times New Roman;serif" w:hAnsi="Times New Roman;serif"/>
          <w:b w:val="false"/>
          <w:color w:val="000000"/>
          <w:sz w:val="22"/>
        </w:rPr>
        <w:t>participation</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outstanding</w:t>
      </w:r>
      <w:r>
        <w:rPr>
          <w:color w:val="000000"/>
        </w:rPr>
        <w:t xml:space="preserve"> </w:t>
      </w:r>
      <w:r>
        <w:rPr>
          <w:rFonts w:ascii="Times New Roman;serif" w:hAnsi="Times New Roman;serif"/>
          <w:b w:val="false"/>
          <w:color w:val="000000"/>
          <w:sz w:val="22"/>
        </w:rPr>
        <w:t>L/C</w:t>
      </w:r>
      <w:r>
        <w:rPr>
          <w:color w:val="000000"/>
        </w:rPr>
        <w:t xml:space="preserve"> </w:t>
      </w:r>
      <w:r>
        <w:rPr>
          <w:rFonts w:ascii="Times New Roman;serif" w:hAnsi="Times New Roman;serif"/>
          <w:b w:val="false"/>
          <w:color w:val="000000"/>
          <w:sz w:val="22"/>
        </w:rPr>
        <w:t>Obligations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2"/>
        </w:rPr>
        <w:t>and outstanding</w:t>
      </w:r>
      <w:r>
        <w:rPr>
          <w:color w:val="000000"/>
        </w:rPr>
        <w:t xml:space="preserve"> </w:t>
      </w:r>
      <w:r>
        <w:rPr>
          <w:rFonts w:ascii="Times New Roman;serif" w:hAnsi="Times New Roman;serif"/>
          <w:b w:val="false"/>
          <w:color w:val="000000"/>
          <w:sz w:val="22"/>
        </w:rPr>
        <w:t>Swing</w:t>
      </w:r>
      <w:r>
        <w:rPr>
          <w:color w:val="000000"/>
        </w:rPr>
        <w:t xml:space="preserve"> </w:t>
      </w:r>
      <w:r>
        <w:rPr>
          <w:rFonts w:ascii="Times New Roman;serif" w:hAnsi="Times New Roman;serif"/>
          <w:b w:val="false"/>
          <w:color w:val="000000"/>
          <w:sz w:val="22"/>
        </w:rPr>
        <w:t>Line</w:t>
      </w:r>
      <w:r>
        <w:rPr>
          <w:color w:val="000000"/>
        </w:rPr>
        <w:t xml:space="preserve"> </w:t>
      </w:r>
      <w:r>
        <w:rPr>
          <w:rFonts w:ascii="Times New Roman;serif" w:hAnsi="Times New Roman;serif"/>
          <w:b w:val="false"/>
          <w:color w:val="000000"/>
          <w:sz w:val="22"/>
        </w:rPr>
        <w:t>Loans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amount</w:t>
      </w:r>
      <w:r>
        <w:rPr>
          <w:color w:val="000000"/>
        </w:rPr>
        <w:t xml:space="preserve"> </w:t>
      </w:r>
      <w:r>
        <w:rPr>
          <w:rFonts w:ascii="Times New Roman;serif" w:hAnsi="Times New Roman;serif"/>
          <w:b w:val="false"/>
          <w:color w:val="000000"/>
          <w:sz w:val="22"/>
        </w:rPr>
        <w:t>equal</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Applicable</w:t>
      </w:r>
      <w:r>
        <w:rPr>
          <w:color w:val="000000"/>
        </w:rPr>
        <w:t xml:space="preserve"> </w:t>
      </w:r>
      <w:r>
        <w:rPr>
          <w:rFonts w:ascii="Times New Roman;serif" w:hAnsi="Times New Roman;serif"/>
          <w:b w:val="false"/>
          <w:color w:val="000000"/>
          <w:sz w:val="22"/>
        </w:rPr>
        <w:t>Percentage</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respect</w:t>
      </w:r>
      <w:r>
        <w:rPr>
          <w:color w:val="000000"/>
        </w:rPr>
        <w:t xml:space="preserve"> </w:t>
      </w:r>
      <w:r>
        <w:rPr>
          <w:rFonts w:ascii="Times New Roman;serif" w:hAnsi="Times New Roman;serif"/>
          <w:b w:val="false"/>
          <w:color w:val="000000"/>
          <w:sz w:val="22"/>
        </w:rPr>
        <w:t xml:space="preserve">to the Aggregate Revolving Commitments) of the outstanding L/C Obligations and outstanding Swing Line </w:t>
      </w:r>
      <w:r>
        <w:rPr>
          <w:rFonts w:ascii="Times New Roman;serif" w:hAnsi="Times New Roman;serif"/>
          <w:b w:val="false"/>
          <w:color w:val="000000"/>
          <w:sz w:val="24"/>
        </w:rPr>
        <w:t>Loans.</w:t>
      </w:r>
    </w:p>
    <w:p>
      <w:pPr>
        <w:pStyle w:val="TextBody"/>
        <w:bidi w:val="0"/>
        <w:spacing w:lineRule="auto" w:line="288" w:before="180" w:after="283"/>
        <w:ind w:left="0" w:right="0" w:firstLine="720"/>
        <w:jc w:val="both"/>
        <w:rPr/>
      </w:pPr>
      <w:r>
        <w:rPr>
          <w:rFonts w:ascii="Times New Roman;serif" w:hAnsi="Times New Roman;serif"/>
          <w:b w:val="false"/>
          <w:color w:val="000000"/>
          <w:sz w:val="22"/>
        </w:rPr>
        <w:t>4.    </w:t>
      </w:r>
      <w:r>
        <w:rPr>
          <w:rFonts w:ascii="Times New Roman;serif" w:hAnsi="Times New Roman;serif"/>
          <w:b w:val="false"/>
          <w:color w:val="000000"/>
          <w:sz w:val="24"/>
          <w:u w:val="single"/>
        </w:rPr>
        <w:t>Conditions Precedent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effective</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date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2"/>
        </w:rPr>
        <w:t>) that each of the following conditions have been satisfied:</w:t>
      </w:r>
    </w:p>
    <w:p>
      <w:pPr>
        <w:pStyle w:val="TextBody"/>
        <w:bidi w:val="0"/>
        <w:spacing w:lineRule="auto" w:line="288" w:before="180" w:after="283"/>
        <w:ind w:left="0" w:right="0" w:firstLine="720"/>
        <w:jc w:val="both"/>
        <w:rPr/>
      </w:pPr>
      <w:r>
        <w:rPr>
          <w:rFonts w:ascii="Times New Roman;serif" w:hAnsi="Times New Roman;serif"/>
          <w:b w:val="false"/>
          <w:color w:val="000000"/>
          <w:sz w:val="24"/>
        </w:rPr>
        <w:t>(a)</w:t>
      </w:r>
      <w:r>
        <w:rPr>
          <w:color w:val="000000"/>
        </w:rPr>
        <w:t>    </w:t>
      </w:r>
      <w:r>
        <w:rPr>
          <w:rFonts w:ascii="Times New Roman;serif" w:hAnsi="Times New Roman;serif"/>
          <w:b w:val="false"/>
          <w:i/>
          <w:color w:val="000000"/>
          <w:sz w:val="24"/>
        </w:rPr>
        <w:t>Executed Agreement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received</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copy</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 xml:space="preserve">this Agreement duly executed by each of the Borrower, each of the Lenders and the Administrative </w:t>
      </w:r>
      <w:r>
        <w:rPr>
          <w:rFonts w:ascii="Times New Roman;serif" w:hAnsi="Times New Roman;serif"/>
          <w:b w:val="false"/>
          <w:color w:val="000000"/>
          <w:sz w:val="24"/>
        </w:rPr>
        <w:t>Agent.</w:t>
      </w:r>
    </w:p>
    <w:p>
      <w:pPr>
        <w:pStyle w:val="TextBody"/>
        <w:bidi w:val="0"/>
        <w:spacing w:lineRule="auto" w:line="288" w:before="180" w:after="283"/>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 xml:space="preserve">Officer’s Certificate, Authorizing Resolutions, and Incumbencies. </w:t>
      </w:r>
      <w:r>
        <w:rPr>
          <w:rFonts w:ascii="Times New Roman;serif" w:hAnsi="Times New Roman;serif"/>
          <w:b w:val="false"/>
          <w:color w:val="000000"/>
          <w:sz w:val="22"/>
        </w:rPr>
        <w:t>The Administrative Agent shall have received certificates of resolutions or other action, incumbency certificates, and/or other certificates of the Secretary, Assistant Secretary, or other appropriate officer acceptable to the Administrative Agent, of the Borrower, dated as of the Effective Date, reflecting the transactions contemplated by</w:t>
      </w:r>
      <w:r>
        <w:rPr>
          <w:color w:val="000000"/>
        </w:rPr>
        <w:t xml:space="preserve"> </w:t>
      </w:r>
      <w:r>
        <w:rPr>
          <w:rFonts w:ascii="Times New Roman;serif" w:hAnsi="Times New Roman;serif"/>
          <w:b w:val="false"/>
          <w:color w:val="000000"/>
          <w:sz w:val="22"/>
        </w:rPr>
        <w:t>this Agreement and</w:t>
      </w:r>
      <w:r>
        <w:rPr>
          <w:color w:val="000000"/>
        </w:rPr>
        <w:t xml:space="preserve"> </w:t>
      </w:r>
      <w:r>
        <w:rPr>
          <w:rFonts w:ascii="Times New Roman;serif" w:hAnsi="Times New Roman;serif"/>
          <w:b w:val="false"/>
          <w:color w:val="000000"/>
          <w:sz w:val="22"/>
        </w:rPr>
        <w:t>in form reasonably satisfactory to 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extent</w:t>
      </w:r>
      <w:r>
        <w:rPr>
          <w:color w:val="000000"/>
        </w:rPr>
        <w:t xml:space="preserve"> </w:t>
      </w:r>
      <w:r>
        <w:rPr>
          <w:rFonts w:ascii="Times New Roman;serif" w:hAnsi="Times New Roman;serif"/>
          <w:b w:val="false"/>
          <w:color w:val="000000"/>
          <w:sz w:val="22"/>
        </w:rPr>
        <w:t>none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foregoing</w:t>
      </w:r>
      <w:r>
        <w:rPr>
          <w:color w:val="000000"/>
        </w:rPr>
        <w:t xml:space="preserve"> </w:t>
      </w:r>
      <w:r>
        <w:rPr>
          <w:rFonts w:ascii="Times New Roman;serif" w:hAnsi="Times New Roman;serif"/>
          <w:b w:val="false"/>
          <w:color w:val="000000"/>
          <w:sz w:val="22"/>
        </w:rPr>
        <w:t>has</w:t>
      </w:r>
      <w:r>
        <w:rPr>
          <w:color w:val="000000"/>
        </w:rPr>
        <w:t xml:space="preserve"> </w:t>
      </w:r>
      <w:r>
        <w:rPr>
          <w:rFonts w:ascii="Times New Roman;serif" w:hAnsi="Times New Roman;serif"/>
          <w:b w:val="false"/>
          <w:color w:val="000000"/>
          <w:sz w:val="22"/>
        </w:rPr>
        <w:t>changed</w:t>
      </w:r>
      <w:r>
        <w:rPr>
          <w:color w:val="000000"/>
        </w:rPr>
        <w:t xml:space="preserve"> </w:t>
      </w:r>
      <w:r>
        <w:rPr>
          <w:rFonts w:ascii="Times New Roman;serif" w:hAnsi="Times New Roman;serif"/>
          <w:b w:val="false"/>
          <w:color w:val="000000"/>
          <w:sz w:val="22"/>
        </w:rPr>
        <w:t>since</w:t>
      </w:r>
      <w:r>
        <w:rPr>
          <w:color w:val="000000"/>
        </w:rPr>
        <w:t xml:space="preserve"> </w:t>
      </w:r>
      <w:r>
        <w:rPr>
          <w:rFonts w:ascii="Times New Roman;serif" w:hAnsi="Times New Roman;serif"/>
          <w:b w:val="false"/>
          <w:color w:val="000000"/>
          <w:sz w:val="22"/>
        </w:rPr>
        <w:t>they were</w:t>
      </w:r>
      <w:r>
        <w:rPr>
          <w:color w:val="000000"/>
        </w:rPr>
        <w:t xml:space="preserve"> </w:t>
      </w:r>
      <w:r>
        <w:rPr>
          <w:rFonts w:ascii="Times New Roman;serif" w:hAnsi="Times New Roman;serif"/>
          <w:b w:val="false"/>
          <w:color w:val="000000"/>
          <w:sz w:val="22"/>
        </w:rPr>
        <w:t>most</w:t>
      </w:r>
      <w:r>
        <w:rPr>
          <w:color w:val="000000"/>
        </w:rPr>
        <w:t xml:space="preserve"> </w:t>
      </w:r>
      <w:r>
        <w:rPr>
          <w:rFonts w:ascii="Times New Roman;serif" w:hAnsi="Times New Roman;serif"/>
          <w:b w:val="false"/>
          <w:color w:val="000000"/>
          <w:sz w:val="22"/>
        </w:rPr>
        <w:t>recently</w:t>
      </w:r>
      <w:r>
        <w:rPr>
          <w:color w:val="000000"/>
        </w:rPr>
        <w:t xml:space="preserve"> </w:t>
      </w:r>
      <w:r>
        <w:rPr>
          <w:rFonts w:ascii="Times New Roman;serif" w:hAnsi="Times New Roman;serif"/>
          <w:b w:val="false"/>
          <w:color w:val="000000"/>
          <w:sz w:val="22"/>
        </w:rPr>
        <w:t>delivered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then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may deliver a customary, short-form “bring down” certificate.</w:t>
      </w:r>
    </w:p>
    <w:p>
      <w:pPr>
        <w:pStyle w:val="TextBody"/>
        <w:bidi w:val="0"/>
        <w:spacing w:lineRule="auto" w:line="288" w:before="180" w:after="283"/>
        <w:ind w:left="0" w:right="0" w:firstLine="720"/>
        <w:jc w:val="both"/>
        <w:rPr/>
      </w:pPr>
      <w:r>
        <w:rPr>
          <w:rFonts w:ascii="Times New Roman;serif" w:hAnsi="Times New Roman;serif"/>
          <w:b w:val="false"/>
          <w:color w:val="000000"/>
          <w:sz w:val="24"/>
        </w:rPr>
        <w:t>(c)    </w:t>
      </w:r>
      <w:r>
        <w:rPr>
          <w:rFonts w:ascii="Times New Roman;serif" w:hAnsi="Times New Roman;serif"/>
          <w:b w:val="false"/>
          <w:i/>
          <w:color w:val="000000"/>
          <w:sz w:val="24"/>
        </w:rPr>
        <w:t>Good Standing Certificate</w:t>
      </w:r>
      <w:r>
        <w:rPr>
          <w:rFonts w:ascii="Times New Roman;serif" w:hAnsi="Times New Roman;serif"/>
          <w:b w:val="false"/>
          <w:color w:val="000000"/>
          <w:sz w:val="22"/>
        </w:rPr>
        <w:t>. The Administrative Agent shall have received such documents and certifications as the Administrative Agent may require to evidence that the Borrower is duly organized or formed, and is validly existing, in good standing and qualified to engage in business in its state of organization or formation</w:t>
      </w:r>
    </w:p>
    <w:p>
      <w:pPr>
        <w:pStyle w:val="TextBody"/>
        <w:bidi w:val="0"/>
        <w:spacing w:lineRule="auto" w:line="288" w:before="180" w:after="283"/>
        <w:ind w:left="0" w:right="0" w:firstLine="720"/>
        <w:jc w:val="both"/>
        <w:rPr/>
      </w:pPr>
      <w:r>
        <w:rPr>
          <w:rFonts w:ascii="Times New Roman;serif" w:hAnsi="Times New Roman;serif"/>
          <w:b w:val="false"/>
          <w:color w:val="000000"/>
          <w:sz w:val="22"/>
        </w:rPr>
        <w:t>(d)    </w:t>
      </w:r>
      <w:r>
        <w:rPr>
          <w:rFonts w:ascii="Times New Roman;serif" w:hAnsi="Times New Roman;serif"/>
          <w:b w:val="false"/>
          <w:i/>
          <w:color w:val="000000"/>
          <w:sz w:val="24"/>
        </w:rPr>
        <w:t xml:space="preserve">Legal Opinion. </w:t>
      </w:r>
      <w:r>
        <w:rPr>
          <w:rFonts w:ascii="Times New Roman;serif" w:hAnsi="Times New Roman;serif"/>
          <w:b w:val="false"/>
          <w:color w:val="000000"/>
          <w:sz w:val="22"/>
        </w:rPr>
        <w:t>The Administrative Agent shall have received</w:t>
      </w:r>
      <w:r>
        <w:rPr>
          <w:color w:val="000000"/>
        </w:rPr>
        <w:t xml:space="preserve"> </w:t>
      </w:r>
      <w:r>
        <w:rPr>
          <w:rFonts w:ascii="Times New Roman;serif" w:hAnsi="Times New Roman;serif"/>
          <w:b w:val="false"/>
          <w:color w:val="000000"/>
          <w:sz w:val="22"/>
        </w:rPr>
        <w:t>favorable opinions of</w:t>
      </w:r>
      <w:r>
        <w:rPr>
          <w:color w:val="000000"/>
        </w:rPr>
        <w:t xml:space="preserve"> </w:t>
      </w:r>
      <w:r>
        <w:rPr>
          <w:rFonts w:ascii="Times New Roman;serif" w:hAnsi="Times New Roman;serif"/>
          <w:b w:val="false"/>
          <w:color w:val="000000"/>
          <w:sz w:val="22"/>
        </w:rPr>
        <w:t>legal</w:t>
      </w:r>
      <w:r>
        <w:rPr>
          <w:color w:val="000000"/>
        </w:rPr>
        <w:t xml:space="preserve"> </w:t>
      </w:r>
      <w:r>
        <w:rPr>
          <w:rFonts w:ascii="Times New Roman;serif" w:hAnsi="Times New Roman;serif"/>
          <w:b w:val="false"/>
          <w:color w:val="000000"/>
          <w:sz w:val="22"/>
        </w:rPr>
        <w:t>counsel</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addressed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dated</w:t>
      </w:r>
      <w:r>
        <w:rPr>
          <w:color w:val="000000"/>
        </w:rPr>
        <w:t xml:space="preserve"> </w:t>
      </w:r>
      <w:r>
        <w:rPr>
          <w:rFonts w:ascii="Times New Roman;serif" w:hAnsi="Times New Roman;serif"/>
          <w:b w:val="false"/>
          <w:color w:val="000000"/>
          <w:sz w:val="22"/>
        </w:rPr>
        <w:t>as of the Effective Date.</w:t>
      </w:r>
    </w:p>
    <w:p>
      <w:pPr>
        <w:pStyle w:val="TextBody"/>
        <w:bidi w:val="0"/>
        <w:spacing w:lineRule="auto" w:line="288" w:before="180" w:after="283"/>
        <w:ind w:left="0" w:right="0" w:firstLine="720"/>
        <w:jc w:val="both"/>
        <w:rPr/>
      </w:pPr>
      <w:r>
        <w:rPr>
          <w:rFonts w:ascii="Times New Roman;serif" w:hAnsi="Times New Roman;serif"/>
          <w:b w:val="false"/>
          <w:color w:val="000000"/>
          <w:sz w:val="22"/>
        </w:rPr>
        <w:t>(e)    </w:t>
      </w:r>
      <w:r>
        <w:rPr>
          <w:rFonts w:ascii="Times New Roman;serif" w:hAnsi="Times New Roman;serif"/>
          <w:b w:val="false"/>
          <w:i/>
          <w:color w:val="000000"/>
          <w:sz w:val="24"/>
        </w:rPr>
        <w:t>Lien Searches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received</w:t>
      </w:r>
      <w:r>
        <w:rPr>
          <w:color w:val="000000"/>
        </w:rPr>
        <w:t xml:space="preserve"> </w:t>
      </w:r>
      <w:r>
        <w:rPr>
          <w:rFonts w:ascii="Times New Roman;serif" w:hAnsi="Times New Roman;serif"/>
          <w:b w:val="false"/>
          <w:color w:val="000000"/>
          <w:sz w:val="22"/>
        </w:rPr>
        <w:t>completed</w:t>
      </w:r>
      <w:r>
        <w:rPr>
          <w:color w:val="000000"/>
        </w:rPr>
        <w:t xml:space="preserve"> </w:t>
      </w:r>
      <w:r>
        <w:rPr>
          <w:rFonts w:ascii="Times New Roman;serif" w:hAnsi="Times New Roman;serif"/>
          <w:b w:val="false"/>
          <w:color w:val="000000"/>
          <w:sz w:val="22"/>
        </w:rPr>
        <w:t>searches of Uniform Commercial Code filings in the jurisdiction of formation of the Borrower.</w:t>
      </w:r>
    </w:p>
    <w:p>
      <w:pPr>
        <w:pStyle w:val="TextBody"/>
        <w:bidi w:val="0"/>
        <w:spacing w:lineRule="auto" w:line="288" w:before="180" w:after="283"/>
        <w:ind w:left="0" w:right="0" w:firstLine="720"/>
        <w:jc w:val="both"/>
        <w:rPr/>
      </w:pPr>
      <w:r>
        <w:rPr>
          <w:rFonts w:ascii="Times New Roman;serif" w:hAnsi="Times New Roman;serif"/>
          <w:b w:val="false"/>
          <w:color w:val="000000"/>
          <w:sz w:val="22"/>
        </w:rPr>
        <w:t>(f)     </w:t>
      </w:r>
      <w:r>
        <w:rPr>
          <w:rFonts w:ascii="Times New Roman;serif" w:hAnsi="Times New Roman;serif"/>
          <w:b w:val="false"/>
          <w:i/>
          <w:color w:val="000000"/>
          <w:sz w:val="24"/>
        </w:rPr>
        <w:t>Fees and Expenses</w:t>
      </w:r>
      <w:r>
        <w:rPr>
          <w:rFonts w:ascii="Times New Roman;serif" w:hAnsi="Times New Roman;serif"/>
          <w:b w:val="false"/>
          <w:color w:val="000000"/>
          <w:sz w:val="22"/>
        </w:rPr>
        <w:t>. The Borrower shall have paid (i) all fees required to be paid 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BofA</w:t>
      </w:r>
      <w:r>
        <w:rPr>
          <w:color w:val="000000"/>
        </w:rPr>
        <w:t xml:space="preserve"> </w:t>
      </w:r>
      <w:r>
        <w:rPr>
          <w:rFonts w:ascii="Times New Roman;serif" w:hAnsi="Times New Roman;serif"/>
          <w:b w:val="false"/>
          <w:color w:val="000000"/>
          <w:sz w:val="22"/>
        </w:rPr>
        <w:t>Securities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capacity</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Arrangers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or prior to the Effective Date pursuant to one or more fee letters among the Borrower, the 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BofA</w:t>
      </w:r>
      <w:r>
        <w:rPr>
          <w:color w:val="000000"/>
        </w:rPr>
        <w:t xml:space="preserve"> </w:t>
      </w:r>
      <w:r>
        <w:rPr>
          <w:rFonts w:ascii="Times New Roman;serif" w:hAnsi="Times New Roman;serif"/>
          <w:b w:val="false"/>
          <w:color w:val="000000"/>
          <w:sz w:val="22"/>
        </w:rPr>
        <w:t>Securities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capacity</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Arrangers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all</w:t>
      </w:r>
      <w:r>
        <w:rPr>
          <w:color w:val="000000"/>
        </w:rPr>
        <w:t xml:space="preserve"> </w:t>
      </w:r>
      <w:r>
        <w:rPr>
          <w:rFonts w:ascii="Times New Roman;serif" w:hAnsi="Times New Roman;serif"/>
          <w:b w:val="false"/>
          <w:color w:val="000000"/>
          <w:sz w:val="22"/>
        </w:rPr>
        <w:t>documented and</w:t>
      </w:r>
      <w:r>
        <w:rPr>
          <w:color w:val="000000"/>
        </w:rPr>
        <w:t xml:space="preserve"> </w:t>
      </w:r>
      <w:r>
        <w:rPr>
          <w:rFonts w:ascii="Times New Roman;serif" w:hAnsi="Times New Roman;serif"/>
          <w:b w:val="false"/>
          <w:color w:val="000000"/>
          <w:sz w:val="22"/>
        </w:rPr>
        <w:t>invoiced</w:t>
      </w:r>
      <w:r>
        <w:rPr>
          <w:color w:val="000000"/>
        </w:rPr>
        <w:t xml:space="preserve"> </w:t>
      </w:r>
      <w:r>
        <w:rPr>
          <w:rFonts w:ascii="Times New Roman;serif" w:hAnsi="Times New Roman;serif"/>
          <w:b w:val="false"/>
          <w:color w:val="000000"/>
          <w:sz w:val="22"/>
        </w:rPr>
        <w:t>out-of-pocket</w:t>
      </w:r>
      <w:r>
        <w:rPr>
          <w:color w:val="000000"/>
        </w:rPr>
        <w:t xml:space="preserve"> </w:t>
      </w:r>
      <w:r>
        <w:rPr>
          <w:rFonts w:ascii="Times New Roman;serif" w:hAnsi="Times New Roman;serif"/>
          <w:b w:val="false"/>
          <w:color w:val="000000"/>
          <w:sz w:val="22"/>
        </w:rPr>
        <w:t>fees</w:t>
      </w:r>
      <w:r>
        <w:rPr>
          <w:color w:val="000000"/>
        </w:rPr>
        <w:t xml:space="preserve"> </w:t>
      </w:r>
      <w:r>
        <w:rPr>
          <w:rFonts w:ascii="Times New Roman;serif" w:hAnsi="Times New Roman;serif"/>
          <w:b w:val="false"/>
          <w:color w:val="000000"/>
          <w:sz w:val="22"/>
        </w:rPr>
        <w:t>and expenses</w:t>
      </w:r>
      <w:r>
        <w:rPr>
          <w:color w:val="000000"/>
        </w:rPr>
        <w:t xml:space="preserve"> </w:t>
      </w:r>
      <w:r>
        <w:rPr>
          <w:rFonts w:ascii="Times New Roman;serif" w:hAnsi="Times New Roman;serif"/>
          <w:b w:val="false"/>
          <w:color w:val="000000"/>
          <w:sz w:val="22"/>
        </w:rPr>
        <w:t>reasonably</w:t>
      </w:r>
      <w:r>
        <w:rPr>
          <w:color w:val="000000"/>
        </w:rPr>
        <w:t xml:space="preserve"> </w:t>
      </w:r>
      <w:r>
        <w:rPr>
          <w:rFonts w:ascii="Times New Roman;serif" w:hAnsi="Times New Roman;serif"/>
          <w:b w:val="false"/>
          <w:color w:val="000000"/>
          <w:sz w:val="22"/>
        </w:rPr>
        <w:t>incurred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the Administrative Agent in connection</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Loan</w:t>
      </w:r>
      <w:r>
        <w:rPr>
          <w:color w:val="000000"/>
        </w:rPr>
        <w:t xml:space="preserve"> </w:t>
      </w:r>
      <w:r>
        <w:rPr>
          <w:rFonts w:ascii="Times New Roman;serif" w:hAnsi="Times New Roman;serif"/>
          <w:b w:val="false"/>
          <w:color w:val="000000"/>
          <w:sz w:val="22"/>
        </w:rPr>
        <w:t>Documents</w:t>
      </w:r>
      <w:r>
        <w:rPr>
          <w:color w:val="000000"/>
        </w:rPr>
        <w:t xml:space="preserve"> </w:t>
      </w:r>
      <w:r>
        <w:rPr>
          <w:rFonts w:ascii="Times New Roman;serif" w:hAnsi="Times New Roman;serif"/>
          <w:b w:val="false"/>
          <w:color w:val="000000"/>
          <w:sz w:val="22"/>
        </w:rPr>
        <w:t>(including, without</w:t>
      </w:r>
      <w:r>
        <w:rPr>
          <w:color w:val="000000"/>
        </w:rPr>
        <w:t xml:space="preserve"> </w:t>
      </w:r>
      <w:r>
        <w:rPr>
          <w:rFonts w:ascii="Times New Roman;serif" w:hAnsi="Times New Roman;serif"/>
          <w:b w:val="false"/>
          <w:color w:val="000000"/>
          <w:sz w:val="22"/>
        </w:rPr>
        <w:t>limitation,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documented</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invoiced</w:t>
      </w:r>
      <w:r>
        <w:rPr>
          <w:color w:val="000000"/>
        </w:rPr>
        <w:t xml:space="preserve"> </w:t>
      </w:r>
      <w:r>
        <w:rPr>
          <w:rFonts w:ascii="Times New Roman;serif" w:hAnsi="Times New Roman;serif"/>
          <w:b w:val="false"/>
          <w:color w:val="000000"/>
          <w:sz w:val="22"/>
        </w:rPr>
        <w:t>fees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out-of-pocket</w:t>
      </w:r>
      <w:r>
        <w:rPr>
          <w:color w:val="000000"/>
        </w:rPr>
        <w:t xml:space="preserve"> </w:t>
      </w:r>
      <w:r>
        <w:rPr>
          <w:rFonts w:ascii="Times New Roman;serif" w:hAnsi="Times New Roman;serif"/>
          <w:b w:val="false"/>
          <w:color w:val="000000"/>
          <w:sz w:val="22"/>
        </w:rPr>
        <w:t>expenses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Moore</w:t>
      </w:r>
      <w:r>
        <w:rPr>
          <w:color w:val="000000"/>
        </w:rPr>
        <w:t xml:space="preserve"> </w:t>
      </w:r>
      <w:r>
        <w:rPr>
          <w:rFonts w:ascii="Times New Roman;serif" w:hAnsi="Times New Roman;serif"/>
          <w:b w:val="false"/>
          <w:color w:val="000000"/>
          <w:sz w:val="22"/>
        </w:rPr>
        <w:t>&amp;</w:t>
      </w:r>
      <w:r>
        <w:rPr>
          <w:color w:val="000000"/>
        </w:rPr>
        <w:t xml:space="preserve"> </w:t>
      </w:r>
      <w:r>
        <w:rPr>
          <w:rFonts w:ascii="Times New Roman;serif" w:hAnsi="Times New Roman;serif"/>
          <w:b w:val="false"/>
          <w:color w:val="000000"/>
          <w:sz w:val="22"/>
        </w:rPr>
        <w:t>Van Allen PLLC, as counsel to the Administrative Agent).</w:t>
      </w:r>
    </w:p>
    <w:p>
      <w:pPr>
        <w:pStyle w:val="TextBody"/>
        <w:bidi w:val="0"/>
        <w:spacing w:lineRule="auto" w:line="288" w:before="180" w:after="283"/>
        <w:ind w:left="0" w:right="0" w:firstLine="72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Representations of the Borrower</w:t>
      </w:r>
      <w:r>
        <w:rPr>
          <w:rFonts w:ascii="Times New Roman;serif" w:hAnsi="Times New Roman;serif"/>
          <w:b w:val="false"/>
          <w:color w:val="000000"/>
          <w:sz w:val="22"/>
        </w:rPr>
        <w:t xml:space="preserve">. The Borrower represents and warrants to the Administrative Agent and the </w:t>
      </w:r>
      <w:r>
        <w:rPr>
          <w:rFonts w:ascii="Times New Roman;serif" w:hAnsi="Times New Roman;serif"/>
          <w:b w:val="false"/>
          <w:color w:val="000000"/>
          <w:sz w:val="24"/>
        </w:rPr>
        <w:t>Lenders</w:t>
      </w:r>
      <w:r>
        <w:rPr>
          <w:color w:val="000000"/>
        </w:rPr>
        <w:t xml:space="preserve"> </w:t>
      </w:r>
      <w:r>
        <w:rPr>
          <w:rFonts w:ascii="Times New Roman;serif" w:hAnsi="Times New Roman;serif"/>
          <w:b w:val="false"/>
          <w:color w:val="000000"/>
          <w:sz w:val="22"/>
        </w:rPr>
        <w:t xml:space="preserve">as follows: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w:t>
      </w:r>
      <w:r>
        <w:rPr>
          <w:rFonts w:ascii="Times New Roman;serif" w:hAnsi="Times New Roman;serif"/>
          <w:b w:val="false"/>
          <w:color w:val="000000"/>
          <w:sz w:val="24"/>
        </w:rPr>
        <w:t>a</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Borrower has the requisite power and authority and has taken all necessary action to authorize the execution, delivery, and performance of this Agreement in accordance with its terms.</w:t>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2"/>
        </w:rPr>
        <w:t>(</w:t>
      </w:r>
      <w:r>
        <w:rPr>
          <w:rFonts w:ascii="Times New Roman;serif" w:hAnsi="Times New Roman;serif"/>
          <w:b w:val="false"/>
          <w:color w:val="000000"/>
          <w:sz w:val="24"/>
        </w:rPr>
        <w:t>b</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This Agreement has been duly executed and delivered by the Borrower and is the legally valid and binding obligation of the Borrower, enforceable against such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2"/>
        </w:rPr>
        <w:t>in accordance with its respective terms, except as may be limited by Debtor Relief Laws or by equitable principles relating to enforceability.</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w:t>
      </w:r>
      <w:r>
        <w:rPr>
          <w:rFonts w:ascii="Times New Roman;serif" w:hAnsi="Times New Roman;serif"/>
          <w:b w:val="false"/>
          <w:color w:val="000000"/>
          <w:sz w:val="24"/>
        </w:rPr>
        <w:t>c</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execution, delivery, and performance by the Borrower of this Agreement and the consummation of the transactions contemplated by this Agreement do not and will not require, as a condition to the effectiveness thereof, any registration with, consent, or approval of, or notice to, or other action to, with, or by, any </w:t>
      </w:r>
      <w:r>
        <w:rPr>
          <w:rFonts w:ascii="Times New Roman;serif" w:hAnsi="Times New Roman;serif"/>
          <w:b w:val="false"/>
          <w:color w:val="000000"/>
          <w:sz w:val="24"/>
        </w:rPr>
        <w:t>Governmental Authority</w:t>
      </w:r>
      <w:r>
        <w:rPr>
          <w:color w:val="000000"/>
        </w:rPr>
        <w:t xml:space="preserve"> </w:t>
      </w:r>
      <w:r>
        <w:rPr>
          <w:rFonts w:ascii="Times New Roman;serif" w:hAnsi="Times New Roman;serif"/>
          <w:b w:val="false"/>
          <w:color w:val="000000"/>
          <w:sz w:val="22"/>
        </w:rPr>
        <w:t xml:space="preserve">except (i) to the extent already obtained, (ii) for filings necessary to perfect, and/or maintain the perfection of, the </w:t>
      </w:r>
      <w:r>
        <w:rPr>
          <w:rFonts w:ascii="Times New Roman;serif" w:hAnsi="Times New Roman;serif"/>
          <w:b w:val="false"/>
          <w:color w:val="000000"/>
          <w:sz w:val="24"/>
        </w:rPr>
        <w:t>Liens</w:t>
      </w:r>
      <w:r>
        <w:rPr>
          <w:color w:val="000000"/>
        </w:rPr>
        <w:t xml:space="preserve"> </w:t>
      </w:r>
      <w:r>
        <w:rPr>
          <w:rFonts w:ascii="Times New Roman;serif" w:hAnsi="Times New Roman;serif"/>
          <w:b w:val="false"/>
          <w:color w:val="000000"/>
          <w:sz w:val="22"/>
        </w:rPr>
        <w:t xml:space="preserve">created under the </w:t>
      </w:r>
      <w:r>
        <w:rPr>
          <w:rFonts w:ascii="Times New Roman;serif" w:hAnsi="Times New Roman;serif"/>
          <w:b w:val="false"/>
          <w:color w:val="000000"/>
          <w:sz w:val="24"/>
        </w:rPr>
        <w:t>Loan Documents</w:t>
      </w:r>
      <w:r>
        <w:rPr>
          <w:color w:val="000000"/>
        </w:rPr>
        <w:t xml:space="preserve"> </w:t>
      </w:r>
      <w:r>
        <w:rPr>
          <w:rFonts w:ascii="Times New Roman;serif" w:hAnsi="Times New Roman;serif"/>
          <w:b w:val="false"/>
          <w:color w:val="000000"/>
          <w:sz w:val="22"/>
        </w:rPr>
        <w:t>or (iii) for filings, recordings, or consents where failure to obtain or make could not reasonably be expected to have a Material Adverse Effect.</w:t>
      </w:r>
    </w:p>
    <w:p>
      <w:pPr>
        <w:pStyle w:val="TextBody"/>
        <w:bidi w:val="0"/>
        <w:spacing w:lineRule="auto" w:line="288" w:before="180" w:after="283"/>
        <w:ind w:left="0" w:right="0" w:firstLine="1440"/>
        <w:jc w:val="both"/>
        <w:rPr/>
      </w:pPr>
      <w:r>
        <w:rPr>
          <w:rFonts w:ascii="Times New Roman;serif" w:hAnsi="Times New Roman;serif"/>
          <w:b w:val="false"/>
          <w:color w:val="000000"/>
          <w:sz w:val="22"/>
        </w:rPr>
        <w:t>(</w:t>
      </w:r>
      <w:r>
        <w:rPr>
          <w:rFonts w:ascii="Times New Roman;serif" w:hAnsi="Times New Roman;serif"/>
          <w:b w:val="false"/>
          <w:color w:val="000000"/>
          <w:sz w:val="24"/>
        </w:rPr>
        <w:t>d</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4"/>
        </w:rPr>
        <w:t>After giving effect to this Agreement: (i) the representations and warranties of the Borrower set forth in the Loan Documents are true and correct in all material respects (but without duplication of any existing materiality qualifiers) on and as of the Effective Date to the same extent as though made on and as of such date except to the extent such representations and warranties specifically relate to an earlier date (in which case they are true, accurate and complete in all material respects (but without duplication of any existing materiality qualifiers) as of such earlier date); and (ii) no Default or Event of Default exists on and as of the Effective Date.</w:t>
      </w:r>
    </w:p>
    <w:p>
      <w:pPr>
        <w:pStyle w:val="TextBody"/>
        <w:bidi w:val="0"/>
        <w:spacing w:lineRule="auto" w:line="288" w:before="180" w:after="283"/>
        <w:ind w:left="0" w:right="0" w:firstLine="72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Release</w:t>
      </w:r>
      <w:r>
        <w:rPr>
          <w:rFonts w:ascii="Times New Roman;serif" w:hAnsi="Times New Roman;serif"/>
          <w:b w:val="false"/>
          <w:color w:val="000000"/>
          <w:sz w:val="22"/>
        </w:rPr>
        <w:t xml:space="preserve">. The Borrower hereby releases and forever discharges the Administrative Agent, the </w:t>
      </w:r>
      <w:r>
        <w:rPr>
          <w:rFonts w:ascii="Times New Roman;serif" w:hAnsi="Times New Roman;serif"/>
          <w:b w:val="false"/>
          <w:color w:val="000000"/>
          <w:sz w:val="24"/>
        </w:rPr>
        <w:t>Swing Line Lender</w:t>
      </w:r>
      <w:r>
        <w:rPr>
          <w:rFonts w:ascii="Times New Roman;serif" w:hAnsi="Times New Roman;serif"/>
          <w:b w:val="false"/>
          <w:color w:val="000000"/>
          <w:sz w:val="22"/>
        </w:rPr>
        <w:t>, the L/</w:t>
      </w:r>
      <w:r>
        <w:rPr>
          <w:rFonts w:ascii="Times New Roman;serif" w:hAnsi="Times New Roman;serif"/>
          <w:b w:val="false"/>
          <w:color w:val="000000"/>
          <w:sz w:val="24"/>
        </w:rPr>
        <w:t>C Issuer</w:t>
      </w:r>
      <w:r>
        <w:rPr>
          <w:rFonts w:ascii="Times New Roman;serif" w:hAnsi="Times New Roman;serif"/>
          <w:b w:val="false"/>
          <w:color w:val="000000"/>
          <w:sz w:val="22"/>
        </w:rPr>
        <w:t xml:space="preserve">, each </w:t>
      </w:r>
      <w:r>
        <w:rPr>
          <w:rFonts w:ascii="Times New Roman;serif" w:hAnsi="Times New Roman;serif"/>
          <w:b w:val="false"/>
          <w:color w:val="000000"/>
          <w:sz w:val="24"/>
        </w:rPr>
        <w:t>Lender</w:t>
      </w:r>
      <w:r>
        <w:rPr>
          <w:rFonts w:ascii="Times New Roman;serif" w:hAnsi="Times New Roman;serif"/>
          <w:b w:val="false"/>
          <w:color w:val="000000"/>
          <w:sz w:val="22"/>
        </w:rPr>
        <w:t xml:space="preserve">, and each of their respective predecessors, successors, assigns, and </w:t>
      </w:r>
      <w:r>
        <w:rPr>
          <w:rFonts w:ascii="Times New Roman;serif" w:hAnsi="Times New Roman;serif"/>
          <w:b w:val="false"/>
          <w:color w:val="000000"/>
          <w:sz w:val="24"/>
        </w:rPr>
        <w:t>Related Parties</w:t>
      </w:r>
      <w:r>
        <w:rPr>
          <w:color w:val="000000"/>
        </w:rPr>
        <w:t xml:space="preserve"> </w:t>
      </w:r>
      <w:r>
        <w:rPr>
          <w:rFonts w:ascii="Times New Roman;serif" w:hAnsi="Times New Roman;serif"/>
          <w:b w:val="false"/>
          <w:color w:val="000000"/>
          <w:sz w:val="22"/>
        </w:rPr>
        <w:t>(each and every of the foregoing, a “</w:t>
      </w:r>
      <w:r>
        <w:rPr>
          <w:rFonts w:ascii="Times New Roman;serif" w:hAnsi="Times New Roman;serif"/>
          <w:b w:val="false"/>
          <w:color w:val="000000"/>
          <w:sz w:val="24"/>
          <w:u w:val="single"/>
        </w:rPr>
        <w:t>Released Party</w:t>
      </w:r>
      <w:r>
        <w:rPr>
          <w:color w:val="000000"/>
        </w:rPr>
        <w:t>”</w:t>
      </w:r>
      <w:r>
        <w:rPr>
          <w:rFonts w:ascii="Times New Roman;serif" w:hAnsi="Times New Roman;serif"/>
          <w:b w:val="false"/>
          <w:color w:val="000000"/>
          <w:sz w:val="22"/>
        </w:rPr>
        <w:t>) from any and all claims, counterclaims, demands, damages, debts, suits, liabilities, actions, and causes of action of any nature whatsoever, in each case through the Effective Date, whether arising at law or in equity, whether known or unknown, whether liability be direct or indirect, whether liquidated or unliquidated, whether absolute or contingent, whether foreseen or unforeseen, and whether or not heretofore asserted, which the Borrower may have or claim to have against any Released Party.</w:t>
      </w:r>
    </w:p>
    <w:p>
      <w:pPr>
        <w:pStyle w:val="TextBody"/>
        <w:bidi w:val="0"/>
        <w:spacing w:lineRule="auto" w:line="288" w:before="180" w:after="283"/>
        <w:ind w:left="0" w:right="0" w:firstLine="72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No Actions, Claims</w:t>
      </w:r>
      <w:r>
        <w:rPr>
          <w:rFonts w:ascii="Times New Roman;serif" w:hAnsi="Times New Roman;serif"/>
          <w:b w:val="false"/>
          <w:color w:val="000000"/>
          <w:sz w:val="22"/>
        </w:rPr>
        <w:t xml:space="preserve">. The Borrower hereby represents, warrants, acknowledges, and confirms that the Borrower has no knowledge of any action, cause of action, claim, demand, damage, or liability of whatever kind or nature, in law or in equity, against any Released Party arising from any action by such </w:t>
      </w:r>
      <w:r>
        <w:rPr>
          <w:rFonts w:ascii="Times New Roman;serif" w:hAnsi="Times New Roman;serif"/>
          <w:b w:val="false"/>
          <w:color w:val="000000"/>
          <w:sz w:val="24"/>
        </w:rPr>
        <w:t>Person</w:t>
      </w:r>
      <w:r>
        <w:rPr>
          <w:rFonts w:ascii="Times New Roman;serif" w:hAnsi="Times New Roman;serif"/>
          <w:b w:val="false"/>
          <w:color w:val="000000"/>
          <w:sz w:val="22"/>
        </w:rPr>
        <w:t xml:space="preserve">, or failure of such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2"/>
        </w:rPr>
        <w:t>to act, in any way on or prior to the date hereof.</w:t>
      </w:r>
    </w:p>
    <w:p>
      <w:pPr>
        <w:pStyle w:val="TextBody"/>
        <w:bidi w:val="0"/>
        <w:spacing w:lineRule="auto" w:line="288" w:before="180" w:after="283"/>
        <w:ind w:left="0" w:right="0" w:firstLine="72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Incorporation of Agreement</w:t>
      </w:r>
      <w:r>
        <w:rPr>
          <w:rFonts w:ascii="Times New Roman;serif" w:hAnsi="Times New Roman;serif"/>
          <w:b w:val="false"/>
          <w:color w:val="000000"/>
          <w:sz w:val="22"/>
        </w:rPr>
        <w:t xml:space="preserve">. Except as specifically modified herein, the terms of the </w:t>
      </w:r>
      <w:r>
        <w:rPr>
          <w:rFonts w:ascii="Times New Roman;serif" w:hAnsi="Times New Roman;serif"/>
          <w:b w:val="false"/>
          <w:color w:val="000000"/>
          <w:sz w:val="24"/>
        </w:rPr>
        <w:t>Loan Documents</w:t>
      </w:r>
      <w:r>
        <w:rPr>
          <w:color w:val="000000"/>
        </w:rPr>
        <w:t xml:space="preserve"> </w:t>
      </w:r>
      <w:r>
        <w:rPr>
          <w:rFonts w:ascii="Times New Roman;serif" w:hAnsi="Times New Roman;serif"/>
          <w:b w:val="false"/>
          <w:color w:val="000000"/>
          <w:sz w:val="22"/>
        </w:rPr>
        <w:t xml:space="preserve">shall remain in full force and effect. The execution, delivery, and effectiveness of this Agreement shall not operate as a waiver of any right, power, or remedy of the Administrative Agent or the </w:t>
      </w:r>
      <w:r>
        <w:rPr>
          <w:rFonts w:ascii="Times New Roman;serif" w:hAnsi="Times New Roman;serif"/>
          <w:b w:val="false"/>
          <w:color w:val="000000"/>
          <w:sz w:val="24"/>
        </w:rPr>
        <w:t>Lenders</w:t>
      </w:r>
      <w:r>
        <w:rPr>
          <w:color w:val="000000"/>
        </w:rPr>
        <w:t xml:space="preserve"> </w:t>
      </w:r>
      <w:r>
        <w:rPr>
          <w:rFonts w:ascii="Times New Roman;serif" w:hAnsi="Times New Roman;serif"/>
          <w:b w:val="false"/>
          <w:color w:val="000000"/>
          <w:sz w:val="22"/>
        </w:rPr>
        <w:t xml:space="preserve">under the </w:t>
      </w:r>
      <w:r>
        <w:rPr>
          <w:rFonts w:ascii="Times New Roman;serif" w:hAnsi="Times New Roman;serif"/>
          <w:b w:val="false"/>
          <w:color w:val="000000"/>
          <w:sz w:val="24"/>
        </w:rPr>
        <w:t>Loan Documents</w:t>
      </w:r>
      <w:r>
        <w:rPr>
          <w:color w:val="000000"/>
        </w:rPr>
        <w:t xml:space="preserve"> </w:t>
      </w:r>
      <w:r>
        <w:rPr>
          <w:rFonts w:ascii="Times New Roman;serif" w:hAnsi="Times New Roman;serif"/>
          <w:b w:val="false"/>
          <w:color w:val="000000"/>
          <w:sz w:val="22"/>
        </w:rPr>
        <w:t xml:space="preserve">or constitute a waiver or amendment of any provision of the </w:t>
      </w:r>
      <w:r>
        <w:rPr>
          <w:rFonts w:ascii="Times New Roman;serif" w:hAnsi="Times New Roman;serif"/>
          <w:b w:val="false"/>
          <w:color w:val="000000"/>
          <w:sz w:val="24"/>
        </w:rPr>
        <w:t>Loan Documents</w:t>
      </w:r>
      <w:r>
        <w:rPr>
          <w:rFonts w:ascii="Times New Roman;serif" w:hAnsi="Times New Roman;serif"/>
          <w:b w:val="false"/>
          <w:color w:val="000000"/>
          <w:sz w:val="22"/>
        </w:rPr>
        <w:t xml:space="preserve">. The breach of any covenant or provision of this Agreement shall constitute an immediate </w:t>
      </w:r>
      <w:r>
        <w:rPr>
          <w:rFonts w:ascii="Times New Roman;serif" w:hAnsi="Times New Roman;serif"/>
          <w:b w:val="false"/>
          <w:color w:val="000000"/>
          <w:sz w:val="24"/>
        </w:rPr>
        <w:t>Event of Default</w:t>
      </w:r>
      <w:r>
        <w:rPr>
          <w:color w:val="000000"/>
        </w:rPr>
        <w:t xml:space="preserve"> </w:t>
      </w:r>
      <w:r>
        <w:rPr>
          <w:rFonts w:ascii="Times New Roman;serif" w:hAnsi="Times New Roman;serif"/>
          <w:b w:val="false"/>
          <w:color w:val="000000"/>
          <w:sz w:val="22"/>
        </w:rPr>
        <w:t xml:space="preserve">and this Agreement shall constitute a </w:t>
      </w:r>
      <w:r>
        <w:rPr>
          <w:rFonts w:ascii="Times New Roman;serif" w:hAnsi="Times New Roman;serif"/>
          <w:b w:val="false"/>
          <w:color w:val="000000"/>
          <w:sz w:val="24"/>
        </w:rPr>
        <w:t>Loan Document</w:t>
      </w:r>
      <w:r>
        <w:rPr>
          <w:rFonts w:ascii="Times New Roman;serif" w:hAnsi="Times New Roman;serif"/>
          <w:b w:val="false"/>
          <w:color w:val="000000"/>
          <w:sz w:val="22"/>
        </w:rPr>
        <w:t>.</w:t>
      </w:r>
    </w:p>
    <w:p>
      <w:pPr>
        <w:pStyle w:val="TextBody"/>
        <w:bidi w:val="0"/>
        <w:spacing w:lineRule="auto" w:line="288" w:before="180" w:after="283"/>
        <w:ind w:left="0" w:right="0" w:firstLine="72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No Third-Party Beneficiaries</w:t>
      </w:r>
      <w:r>
        <w:rPr>
          <w:rFonts w:ascii="Times New Roman;serif" w:hAnsi="Times New Roman;serif"/>
          <w:b w:val="false"/>
          <w:color w:val="000000"/>
          <w:sz w:val="22"/>
        </w:rPr>
        <w:t xml:space="preserve">. This Agreement and the rights and benefits hereof shall inure to the benefit of each of the parties hereto and their respective successors and assigns, and the obligations hereof shall be binding upon the Borrower. No other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2"/>
        </w:rPr>
        <w:t xml:space="preserve">shall have or be entitled to assert rights or benefits under this Agreement, other than any non-party Released Party with respect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2"/>
        </w:rPr>
        <w:t xml:space="preserve">hereof (which </w:t>
      </w:r>
      <w:r>
        <w:rPr>
          <w:rFonts w:ascii="Times New Roman;serif" w:hAnsi="Times New Roman;serif"/>
          <w:b w:val="false"/>
          <w:color w:val="000000"/>
          <w:sz w:val="24"/>
        </w:rPr>
        <w:t>Persons</w:t>
      </w:r>
      <w:r>
        <w:rPr>
          <w:color w:val="000000"/>
        </w:rPr>
        <w:t xml:space="preserve"> </w:t>
      </w:r>
      <w:r>
        <w:rPr>
          <w:rFonts w:ascii="Times New Roman;serif" w:hAnsi="Times New Roman;serif"/>
          <w:b w:val="false"/>
          <w:color w:val="000000"/>
          <w:sz w:val="22"/>
        </w:rPr>
        <w:t>are intended to be third party beneficiaries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ind w:left="0" w:right="0" w:firstLine="72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Entirety</w:t>
      </w:r>
      <w:r>
        <w:rPr>
          <w:rFonts w:ascii="Times New Roman;serif" w:hAnsi="Times New Roman;serif"/>
          <w:b w:val="false"/>
          <w:color w:val="000000"/>
          <w:sz w:val="22"/>
        </w:rPr>
        <w:t xml:space="preserve">. This Agreement, the Credit Agreement, and the other </w:t>
      </w:r>
      <w:r>
        <w:rPr>
          <w:rFonts w:ascii="Times New Roman;serif" w:hAnsi="Times New Roman;serif"/>
          <w:b w:val="false"/>
          <w:color w:val="000000"/>
          <w:sz w:val="24"/>
        </w:rPr>
        <w:t>Loan Documents</w:t>
      </w:r>
      <w:r>
        <w:rPr>
          <w:color w:val="000000"/>
        </w:rPr>
        <w:t xml:space="preserve"> </w:t>
      </w:r>
      <w:r>
        <w:rPr>
          <w:rFonts w:ascii="Times New Roman;serif" w:hAnsi="Times New Roman;serif"/>
          <w:b w:val="false"/>
          <w:color w:val="000000"/>
          <w:sz w:val="22"/>
        </w:rPr>
        <w:t xml:space="preserve">embody the entire agreement among the parties hereto and supersede all prior agreements and understandings, oral or written, if any, relating to the subject matter hereof. This Agreement, the Credit Agreement, and the other </w:t>
      </w:r>
      <w:r>
        <w:rPr>
          <w:rFonts w:ascii="Times New Roman;serif" w:hAnsi="Times New Roman;serif"/>
          <w:b w:val="false"/>
          <w:color w:val="000000"/>
          <w:sz w:val="24"/>
        </w:rPr>
        <w:t>Loan Documents</w:t>
      </w:r>
      <w:r>
        <w:rPr>
          <w:color w:val="000000"/>
        </w:rPr>
        <w:t xml:space="preserve"> </w:t>
      </w:r>
      <w:r>
        <w:rPr>
          <w:rFonts w:ascii="Times New Roman;serif" w:hAnsi="Times New Roman;serif"/>
          <w:b w:val="false"/>
          <w:color w:val="000000"/>
          <w:sz w:val="22"/>
        </w:rPr>
        <w:t>represent the final agreement between the parties and may not be contradicted by evidence of prior, contemporaneous, or subsequent oral agreements of the parties.</w:t>
      </w:r>
    </w:p>
    <w:p>
      <w:pPr>
        <w:pStyle w:val="TextBody"/>
        <w:bidi w:val="0"/>
        <w:spacing w:lineRule="auto" w:line="288" w:before="180" w:after="283"/>
        <w:ind w:left="0" w:right="0" w:firstLine="72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telecopy or other electronic imaging means (</w:t>
      </w:r>
      <w:r>
        <w:rPr>
          <w:rFonts w:ascii="Times New Roman;serif" w:hAnsi="Times New Roman;serif"/>
          <w:b w:val="false"/>
          <w:i/>
          <w:color w:val="000000"/>
          <w:sz w:val="24"/>
        </w:rPr>
        <w:t>e.g.</w:t>
      </w:r>
      <w:r>
        <w:rPr>
          <w:rFonts w:ascii="Times New Roman;serif" w:hAnsi="Times New Roman;serif"/>
          <w:b w:val="false"/>
          <w:color w:val="000000"/>
          <w:sz w:val="22"/>
        </w:rPr>
        <w:t>, “pdf” or “tif” format) shall be effective as delivery of a manually executed counterpart of this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Governing Law; Jurisdiction; Consent to Service of Process; Waiver of Jury Trial</w:t>
      </w:r>
      <w:r>
        <w:rPr>
          <w:rFonts w:ascii="Times New Roman;serif" w:hAnsi="Times New Roman;serif"/>
          <w:b w:val="false"/>
          <w:color w:val="000000"/>
          <w:sz w:val="22"/>
        </w:rPr>
        <w:t xml:space="preserve">. </w:t>
      </w:r>
      <w:r>
        <w:rPr>
          <w:rFonts w:ascii="Times New Roman;serif" w:hAnsi="Times New Roman;serif"/>
          <w:b w:val="false"/>
          <w:color w:val="000000"/>
          <w:sz w:val="24"/>
        </w:rPr>
        <w:t xml:space="preserve">The governing law, jurisdiction, consent to service of process, and waiver of jury trial provisions contained in Sections 10.14 and 10.15 of the Credit Agreement are hereby incorporated by reference </w:t>
      </w:r>
      <w:r>
        <w:rPr>
          <w:rFonts w:ascii="Times New Roman;serif" w:hAnsi="Times New Roman;serif"/>
          <w:b w:val="false"/>
          <w:i/>
          <w:color w:val="000000"/>
          <w:sz w:val="24"/>
        </w:rPr>
        <w:t>mutatis mutandis</w:t>
      </w:r>
      <w:r>
        <w:rPr>
          <w:rFonts w:ascii="Times New Roman;serif" w:hAnsi="Times New Roman;serif"/>
          <w:b w:val="false"/>
          <w:color w:val="000000"/>
          <w:sz w:val="24"/>
        </w:rPr>
        <w:t>.</w:t>
      </w:r>
    </w:p>
    <w:p>
      <w:pPr>
        <w:pStyle w:val="TextBody"/>
        <w:bidi w:val="0"/>
        <w:spacing w:lineRule="auto" w:line="288" w:before="180" w:after="283"/>
        <w:ind w:left="0" w:right="0" w:firstLine="720"/>
        <w:jc w:val="both"/>
        <w:rPr/>
      </w:pPr>
      <w:r>
        <w:rPr>
          <w:rFonts w:ascii="Times New Roman;serif" w:hAnsi="Times New Roman;serif"/>
          <w:b w:val="false"/>
          <w:color w:val="000000"/>
          <w:sz w:val="22"/>
        </w:rPr>
        <w:t xml:space="preserve">13. </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Each of the parties hereto agrees to execute and deliver, or to cause to be executed and delivered, all such instruments as may reasonably be requested to effectuate the intent and purposes, and to carry out the terms, of this Agreement.</w:t>
      </w:r>
    </w:p>
    <w:p>
      <w:pPr>
        <w:pStyle w:val="TextBody"/>
        <w:bidi w:val="0"/>
        <w:spacing w:lineRule="auto" w:line="288" w:before="180" w:after="283"/>
        <w:ind w:left="0" w:right="0" w:firstLine="720"/>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Miscellaneous</w:t>
      </w:r>
      <w:r>
        <w:rPr>
          <w:rFonts w:ascii="Times New Roman;serif" w:hAnsi="Times New Roman;serif"/>
          <w:b w:val="false"/>
          <w:color w:val="000000"/>
          <w:sz w:val="22"/>
        </w:rPr>
        <w:t xml:space="preserve">. Section headings in this Agreement are included herein for convenience of reference only and shall not constitute a part of this Agreement for any other purpose. Wherever possible, each provision of this Agreement shall be interpreted in such a manner as to be effective and valid under applicable law, but if any provision of this Agreement shall be prohibited by or invalid under applicable law, then such provision shall be ineffective to the extent of such prohibition or invalidity, without invalidating the remainder of such provision or the remaining provisions of this Agreement. Except as otherwise provided in this Agreement, if any provision contained in this Agreement conflicts with, or is inconsistent with, any provision in any </w:t>
      </w:r>
      <w:r>
        <w:rPr>
          <w:rFonts w:ascii="Times New Roman;serif" w:hAnsi="Times New Roman;serif"/>
          <w:b w:val="false"/>
          <w:color w:val="000000"/>
          <w:sz w:val="24"/>
        </w:rPr>
        <w:t>Loan Document</w:t>
      </w:r>
      <w:r>
        <w:rPr>
          <w:rFonts w:ascii="Times New Roman;serif" w:hAnsi="Times New Roman;serif"/>
          <w:b w:val="false"/>
          <w:color w:val="000000"/>
          <w:sz w:val="22"/>
        </w:rPr>
        <w:t>, then the provision contained in this Agreement shall govern and control.</w:t>
      </w:r>
    </w:p>
    <w:p>
      <w:pPr>
        <w:pStyle w:val="TextBody"/>
        <w:bidi w:val="0"/>
        <w:spacing w:before="180" w:after="283"/>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jc w:val="center"/>
        <w:rPr/>
      </w:pPr>
      <w:r>
        <w:rPr>
          <w:rFonts w:ascii="Times New Roman;serif" w:hAnsi="Times New Roman;serif"/>
          <w:b w:val="false"/>
          <w:color w:val="000000"/>
          <w:sz w:val="22"/>
        </w:rPr>
        <w:t>[</w:t>
      </w:r>
      <w:r>
        <w:rPr>
          <w:rFonts w:ascii="Times New Roman;serif" w:hAnsi="Times New Roman;serif"/>
          <w:b w:val="false"/>
          <w:i/>
          <w:color w:val="000000"/>
          <w:sz w:val="22"/>
        </w:rPr>
        <w:t>Remainder of page intentionally left blank.</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2" w:before="0" w:after="0"/>
        <w:ind w:left="0" w:right="0" w:firstLine="720"/>
        <w:jc w:val="left"/>
        <w:rPr/>
      </w:pPr>
      <w:r>
        <w:rPr>
          <w:rFonts w:ascii="Times New Roman;serif" w:hAnsi="Times New Roman;serif"/>
          <w:b w:val="false"/>
          <w:color w:val="000000"/>
          <w:sz w:val="22"/>
        </w:rPr>
        <w:t xml:space="preserve">IN WITNESS WHEREOF, </w:t>
      </w:r>
      <w:r>
        <w:rPr>
          <w:rFonts w:ascii="Times New Roman;serif" w:hAnsi="Times New Roman;serif"/>
          <w:b w:val="false"/>
          <w:color w:val="2F2F2F"/>
          <w:sz w:val="20"/>
        </w:rPr>
        <w:t>the</w:t>
      </w:r>
      <w:r>
        <w:rPr>
          <w:color w:val="2F2F2F"/>
        </w:rPr>
        <w:t xml:space="preserve"> </w:t>
      </w:r>
      <w:r>
        <w:rPr>
          <w:rFonts w:ascii="Times New Roman;serif" w:hAnsi="Times New Roman;serif"/>
          <w:b w:val="false"/>
          <w:color w:val="2F2F2F"/>
          <w:sz w:val="20"/>
        </w:rPr>
        <w:t>parties hereto have</w:t>
      </w:r>
      <w:r>
        <w:rPr>
          <w:color w:val="2F2F2F"/>
        </w:rPr>
        <w:t xml:space="preserve"> </w:t>
      </w:r>
      <w:r>
        <w:rPr>
          <w:rFonts w:ascii="Times New Roman;serif" w:hAnsi="Times New Roman;serif"/>
          <w:b w:val="false"/>
          <w:color w:val="2F2F2F"/>
          <w:sz w:val="20"/>
        </w:rPr>
        <w:t>caused this Agreement to be</w:t>
      </w:r>
      <w:r>
        <w:rPr>
          <w:color w:val="2F2F2F"/>
        </w:rPr>
        <w:t xml:space="preserve"> </w:t>
      </w:r>
      <w:r>
        <w:rPr>
          <w:rFonts w:ascii="Times New Roman;serif" w:hAnsi="Times New Roman;serif"/>
          <w:b w:val="false"/>
          <w:color w:val="2F2F2F"/>
          <w:sz w:val="20"/>
        </w:rPr>
        <w:t>duly executed as of the date first above written.</w:t>
      </w:r>
    </w:p>
    <w:p>
      <w:pPr>
        <w:pStyle w:val="TextBody"/>
        <w:bidi w:val="0"/>
        <w:spacing w:before="0" w:after="0"/>
        <w:ind w:left="0" w:right="0" w:firstLine="4320"/>
        <w:jc w:val="both"/>
        <w:rPr/>
      </w:pPr>
      <w:r>
        <w:rPr/>
      </w:r>
    </w:p>
    <w:p>
      <w:pPr>
        <w:pStyle w:val="TextBody"/>
        <w:bidi w:val="0"/>
        <w:spacing w:before="0" w:after="0"/>
        <w:jc w:val="both"/>
        <w:rPr/>
      </w:pPr>
      <w:r>
        <w:rPr/>
      </w:r>
    </w:p>
    <w:tbl>
      <w:tblPr>
        <w:tblW w:w="7581" w:type="dxa"/>
        <w:jc w:val="center"/>
        <w:tblInd w:w="0" w:type="dxa"/>
        <w:tblLayout w:type="fixed"/>
        <w:tblCellMar>
          <w:top w:w="28" w:type="dxa"/>
          <w:left w:w="28" w:type="dxa"/>
          <w:bottom w:w="28" w:type="dxa"/>
          <w:right w:w="28" w:type="dxa"/>
        </w:tblCellMar>
      </w:tblPr>
      <w:tblGrid>
        <w:gridCol w:w="527"/>
        <w:gridCol w:w="463"/>
        <w:gridCol w:w="465"/>
        <w:gridCol w:w="109"/>
        <w:gridCol w:w="109"/>
        <w:gridCol w:w="109"/>
        <w:gridCol w:w="550"/>
        <w:gridCol w:w="550"/>
        <w:gridCol w:w="550"/>
        <w:gridCol w:w="750"/>
        <w:gridCol w:w="750"/>
        <w:gridCol w:w="750"/>
        <w:gridCol w:w="550"/>
        <w:gridCol w:w="550"/>
        <w:gridCol w:w="799"/>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BORROWER: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COMPASS GROUP DIVERSIFIED HOLDINGS LLC,</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Stephen Keller</w:t>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Stephen Keller</w:t>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0"/>
        <w:jc w:val="both"/>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lineRule="auto" w:line="268"/>
        <w:ind w:left="0" w:right="0" w:firstLine="4320"/>
        <w:jc w:val="center"/>
        <w:rPr>
          <w:rFonts w:ascii="Times New Roman;serif" w:hAnsi="Times New Roman;serif"/>
          <w:b w:val="false"/>
          <w:color w:val="000000"/>
          <w:sz w:val="22"/>
        </w:rPr>
      </w:pPr>
      <w:r>
        <w:rPr>
          <w:rFonts w:ascii="Times New Roman;serif" w:hAnsi="Times New Roman;serif"/>
          <w:b w:val="false"/>
          <w:color w:val="000000"/>
          <w:sz w:val="22"/>
        </w:rPr>
        <w:t>[SIGNATURE PAGES CONTINUE]</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tbl>
      <w:tblPr>
        <w:tblW w:w="8127" w:type="dxa"/>
        <w:jc w:val="center"/>
        <w:tblInd w:w="0" w:type="dxa"/>
        <w:tblLayout w:type="fixed"/>
        <w:tblCellMar>
          <w:top w:w="28" w:type="dxa"/>
          <w:left w:w="28" w:type="dxa"/>
          <w:bottom w:w="28" w:type="dxa"/>
          <w:right w:w="28" w:type="dxa"/>
        </w:tblCellMar>
      </w:tblPr>
      <w:tblGrid>
        <w:gridCol w:w="541"/>
        <w:gridCol w:w="475"/>
        <w:gridCol w:w="475"/>
        <w:gridCol w:w="475"/>
        <w:gridCol w:w="475"/>
        <w:gridCol w:w="480"/>
        <w:gridCol w:w="549"/>
        <w:gridCol w:w="549"/>
        <w:gridCol w:w="549"/>
        <w:gridCol w:w="555"/>
        <w:gridCol w:w="555"/>
        <w:gridCol w:w="555"/>
        <w:gridCol w:w="549"/>
        <w:gridCol w:w="549"/>
        <w:gridCol w:w="796"/>
      </w:tblGrid>
      <w:tr>
        <w:trPr/>
        <w:tc>
          <w:tcPr>
            <w:tcW w:w="5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ADMINISTRATIVE AGENT:</w:t>
            </w:r>
          </w:p>
        </w:tc>
        <w:tc>
          <w:tcPr>
            <w:tcW w:w="52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BANK OF AMERICA, N.A., as Administrative Agent</w:t>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Kelly Weaver</w:t>
            </w:r>
          </w:p>
        </w:tc>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Kelly Weaver</w:t>
            </w:r>
          </w:p>
        </w:tc>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w:t>
            </w:r>
          </w:p>
        </w:tc>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8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0"/>
        <w:jc w:val="center"/>
        <w:rPr/>
      </w:pPr>
      <w:r>
        <w:rPr/>
      </w:r>
    </w:p>
    <w:tbl>
      <w:tblPr>
        <w:tblW w:w="6806" w:type="dxa"/>
        <w:jc w:val="center"/>
        <w:tblInd w:w="0" w:type="dxa"/>
        <w:tblLayout w:type="fixed"/>
        <w:tblCellMar>
          <w:top w:w="28" w:type="dxa"/>
          <w:left w:w="28" w:type="dxa"/>
          <w:bottom w:w="28" w:type="dxa"/>
          <w:right w:w="28" w:type="dxa"/>
        </w:tblCellMar>
      </w:tblPr>
      <w:tblGrid>
        <w:gridCol w:w="219"/>
        <w:gridCol w:w="192"/>
        <w:gridCol w:w="192"/>
        <w:gridCol w:w="192"/>
        <w:gridCol w:w="192"/>
        <w:gridCol w:w="195"/>
        <w:gridCol w:w="519"/>
        <w:gridCol w:w="519"/>
        <w:gridCol w:w="519"/>
        <w:gridCol w:w="760"/>
        <w:gridCol w:w="760"/>
        <w:gridCol w:w="760"/>
        <w:gridCol w:w="519"/>
        <w:gridCol w:w="519"/>
        <w:gridCol w:w="749"/>
      </w:tblGrid>
      <w:tr>
        <w:trPr/>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11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LENDERS:</w:t>
            </w:r>
          </w:p>
        </w:tc>
        <w:tc>
          <w:tcPr>
            <w:tcW w:w="56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BANK OF AMERICA, N.A., </w:t>
            </w:r>
          </w:p>
        </w:tc>
      </w:tr>
      <w:tr>
        <w:trPr/>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a Lender, the L/C Issuer and Swing Line Lender</w:t>
            </w:r>
          </w:p>
        </w:tc>
      </w:tr>
      <w:tr>
        <w:trPr/>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Timothy J. Waltman</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J. Waltman</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0"/>
        <w:jc w:val="left"/>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ind w:left="0" w:right="0" w:firstLine="43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0"/>
        <w:jc w:val="center"/>
        <w:rPr/>
      </w:pPr>
      <w:r>
        <w:rPr/>
      </w:r>
    </w:p>
    <w:tbl>
      <w:tblPr>
        <w:tblW w:w="41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95"/>
        <w:gridCol w:w="220"/>
        <w:gridCol w:w="204"/>
        <w:gridCol w:w="704"/>
        <w:gridCol w:w="704"/>
        <w:gridCol w:w="707"/>
        <w:gridCol w:w="189"/>
        <w:gridCol w:w="189"/>
        <w:gridCol w:w="2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TD BANK, 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a Lender</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Alan Garson</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Alan Garson</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0"/>
        <w:jc w:val="center"/>
        <w:rPr/>
      </w:pPr>
      <w:r>
        <w:rPr/>
      </w:r>
    </w:p>
    <w:tbl>
      <w:tblPr>
        <w:tblW w:w="407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20"/>
        <w:gridCol w:w="213"/>
        <w:gridCol w:w="213"/>
        <w:gridCol w:w="644"/>
        <w:gridCol w:w="644"/>
        <w:gridCol w:w="646"/>
        <w:gridCol w:w="213"/>
        <w:gridCol w:w="213"/>
        <w:gridCol w:w="3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CIBC BANK USA,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a Lender</w:t>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Jeff Groenewold</w:t>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Jeff Groenewold</w:t>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Managing Director</w:t>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ind w:left="0" w:right="0" w:firstLine="43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0"/>
        <w:jc w:val="center"/>
        <w:rPr/>
      </w:pPr>
      <w:r>
        <w:rPr/>
      </w:r>
    </w:p>
    <w:tbl>
      <w:tblPr>
        <w:tblW w:w="629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564"/>
        <w:gridCol w:w="564"/>
        <w:gridCol w:w="564"/>
        <w:gridCol w:w="665"/>
        <w:gridCol w:w="665"/>
        <w:gridCol w:w="665"/>
        <w:gridCol w:w="564"/>
        <w:gridCol w:w="564"/>
        <w:gridCol w:w="8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WELLS FARGO BANK, NATIONAL ASSOCIATION,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a Lender</w:t>
            </w:r>
          </w:p>
        </w:tc>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Jackie Andreozzi</w:t>
            </w:r>
          </w:p>
        </w:tc>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Jackie Andreozzi</w:t>
            </w:r>
          </w:p>
        </w:tc>
        <w:tc>
          <w:tcPr>
            <w:tcW w:w="1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9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w:t>
            </w:r>
          </w:p>
        </w:tc>
      </w:tr>
    </w:tbl>
    <w:p>
      <w:pPr>
        <w:pStyle w:val="TextBody"/>
        <w:bidi w:val="0"/>
        <w:spacing w:before="0" w:after="0"/>
        <w:ind w:left="0" w:right="0" w:firstLine="4320"/>
        <w:jc w:val="center"/>
        <w:rPr/>
      </w:pPr>
      <w:r>
        <w:rPr/>
      </w:r>
    </w:p>
    <w:p>
      <w:pPr>
        <w:pStyle w:val="TextBody"/>
        <w:bidi w:val="0"/>
        <w:ind w:left="0" w:right="0" w:firstLine="43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56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77"/>
        <w:gridCol w:w="377"/>
        <w:gridCol w:w="377"/>
        <w:gridCol w:w="490"/>
        <w:gridCol w:w="490"/>
        <w:gridCol w:w="490"/>
        <w:gridCol w:w="377"/>
        <w:gridCol w:w="377"/>
        <w:gridCol w:w="5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JPMORGAN CHASE BANK, N.A.,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as a Lender</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Judy Marsh</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Judy Marsh</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7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Authorized Officer</w:t>
            </w:r>
          </w:p>
        </w:tc>
      </w:tr>
    </w:tbl>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ind w:left="0" w:right="0" w:firstLine="43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0"/>
        <w:jc w:val="center"/>
        <w:rPr/>
      </w:pPr>
      <w:r>
        <w:rPr/>
      </w:r>
    </w:p>
    <w:tbl>
      <w:tblPr>
        <w:tblW w:w="558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435"/>
        <w:gridCol w:w="435"/>
        <w:gridCol w:w="435"/>
        <w:gridCol w:w="705"/>
        <w:gridCol w:w="705"/>
        <w:gridCol w:w="705"/>
        <w:gridCol w:w="435"/>
        <w:gridCol w:w="435"/>
        <w:gridCol w:w="6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 BANK NATIONAL ASSOCIATION,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a Lender</w:t>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Mark J. Hattling</w:t>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Mark J. Hattling</w:t>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w:t>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jc w:val="left"/>
        <w:rPr/>
      </w:pPr>
      <w:r>
        <w:rPr/>
      </w:r>
    </w:p>
    <w:p>
      <w:pPr>
        <w:pStyle w:val="TextBody"/>
        <w:bidi w:val="0"/>
        <w:ind w:left="0" w:right="0" w:firstLine="43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tbl>
      <w:tblPr>
        <w:tblW w:w="579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543"/>
        <w:gridCol w:w="543"/>
        <w:gridCol w:w="543"/>
        <w:gridCol w:w="543"/>
        <w:gridCol w:w="543"/>
        <w:gridCol w:w="543"/>
        <w:gridCol w:w="543"/>
        <w:gridCol w:w="543"/>
        <w:gridCol w:w="7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FIFTH THIRD BANK, NATIONAL ASSOCIATION,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a Lender</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Ronald T. Keller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Ronald T. Keller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w:t>
            </w:r>
          </w:p>
        </w:tc>
      </w:tr>
    </w:tbl>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jc w:val="left"/>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ind w:left="0" w:right="0" w:firstLine="43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0"/>
        <w:jc w:val="center"/>
        <w:rPr/>
      </w:pPr>
      <w:r>
        <w:rPr/>
      </w:r>
    </w:p>
    <w:tbl>
      <w:tblPr>
        <w:tblW w:w="411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81"/>
        <w:gridCol w:w="234"/>
        <w:gridCol w:w="204"/>
        <w:gridCol w:w="704"/>
        <w:gridCol w:w="704"/>
        <w:gridCol w:w="706"/>
        <w:gridCol w:w="180"/>
        <w:gridCol w:w="180"/>
        <w:gridCol w:w="2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TRUIST BANK,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a Lender</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John L. Saylor</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John L. Saylor</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jc w:val="left"/>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jc w:val="left"/>
        <w:rPr/>
      </w:pPr>
      <w:r>
        <w:rPr/>
      </w:r>
    </w:p>
    <w:p>
      <w:pPr>
        <w:pStyle w:val="TextBody"/>
        <w:bidi w:val="0"/>
        <w:ind w:left="0" w:right="0" w:firstLine="43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 to the Sixth Amendment to Credit Agreement</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Amended Credit Agreement</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center"/>
        <w:rPr>
          <w:rFonts w:ascii="Times New Roman;serif" w:hAnsi="Times New Roman;serif"/>
          <w:b w:val="false"/>
          <w:color w:val="0000FF"/>
          <w:sz w:val="24"/>
          <w:u w:val="single"/>
        </w:rPr>
      </w:pPr>
      <w:r>
        <w:rPr>
          <w:rFonts w:ascii="Times New Roman;serif" w:hAnsi="Times New Roman;serif"/>
          <w:b w:val="false"/>
          <w:color w:val="0000FF"/>
          <w:sz w:val="24"/>
          <w:u w:val="single"/>
        </w:rPr>
        <w:t>Exhibit A to the Sixth Amendment</w:t>
      </w:r>
    </w:p>
    <w:p>
      <w:pPr>
        <w:pStyle w:val="TextBody"/>
        <w:bidi w:val="0"/>
        <w:spacing w:lineRule="auto" w:line="288" w:before="240" w:after="283"/>
        <w:jc w:val="center"/>
        <w:rPr/>
      </w:pPr>
      <w:r>
        <w:rPr>
          <w:rFonts w:ascii="Times New Roman;serif" w:hAnsi="Times New Roman;serif"/>
          <w:b w:val="false"/>
          <w:color w:val="0000FF"/>
          <w:sz w:val="24"/>
          <w:u w:val="single"/>
        </w:rPr>
        <w:t>Amended Credit Agreement</w:t>
      </w:r>
      <w:r>
        <w:rPr>
          <w:color w:val="000000"/>
        </w:rPr>
        <w:t xml:space="preserve"> </w:t>
      </w:r>
    </w:p>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Published CUSIP Numbers:</w:t>
      </w:r>
    </w:p>
    <w:p>
      <w:pPr>
        <w:pStyle w:val="TextBody"/>
        <w:bidi w:val="0"/>
        <w:spacing w:lineRule="auto" w:line="268" w:before="0" w:after="0"/>
        <w:jc w:val="right"/>
        <w:rPr/>
      </w:pPr>
      <w:r>
        <w:rPr>
          <w:rFonts w:ascii="Times New Roman;serif" w:hAnsi="Times New Roman;serif"/>
          <w:b w:val="false"/>
          <w:color w:val="000000"/>
          <w:sz w:val="20"/>
        </w:rPr>
        <w:t>Deal:</w:t>
      </w:r>
      <w:r>
        <w:rPr>
          <w:color w:val="000000"/>
        </w:rPr>
        <w:t xml:space="preserve"> </w:t>
      </w:r>
      <w:r>
        <w:rPr>
          <w:rFonts w:ascii="Times New Roman;serif" w:hAnsi="Times New Roman;serif"/>
          <w:b w:val="false"/>
          <w:color w:val="000000"/>
          <w:sz w:val="20"/>
        </w:rPr>
        <w:t>20451UAQ8</w:t>
      </w:r>
      <w:r>
        <w:rPr>
          <w:color w:val="000000"/>
        </w:rPr>
        <w:t xml:space="preserve"> </w:t>
      </w:r>
    </w:p>
    <w:p>
      <w:pPr>
        <w:pStyle w:val="TextBody"/>
        <w:bidi w:val="0"/>
        <w:spacing w:lineRule="auto" w:line="268" w:before="0" w:after="0"/>
        <w:jc w:val="right"/>
        <w:rPr/>
      </w:pPr>
      <w:r>
        <w:rPr>
          <w:rFonts w:ascii="Times New Roman;serif" w:hAnsi="Times New Roman;serif"/>
          <w:b w:val="false"/>
          <w:color w:val="000000"/>
          <w:sz w:val="20"/>
        </w:rPr>
        <w:t>Revolver:</w:t>
      </w:r>
      <w:r>
        <w:rPr>
          <w:color w:val="000000"/>
        </w:rPr>
        <w:t xml:space="preserve"> </w:t>
      </w:r>
      <w:r>
        <w:rPr>
          <w:rFonts w:ascii="Times New Roman;serif" w:hAnsi="Times New Roman;serif"/>
          <w:b w:val="false"/>
          <w:color w:val="000000"/>
          <w:sz w:val="20"/>
        </w:rPr>
        <w:t>20451UAR6</w:t>
      </w:r>
      <w:r>
        <w:rPr>
          <w:color w:val="000000"/>
        </w:rPr>
        <w:t xml:space="preserve"> </w:t>
      </w:r>
    </w:p>
    <w:p>
      <w:pPr>
        <w:pStyle w:val="TextBody"/>
        <w:bidi w:val="0"/>
        <w:spacing w:lineRule="auto" w:line="268" w:before="0" w:after="0"/>
        <w:jc w:val="left"/>
        <w:rPr/>
      </w:pPr>
      <w:r>
        <w:rPr>
          <w:rFonts w:ascii="Times New Roman;serif" w:hAnsi="Times New Roman;serif"/>
          <w:b w:val="false"/>
          <w:color w:val="000000"/>
          <w:sz w:val="20"/>
        </w:rPr>
        <w:t>Term Loan:</w:t>
      </w:r>
      <w:r>
        <w:rPr>
          <w:color w:val="000000"/>
        </w:rPr>
        <w:t xml:space="preserve"> </w:t>
      </w:r>
      <w:r>
        <w:rPr>
          <w:rFonts w:ascii="Times New Roman;serif" w:hAnsi="Times New Roman;serif"/>
          <w:b w:val="false"/>
          <w:color w:val="000000"/>
          <w:sz w:val="20"/>
        </w:rPr>
        <w:t>20451UAS4</w:t>
      </w:r>
      <w:r>
        <w:rPr>
          <w:color w:val="000000"/>
        </w:rPr>
        <w:t xml:space="preserve"> </w:t>
      </w:r>
    </w:p>
    <w:p>
      <w:pPr>
        <w:pStyle w:val="TextBody"/>
        <w:bidi w:val="0"/>
        <w:spacing w:lineRule="auto" w:line="276" w:before="120" w:after="283"/>
        <w:jc w:val="left"/>
        <w:rPr/>
      </w:pPr>
      <w:r>
        <w:rPr>
          <w:rFonts w:ascii="Times New Roman;serif" w:hAnsi="Times New Roman;serif"/>
          <w:b w:val="false"/>
          <w:strike/>
          <w:color w:val="FF0000"/>
          <w:sz w:val="20"/>
        </w:rPr>
        <w:t>Incremental Delayed Draw Term Loan:</w:t>
      </w:r>
      <w:r>
        <w:rPr>
          <w:color w:val="000000"/>
        </w:rPr>
        <w:t xml:space="preserve"> </w:t>
      </w:r>
      <w:r>
        <w:rPr>
          <w:rFonts w:ascii="Times New Roman;serif" w:hAnsi="Times New Roman;serif"/>
          <w:b w:val="false"/>
          <w:strike/>
          <w:color w:val="FF0000"/>
          <w:sz w:val="20"/>
        </w:rPr>
        <w:t>20451UAT2</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THIRD AMENDED AND RESTATED CREDIT AGREEMENT</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Dated as of July 12, 2022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among </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COMPASS GROUP DIVERSIFIED HOLDINGS LLC,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as the Borrower,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BANK OF AMERICA, N.A.,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as Administrative Agent, Swing Line Lender and L/C Issuer, </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and </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FIFTH THIRD BANK, NATIONAL ASSOCIATION</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and TRUIST BANK,</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as Documentation Agents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TD BANK, N.A.,CIBC BANK USA</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and WELLS FARGO BANK, NATIONAL ASSOCIATION,</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as Co-Syndication Agents</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Arranged By:</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BANK OF AMERICA, N.A.,</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TD BANK, N.A.,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CIBC BANK USA</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and WELLS FARGO BANK, NATIONAL ASSOCIATION,</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as Joint Lead Arrangers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val="false"/>
          <w:color w:val="000000"/>
          <w:sz w:val="22"/>
        </w:rPr>
        <w:t>BANK OF AMERICA, N.A.</w:t>
      </w:r>
      <w:r>
        <w:rPr>
          <w:rFonts w:ascii="Times New Roman;serif" w:hAnsi="Times New Roman;serif"/>
          <w:b w:val="false"/>
          <w:color w:val="000000"/>
          <w:sz w:val="24"/>
        </w:rPr>
        <w:t>,</w:t>
      </w:r>
    </w:p>
    <w:p>
      <w:pPr>
        <w:pStyle w:val="TextBody"/>
        <w:bidi w:val="0"/>
        <w:spacing w:lineRule="auto" w:line="268"/>
        <w:jc w:val="center"/>
        <w:rPr>
          <w:rFonts w:ascii="Times New Roman;serif" w:hAnsi="Times New Roman;serif"/>
          <w:b w:val="false"/>
          <w:color w:val="000000"/>
          <w:sz w:val="24"/>
        </w:rPr>
      </w:pPr>
      <w:r>
        <w:rPr>
          <w:rFonts w:ascii="Times New Roman;serif" w:hAnsi="Times New Roman;serif"/>
          <w:b w:val="false"/>
          <w:color w:val="000000"/>
          <w:sz w:val="24"/>
        </w:rPr>
        <w:t>and TD BANK, N.A.,</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as Joint Bookrunners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6"/>
        <w:gridCol w:w="172"/>
        <w:gridCol w:w="173"/>
        <w:gridCol w:w="128"/>
        <w:gridCol w:w="128"/>
        <w:gridCol w:w="128"/>
        <w:gridCol w:w="235"/>
        <w:gridCol w:w="235"/>
        <w:gridCol w:w="248"/>
        <w:gridCol w:w="2650"/>
        <w:gridCol w:w="2601"/>
        <w:gridCol w:w="2607"/>
        <w:gridCol w:w="109"/>
        <w:gridCol w:w="109"/>
        <w:gridCol w:w="109"/>
        <w:gridCol w:w="109"/>
        <w:gridCol w:w="109"/>
        <w:gridCol w:w="159"/>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w:t>
            </w:r>
          </w:p>
        </w:tc>
        <w:tc>
          <w:tcPr>
            <w:tcW w:w="7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DEFINITIONS AND ACCOUNTING TERMS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Defined Terms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Interpretive Provisions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Accounting Terms; Changes in GAAP; Calculation of Financial Covenants on a Pro Forma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Times of Day;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Letter of Credit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II</w:t>
            </w:r>
          </w:p>
        </w:tc>
        <w:tc>
          <w:tcPr>
            <w:tcW w:w="7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COMMITMENTS AND CREDIT EXTENSIONS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Borrowings, Conversions and Continuations of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Letters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Swing Line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Termination or Reduction of Aggregate Revolving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2.07</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Repayment of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2.08</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2.09</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Computation of Interest and Fees; Retroactive Adjustments of Applicable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Evidence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Generally; Administrative Agent’s Clawback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Sharing of Payments by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Defaulting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Refinancing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III</w:t>
            </w:r>
          </w:p>
        </w:tc>
        <w:tc>
          <w:tcPr>
            <w:tcW w:w="7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TAXES, YIELD PROTECTION AND ILLEGALITY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Illegality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Inability to Determine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Increased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Compensation for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Mitigation of Obligations; Replacement of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3.07</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Survival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IV</w:t>
            </w:r>
          </w:p>
        </w:tc>
        <w:tc>
          <w:tcPr>
            <w:tcW w:w="7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CONDITIONS PRECEDENT TO CREDIT EXTENSIONS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4.01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Conditions of Effectiveness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4.02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Conditions to all Credit Extensions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w:t>
            </w:r>
          </w:p>
        </w:tc>
        <w:tc>
          <w:tcPr>
            <w:tcW w:w="7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REPRESENTATIONS AND WARRANTIES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Existence, Qualification and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Authorization; No Contravention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204" w:type="dxa"/>
        <w:jc w:val="center"/>
        <w:tblInd w:w="0" w:type="dxa"/>
        <w:tblLayout w:type="fixed"/>
        <w:tblCellMar>
          <w:top w:w="28" w:type="dxa"/>
          <w:left w:w="28" w:type="dxa"/>
          <w:bottom w:w="28" w:type="dxa"/>
          <w:right w:w="28" w:type="dxa"/>
        </w:tblCellMar>
      </w:tblPr>
      <w:tblGrid>
        <w:gridCol w:w="196"/>
        <w:gridCol w:w="172"/>
        <w:gridCol w:w="173"/>
        <w:gridCol w:w="109"/>
        <w:gridCol w:w="109"/>
        <w:gridCol w:w="109"/>
        <w:gridCol w:w="838"/>
        <w:gridCol w:w="838"/>
        <w:gridCol w:w="838"/>
        <w:gridCol w:w="1005"/>
        <w:gridCol w:w="1005"/>
        <w:gridCol w:w="1019"/>
        <w:gridCol w:w="109"/>
        <w:gridCol w:w="109"/>
        <w:gridCol w:w="109"/>
        <w:gridCol w:w="136"/>
        <w:gridCol w:w="136"/>
        <w:gridCol w:w="19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Governmental Authorization; Other Consents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Binding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Statements; No Material Adverse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Litigation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Default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Ownership of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Environmental Compliance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ERISA Compliance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Margin Regulations; Investment Company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Disclosure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Intellectual Property; Licenses, Etc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Solvency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Business Locations; Taxpayer Identification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OFAC; Anti-Corruption 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Labor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Related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Affected Financial Institution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Covered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AFFIRMATIVE COVENANTS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Certificates; 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 of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Preservation of Existence, Etc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Maintenance of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Maintenance of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Books and Records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Inspection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Use of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Pledged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Further Assurances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Environmental 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Deposit and Securities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Anti-Corruption 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VII</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NEGATIVE COVENANTS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693" w:type="dxa"/>
        <w:jc w:val="center"/>
        <w:tblInd w:w="0" w:type="dxa"/>
        <w:tblLayout w:type="fixed"/>
        <w:tblCellMar>
          <w:top w:w="28" w:type="dxa"/>
          <w:left w:w="28" w:type="dxa"/>
          <w:bottom w:w="28" w:type="dxa"/>
          <w:right w:w="28" w:type="dxa"/>
        </w:tblCellMar>
      </w:tblPr>
      <w:tblGrid>
        <w:gridCol w:w="239"/>
        <w:gridCol w:w="210"/>
        <w:gridCol w:w="212"/>
        <w:gridCol w:w="109"/>
        <w:gridCol w:w="109"/>
        <w:gridCol w:w="109"/>
        <w:gridCol w:w="856"/>
        <w:gridCol w:w="856"/>
        <w:gridCol w:w="856"/>
        <w:gridCol w:w="1439"/>
        <w:gridCol w:w="1439"/>
        <w:gridCol w:w="1466"/>
        <w:gridCol w:w="109"/>
        <w:gridCol w:w="109"/>
        <w:gridCol w:w="109"/>
        <w:gridCol w:w="136"/>
        <w:gridCol w:w="136"/>
        <w:gridCol w:w="194"/>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Indebtedness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Fundamental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Dispositions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Restricted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Business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Transactions with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Burdensome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Use of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Covenants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of Unsecured Indebtedness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Organization Documents; Related Agreements; Etc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Ownership of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Sanctions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VIII</w:t>
            </w:r>
          </w:p>
        </w:tc>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EVENTS OF DEFAULT AND REMEDIES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Events of Default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Remedies Upon Event of Default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Application of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IX</w:t>
            </w:r>
          </w:p>
        </w:tc>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ADMINISTRATIVE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Appointment and Authority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Rights as a Lender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Exculpatory Provisions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Reliance by Administrative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Delegation of Duties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Resignation of Administrative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Non-Reliance on Administrative Agent and Other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Other Duties; Etc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Administrative Agent May File Proofs of Claim; Credit Bidding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Collateral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Secured Cash Management Agreements and Secured Hedge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ERISA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X</w:t>
            </w:r>
          </w:p>
        </w:tc>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MISCELLANEOUS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Amendments, Etc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 Effectiveness; Electronic 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Waiver; Cumulative Remedies; Enforcement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 Indemnity; Damage Waiver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Set Aside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Successors and Assigns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589" w:type="dxa"/>
        <w:jc w:val="center"/>
        <w:tblInd w:w="0" w:type="dxa"/>
        <w:tblLayout w:type="fixed"/>
        <w:tblCellMar>
          <w:top w:w="28" w:type="dxa"/>
          <w:left w:w="28" w:type="dxa"/>
          <w:bottom w:w="28" w:type="dxa"/>
          <w:right w:w="28" w:type="dxa"/>
        </w:tblCellMar>
      </w:tblPr>
      <w:tblGrid>
        <w:gridCol w:w="239"/>
        <w:gridCol w:w="210"/>
        <w:gridCol w:w="212"/>
        <w:gridCol w:w="109"/>
        <w:gridCol w:w="109"/>
        <w:gridCol w:w="109"/>
        <w:gridCol w:w="1131"/>
        <w:gridCol w:w="1131"/>
        <w:gridCol w:w="1131"/>
        <w:gridCol w:w="1131"/>
        <w:gridCol w:w="1131"/>
        <w:gridCol w:w="1153"/>
        <w:gridCol w:w="109"/>
        <w:gridCol w:w="109"/>
        <w:gridCol w:w="109"/>
        <w:gridCol w:w="136"/>
        <w:gridCol w:w="136"/>
        <w:gridCol w:w="194"/>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Treatment of Certain Information; Confidentiality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139</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 of Setoff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Rate Limitation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Counterparts; Integration; Effectiveness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Survival of Representations and Warranties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Severability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Replacement of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Governing Law; Jurisdiction; Etc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Waiver of Jury 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Advisory or Fiduciary Responsibility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144</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Electronic Execution of Assignments and Certain Other Documents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144</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 PATRIOT Act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Acknowledgement and Consent to Bail-In of EEA Financial Institutions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Acknowledgement Regarding Any Supported QFCs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 and Restatement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844" w:type="dxa"/>
        <w:jc w:val="center"/>
        <w:tblInd w:w="0" w:type="dxa"/>
        <w:tblLayout w:type="fixed"/>
        <w:tblCellMar>
          <w:top w:w="28" w:type="dxa"/>
          <w:left w:w="28" w:type="dxa"/>
          <w:bottom w:w="28" w:type="dxa"/>
          <w:right w:w="28" w:type="dxa"/>
        </w:tblCellMar>
      </w:tblPr>
      <w:tblGrid>
        <w:gridCol w:w="141"/>
        <w:gridCol w:w="124"/>
        <w:gridCol w:w="124"/>
        <w:gridCol w:w="124"/>
        <w:gridCol w:w="124"/>
        <w:gridCol w:w="124"/>
        <w:gridCol w:w="124"/>
        <w:gridCol w:w="124"/>
        <w:gridCol w:w="132"/>
        <w:gridCol w:w="2333"/>
        <w:gridCol w:w="2333"/>
        <w:gridCol w:w="2338"/>
        <w:gridCol w:w="109"/>
        <w:gridCol w:w="109"/>
        <w:gridCol w:w="109"/>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Schedules</w:t>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Existing Qualifying Control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Commitments and Applicable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Existing Letters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5.17</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IP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5.19-1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Locations of Real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5.19-2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Location of Chief Executive Office, Taxpayer Identification Number, Etc.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Liens Existing on the Closing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Investments Existing on the Closing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Indebtedness Existing on the Closing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Administrative Agent’s Office; Certain Addresses for Notices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EXHIBITS</w:t>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Loan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Swing Line Loan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Notice of Loan Prepayment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Compliance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Assignment and Assumption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Forms of U.S. Tax Compliance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H</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Secured Party Designation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Availability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Letter of Credit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K</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Form of Existing Portfolio Company Classification Approval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THIRD AMENDED AND RESTATED CREDIT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THIRD AMENDED AND RESTATED CREDIT AGREEMENT is entered into as of July 12, 2022 among COMPASS GROUP DIVERSIFIED HOLDINGS LLC, a Delaware limited liability company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Lenders (defined herein) and BANK OF AMERICA, N.A., as Administrative Agent, Swing Line Lender and L/C Issuer.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has requested that the Lenders provide credit facilities for the purposes set forth herein, and the Lenders are willing to do so on the terms and conditions set forth herein.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consideration of the mutual covenants and agreements herein contained, the parties hereto covenant and agree as follows: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ARTICLE I </w:t>
      </w:r>
    </w:p>
    <w:p>
      <w:pPr>
        <w:pStyle w:val="TextBody"/>
        <w:bidi w:val="0"/>
        <w:spacing w:before="0" w:after="0"/>
        <w:jc w:val="left"/>
        <w:rPr/>
      </w:pPr>
      <w:r>
        <w:rPr/>
      </w:r>
    </w:p>
    <w:p>
      <w:pPr>
        <w:pStyle w:val="TextBody"/>
        <w:bidi w:val="0"/>
        <w:spacing w:lineRule="auto" w:line="276" w:before="0" w:after="0"/>
        <w:ind w:left="0" w:right="0" w:firstLine="720"/>
        <w:jc w:val="center"/>
        <w:rPr>
          <w:rFonts w:ascii="Times New Roman;serif" w:hAnsi="Times New Roman;serif"/>
          <w:b/>
          <w:color w:val="000000"/>
          <w:sz w:val="22"/>
        </w:rPr>
      </w:pPr>
      <w:r>
        <w:rPr>
          <w:rFonts w:ascii="Times New Roman;serif" w:hAnsi="Times New Roman;serif"/>
          <w:b/>
          <w:color w:val="000000"/>
          <w:sz w:val="22"/>
        </w:rPr>
        <w:t>DEFINITIONS AND ACCOUNTING TERMS</w:t>
      </w:r>
    </w:p>
    <w:p>
      <w:pPr>
        <w:pStyle w:val="TextBody"/>
        <w:bidi w:val="0"/>
        <w:spacing w:before="0" w:after="0"/>
        <w:ind w:left="0" w:right="0" w:firstLine="720"/>
        <w:jc w:val="center"/>
        <w:rPr/>
      </w:pPr>
      <w:r>
        <w:rPr/>
      </w:r>
    </w:p>
    <w:p>
      <w:pPr>
        <w:pStyle w:val="TextBody"/>
        <w:bidi w:val="0"/>
        <w:spacing w:lineRule="auto" w:line="276" w:before="0" w:after="0"/>
        <w:jc w:val="left"/>
        <w:rPr/>
      </w:pPr>
      <w:r>
        <w:rPr>
          <w:rFonts w:ascii="Times New Roman;serif" w:hAnsi="Times New Roman;serif"/>
          <w:b w:val="false"/>
          <w:color w:val="000000"/>
          <w:sz w:val="22"/>
        </w:rPr>
        <w:t>1.01    </w:t>
      </w:r>
      <w:r>
        <w:rPr>
          <w:rFonts w:ascii="Times New Roman;serif" w:hAnsi="Times New Roman;serif"/>
          <w:b w:val="false"/>
          <w:color w:val="000000"/>
          <w:sz w:val="22"/>
          <w:u w:val="single"/>
        </w:rPr>
        <w:t>Defined Terms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used in this Agreement, the following terms shall have the meanings set forth below:</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2029 Senior Unsecured Notes</w:t>
      </w:r>
      <w:r>
        <w:rPr>
          <w:color w:val="000000"/>
        </w:rPr>
        <w:t xml:space="preserve">” </w:t>
      </w:r>
      <w:r>
        <w:rPr>
          <w:rFonts w:ascii="Times New Roman;serif" w:hAnsi="Times New Roman;serif"/>
          <w:b w:val="false"/>
          <w:color w:val="000000"/>
          <w:sz w:val="22"/>
        </w:rPr>
        <w:t>means the 5.250% senior unsecured notes due 2029 in the initial aggregate principal amount of $1,000,000,000 issued by the Borrower on March 23, 2021 pursuant to the Indenture dated as of March 23, 2021 between the Borrower and U.S. Bank National Association, as Trustee.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2032 Senior Unsecured Notes</w:t>
      </w:r>
      <w:r>
        <w:rPr>
          <w:color w:val="000000"/>
        </w:rPr>
        <w:t xml:space="preserve">” </w:t>
      </w:r>
      <w:r>
        <w:rPr>
          <w:rFonts w:ascii="Times New Roman;serif" w:hAnsi="Times New Roman;serif"/>
          <w:b w:val="false"/>
          <w:color w:val="000000"/>
          <w:sz w:val="22"/>
        </w:rPr>
        <w:t>means the 5.000% senior unsecured notes due 2032 in the initial aggregate principal amount of $300,000,000 issued by the Borrower on November 17, 2021 pursuant to the Indenture dated as of November 17, 2021 between the Borrower and U.S. Bank National Association, as Trustee.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5.11</w:t>
      </w:r>
      <w:r>
        <w:rPr>
          <w:color w:val="000000"/>
        </w:rPr>
        <w:t xml:space="preserve">” </w:t>
      </w:r>
      <w:r>
        <w:rPr>
          <w:rFonts w:ascii="Times New Roman;serif" w:hAnsi="Times New Roman;serif"/>
          <w:b w:val="false"/>
          <w:color w:val="000000"/>
          <w:sz w:val="22"/>
        </w:rPr>
        <w:t>means 5.11 ABR Corp., a Delaware corporation.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Acquisition</w:t>
      </w:r>
      <w:r>
        <w:rPr>
          <w:color w:val="000000"/>
        </w:rPr>
        <w:t xml:space="preserve">” </w:t>
      </w:r>
      <w:r>
        <w:rPr>
          <w:rFonts w:ascii="Times New Roman;serif" w:hAnsi="Times New Roman;serif"/>
          <w:b w:val="false"/>
          <w:color w:val="000000"/>
          <w:sz w:val="22"/>
        </w:rPr>
        <w:t>means, with respect to any Person, the acquisition by such Person, in a single transaction or in a series of related transactions, of either (a) all or any substantial portion of the property of, or a line of business, division or operating group of, another Person or (b) at least a majority of the Voting Equity Interests of another Person, in each case whether or not involving a merger or consolidation with such other Person. For the avoidance of doubt, the acquisition by the Borrower of Equity Interests of any Portfolio Company from the minority shareholders of such Portfolio Company shall not constitute an Acquisition.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Acquisition Subsidiary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7.14</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Act</w:t>
      </w:r>
      <w:r>
        <w:rPr>
          <w:color w:val="000000"/>
        </w:rPr>
        <w:t xml:space="preserve">” </w:t>
      </w:r>
      <w:r>
        <w:rPr>
          <w:rFonts w:ascii="Times New Roman;serif" w:hAnsi="Times New Roman;serif"/>
          <w:b w:val="false"/>
          <w:color w:val="000000"/>
          <w:sz w:val="22"/>
        </w:rPr>
        <w:t>means the USA Patriot Act (Title III of Pub. L. 107-56 (signed into law October 26, 2001)).</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Administrative Agent</w:t>
      </w:r>
      <w:r>
        <w:rPr>
          <w:color w:val="000000"/>
        </w:rPr>
        <w:t xml:space="preserve">” </w:t>
      </w:r>
      <w:r>
        <w:rPr>
          <w:rFonts w:ascii="Times New Roman;serif" w:hAnsi="Times New Roman;serif"/>
          <w:b w:val="false"/>
          <w:color w:val="000000"/>
          <w:sz w:val="22"/>
        </w:rPr>
        <w:t>means Bank of America in its capacity as administrative agent under any of the Loan Documents, or any successor administrative agent.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color w:val="000000"/>
          <w:u w:val="single"/>
        </w:rPr>
      </w:pPr>
      <w:r>
        <w:rPr>
          <w:color w:val="000000"/>
          <w:u w:val="single"/>
        </w:rPr>
        <w:t>“</w:t>
      </w:r>
      <w:r>
        <w:rPr>
          <w:rFonts w:ascii="Times New Roman;serif" w:hAnsi="Times New Roman;serif"/>
          <w:b w:val="false"/>
          <w:color w:val="000000"/>
          <w:sz w:val="24"/>
          <w:u w:val="single"/>
        </w:rPr>
        <w:t>Administrative Agent’s Financial Advisor” has the meaning specified in Section 6.18.</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Administrative Agent’s Office</w:t>
      </w:r>
      <w:r>
        <w:rPr>
          <w:color w:val="000000"/>
        </w:rPr>
        <w:t xml:space="preserve">” </w:t>
      </w:r>
      <w:r>
        <w:rPr>
          <w:rFonts w:ascii="Times New Roman;serif" w:hAnsi="Times New Roman;serif"/>
          <w:b w:val="false"/>
          <w:color w:val="000000"/>
          <w:sz w:val="22"/>
        </w:rPr>
        <w:t xml:space="preserve">means the Administrative Agent’s address and, as appropriate, account as set forth on </w:t>
      </w:r>
      <w:r>
        <w:rPr>
          <w:rFonts w:ascii="Times New Roman;serif" w:hAnsi="Times New Roman;serif"/>
          <w:b w:val="false"/>
          <w:color w:val="000000"/>
          <w:sz w:val="22"/>
          <w:u w:val="single"/>
        </w:rPr>
        <w:t>Schedule 10.02</w:t>
      </w:r>
      <w:r>
        <w:rPr>
          <w:color w:val="000000"/>
        </w:rPr>
        <w:t xml:space="preserve"> </w:t>
      </w:r>
      <w:r>
        <w:rPr>
          <w:rFonts w:ascii="Times New Roman;serif" w:hAnsi="Times New Roman;serif"/>
          <w:b w:val="false"/>
          <w:color w:val="000000"/>
          <w:sz w:val="22"/>
        </w:rPr>
        <w:t>or such other address or account as the Administrative Agent may from time to time notify the Borrower and the Lenders.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Administrative Questionnaire</w:t>
      </w:r>
      <w:r>
        <w:rPr>
          <w:color w:val="000000"/>
        </w:rPr>
        <w:t xml:space="preserve">” </w:t>
      </w:r>
      <w:r>
        <w:rPr>
          <w:rFonts w:ascii="Times New Roman;serif" w:hAnsi="Times New Roman;serif"/>
          <w:b w:val="false"/>
          <w:color w:val="000000"/>
          <w:sz w:val="22"/>
        </w:rPr>
        <w:t>means an Administrative Questionnaire in a form supplied by the Administrative Agent.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Advanced Circuits</w:t>
      </w:r>
      <w:r>
        <w:rPr>
          <w:color w:val="000000"/>
        </w:rPr>
        <w:t xml:space="preserve">” </w:t>
      </w:r>
      <w:r>
        <w:rPr>
          <w:rFonts w:ascii="Times New Roman;serif" w:hAnsi="Times New Roman;serif"/>
          <w:b w:val="false"/>
          <w:color w:val="000000"/>
          <w:sz w:val="22"/>
        </w:rPr>
        <w:t>means Compass AC Holdings, Inc., a Delaware corporation.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Affected Financial Institution</w:t>
      </w:r>
      <w:r>
        <w:rPr>
          <w:color w:val="000000"/>
        </w:rPr>
        <w:t xml:space="preserve">” </w:t>
      </w:r>
      <w:r>
        <w:rPr>
          <w:rFonts w:ascii="Times New Roman;serif" w:hAnsi="Times New Roman;serif"/>
          <w:b w:val="false"/>
          <w:color w:val="000000"/>
          <w:sz w:val="22"/>
        </w:rPr>
        <w:t>means (a) any EEA Financial Institution, or (b) any UK Financial Institution.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 xml:space="preserve">means, with respect to a specified Person, another Person that directly, or indirectly through one or more intermediaries, Controls or is Controlled by or is under common Control with the Person specified. </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Aggregate Revolving Commitments</w:t>
      </w:r>
      <w:r>
        <w:rPr>
          <w:color w:val="000000"/>
        </w:rPr>
        <w:t xml:space="preserve">” </w:t>
      </w:r>
      <w:r>
        <w:rPr>
          <w:rFonts w:ascii="Times New Roman;serif" w:hAnsi="Times New Roman;serif"/>
          <w:b w:val="false"/>
          <w:color w:val="000000"/>
          <w:sz w:val="22"/>
        </w:rPr>
        <w:t xml:space="preserve">means the Revolving Commitments of all the Lenders. The amount of the Aggregate Revolving Commitments in effect on the </w:t>
      </w:r>
      <w:r>
        <w:rPr>
          <w:rFonts w:ascii="Times New Roman;serif" w:hAnsi="Times New Roman;serif"/>
          <w:b w:val="false"/>
          <w:strike/>
          <w:color w:val="FF0000"/>
          <w:sz w:val="22"/>
        </w:rPr>
        <w:t>Second</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w:t>
      </w:r>
      <w:r>
        <w:rPr>
          <w:rFonts w:ascii="Times New Roman;serif" w:hAnsi="Times New Roman;serif"/>
          <w:b w:val="false"/>
          <w:strike/>
          <w:color w:val="FF0000"/>
          <w:sz w:val="22"/>
        </w:rPr>
        <w:t>Effect</w:t>
      </w:r>
      <w:r>
        <w:rPr>
          <w:rFonts w:ascii="Times New Roman;serif" w:hAnsi="Times New Roman;serif"/>
          <w:b w:val="false"/>
          <w:color w:val="0000FF"/>
          <w:sz w:val="22"/>
          <w:u w:val="single"/>
        </w:rPr>
        <w:t>Effective</w:t>
      </w:r>
      <w:r>
        <w:rPr>
          <w:color w:val="000000"/>
        </w:rPr>
        <w:t xml:space="preserve"> </w:t>
      </w:r>
      <w:r>
        <w:rPr>
          <w:rFonts w:ascii="Times New Roman;serif" w:hAnsi="Times New Roman;serif"/>
          <w:b w:val="false"/>
          <w:color w:val="000000"/>
          <w:sz w:val="22"/>
        </w:rPr>
        <w:t xml:space="preserve">Date is </w:t>
      </w:r>
      <w:r>
        <w:rPr>
          <w:rFonts w:ascii="Times New Roman;serif" w:hAnsi="Times New Roman;serif"/>
          <w:b w:val="false"/>
          <w:strike/>
          <w:color w:val="FF0000"/>
          <w:sz w:val="22"/>
        </w:rPr>
        <w:t>ONE HUNDRED</w:t>
      </w:r>
      <w:r>
        <w:rPr>
          <w:rFonts w:ascii="Times New Roman;serif" w:hAnsi="Times New Roman;serif"/>
          <w:b w:val="false"/>
          <w:color w:val="0000FF"/>
          <w:sz w:val="22"/>
          <w:u w:val="single"/>
        </w:rPr>
        <w:t>FIFTY-FOUR</w:t>
      </w:r>
      <w:r>
        <w:rPr>
          <w:color w:val="000000"/>
        </w:rPr>
        <w:t xml:space="preserve"> </w:t>
      </w:r>
      <w:r>
        <w:rPr>
          <w:rFonts w:ascii="Times New Roman;serif" w:hAnsi="Times New Roman;serif"/>
          <w:b w:val="false"/>
          <w:color w:val="000000"/>
          <w:sz w:val="22"/>
        </w:rPr>
        <w:t>MILLION DOLLARS ($</w:t>
      </w:r>
      <w:r>
        <w:rPr>
          <w:rFonts w:ascii="Times New Roman;serif" w:hAnsi="Times New Roman;serif"/>
          <w:b w:val="false"/>
          <w:strike/>
          <w:color w:val="FF0000"/>
          <w:sz w:val="22"/>
        </w:rPr>
        <w:t>100,000,000</w:t>
      </w:r>
      <w:r>
        <w:rPr>
          <w:rFonts w:ascii="Times New Roman;serif" w:hAnsi="Times New Roman;serif"/>
          <w:b w:val="false"/>
          <w:color w:val="0000FF"/>
          <w:sz w:val="22"/>
          <w:u w:val="single"/>
        </w:rPr>
        <w:t>54,000,000.00</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means this Credit Agreement.</w:t>
      </w:r>
    </w:p>
    <w:p>
      <w:pPr>
        <w:pStyle w:val="TextBody"/>
        <w:bidi w:val="0"/>
        <w:spacing w:lineRule="auto" w:line="268" w:before="240" w:after="283"/>
        <w:ind w:left="0" w:right="0" w:firstLine="720"/>
        <w:jc w:val="both"/>
        <w:rPr>
          <w:color w:val="0000FF"/>
          <w:u w:val="single"/>
        </w:rPr>
      </w:pPr>
      <w:r>
        <w:rPr>
          <w:color w:val="0000FF"/>
          <w:u w:val="single"/>
        </w:rPr>
        <w:t>“</w:t>
      </w:r>
      <w:r>
        <w:rPr>
          <w:rFonts w:ascii="Times New Roman;serif" w:hAnsi="Times New Roman;serif"/>
          <w:b w:val="false"/>
          <w:color w:val="0000FF"/>
          <w:sz w:val="22"/>
          <w:u w:val="single"/>
        </w:rPr>
        <w:t>Altor Solutions” means FFI Compass, Inc., a Delaware corporation.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Allocation Interests</w:t>
      </w:r>
      <w:r>
        <w:rPr>
          <w:color w:val="000000"/>
        </w:rPr>
        <w:t xml:space="preserve">” </w:t>
      </w:r>
      <w:r>
        <w:rPr>
          <w:rFonts w:ascii="Times New Roman;serif" w:hAnsi="Times New Roman;serif"/>
          <w:b w:val="false"/>
          <w:color w:val="000000"/>
          <w:sz w:val="22"/>
        </w:rPr>
        <w:t xml:space="preserve">has the meaning assigned to such term in the Borrower LLC Agreement.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Allocation Member</w:t>
      </w:r>
      <w:r>
        <w:rPr>
          <w:color w:val="000000"/>
        </w:rPr>
        <w:t xml:space="preserve">” </w:t>
      </w:r>
      <w:r>
        <w:rPr>
          <w:rFonts w:ascii="Times New Roman;serif" w:hAnsi="Times New Roman;serif"/>
          <w:b w:val="false"/>
          <w:color w:val="000000"/>
          <w:sz w:val="22"/>
        </w:rPr>
        <w:t xml:space="preserve">has the meaning assigned to such term in the Borrower LLC Agreement.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Allocation Member Distributions</w:t>
      </w:r>
      <w:r>
        <w:rPr>
          <w:color w:val="000000"/>
        </w:rPr>
        <w:t xml:space="preserve">” </w:t>
      </w:r>
      <w:r>
        <w:rPr>
          <w:rFonts w:ascii="Times New Roman;serif" w:hAnsi="Times New Roman;serif"/>
          <w:b w:val="false"/>
          <w:color w:val="000000"/>
          <w:sz w:val="22"/>
        </w:rPr>
        <w:t xml:space="preserve">means distributions payable to the Allocation Member pursuant to and in accordance with the provisions of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of the Borrower LLC Agreement upon either (i) a Disposition of a Subsidiary that is permitted by</w:t>
      </w:r>
      <w:r>
        <w:rPr>
          <w:color w:val="000000"/>
        </w:rPr>
        <w:t xml:space="preserve">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of this Agreement or (ii) with respect to each Subsidiary, the election by the Allocation Member on or after the date that is five (5) years after the date on which Borrower acquired a controlling interest in such Subsidiary and at a time when no Event of Default has occurred and is continuing to receive a distribution in respect thereof and, to the extent incremental federal and state income taxes of the Allocation Member then due and owing in respect of such distributions and other allocations of Borrower’s income pursuant to the Borrower LLC Agreement exceed such distributions, in the amount of such excess. </w:t>
      </w:r>
    </w:p>
    <w:p>
      <w:pPr>
        <w:pStyle w:val="TextBody"/>
        <w:bidi w:val="0"/>
        <w:spacing w:before="0" w:after="0"/>
        <w:jc w:val="left"/>
        <w:rPr/>
      </w:pPr>
      <w:r>
        <w:rPr/>
      </w:r>
    </w:p>
    <w:p>
      <w:pPr>
        <w:pStyle w:val="TextBody"/>
        <w:bidi w:val="0"/>
        <w:spacing w:lineRule="auto" w:line="268"/>
        <w:ind w:left="0" w:right="0" w:firstLine="720"/>
        <w:jc w:val="both"/>
        <w:rPr/>
      </w:pPr>
      <w:r>
        <w:rPr>
          <w:color w:val="000000"/>
        </w:rPr>
        <w:t>“</w:t>
      </w:r>
      <w:r>
        <w:rPr>
          <w:rFonts w:ascii="Times New Roman;serif" w:hAnsi="Times New Roman;serif"/>
          <w:b w:val="false"/>
          <w:color w:val="000000"/>
          <w:sz w:val="22"/>
          <w:u w:val="single"/>
        </w:rPr>
        <w:t>Applicable Percentage</w:t>
      </w:r>
      <w:r>
        <w:rPr>
          <w:color w:val="000000"/>
        </w:rPr>
        <w:t xml:space="preserve">” </w:t>
      </w:r>
      <w:r>
        <w:rPr>
          <w:rFonts w:ascii="Times New Roman;serif" w:hAnsi="Times New Roman;serif"/>
          <w:b w:val="false"/>
          <w:color w:val="000000"/>
          <w:sz w:val="22"/>
        </w:rPr>
        <w:t xml:space="preserve">means with respect to any Lender at any time, (a) with respect to the Revolving Facility at any time, the percentage (carried out to the ninth decimal place) of the Aggregate Revolving Commitments represented by such Lender’s Revolving Commitment at such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commitment of each Lender to make Revolving Loans and the obligation of the L/C Issuer to make L/C Credit Extensions have been terminated pursuant to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or if the Aggregate Revolving Commitments have expired, then the Applicable Percentage of each Lender shall be determined based on the Applicable Percentage of such Lender most recently in effect, giving effect to any subsequent assignments, (b) with respect to the Term </w:t>
      </w:r>
      <w:r>
        <w:rPr>
          <w:rFonts w:ascii="Times New Roman;serif" w:hAnsi="Times New Roman;serif"/>
          <w:b w:val="false"/>
          <w:strike/>
          <w:color w:val="FF0000"/>
          <w:sz w:val="22"/>
        </w:rPr>
        <w:t>Facility</w:t>
      </w:r>
      <w:r>
        <w:rPr>
          <w:rFonts w:ascii="Times New Roman;serif" w:hAnsi="Times New Roman;serif"/>
          <w:b w:val="false"/>
          <w:color w:val="0000FF"/>
          <w:sz w:val="22"/>
          <w:u w:val="single"/>
        </w:rPr>
        <w:t>Loan</w:t>
      </w:r>
      <w:r>
        <w:rPr>
          <w:color w:val="000000"/>
        </w:rPr>
        <w:t xml:space="preserve"> </w:t>
      </w:r>
      <w:r>
        <w:rPr>
          <w:rFonts w:ascii="Times New Roman;serif" w:hAnsi="Times New Roman;serif"/>
          <w:b w:val="false"/>
          <w:color w:val="000000"/>
          <w:sz w:val="22"/>
        </w:rPr>
        <w:t xml:space="preserve">at any time, the percentage (carried out to the ninth decimal place) of the outstanding principal amount of the Term Loan held by such Lender at such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time</w:t>
      </w:r>
      <w:r>
        <w:rPr>
          <w:rFonts w:ascii="Times New Roman;serif" w:hAnsi="Times New Roman;serif"/>
          <w:b w:val="false"/>
          <w:color w:val="0000FF"/>
          <w:sz w:val="22"/>
          <w:u w:val="single"/>
        </w:rPr>
        <w:t>, and</w:t>
      </w:r>
      <w:r>
        <w:rPr>
          <w:color w:val="000000"/>
        </w:rPr>
        <w:t xml:space="preserve"> </w:t>
      </w:r>
      <w:r>
        <w:rPr>
          <w:rFonts w:ascii="Times New Roman;serif" w:hAnsi="Times New Roman;serif"/>
          <w:b w:val="false"/>
          <w:color w:val="000000"/>
          <w:sz w:val="22"/>
        </w:rPr>
        <w:t>(c) with respect to such Lender’s portion of any outstanding Incremental Term Facility at any time, the percentage (carried out to the ninth decimal place) of the outstanding principal amount of the term loan held by such Lender under such Incremental Term Facility at such time</w:t>
      </w:r>
      <w:r>
        <w:rPr>
          <w:rFonts w:ascii="Times New Roman;serif" w:hAnsi="Times New Roman;serif"/>
          <w:b w:val="false"/>
          <w:strike/>
          <w:color w:val="FF0000"/>
          <w:sz w:val="22"/>
        </w:rPr>
        <w:t>, and (d) with respect to the Lender’s Incremental Delayed Draw Term Loan Commitment at any time, the percentage (carried out to the ninth decimal place) of the aggregate Incremental Delayed Draw Term Loan Commitments represented by such Lender’s Incremental Delayed Draw Term Loan Commitment at such time. The initial</w:t>
      </w:r>
      <w:r>
        <w:rPr>
          <w:rFonts w:ascii="Times New Roman;serif" w:hAnsi="Times New Roman;serif"/>
          <w:b w:val="false"/>
          <w:color w:val="0000FF"/>
          <w:sz w:val="22"/>
          <w:u w:val="single"/>
        </w:rPr>
        <w:t>. The</w:t>
      </w:r>
      <w:r>
        <w:rPr>
          <w:color w:val="000000"/>
        </w:rPr>
        <w:t xml:space="preserve"> </w:t>
      </w:r>
      <w:r>
        <w:rPr>
          <w:rFonts w:ascii="Times New Roman;serif" w:hAnsi="Times New Roman;serif"/>
          <w:b w:val="false"/>
          <w:color w:val="000000"/>
          <w:sz w:val="22"/>
        </w:rPr>
        <w:t xml:space="preserve">Applicable Percentage of each Lender </w:t>
      </w:r>
      <w:r>
        <w:rPr>
          <w:rFonts w:ascii="Times New Roman;serif" w:hAnsi="Times New Roman;serif"/>
          <w:b w:val="false"/>
          <w:color w:val="0000FF"/>
          <w:sz w:val="22"/>
          <w:u w:val="single"/>
        </w:rPr>
        <w:t xml:space="preserve">as of the Sixth Amendment Effective Date </w:t>
      </w:r>
      <w:r>
        <w:rPr>
          <w:rFonts w:ascii="Times New Roman;serif" w:hAnsi="Times New Roman;serif"/>
          <w:b w:val="false"/>
          <w:color w:val="000000"/>
          <w:sz w:val="22"/>
        </w:rPr>
        <w:t xml:space="preserve">is set forth opposite the name of such Lender on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FF"/>
          <w:sz w:val="22"/>
          <w:u w:val="single"/>
        </w:rPr>
        <w:t xml:space="preserve">to the Sixth Amendment </w:t>
      </w:r>
      <w:r>
        <w:rPr>
          <w:rFonts w:ascii="Times New Roman;serif" w:hAnsi="Times New Roman;serif"/>
          <w:b w:val="false"/>
          <w:color w:val="000000"/>
          <w:sz w:val="22"/>
        </w:rPr>
        <w:t xml:space="preserve">or in the Assignment and Assumption pursuant to which such Lender becomes a party hereto or in any documentation executed by such Lender pursuant to </w:t>
      </w:r>
      <w:r>
        <w:rPr>
          <w:rFonts w:ascii="Times New Roman;serif" w:hAnsi="Times New Roman;serif"/>
          <w:b w:val="false"/>
          <w:color w:val="000000"/>
          <w:sz w:val="22"/>
          <w:u w:val="single"/>
        </w:rPr>
        <w:t>Section 2.01(c)</w:t>
      </w:r>
      <w:r>
        <w:rPr>
          <w:rFonts w:ascii="Times New Roman;serif" w:hAnsi="Times New Roman;serif"/>
          <w:b w:val="false"/>
          <w:color w:val="000000"/>
          <w:sz w:val="22"/>
        </w:rPr>
        <w:t xml:space="preserve">, as applicable. The Applicable Percentages shall be subject to adjustment as provided in </w:t>
      </w:r>
      <w:r>
        <w:rPr>
          <w:rFonts w:ascii="Times New Roman;serif" w:hAnsi="Times New Roman;serif"/>
          <w:b w:val="false"/>
          <w:color w:val="000000"/>
          <w:sz w:val="22"/>
          <w:u w:val="single"/>
        </w:rPr>
        <w:t>Section 2.15</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Applicable Rate</w:t>
      </w:r>
      <w:r>
        <w:rPr>
          <w:color w:val="000000"/>
        </w:rPr>
        <w:t xml:space="preserve">” </w:t>
      </w:r>
      <w:r>
        <w:rPr>
          <w:rFonts w:ascii="Times New Roman;serif" w:hAnsi="Times New Roman;serif"/>
          <w:b w:val="false"/>
          <w:color w:val="000000"/>
          <w:sz w:val="22"/>
        </w:rPr>
        <w:t xml:space="preserve">means the following percentages per annum, based upon the Consolidated Total Leverage Ratio as set forth in the most recent Compliance Certificate received by the Administrative Agent pursuant to </w:t>
      </w:r>
      <w:r>
        <w:rPr>
          <w:rFonts w:ascii="Times New Roman;serif" w:hAnsi="Times New Roman;serif"/>
          <w:b w:val="false"/>
          <w:color w:val="000000"/>
          <w:sz w:val="22"/>
          <w:u w:val="single"/>
        </w:rPr>
        <w:t>Section 6.02(b)</w:t>
      </w:r>
      <w:r>
        <w:rPr>
          <w:rFonts w:ascii="Times New Roman;serif" w:hAnsi="Times New Roman;serif"/>
          <w:b w:val="false"/>
          <w:color w:val="000000"/>
          <w:sz w:val="22"/>
        </w:rPr>
        <w: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50"/>
        <w:gridCol w:w="308"/>
        <w:gridCol w:w="309"/>
        <w:gridCol w:w="747"/>
        <w:gridCol w:w="747"/>
        <w:gridCol w:w="749"/>
        <w:gridCol w:w="398"/>
        <w:gridCol w:w="398"/>
        <w:gridCol w:w="400"/>
        <w:gridCol w:w="371"/>
        <w:gridCol w:w="371"/>
        <w:gridCol w:w="373"/>
        <w:gridCol w:w="412"/>
        <w:gridCol w:w="412"/>
        <w:gridCol w:w="414"/>
        <w:gridCol w:w="1094"/>
        <w:gridCol w:w="1094"/>
        <w:gridCol w:w="1096"/>
        <w:gridCol w:w="162"/>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
              <w:jc w:val="left"/>
              <w:rPr>
                <w:sz w:val="4"/>
                <w:szCs w:val="4"/>
              </w:rPr>
            </w:pPr>
            <w:r>
              <w:rPr>
                <w:sz w:val="4"/>
                <w:szCs w:val="4"/>
              </w:rPr>
            </w:r>
          </w:p>
        </w:tc>
      </w:tr>
      <w:tr>
        <w:trPr/>
        <w:tc>
          <w:tcPr>
            <w:tcW w:w="967"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Pricing Tier</w:t>
            </w:r>
          </w:p>
        </w:tc>
        <w:tc>
          <w:tcPr>
            <w:tcW w:w="224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Consolidated Total Leverage Ratio</w:t>
            </w:r>
          </w:p>
        </w:tc>
        <w:tc>
          <w:tcPr>
            <w:tcW w:w="119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Term SOFR Loans</w:t>
            </w:r>
          </w:p>
        </w:tc>
        <w:tc>
          <w:tcPr>
            <w:tcW w:w="1115"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Base Rate Loans</w:t>
            </w:r>
          </w:p>
        </w:tc>
        <w:tc>
          <w:tcPr>
            <w:tcW w:w="1238"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Letter of Credit Fee</w:t>
            </w:r>
          </w:p>
        </w:tc>
        <w:tc>
          <w:tcPr>
            <w:tcW w:w="3284"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ind w:left="0" w:right="0" w:hanging="18"/>
              <w:jc w:val="center"/>
              <w:rPr/>
            </w:pPr>
            <w:r>
              <w:rPr>
                <w:rFonts w:ascii="Times New Roman;serif" w:hAnsi="Times New Roman;serif"/>
                <w:b w:val="false"/>
                <w:color w:val="000000"/>
                <w:sz w:val="22"/>
              </w:rPr>
              <w:t xml:space="preserve">Commitment </w:t>
            </w:r>
            <w:r>
              <w:rPr>
                <w:rFonts w:ascii="Times New Roman;serif" w:hAnsi="Times New Roman;serif"/>
                <w:b w:val="false"/>
                <w:strike/>
                <w:color w:val="EE2724"/>
                <w:sz w:val="22"/>
              </w:rPr>
              <w:t xml:space="preserve">Fee and Incremental DDTL Commitment </w:t>
            </w:r>
            <w:r>
              <w:rPr>
                <w:rFonts w:ascii="Times New Roman;serif" w:hAnsi="Times New Roman;serif"/>
                <w:b w:val="false"/>
                <w:color w:val="000000"/>
                <w:sz w:val="22"/>
              </w:rPr>
              <w:t xml:space="preserve">Fee </w:t>
            </w:r>
          </w:p>
        </w:tc>
        <w:tc>
          <w:tcPr>
            <w:tcW w:w="162" w:type="dxa"/>
            <w:tcBorders/>
            <w:vAlign w:val="center"/>
          </w:tcPr>
          <w:p>
            <w:pPr>
              <w:pStyle w:val="TableContents"/>
              <w:bidi w:val="0"/>
              <w:spacing w:before="0" w:after="283"/>
              <w:jc w:val="left"/>
              <w:rPr>
                <w:sz w:val="4"/>
                <w:szCs w:val="4"/>
              </w:rPr>
            </w:pPr>
            <w:r>
              <w:rPr>
                <w:sz w:val="4"/>
                <w:szCs w:val="4"/>
              </w:rPr>
            </w:r>
          </w:p>
        </w:tc>
      </w:tr>
      <w:tr>
        <w:trPr/>
        <w:tc>
          <w:tcPr>
            <w:tcW w:w="96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224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19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11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238"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28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62" w:type="dxa"/>
            <w:tcBorders/>
            <w:vAlign w:val="center"/>
          </w:tcPr>
          <w:p>
            <w:pPr>
              <w:pStyle w:val="TableContents"/>
              <w:bidi w:val="0"/>
              <w:spacing w:before="0" w:after="283"/>
              <w:ind w:left="0" w:right="0" w:hanging="18"/>
              <w:jc w:val="left"/>
              <w:rPr>
                <w:sz w:val="4"/>
                <w:szCs w:val="4"/>
              </w:rPr>
            </w:pPr>
            <w:r>
              <w:rPr>
                <w:sz w:val="4"/>
                <w:szCs w:val="4"/>
              </w:rPr>
            </w:r>
          </w:p>
        </w:tc>
      </w:tr>
      <w:tr>
        <w:trPr/>
        <w:tc>
          <w:tcPr>
            <w:tcW w:w="9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22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&lt; 1.75:1.0</w:t>
            </w:r>
          </w:p>
        </w:tc>
        <w:tc>
          <w:tcPr>
            <w:tcW w:w="11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1.50%</w:t>
            </w:r>
          </w:p>
        </w:tc>
        <w:tc>
          <w:tcPr>
            <w:tcW w:w="11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0.50%</w:t>
            </w:r>
          </w:p>
        </w:tc>
        <w:tc>
          <w:tcPr>
            <w:tcW w:w="12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1.50%</w:t>
            </w:r>
          </w:p>
        </w:tc>
        <w:tc>
          <w:tcPr>
            <w:tcW w:w="32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0.25%</w:t>
            </w:r>
          </w:p>
        </w:tc>
        <w:tc>
          <w:tcPr>
            <w:tcW w:w="162" w:type="dxa"/>
            <w:tcBorders/>
            <w:vAlign w:val="center"/>
          </w:tcPr>
          <w:p>
            <w:pPr>
              <w:pStyle w:val="TableContents"/>
              <w:bidi w:val="0"/>
              <w:spacing w:before="0" w:after="283"/>
              <w:ind w:left="0" w:right="0" w:hanging="18"/>
              <w:jc w:val="left"/>
              <w:rPr>
                <w:sz w:val="4"/>
                <w:szCs w:val="4"/>
              </w:rPr>
            </w:pPr>
            <w:r>
              <w:rPr>
                <w:sz w:val="4"/>
                <w:szCs w:val="4"/>
              </w:rPr>
            </w:r>
          </w:p>
        </w:tc>
      </w:tr>
      <w:tr>
        <w:trPr/>
        <w:tc>
          <w:tcPr>
            <w:tcW w:w="9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22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u w:val="single"/>
              </w:rPr>
              <w:t>&gt;</w:t>
            </w:r>
            <w:r>
              <w:rPr>
                <w:color w:val="000000"/>
              </w:rPr>
              <w:t xml:space="preserve"> </w:t>
            </w:r>
            <w:r>
              <w:rPr>
                <w:rFonts w:ascii="Times New Roman;serif" w:hAnsi="Times New Roman;serif"/>
                <w:b w:val="false"/>
                <w:color w:val="000000"/>
                <w:sz w:val="22"/>
              </w:rPr>
              <w:t>1.75:1.0 but</w:t>
            </w:r>
          </w:p>
          <w:p>
            <w:pPr>
              <w:pStyle w:val="TableContents"/>
              <w:bidi w:val="0"/>
              <w:spacing w:lineRule="auto" w:line="268" w:before="0" w:after="0"/>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&lt; 2.75:1.0</w:t>
            </w:r>
          </w:p>
        </w:tc>
        <w:tc>
          <w:tcPr>
            <w:tcW w:w="11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1.75%</w:t>
            </w:r>
          </w:p>
        </w:tc>
        <w:tc>
          <w:tcPr>
            <w:tcW w:w="11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0.75%</w:t>
            </w:r>
          </w:p>
        </w:tc>
        <w:tc>
          <w:tcPr>
            <w:tcW w:w="12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1.75%</w:t>
            </w:r>
          </w:p>
        </w:tc>
        <w:tc>
          <w:tcPr>
            <w:tcW w:w="32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0.30%</w:t>
            </w:r>
          </w:p>
        </w:tc>
        <w:tc>
          <w:tcPr>
            <w:tcW w:w="162" w:type="dxa"/>
            <w:tcBorders/>
            <w:vAlign w:val="center"/>
          </w:tcPr>
          <w:p>
            <w:pPr>
              <w:pStyle w:val="TableContents"/>
              <w:bidi w:val="0"/>
              <w:spacing w:before="0" w:after="283"/>
              <w:ind w:left="0" w:right="0" w:hanging="18"/>
              <w:jc w:val="left"/>
              <w:rPr>
                <w:sz w:val="4"/>
                <w:szCs w:val="4"/>
              </w:rPr>
            </w:pPr>
            <w:r>
              <w:rPr>
                <w:sz w:val="4"/>
                <w:szCs w:val="4"/>
              </w:rPr>
            </w:r>
          </w:p>
        </w:tc>
      </w:tr>
      <w:tr>
        <w:trPr/>
        <w:tc>
          <w:tcPr>
            <w:tcW w:w="9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22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u w:val="single"/>
              </w:rPr>
              <w:t>&gt;</w:t>
            </w:r>
            <w:r>
              <w:rPr>
                <w:color w:val="000000"/>
              </w:rPr>
              <w:t xml:space="preserve"> </w:t>
            </w:r>
            <w:r>
              <w:rPr>
                <w:rFonts w:ascii="Times New Roman;serif" w:hAnsi="Times New Roman;serif"/>
                <w:b w:val="false"/>
                <w:color w:val="000000"/>
                <w:sz w:val="22"/>
              </w:rPr>
              <w:t>2.75:1.0 but</w:t>
            </w:r>
          </w:p>
          <w:p>
            <w:pPr>
              <w:pStyle w:val="TableContents"/>
              <w:bidi w:val="0"/>
              <w:spacing w:lineRule="auto" w:line="268" w:before="0" w:after="0"/>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&lt; 3.50:1.0</w:t>
            </w:r>
          </w:p>
        </w:tc>
        <w:tc>
          <w:tcPr>
            <w:tcW w:w="11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2.00%</w:t>
            </w:r>
          </w:p>
        </w:tc>
        <w:tc>
          <w:tcPr>
            <w:tcW w:w="11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1.00%</w:t>
            </w:r>
          </w:p>
        </w:tc>
        <w:tc>
          <w:tcPr>
            <w:tcW w:w="12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2.00%</w:t>
            </w:r>
          </w:p>
        </w:tc>
        <w:tc>
          <w:tcPr>
            <w:tcW w:w="32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0.35%</w:t>
            </w:r>
          </w:p>
        </w:tc>
        <w:tc>
          <w:tcPr>
            <w:tcW w:w="162" w:type="dxa"/>
            <w:tcBorders/>
            <w:vAlign w:val="center"/>
          </w:tcPr>
          <w:p>
            <w:pPr>
              <w:pStyle w:val="TableContents"/>
              <w:bidi w:val="0"/>
              <w:spacing w:before="0" w:after="283"/>
              <w:ind w:left="0" w:right="0" w:hanging="18"/>
              <w:jc w:val="left"/>
              <w:rPr>
                <w:sz w:val="4"/>
                <w:szCs w:val="4"/>
              </w:rPr>
            </w:pPr>
            <w:r>
              <w:rPr>
                <w:sz w:val="4"/>
                <w:szCs w:val="4"/>
              </w:rPr>
            </w:r>
          </w:p>
        </w:tc>
      </w:tr>
      <w:tr>
        <w:trPr/>
        <w:tc>
          <w:tcPr>
            <w:tcW w:w="9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22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u w:val="single"/>
              </w:rPr>
              <w:t>&gt;</w:t>
            </w:r>
            <w:r>
              <w:rPr>
                <w:color w:val="000000"/>
              </w:rPr>
              <w:t xml:space="preserve"> </w:t>
            </w:r>
            <w:r>
              <w:rPr>
                <w:rFonts w:ascii="Times New Roman;serif" w:hAnsi="Times New Roman;serif"/>
                <w:b w:val="false"/>
                <w:color w:val="000000"/>
                <w:sz w:val="22"/>
              </w:rPr>
              <w:t>3.50:1.0 but</w:t>
            </w:r>
          </w:p>
          <w:p>
            <w:pPr>
              <w:pStyle w:val="TableContents"/>
              <w:bidi w:val="0"/>
              <w:spacing w:lineRule="auto" w:line="288" w:before="0" w:after="0"/>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&lt; 4.00:1.0</w:t>
            </w:r>
          </w:p>
        </w:tc>
        <w:tc>
          <w:tcPr>
            <w:tcW w:w="11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2.25%</w:t>
            </w:r>
          </w:p>
        </w:tc>
        <w:tc>
          <w:tcPr>
            <w:tcW w:w="11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1.25%</w:t>
            </w:r>
          </w:p>
        </w:tc>
        <w:tc>
          <w:tcPr>
            <w:tcW w:w="12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2.25%</w:t>
            </w:r>
          </w:p>
        </w:tc>
        <w:tc>
          <w:tcPr>
            <w:tcW w:w="32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0.40%</w:t>
            </w:r>
          </w:p>
        </w:tc>
        <w:tc>
          <w:tcPr>
            <w:tcW w:w="162" w:type="dxa"/>
            <w:tcBorders/>
            <w:vAlign w:val="center"/>
          </w:tcPr>
          <w:p>
            <w:pPr>
              <w:pStyle w:val="TableContents"/>
              <w:bidi w:val="0"/>
              <w:spacing w:before="0" w:after="283"/>
              <w:ind w:left="0" w:right="0" w:hanging="18"/>
              <w:jc w:val="left"/>
              <w:rPr>
                <w:sz w:val="4"/>
                <w:szCs w:val="4"/>
              </w:rPr>
            </w:pPr>
            <w:r>
              <w:rPr>
                <w:sz w:val="4"/>
                <w:szCs w:val="4"/>
              </w:rPr>
            </w:r>
          </w:p>
        </w:tc>
      </w:tr>
      <w:tr>
        <w:trPr/>
        <w:tc>
          <w:tcPr>
            <w:tcW w:w="9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5</w:t>
            </w:r>
          </w:p>
        </w:tc>
        <w:tc>
          <w:tcPr>
            <w:tcW w:w="22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u w:val="single"/>
              </w:rPr>
              <w:t>&gt;</w:t>
            </w:r>
            <w:r>
              <w:rPr>
                <w:color w:val="000000"/>
              </w:rPr>
              <w:t xml:space="preserve"> </w:t>
            </w:r>
            <w:r>
              <w:rPr>
                <w:rFonts w:ascii="Times New Roman;serif" w:hAnsi="Times New Roman;serif"/>
                <w:b w:val="false"/>
                <w:color w:val="000000"/>
                <w:sz w:val="22"/>
              </w:rPr>
              <w:t>4:00:1.0 but&lt; 4.50:1.0</w:t>
            </w:r>
          </w:p>
        </w:tc>
        <w:tc>
          <w:tcPr>
            <w:tcW w:w="11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2.50%</w:t>
            </w:r>
          </w:p>
        </w:tc>
        <w:tc>
          <w:tcPr>
            <w:tcW w:w="11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1.50%</w:t>
            </w:r>
          </w:p>
        </w:tc>
        <w:tc>
          <w:tcPr>
            <w:tcW w:w="12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2.50%</w:t>
            </w:r>
          </w:p>
        </w:tc>
        <w:tc>
          <w:tcPr>
            <w:tcW w:w="32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0.45%</w:t>
            </w:r>
          </w:p>
        </w:tc>
        <w:tc>
          <w:tcPr>
            <w:tcW w:w="162" w:type="dxa"/>
            <w:tcBorders/>
            <w:vAlign w:val="center"/>
          </w:tcPr>
          <w:p>
            <w:pPr>
              <w:pStyle w:val="TableContents"/>
              <w:bidi w:val="0"/>
              <w:spacing w:before="0" w:after="283"/>
              <w:ind w:left="0" w:right="0" w:hanging="18"/>
              <w:jc w:val="left"/>
              <w:rPr>
                <w:sz w:val="4"/>
                <w:szCs w:val="4"/>
              </w:rPr>
            </w:pPr>
            <w:r>
              <w:rPr>
                <w:sz w:val="4"/>
                <w:szCs w:val="4"/>
              </w:rPr>
            </w:r>
          </w:p>
        </w:tc>
      </w:tr>
      <w:tr>
        <w:trPr/>
        <w:tc>
          <w:tcPr>
            <w:tcW w:w="9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6</w:t>
            </w:r>
          </w:p>
        </w:tc>
        <w:tc>
          <w:tcPr>
            <w:tcW w:w="22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&gt; 4.50:1.0</w:t>
            </w:r>
          </w:p>
        </w:tc>
        <w:tc>
          <w:tcPr>
            <w:tcW w:w="11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3.25%</w:t>
            </w:r>
          </w:p>
        </w:tc>
        <w:tc>
          <w:tcPr>
            <w:tcW w:w="11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2.25%</w:t>
            </w:r>
          </w:p>
        </w:tc>
        <w:tc>
          <w:tcPr>
            <w:tcW w:w="12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hanging="18"/>
              <w:jc w:val="center"/>
              <w:rPr>
                <w:rFonts w:ascii="Times New Roman;serif" w:hAnsi="Times New Roman;serif"/>
                <w:b w:val="false"/>
                <w:color w:val="000000"/>
                <w:sz w:val="22"/>
              </w:rPr>
            </w:pPr>
            <w:r>
              <w:rPr>
                <w:rFonts w:ascii="Times New Roman;serif" w:hAnsi="Times New Roman;serif"/>
                <w:b w:val="false"/>
                <w:color w:val="000000"/>
                <w:sz w:val="22"/>
              </w:rPr>
              <w:t>3.25%</w:t>
            </w:r>
          </w:p>
        </w:tc>
        <w:tc>
          <w:tcPr>
            <w:tcW w:w="32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0.60%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jc w:val="both"/>
        <w:rPr/>
      </w:pPr>
      <w:r>
        <w:rPr>
          <w:rFonts w:ascii="Times New Roman;serif" w:hAnsi="Times New Roman;serif"/>
          <w:b w:val="false"/>
          <w:color w:val="000000"/>
          <w:sz w:val="22"/>
        </w:rPr>
        <w:t xml:space="preserve">Any increase or decrease in the Applicable Rate resulting from a change in the Consolidated Total Leverage Ratio shall become effective as of the first Business Day immediately following the date a Compliance Certificate is required to be delivered pursuant to </w:t>
      </w:r>
      <w:r>
        <w:rPr>
          <w:rFonts w:ascii="Times New Roman;serif" w:hAnsi="Times New Roman;serif"/>
          <w:b w:val="false"/>
          <w:color w:val="000000"/>
          <w:sz w:val="22"/>
          <w:u w:val="single"/>
        </w:rPr>
        <w:t>Section 6.02(b)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w:t>
      </w:r>
      <w:r>
        <w:rPr>
          <w:rFonts w:ascii="Times New Roman;serif" w:hAnsi="Times New Roman;serif"/>
          <w:b w:val="false"/>
          <w:color w:val="0000FF"/>
          <w:sz w:val="22"/>
          <w:u w:val="single"/>
        </w:rPr>
        <w:t xml:space="preserve">(i) </w:t>
      </w:r>
      <w:r>
        <w:rPr>
          <w:rFonts w:ascii="Times New Roman;serif" w:hAnsi="Times New Roman;serif"/>
          <w:b w:val="false"/>
          <w:color w:val="000000"/>
          <w:sz w:val="22"/>
        </w:rPr>
        <w:t xml:space="preserve">that if a Compliance Certificate is not delivered when due in accordance with such Section, then, upon the request of the Required Lenders, Pricing Tier 6 shall apply as of the first Business Day after the date on which such Compliance Certificate was required to have been delivered and shall remain in effect until the first Business Day immediately following the date on which such Compliance Certificate is delivered in accordance with </w:t>
      </w:r>
      <w:r>
        <w:rPr>
          <w:rFonts w:ascii="Times New Roman;serif" w:hAnsi="Times New Roman;serif"/>
          <w:b w:val="false"/>
          <w:color w:val="000000"/>
          <w:sz w:val="22"/>
          <w:u w:val="single"/>
        </w:rPr>
        <w:t>Section 6.02(b)</w:t>
      </w:r>
      <w:r>
        <w:rPr>
          <w:color w:val="000000"/>
        </w:rPr>
        <w:t xml:space="preserve"> </w:t>
      </w:r>
      <w:r>
        <w:rPr>
          <w:rFonts w:ascii="Times New Roman;serif" w:hAnsi="Times New Roman;serif"/>
          <w:b w:val="false"/>
          <w:color w:val="000000"/>
          <w:sz w:val="22"/>
        </w:rPr>
        <w:t>whereupon the Applicable Rate shall be adjusted based upon the calculation of the Consolidated Total Leverage Ratio contained in such Compliance Certificate</w:t>
      </w:r>
      <w:r>
        <w:rPr>
          <w:color w:val="0000FF"/>
          <w:u w:val="single"/>
        </w:rPr>
        <w:t xml:space="preserve"> </w:t>
      </w:r>
      <w:r>
        <w:rPr>
          <w:rFonts w:ascii="Times New Roman;serif" w:hAnsi="Times New Roman;serif"/>
          <w:b w:val="false"/>
          <w:color w:val="0000FF"/>
          <w:sz w:val="22"/>
          <w:u w:val="single"/>
        </w:rPr>
        <w:t>and (ii) Pricing Tier 6 shall apply during the period from and including the Sixth Amendment Effective Date until the first Business Day immediately following the date on which a Compliance Certificate is delivered in accordance with Section 6.02(b) for the first full fiscal quarter ending after the Sixth Amendment Effective Date whereupon the Applicable Rate shall be adjusted based on the calculation of the Consolidated Total Leverage Ratio contained in such Compliance Certificate</w:t>
      </w:r>
      <w:r>
        <w:rPr>
          <w:rFonts w:ascii="Times New Roman;serif" w:hAnsi="Times New Roman;serif"/>
          <w:b w:val="false"/>
          <w:color w:val="000000"/>
          <w:sz w:val="22"/>
        </w:rPr>
        <w:t xml:space="preserve">. Notwithstanding anything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 xml:space="preserve">to the contrary contained in this definition, the determination of the Applicable Rate for any period shall be subject to the provisions of </w:t>
      </w:r>
      <w:r>
        <w:rPr>
          <w:rFonts w:ascii="Times New Roman;serif" w:hAnsi="Times New Roman;serif"/>
          <w:b w:val="false"/>
          <w:color w:val="000000"/>
          <w:sz w:val="22"/>
          <w:u w:val="single"/>
        </w:rPr>
        <w:t>Section 2.10(b)</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Approved Fund</w:t>
      </w:r>
      <w:r>
        <w:rPr>
          <w:color w:val="000000"/>
        </w:rPr>
        <w:t xml:space="preserve">” </w:t>
      </w:r>
      <w:r>
        <w:rPr>
          <w:rFonts w:ascii="Times New Roman;serif" w:hAnsi="Times New Roman;serif"/>
          <w:b w:val="false"/>
          <w:color w:val="000000"/>
          <w:sz w:val="22"/>
        </w:rPr>
        <w:t>means any Fund that is administered or managed by (a) a Lender, (b) an Affiliate of a Lender or (c) an entity or an Affiliate of an entity that administers or manages a Lender.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Arnold Magnetics</w:t>
      </w:r>
      <w:r>
        <w:rPr>
          <w:color w:val="000000"/>
        </w:rPr>
        <w:t xml:space="preserve">” </w:t>
      </w:r>
      <w:r>
        <w:rPr>
          <w:rFonts w:ascii="Times New Roman;serif" w:hAnsi="Times New Roman;serif"/>
          <w:b w:val="false"/>
          <w:color w:val="000000"/>
          <w:sz w:val="22"/>
        </w:rPr>
        <w:t>means AMTAC Holdings, LLC, a Delaware limited liability company.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Arrangers</w:t>
      </w:r>
      <w:r>
        <w:rPr>
          <w:color w:val="000000"/>
        </w:rPr>
        <w:t xml:space="preserve">” </w:t>
      </w:r>
      <w:r>
        <w:rPr>
          <w:rFonts w:ascii="Times New Roman;serif" w:hAnsi="Times New Roman;serif"/>
          <w:b w:val="false"/>
          <w:color w:val="000000"/>
          <w:sz w:val="22"/>
        </w:rPr>
        <w:t>means Bank of America (an Affiliate of BofA Securities), TD Securities, (USA) LLC, JPMorgan Chase Bank, N.A., U.S. Bank National Association and CIBC Bank USA, in their capacities as joint lead arrangers and Bank of America (an Affiliate of BofA Securities), TD Securities, (USA) LLC, JPMorgan Chase Bank, N.A. and U.S. Bank National Association, in their capacities as joint bookrunners.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Assignment and Assumption</w:t>
      </w:r>
      <w:r>
        <w:rPr>
          <w:color w:val="000000"/>
        </w:rPr>
        <w:t xml:space="preserve">” </w:t>
      </w:r>
      <w:r>
        <w:rPr>
          <w:rFonts w:ascii="Times New Roman;serif" w:hAnsi="Times New Roman;serif"/>
          <w:b w:val="false"/>
          <w:color w:val="000000"/>
          <w:sz w:val="22"/>
        </w:rPr>
        <w:t xml:space="preserve">means an assignment and assumption entered into by a Lender and an Eligible Assignee (with the consent of any party whose consent is required by </w:t>
      </w:r>
      <w:r>
        <w:rPr>
          <w:rFonts w:ascii="Times New Roman;serif" w:hAnsi="Times New Roman;serif"/>
          <w:b w:val="false"/>
          <w:color w:val="000000"/>
          <w:sz w:val="22"/>
          <w:u w:val="single"/>
        </w:rPr>
        <w:t>Section 10.06(b)</w:t>
      </w:r>
      <w:r>
        <w:rPr>
          <w:rFonts w:ascii="Times New Roman;serif" w:hAnsi="Times New Roman;serif"/>
          <w:b w:val="false"/>
          <w:color w:val="000000"/>
          <w:sz w:val="22"/>
        </w:rPr>
        <w:t xml:space="preserve">), and accepted by the Administrative Agent, in substantially the form of </w:t>
      </w:r>
      <w:r>
        <w:rPr>
          <w:rFonts w:ascii="Times New Roman;serif" w:hAnsi="Times New Roman;serif"/>
          <w:b w:val="false"/>
          <w:color w:val="000000"/>
          <w:sz w:val="22"/>
          <w:u w:val="single"/>
        </w:rPr>
        <w:t>Exhibit F</w:t>
      </w:r>
      <w:r>
        <w:rPr>
          <w:color w:val="000000"/>
        </w:rPr>
        <w:t xml:space="preserve"> </w:t>
      </w:r>
      <w:r>
        <w:rPr>
          <w:rFonts w:ascii="Times New Roman;serif" w:hAnsi="Times New Roman;serif"/>
          <w:b w:val="false"/>
          <w:color w:val="000000"/>
          <w:sz w:val="22"/>
        </w:rPr>
        <w:t>or any other form (including electronic documentation generated by MarkitClear or other electronic platform) approved by the Administrative Agent.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Attributable Indebtedness</w:t>
      </w:r>
      <w:r>
        <w:rPr>
          <w:color w:val="000000"/>
        </w:rPr>
        <w:t xml:space="preserve">” </w:t>
      </w:r>
      <w:r>
        <w:rPr>
          <w:rFonts w:ascii="Times New Roman;serif" w:hAnsi="Times New Roman;serif"/>
          <w:b w:val="false"/>
          <w:color w:val="000000"/>
          <w:sz w:val="22"/>
        </w:rPr>
        <w:t>means, with respect to any Person on any date, (a) in respect of any capital lease, the capitalized amount thereof that would appear on a balance sheet of such Person prepared as of such date in accordance with GAAP,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and (c) in respect of any Securitization Transaction, the outstanding principal amount of such financing, after taking into account reserve accounts and making appropriate adjustments, determined by the Administrative Agent in its reasonable judgment.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Audited Financial Statements</w:t>
      </w:r>
      <w:r>
        <w:rPr>
          <w:color w:val="000000"/>
        </w:rPr>
        <w:t xml:space="preserve">” </w:t>
      </w:r>
      <w:r>
        <w:rPr>
          <w:rFonts w:ascii="Times New Roman;serif" w:hAnsi="Times New Roman;serif"/>
          <w:b w:val="false"/>
          <w:color w:val="000000"/>
          <w:sz w:val="22"/>
        </w:rPr>
        <w:t>means the audited consolidated balance sheet of the Borrower and its Subsidiaries for the fiscal year ended December 31, 2021, and the related consolidated statements of income or operations, shareholders’ equity and cash flows of the Borrower and its Subsidiaries for such fiscal year, including the notes thereto, audited by independent public accountants of recognized national standing and prepared in conformity with GAAP.</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Auto Borrow Agreement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2.04(g)</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Availability</w:t>
      </w:r>
      <w:r>
        <w:rPr>
          <w:color w:val="000000"/>
        </w:rPr>
        <w:t xml:space="preserve">” </w:t>
      </w:r>
      <w:r>
        <w:rPr>
          <w:rFonts w:ascii="Times New Roman;serif" w:hAnsi="Times New Roman;serif"/>
          <w:b w:val="false"/>
          <w:color w:val="000000"/>
          <w:sz w:val="22"/>
        </w:rPr>
        <w:t xml:space="preserve">means (a) with respect to an Existing Portfolio Company, the least of (i) the product of (x) the Portfolio Company EBITDA of such Existing Portfolio Company for the twelve month period ending on the last day of the month for which financial statements regarding such Existing Portfolio Company have been most recently delivered to the Administrative Agent in accordance with the terms of this Agreement </w:t>
      </w:r>
      <w:r>
        <w:rPr>
          <w:rFonts w:ascii="Times New Roman;serif" w:hAnsi="Times New Roman;serif"/>
          <w:b w:val="false"/>
          <w:color w:val="000000"/>
          <w:sz w:val="24"/>
          <w:u w:val="single"/>
        </w:rPr>
        <w:t>times</w:t>
      </w:r>
      <w:r>
        <w:rPr>
          <w:color w:val="000000"/>
        </w:rPr>
        <w:t xml:space="preserve"> </w:t>
      </w:r>
      <w:r>
        <w:rPr>
          <w:rFonts w:ascii="Times New Roman;serif" w:hAnsi="Times New Roman;serif"/>
          <w:b w:val="false"/>
          <w:color w:val="000000"/>
          <w:sz w:val="22"/>
        </w:rPr>
        <w:t xml:space="preserve">(y) 2.75; (ii) the sum of (x) the principal balance of the Qualified Intercompany Debt owing by such Existing Portfolio Company to the Borrower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2"/>
        </w:rPr>
        <w:t xml:space="preserve">(y) the positive sum (if any) of the product of (I) 2.75 minus a fraction, the numerator of which shall be the principal balance of the Qualified Intercompany Debt owing by such Existing Portfolio Company to the Borrower and the denominator of which shall be the Portfolio Company EBITDA of such Existing Portfolio Company for the twelve month period ending on the last day of the month for which financial statements regarding such Existing Portfolio Company have been most recently delivered to the Administrative Agent in accordance with the terms of this Agreement </w:t>
      </w:r>
      <w:r>
        <w:rPr>
          <w:rFonts w:ascii="Times New Roman;serif" w:hAnsi="Times New Roman;serif"/>
          <w:b w:val="false"/>
          <w:color w:val="000000"/>
          <w:sz w:val="24"/>
          <w:u w:val="single"/>
        </w:rPr>
        <w:t>times</w:t>
      </w:r>
      <w:r>
        <w:rPr>
          <w:color w:val="000000"/>
        </w:rPr>
        <w:t xml:space="preserve"> </w:t>
      </w:r>
      <w:r>
        <w:rPr>
          <w:rFonts w:ascii="Times New Roman;serif" w:hAnsi="Times New Roman;serif"/>
          <w:b w:val="false"/>
          <w:color w:val="000000"/>
          <w:sz w:val="22"/>
        </w:rPr>
        <w:t xml:space="preserve">(II) the amount of Compass-Owned EBITDA with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respect to such Existing Portfolio Company; and (iii) for any Existing Portfolio Company that is a Disqualified Portfolio Company, zero; and (b) with respect to any New Portfolio Company, the least of (i) the product of (x) the Portfolio Company EBITDA of such New Portfolio Company for the twelve month period ending on the last day of the month for which financial statements regarding such New Portfolio Company have been most recently delivered to the Administrative Agent in accordance with the terms of this Agreement </w:t>
      </w:r>
      <w:r>
        <w:rPr>
          <w:rFonts w:ascii="Times New Roman;serif" w:hAnsi="Times New Roman;serif"/>
          <w:b w:val="false"/>
          <w:color w:val="000000"/>
          <w:sz w:val="24"/>
          <w:u w:val="single"/>
        </w:rPr>
        <w:t>times</w:t>
      </w:r>
      <w:r>
        <w:rPr>
          <w:color w:val="000000"/>
        </w:rPr>
        <w:t xml:space="preserve"> </w:t>
      </w:r>
      <w:r>
        <w:rPr>
          <w:rFonts w:ascii="Times New Roman;serif" w:hAnsi="Times New Roman;serif"/>
          <w:b w:val="false"/>
          <w:color w:val="000000"/>
          <w:sz w:val="22"/>
        </w:rPr>
        <w:t xml:space="preserve">(y) 1.75; (ii) the sum of (x) the principal balance of the Qualified Intercompany Debt owing by such New Portfolio Company to the Borrower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2"/>
        </w:rPr>
        <w:t xml:space="preserve">(y) the positive sum (if any) of the product of (I) 1.75 minus a fraction, the numerator of which shall be the principal balance of the Qualified Intercompany Debt owing by such New Portfolio Company to the Borrower and the denominator of which shall be the Portfolio Company EBITDA of such New Portfolio Company for the twelve month period ending on the last day of the month for which financial statements regarding such New Portfolio Company have been most recently delivered to the Administrative Agent in accordance with the terms of this Agreement </w:t>
      </w:r>
      <w:r>
        <w:rPr>
          <w:rFonts w:ascii="Times New Roman;serif" w:hAnsi="Times New Roman;serif"/>
          <w:b w:val="false"/>
          <w:color w:val="000000"/>
          <w:sz w:val="24"/>
          <w:u w:val="single"/>
        </w:rPr>
        <w:t>times</w:t>
      </w:r>
      <w:r>
        <w:rPr>
          <w:color w:val="000000"/>
        </w:rPr>
        <w:t xml:space="preserve"> </w:t>
      </w:r>
      <w:r>
        <w:rPr>
          <w:rFonts w:ascii="Times New Roman;serif" w:hAnsi="Times New Roman;serif"/>
          <w:b w:val="false"/>
          <w:color w:val="000000"/>
          <w:sz w:val="22"/>
        </w:rPr>
        <w:t>(II) the amount of Compass-Owned EBITDA with respect to such New Portfolio Company; and (iii) for any New Portfolio Company that is a Disqualified Portfolio Company, zero.</w:t>
      </w:r>
      <w:r>
        <w:rPr>
          <w:color w:val="000000"/>
        </w:rPr>
        <w:t xml:space="preserve"> </w:t>
      </w:r>
      <w:r>
        <w:rPr>
          <w:rFonts w:ascii="Times New Roman;serif" w:hAnsi="Times New Roman;serif"/>
          <w:b w:val="false"/>
          <w:color w:val="000000"/>
          <w:sz w:val="22"/>
        </w:rPr>
        <w:t xml:space="preserve">It is agreed and understood that the Availability for any Portfolio Company shall in no event be less than zero.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Availability Certificate</w:t>
      </w:r>
      <w:r>
        <w:rPr>
          <w:color w:val="000000"/>
        </w:rPr>
        <w:t xml:space="preserve">” </w:t>
      </w:r>
      <w:r>
        <w:rPr>
          <w:rFonts w:ascii="Times New Roman;serif" w:hAnsi="Times New Roman;serif"/>
          <w:b w:val="false"/>
          <w:color w:val="000000"/>
          <w:sz w:val="22"/>
        </w:rPr>
        <w:t xml:space="preserve">means a certificate substantially in the form of </w:t>
      </w:r>
      <w:r>
        <w:rPr>
          <w:rFonts w:ascii="Times New Roman;serif" w:hAnsi="Times New Roman;serif"/>
          <w:b w:val="false"/>
          <w:color w:val="000000"/>
          <w:sz w:val="22"/>
          <w:u w:val="single"/>
        </w:rPr>
        <w:t>Exhibit I</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Availability Period</w:t>
      </w:r>
      <w:r>
        <w:rPr>
          <w:color w:val="000000"/>
        </w:rPr>
        <w:t xml:space="preserve">” </w:t>
      </w:r>
      <w:r>
        <w:rPr>
          <w:rFonts w:ascii="Times New Roman;serif" w:hAnsi="Times New Roman;serif"/>
          <w:b w:val="false"/>
          <w:color w:val="000000"/>
          <w:sz w:val="22"/>
        </w:rPr>
        <w:t>means, with respect to the Revolving Commitments, the period from and including the Closing Date to the earliest of (a) the Maturity Date</w:t>
      </w:r>
      <w:r>
        <w:rPr>
          <w:color w:val="0000FF"/>
          <w:u w:val="single"/>
        </w:rPr>
        <w:t xml:space="preserve"> </w:t>
      </w:r>
      <w:r>
        <w:rPr>
          <w:rFonts w:ascii="Times New Roman;serif" w:hAnsi="Times New Roman;serif"/>
          <w:b w:val="false"/>
          <w:color w:val="0000FF"/>
          <w:sz w:val="22"/>
          <w:u w:val="single"/>
        </w:rPr>
        <w:t>for the Revolving Commitments</w:t>
      </w:r>
      <w:r>
        <w:rPr>
          <w:rFonts w:ascii="Times New Roman;serif" w:hAnsi="Times New Roman;serif"/>
          <w:b w:val="false"/>
          <w:color w:val="000000"/>
          <w:sz w:val="22"/>
        </w:rPr>
        <w:t xml:space="preserve">, (b) the date of termination of the Aggregate Revolving Commitments pursuant to </w:t>
      </w:r>
      <w:r>
        <w:rPr>
          <w:rFonts w:ascii="Times New Roman;serif" w:hAnsi="Times New Roman;serif"/>
          <w:b w:val="false"/>
          <w:color w:val="000000"/>
          <w:sz w:val="22"/>
          <w:u w:val="single"/>
        </w:rPr>
        <w:t>Section 2.06</w:t>
      </w:r>
      <w:r>
        <w:rPr>
          <w:rFonts w:ascii="Times New Roman;serif" w:hAnsi="Times New Roman;serif"/>
          <w:b w:val="false"/>
          <w:color w:val="000000"/>
          <w:sz w:val="22"/>
        </w:rPr>
        <w:t xml:space="preserve">, and (c) the date of termination of the commitment of each Lender to make Loans and of the obligation of the L/C Issuer to make L/C Credit Extensions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Bail-InAction</w:t>
      </w:r>
      <w:r>
        <w:rPr>
          <w:color w:val="000000"/>
        </w:rPr>
        <w:t xml:space="preserve">” </w:t>
      </w:r>
      <w:r>
        <w:rPr>
          <w:rFonts w:ascii="Times New Roman;serif" w:hAnsi="Times New Roman;serif"/>
          <w:b w:val="false"/>
          <w:color w:val="000000"/>
          <w:sz w:val="22"/>
        </w:rPr>
        <w:t>means the exercise of any Write-Down and Conversion Powers by the applicable Resolution Authority in respect of any liability of an Affected Financial Institution.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Bail-In Legislation</w:t>
      </w:r>
      <w:r>
        <w:rPr>
          <w:color w:val="000000"/>
        </w:rPr>
        <w:t xml:space="preserve">” </w:t>
      </w:r>
      <w:r>
        <w:rPr>
          <w:rFonts w:ascii="Times New Roman;serif" w:hAnsi="Times New Roman;serif"/>
          <w:b w:val="false"/>
          <w:color w:val="000000"/>
          <w:sz w:val="22"/>
        </w:rPr>
        <w:t>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Bank of America</w:t>
      </w:r>
      <w:r>
        <w:rPr>
          <w:color w:val="000000"/>
        </w:rPr>
        <w:t xml:space="preserve">” </w:t>
      </w:r>
      <w:r>
        <w:rPr>
          <w:rFonts w:ascii="Times New Roman;serif" w:hAnsi="Times New Roman;serif"/>
          <w:b w:val="false"/>
          <w:color w:val="000000"/>
          <w:sz w:val="22"/>
        </w:rPr>
        <w:t>means Bank of America, N.A. and its successors.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color w:val="000000"/>
          <w:u w:val="single"/>
        </w:rPr>
      </w:pPr>
      <w:r>
        <w:rPr>
          <w:color w:val="000000"/>
          <w:u w:val="single"/>
        </w:rPr>
        <w:t>“</w:t>
      </w:r>
      <w:r>
        <w:rPr>
          <w:rFonts w:ascii="Times New Roman;serif" w:hAnsi="Times New Roman;serif"/>
          <w:b w:val="false"/>
          <w:color w:val="000000"/>
          <w:sz w:val="24"/>
          <w:u w:val="single"/>
        </w:rPr>
        <w:t xml:space="preserve">Bankruptcy Court” means the United States Bankruptcy Court for the District of Delaware. </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color w:val="000000"/>
        </w:rPr>
        <w:t>“</w:t>
      </w:r>
      <w:r>
        <w:rPr>
          <w:rFonts w:ascii="Times New Roman;serif" w:hAnsi="Times New Roman;serif"/>
          <w:b w:val="false"/>
          <w:color w:val="000000"/>
          <w:sz w:val="22"/>
          <w:u w:val="single"/>
        </w:rPr>
        <w:t>Base Rate</w:t>
      </w:r>
      <w:r>
        <w:rPr>
          <w:color w:val="000000"/>
        </w:rPr>
        <w:t xml:space="preserve">” </w:t>
      </w:r>
      <w:r>
        <w:rPr>
          <w:rFonts w:ascii="Times New Roman;serif" w:hAnsi="Times New Roman;serif"/>
          <w:b w:val="false"/>
          <w:color w:val="000000"/>
          <w:sz w:val="22"/>
        </w:rPr>
        <w:t xml:space="preserve">means for any day a fluctuating rate per annum equal to the highest of (a) the Federal Funds Rate plus 0.50%, (b) the rate of interest in effect for such day as publicly announced from time to time by Bank of America as its “prime rate” and (c) Term SOFR plus 1.00%;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the Base Rate shall be less than zero, such rate shall be deemed to be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 xml:space="preserve">specified in the public announcement of such change. If the Base Rate is being used as an alternate rate of interest pursuant to </w:t>
      </w:r>
      <w:r>
        <w:rPr>
          <w:rFonts w:ascii="Times New Roman;serif" w:hAnsi="Times New Roman;serif"/>
          <w:b w:val="false"/>
          <w:color w:val="000000"/>
          <w:sz w:val="22"/>
          <w:u w:val="single"/>
        </w:rPr>
        <w:t>Section 3.03</w:t>
      </w:r>
      <w:r>
        <w:rPr>
          <w:color w:val="000000"/>
        </w:rPr>
        <w:t xml:space="preserve"> </w:t>
      </w:r>
      <w:r>
        <w:rPr>
          <w:rFonts w:ascii="Times New Roman;serif" w:hAnsi="Times New Roman;serif"/>
          <w:b w:val="false"/>
          <w:color w:val="000000"/>
          <w:sz w:val="22"/>
        </w:rPr>
        <w:t xml:space="preserve">hereof, then the Base Rate shall be the greater of </w:t>
      </w:r>
      <w:r>
        <w:rPr>
          <w:rFonts w:ascii="Times New Roman;serif" w:hAnsi="Times New Roman;serif"/>
          <w:b w:val="false"/>
          <w:color w:val="000000"/>
          <w:sz w:val="22"/>
          <w:u w:val="single"/>
        </w:rPr>
        <w:t>clauses (a</w:t>
      </w:r>
      <w:r>
        <w:rPr>
          <w:rFonts w:ascii="Times New Roman;serif" w:hAnsi="Times New Roman;serif"/>
          <w:b w:val="false"/>
          <w:color w:val="000000"/>
          <w:sz w:val="22"/>
        </w:rPr>
        <w:t>) 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above and shall be determined without reference to </w:t>
      </w:r>
      <w:r>
        <w:rPr>
          <w:rFonts w:ascii="Times New Roman;serif" w:hAnsi="Times New Roman;serif"/>
          <w:b w:val="false"/>
          <w:color w:val="000000"/>
          <w:sz w:val="22"/>
          <w:u w:val="single"/>
        </w:rPr>
        <w:t>clause (c</w:t>
      </w:r>
      <w:r>
        <w:rPr>
          <w:rFonts w:ascii="Times New Roman;serif" w:hAnsi="Times New Roman;serif"/>
          <w:b w:val="false"/>
          <w:color w:val="000000"/>
          <w:sz w:val="22"/>
        </w:rPr>
        <w:t>) above.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Base Rate Loan</w:t>
      </w:r>
      <w:r>
        <w:rPr>
          <w:color w:val="000000"/>
        </w:rPr>
        <w:t xml:space="preserve">” </w:t>
      </w:r>
      <w:r>
        <w:rPr>
          <w:rFonts w:ascii="Times New Roman;serif" w:hAnsi="Times New Roman;serif"/>
          <w:b w:val="false"/>
          <w:color w:val="000000"/>
          <w:sz w:val="22"/>
        </w:rPr>
        <w:t>means a Loan that bears interest based on the Base Rate.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Beneficial Ownership Certification</w:t>
      </w:r>
      <w:r>
        <w:rPr>
          <w:color w:val="000000"/>
        </w:rPr>
        <w:t xml:space="preserve">” </w:t>
      </w:r>
      <w:r>
        <w:rPr>
          <w:rFonts w:ascii="Times New Roman;serif" w:hAnsi="Times New Roman;serif"/>
          <w:b w:val="false"/>
          <w:color w:val="000000"/>
          <w:sz w:val="22"/>
        </w:rPr>
        <w:t>means a certification regarding beneficial ownership required by the Beneficial Ownership Regulation.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Beneficial Ownership Regulation</w:t>
      </w:r>
      <w:r>
        <w:rPr>
          <w:color w:val="000000"/>
        </w:rPr>
        <w:t xml:space="preserve">” </w:t>
      </w:r>
      <w:r>
        <w:rPr>
          <w:rFonts w:ascii="Times New Roman;serif" w:hAnsi="Times New Roman;serif"/>
          <w:b w:val="false"/>
          <w:color w:val="000000"/>
          <w:sz w:val="22"/>
        </w:rPr>
        <w:t>means 31 C.F.R. § 1010.230.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Benefit Plan</w:t>
      </w:r>
      <w:r>
        <w:rPr>
          <w:color w:val="000000"/>
        </w:rPr>
        <w:t xml:space="preserve">” </w:t>
      </w:r>
      <w:r>
        <w:rPr>
          <w:rFonts w:ascii="Times New Roman;serif" w:hAnsi="Times New Roman;serif"/>
          <w:b w:val="false"/>
          <w:color w:val="000000"/>
          <w:sz w:val="22"/>
        </w:rPr>
        <w:t>means any of (a) an “employee benefit plan” (as defined in ERISA) that is subject to Title I of ERISA, (b) a “plan” as defined in Section 4975 of the Internal Revenue Code or (c) any Person whose assets include (for purposes of ERISA Section 3(42) or otherwise for purposes of Title I of ERISA or Section 4975 of the Internal Revenue Code) the assets of any such “employee benefit plan” or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BHC Act Affiliate</w:t>
      </w:r>
      <w:r>
        <w:rPr>
          <w:color w:val="000000"/>
        </w:rPr>
        <w:t xml:space="preserve">” </w:t>
      </w:r>
      <w:r>
        <w:rPr>
          <w:rFonts w:ascii="Times New Roman;serif" w:hAnsi="Times New Roman;serif"/>
          <w:b w:val="false"/>
          <w:color w:val="000000"/>
          <w:sz w:val="22"/>
        </w:rPr>
        <w:t>of a party means an “affiliate” (as such term is defined under, and interpreted in accordance with, 12 U.S.C. 1841(k)) of such party.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BOA</w:t>
      </w:r>
      <w:r>
        <w:rPr>
          <w:color w:val="000000"/>
        </w:rPr>
        <w:t xml:space="preserve">” </w:t>
      </w:r>
      <w:r>
        <w:rPr>
          <w:rFonts w:ascii="Times New Roman;serif" w:hAnsi="Times New Roman;serif"/>
          <w:b w:val="false"/>
          <w:color w:val="000000"/>
          <w:sz w:val="22"/>
        </w:rPr>
        <w:t>means BOA Parent Inc., a Delaware corporation.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BofA Securities</w:t>
      </w:r>
      <w:r>
        <w:rPr>
          <w:color w:val="000000"/>
        </w:rPr>
        <w:t xml:space="preserve">” </w:t>
      </w:r>
      <w:r>
        <w:rPr>
          <w:rFonts w:ascii="Times New Roman;serif" w:hAnsi="Times New Roman;serif"/>
          <w:b w:val="false"/>
          <w:color w:val="000000"/>
          <w:sz w:val="22"/>
        </w:rPr>
        <w:t>means BofA Securities,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Borrower</w:t>
      </w:r>
      <w:r>
        <w:rPr>
          <w:color w:val="000000"/>
        </w:rPr>
        <w:t xml:space="preserve">” </w:t>
      </w:r>
      <w:r>
        <w:rPr>
          <w:rFonts w:ascii="Times New Roman;serif" w:hAnsi="Times New Roman;serif"/>
          <w:b w:val="false"/>
          <w:color w:val="000000"/>
          <w:sz w:val="22"/>
        </w:rPr>
        <w:t>has the meaning specified in the introductory paragraph hereto.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Borrower Expenses</w:t>
      </w:r>
      <w:r>
        <w:rPr>
          <w:color w:val="000000"/>
        </w:rPr>
        <w:t xml:space="preserve">” </w:t>
      </w:r>
      <w:r>
        <w:rPr>
          <w:rFonts w:ascii="Times New Roman;serif" w:hAnsi="Times New Roman;serif"/>
          <w:b w:val="false"/>
          <w:color w:val="000000"/>
          <w:sz w:val="22"/>
        </w:rPr>
        <w:t>means all cash expenses of the Borrower, and all cash expenses of the Trust reimbursed or otherwise funded by the Borrower, in each case excluding fees paid to the Manager and permitted hereunder.</w:t>
      </w:r>
      <w:r>
        <w:rPr>
          <w:color w:val="000000"/>
          <w:u w:val="single"/>
        </w:rPr>
        <w:t xml:space="preserve"> </w:t>
      </w:r>
      <w:r>
        <w:rPr>
          <w:rFonts w:ascii="Times New Roman;serif" w:hAnsi="Times New Roman;serif"/>
          <w:b w:val="false"/>
          <w:color w:val="000000"/>
          <w:sz w:val="22"/>
          <w:u w:val="single"/>
        </w:rPr>
        <w:t>For the avoidance of doubt, one-time expenses in an aggregate amount not to exceed $50,000,000 and incurred by the Borrower in connection with investigations related to the Lugano Entities or in connection with the Lugano Bankruptcy, shall not be included as Borrower Expenses hereunder for any periods ending on or prior to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Borrower LLC Agreement</w:t>
      </w:r>
      <w:r>
        <w:rPr>
          <w:color w:val="000000"/>
        </w:rPr>
        <w:t xml:space="preserve">” </w:t>
      </w:r>
      <w:r>
        <w:rPr>
          <w:rFonts w:ascii="Times New Roman;serif" w:hAnsi="Times New Roman;serif"/>
          <w:b w:val="false"/>
          <w:color w:val="000000"/>
          <w:sz w:val="22"/>
        </w:rPr>
        <w:t xml:space="preserve">means that certain Sixth Amended and Restated Operating Agreement of Borrower dated as of August 3, 2021, as amended by the First Amendment dated February 11, 2022, as in effect on the date hereof or as modified in compliance with the provisions hereof.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Borrower Materials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6.02</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Borrowing</w:t>
      </w:r>
      <w:r>
        <w:rPr>
          <w:color w:val="000000"/>
        </w:rPr>
        <w:t xml:space="preserve">” </w:t>
      </w:r>
      <w:r>
        <w:rPr>
          <w:rFonts w:ascii="Times New Roman;serif" w:hAnsi="Times New Roman;serif"/>
          <w:b w:val="false"/>
          <w:color w:val="000000"/>
          <w:sz w:val="22"/>
        </w:rPr>
        <w:t xml:space="preserve">means each of the following: (a) a borrowing of Swing Line Loans pursuant to </w:t>
      </w:r>
      <w:r>
        <w:rPr>
          <w:rFonts w:ascii="Times New Roman;serif" w:hAnsi="Times New Roman;serif"/>
          <w:b w:val="false"/>
          <w:color w:val="000000"/>
          <w:sz w:val="22"/>
          <w:u w:val="single"/>
        </w:rPr>
        <w:t>Section 2.04</w:t>
      </w:r>
      <w:r>
        <w:rPr>
          <w:color w:val="000000"/>
        </w:rPr>
        <w:t xml:space="preserve"> </w:t>
      </w:r>
      <w:r>
        <w:rPr>
          <w:rFonts w:ascii="Times New Roman;serif" w:hAnsi="Times New Roman;serif"/>
          <w:b w:val="false"/>
          <w:color w:val="000000"/>
          <w:sz w:val="22"/>
        </w:rPr>
        <w:t xml:space="preserve">and (b) a borrowing consisting of simultaneous Loans of the same Type and, in the case of Term SOFR Loans, having the same Interest Period made by each of the Lenders pursuant to </w:t>
      </w:r>
      <w:r>
        <w:rPr>
          <w:rFonts w:ascii="Times New Roman;serif" w:hAnsi="Times New Roman;serif"/>
          <w:b w:val="false"/>
          <w:color w:val="000000"/>
          <w:sz w:val="22"/>
          <w:u w:val="single"/>
        </w:rPr>
        <w:t>Section 2.01</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Borrowing Availability</w:t>
      </w:r>
      <w:r>
        <w:rPr>
          <w:color w:val="000000"/>
        </w:rPr>
        <w:t xml:space="preserve">” </w:t>
      </w:r>
      <w:r>
        <w:rPr>
          <w:rFonts w:ascii="Times New Roman;serif" w:hAnsi="Times New Roman;serif"/>
          <w:b w:val="false"/>
          <w:color w:val="000000"/>
          <w:sz w:val="22"/>
        </w:rPr>
        <w:t xml:space="preserve">means, as of any date of determination, an amount equal to the lesser of (a) the Aggregate Revolving Commitments as of such date and (b) the result of (i) Combined Eligible Availability as of such date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 Consolidated Net Indebtedness as of such date (excluding the Outstanding Amount of Loans and L/C Obligations and any outstanding Indebtedness permitted by </w:t>
      </w:r>
      <w:r>
        <w:rPr>
          <w:rFonts w:ascii="Times New Roman;serif" w:hAnsi="Times New Roman;serif"/>
          <w:b w:val="false"/>
          <w:color w:val="000000"/>
          <w:sz w:val="22"/>
          <w:u w:val="single"/>
        </w:rPr>
        <w:t>Section 7.03(j)</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 xml:space="preserve">means any day other than a Saturday, Sunday or other day on which commercial banks are authorized to close under the Laws of, or are in fact closed in, the state where the Administrative Agent’s Office is located.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Cash Collateralize</w:t>
      </w:r>
      <w:r>
        <w:rPr>
          <w:color w:val="000000"/>
        </w:rPr>
        <w:t xml:space="preserve">” </w:t>
      </w:r>
      <w:r>
        <w:rPr>
          <w:rFonts w:ascii="Times New Roman;serif" w:hAnsi="Times New Roman;serif"/>
          <w:b w:val="false"/>
          <w:color w:val="000000"/>
          <w:sz w:val="22"/>
        </w:rPr>
        <w:t>means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L/C Issuer. “Cash Collateral” shall have a meaning correlative to the foregoing and shall include the proceeds of such cash collateral and other credit support.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Cash Equivalents</w:t>
      </w:r>
      <w:r>
        <w:rPr>
          <w:color w:val="000000"/>
        </w:rPr>
        <w:t xml:space="preserve">” </w:t>
      </w:r>
      <w:r>
        <w:rPr>
          <w:rFonts w:ascii="Times New Roman;serif" w:hAnsi="Times New Roman;serif"/>
          <w:b w:val="false"/>
          <w:color w:val="000000"/>
          <w:sz w:val="22"/>
        </w:rPr>
        <w:t>means, as at any date, (a) securities issued or directly and fully guaranteed or insured by the United States or any agency or instrumentality thereof (provided that the full faith and credit of the United States is pledged in support thereof) having maturities of not more than twelve months from the date of acquisition, (b) Dollar denominated time deposits and certificates of deposit of (i) any Lender, (ii) any domestic commercial bank of recognized standing having capital and surplus in excess of $500,000,000 or (iii) any bank whose short</w:t>
        <w:noBreakHyphen/>
        <w:t>term commercial paper rating from S&amp;P is at least A</w:t>
        <w:noBreakHyphen/>
        <w:t>1 or the equivalent thereof or from Moody’s is at least P</w:t>
        <w:noBreakHyphen/>
        <w:t>1 or the equivalent thereof (any such bank being an “</w:t>
      </w:r>
      <w:r>
        <w:rPr>
          <w:rFonts w:ascii="Times New Roman;serif" w:hAnsi="Times New Roman;serif"/>
          <w:b w:val="false"/>
          <w:color w:val="000000"/>
          <w:sz w:val="22"/>
          <w:u w:val="single"/>
        </w:rPr>
        <w:t>Approved Bank</w:t>
      </w:r>
      <w:r>
        <w:rPr>
          <w:color w:val="000000"/>
        </w:rPr>
        <w:t>”</w:t>
      </w:r>
      <w:r>
        <w:rPr>
          <w:rFonts w:ascii="Times New Roman;serif" w:hAnsi="Times New Roman;serif"/>
          <w:b w:val="false"/>
          <w:color w:val="000000"/>
          <w:sz w:val="22"/>
        </w:rPr>
        <w:t>), in each case with maturities of not more than 270 days from the date of acquisition, (c) commercial paper and variable or fixed rate notes issued by any Approved Bank (or by the parent company thereof) or any variable rate notes issued by, or guaranteed by, any domestic corporation rated A</w:t>
        <w:noBreakHyphen/>
        <w:t>1 (or the equivalent thereof) or better by S&amp;P or P</w:t>
        <w:noBreakHyphen/>
        <w:t>1 (or the equivalent thereof) or better by Moody’s and maturing within six months of the date of acquisition, (d) repurchase agreements entered into by any Person with a bank or trust company (including any Lender) or recognized securities dealer having capital and surplus in excess of $500,000,000 for direct obligations issued by or fully guaranteed by the United States in which such Person shall have a perfected first priority security interest (subject to no other Liens) and having, on the date of purchase thereof, a fair market value of at least 100% of the amount of the repurchase obligations and (e) investments, classified in accordance with GAAP as current assets, in money market investment programs registered under the Investment Company Act of 1940 which are administered by reputable financial institutions having capital of at least $500,000,000 and the portfolios of which are limited to Investments of the character described in the foregoing subdivisions (a) through (d).</w:t>
      </w:r>
    </w:p>
    <w:p>
      <w:pPr>
        <w:pStyle w:val="TextBody"/>
        <w:bidi w:val="0"/>
        <w:spacing w:lineRule="auto" w:line="288" w:before="180" w:after="283"/>
        <w:ind w:left="0" w:right="0" w:firstLine="720"/>
        <w:jc w:val="both"/>
        <w:rPr>
          <w:color w:val="000000"/>
          <w:u w:val="single"/>
        </w:rPr>
      </w:pPr>
      <w:r>
        <w:rPr>
          <w:color w:val="000000"/>
          <w:u w:val="single"/>
        </w:rPr>
        <w:t>“</w:t>
      </w:r>
      <w:r>
        <w:rPr>
          <w:rFonts w:ascii="Times New Roman;serif" w:hAnsi="Times New Roman;serif"/>
          <w:b w:val="false"/>
          <w:color w:val="000000"/>
          <w:sz w:val="22"/>
          <w:u w:val="single"/>
        </w:rPr>
        <w:t xml:space="preserve">Cash Flow Forecast” has the meaning specified in Section 6.01(d).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Cash Management Agreement</w:t>
      </w:r>
      <w:r>
        <w:rPr>
          <w:color w:val="000000"/>
        </w:rPr>
        <w:t xml:space="preserve">” </w:t>
      </w:r>
      <w:r>
        <w:rPr>
          <w:rFonts w:ascii="Times New Roman;serif" w:hAnsi="Times New Roman;serif"/>
          <w:b w:val="false"/>
          <w:color w:val="000000"/>
          <w:sz w:val="22"/>
        </w:rPr>
        <w:t>means any agreement that is not prohibited by the terms hereof to provide treasury or cash management services, including deposit accounts, overnight draft, credit cards, debit cards, p 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Cash Management Bank</w:t>
      </w:r>
      <w:r>
        <w:rPr>
          <w:color w:val="000000"/>
        </w:rPr>
        <w:t xml:space="preserve">” </w:t>
      </w:r>
      <w:r>
        <w:rPr>
          <w:rFonts w:ascii="Times New Roman;serif" w:hAnsi="Times New Roman;serif"/>
          <w:b w:val="false"/>
          <w:color w:val="000000"/>
          <w:sz w:val="22"/>
        </w:rPr>
        <w:t>means any Person in its capacity as a party to a Cash Management Agreement with the Borrower or any Subsidiary provided that (a) at the time such Person enters into such Cash Management Agreement, such Person is a Lender or an Affiliate of a Lender or (b) such Cash Management Agreement exists on the Closing Date and such Person is a Lender or an Affiliate of a Lender on the Closing Date or within thirty (30) days thereafter.</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Cash-on-Hand</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2.05(b)(v)</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CFC</w:t>
      </w:r>
      <w:r>
        <w:rPr>
          <w:color w:val="000000"/>
        </w:rPr>
        <w:t xml:space="preserve">” </w:t>
      </w:r>
      <w:r>
        <w:rPr>
          <w:rFonts w:ascii="Times New Roman;serif" w:hAnsi="Times New Roman;serif"/>
          <w:b w:val="false"/>
          <w:color w:val="000000"/>
          <w:sz w:val="22"/>
        </w:rPr>
        <w:t>means a “controlled foreign corporation” under Section 957 of the Internal Revenue Code.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Change in Law</w:t>
      </w:r>
      <w:r>
        <w:rPr>
          <w:color w:val="000000"/>
        </w:rPr>
        <w:t xml:space="preserve">” </w:t>
      </w:r>
      <w:r>
        <w:rPr>
          <w:rFonts w:ascii="Times New Roman;serif" w:hAnsi="Times New Roman;serif"/>
          <w:b w:val="false"/>
          <w:color w:val="000000"/>
          <w:sz w:val="22"/>
        </w:rPr>
        <w:t xml:space="preserve">means the occurrence, after the Closing Date,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notwithstanding anything herein to the contrary, (i) the Dodd 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lineRule="auto" w:line="288" w:before="180" w:after="283"/>
        <w:ind w:left="0" w:right="0" w:firstLine="720"/>
        <w:jc w:val="both"/>
        <w:rPr/>
      </w:pPr>
      <w:r>
        <w:rPr>
          <w:color w:val="000000"/>
        </w:rPr>
        <w:t>“</w:t>
      </w:r>
      <w:r>
        <w:rPr>
          <w:rFonts w:ascii="Times New Roman;serif" w:hAnsi="Times New Roman;serif"/>
          <w:b w:val="false"/>
          <w:color w:val="000000"/>
          <w:sz w:val="22"/>
          <w:u w:val="single"/>
        </w:rPr>
        <w:t>Change of Control</w:t>
      </w:r>
      <w:r>
        <w:rPr>
          <w:color w:val="000000"/>
        </w:rPr>
        <w:t xml:space="preserve">” </w:t>
      </w:r>
      <w:r>
        <w:rPr>
          <w:rFonts w:ascii="Times New Roman;serif" w:hAnsi="Times New Roman;serif"/>
          <w:b w:val="false"/>
          <w:color w:val="000000"/>
          <w:sz w:val="22"/>
        </w:rPr>
        <w:t>means an event or series of events by which:</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Equity Interests that such person or group has the right to acquire, whether such right is exercisable immediately or only after the passage of time (such right, an “option right”)), directly or indirectly, of Voting Equity Interests of the Trust representing 35% or more of the combined voting power of all Voting Equity Interests of the Trust (or, after the consummation of a Permitted Trust Merger, of Voting Equity Interests of the Borrower representing 35% or more of the combined voting power of all Voting Equity Interests of the Borrower) on a fully diluted basis (and taking into account all such securities that such person or group has the right to acquire pursuant to any option right);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during any period of 24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Trust shall cease to directly own and control 100% of each class of the outstanding Equity Interests of the Borrower (other than the Allocation Interests and other than to the extent resulting from a Permitted Trust Merger) or shall pledge the Equity Interests in the Borrower owned by the Trust to any Person;</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either (i) the Manager ceases to be the manager under the Management Fee Agreement and a successor acceptable to the Administrative Agent is not promptly appointed or (ii) the Management Fee Agreement ceases to be in full force and effect in accordance with its terms in effect as of the Closing Date in any material respect;</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the common Equity Interests in the Trust (or, after the consummation of a Permitted Trust Merger, in the Borrower) cease to be publicly traded; or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(f) there occurs a “change of control” (or any other defined term having a similar purpose) as defined in the documents governing any other Indebtedness of the Borrower, the outstanding principal amount of which exceeds the Threshold Amount.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Closing Date</w:t>
      </w:r>
      <w:r>
        <w:rPr>
          <w:color w:val="000000"/>
        </w:rPr>
        <w:t xml:space="preserve">” </w:t>
      </w:r>
      <w:r>
        <w:rPr>
          <w:rFonts w:ascii="Times New Roman;serif" w:hAnsi="Times New Roman;serif"/>
          <w:b w:val="false"/>
          <w:color w:val="000000"/>
          <w:sz w:val="22"/>
        </w:rPr>
        <w:t>means the date hereof.</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Closing Date Acquisition</w:t>
      </w:r>
      <w:r>
        <w:rPr>
          <w:color w:val="000000"/>
        </w:rPr>
        <w:t xml:space="preserve">” </w:t>
      </w:r>
      <w:r>
        <w:rPr>
          <w:rFonts w:ascii="Times New Roman;serif" w:hAnsi="Times New Roman;serif"/>
          <w:b w:val="false"/>
          <w:color w:val="000000"/>
          <w:sz w:val="22"/>
        </w:rPr>
        <w:t>means the Acquisition by the Borrower, directly or indirectly through a Subsidiary, of PrimaLoft pursuant to the Closing Date Acquisition Documents.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Closing Date Acquisition Documents</w:t>
      </w:r>
      <w:r>
        <w:rPr>
          <w:color w:val="000000"/>
        </w:rPr>
        <w:t xml:space="preserve">” </w:t>
      </w:r>
      <w:r>
        <w:rPr>
          <w:rFonts w:ascii="Times New Roman;serif" w:hAnsi="Times New Roman;serif"/>
          <w:b w:val="false"/>
          <w:color w:val="000000"/>
          <w:sz w:val="22"/>
        </w:rPr>
        <w:t>means that certain Stock Purchase Agreement dated June 4, 2022 by and among Relentless Intermediate, Inc., as purchaser, and VP PrimaLoft Holdings, LLC, as seller, and all other documents, agreements and instruments relating to the Closing Date Acquisition in each case including all schedules and exhibits thereto.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CME</w:t>
      </w:r>
      <w:r>
        <w:rPr>
          <w:color w:val="000000"/>
        </w:rPr>
        <w:t xml:space="preserve">” </w:t>
      </w:r>
      <w:r>
        <w:rPr>
          <w:rFonts w:ascii="Times New Roman;serif" w:hAnsi="Times New Roman;serif"/>
          <w:b w:val="false"/>
          <w:color w:val="000000"/>
          <w:sz w:val="22"/>
        </w:rPr>
        <w:t>means CME Group Benchmark Administration Limited.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means a collective reference to all property with respect to which Liens in favor of the Administrative Agent, for the benefit of itself and the other holders of the Obligations, are purported to be granted pursuant to and in accordance with the terms of the Collateral Documents.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Collateral Documents</w:t>
      </w:r>
      <w:r>
        <w:rPr>
          <w:color w:val="000000"/>
        </w:rPr>
        <w:t xml:space="preserve">” </w:t>
      </w:r>
      <w:r>
        <w:rPr>
          <w:rFonts w:ascii="Times New Roman;serif" w:hAnsi="Times New Roman;serif"/>
          <w:b w:val="false"/>
          <w:color w:val="000000"/>
          <w:sz w:val="22"/>
        </w:rPr>
        <w:t xml:space="preserve">means a collective reference to the Security Agreement, the Management Fee Subordination Agreement and each other security document as may be executed and delivered by the Borrower pursuant to the terms of </w:t>
      </w:r>
      <w:r>
        <w:rPr>
          <w:rFonts w:ascii="Times New Roman;serif" w:hAnsi="Times New Roman;serif"/>
          <w:b w:val="false"/>
          <w:color w:val="000000"/>
          <w:sz w:val="22"/>
          <w:u w:val="single"/>
        </w:rPr>
        <w:t>Section 6.12</w:t>
      </w:r>
      <w:r>
        <w:rPr>
          <w:color w:val="000000"/>
        </w:rPr>
        <w:t xml:space="preserve"> </w:t>
      </w:r>
      <w:r>
        <w:rPr>
          <w:rFonts w:ascii="Times New Roman;serif" w:hAnsi="Times New Roman;serif"/>
          <w:b w:val="false"/>
          <w:color w:val="000000"/>
          <w:sz w:val="22"/>
        </w:rPr>
        <w:t>or any of the Loan Documents.</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Combined Eligible Availability</w:t>
      </w:r>
      <w:r>
        <w:rPr>
          <w:color w:val="000000"/>
        </w:rPr>
        <w:t xml:space="preserve">” </w:t>
      </w:r>
      <w:r>
        <w:rPr>
          <w:rFonts w:ascii="Times New Roman;serif" w:hAnsi="Times New Roman;serif"/>
          <w:b w:val="false"/>
          <w:color w:val="000000"/>
          <w:sz w:val="22"/>
        </w:rPr>
        <w:t xml:space="preserve">means, at any time, the lesser of (a) the sum of (i) the combined total of the Availability for each Existing Portfolio Company at such time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2"/>
        </w:rPr>
        <w:t xml:space="preserve">(ii) the combined total of the Availability for each New Portfolio Company at such time and (b) the aggregate principal balance of the Qualified Intercompany Debt then outstanding; </w:t>
      </w:r>
      <w:r>
        <w:rPr>
          <w:rFonts w:ascii="Times New Roman;serif" w:hAnsi="Times New Roman;serif"/>
          <w:b w:val="false"/>
          <w:color w:val="000000"/>
          <w:sz w:val="24"/>
          <w:u w:val="single"/>
        </w:rPr>
        <w:t>provided</w:t>
      </w:r>
      <w:r>
        <w:rPr>
          <w:rFonts w:ascii="Times New Roman;serif" w:hAnsi="Times New Roman;serif"/>
          <w:b w:val="false"/>
          <w:color w:val="000000"/>
          <w:sz w:val="22"/>
        </w:rPr>
        <w:t xml:space="preserve">, that if the aggregate amount of the Combined Eligible Availability attributable to any one Portfolio Company, or any group of Portfolio Companies operating in the same business industry, exceeds </w:t>
      </w:r>
      <w:r>
        <w:rPr>
          <w:rFonts w:ascii="Times New Roman;serif" w:hAnsi="Times New Roman;serif"/>
          <w:b w:val="false"/>
          <w:strike/>
          <w:color w:val="FF0000"/>
          <w:sz w:val="22"/>
        </w:rPr>
        <w:t>40</w:t>
      </w:r>
      <w:r>
        <w:rPr>
          <w:rFonts w:ascii="Times New Roman;serif" w:hAnsi="Times New Roman;serif"/>
          <w:b w:val="false"/>
          <w:color w:val="0000FF"/>
          <w:sz w:val="22"/>
          <w:u w:val="single"/>
        </w:rPr>
        <w:t>25</w:t>
      </w:r>
      <w:r>
        <w:rPr>
          <w:rFonts w:ascii="Times New Roman;serif" w:hAnsi="Times New Roman;serif"/>
          <w:b w:val="false"/>
          <w:color w:val="000000"/>
          <w:sz w:val="22"/>
        </w:rPr>
        <w:t>%, then any such excess amounts shall be excluded from the amount of Combined Eligible Availability</w:t>
      </w:r>
      <w:r>
        <w:rPr>
          <w:strike/>
          <w:color w:val="FF0000"/>
        </w:rPr>
        <w:t xml:space="preserve"> </w:t>
      </w:r>
      <w:r>
        <w:rPr>
          <w:rFonts w:ascii="Times New Roman;serif" w:hAnsi="Times New Roman;serif"/>
          <w:b w:val="false"/>
          <w:strike/>
          <w:color w:val="FF0000"/>
          <w:sz w:val="22"/>
        </w:rPr>
        <w:t>(</w:t>
      </w:r>
      <w:r>
        <w:rPr>
          <w:rFonts w:ascii="Times New Roman;serif" w:hAnsi="Times New Roman;serif"/>
          <w:b w:val="false"/>
          <w:strike/>
          <w:color w:val="FF0000"/>
          <w:sz w:val="22"/>
          <w:u w:val="single"/>
        </w:rPr>
        <w:t>provided</w:t>
      </w:r>
      <w:r>
        <w:rPr>
          <w:rFonts w:ascii="Times New Roman;serif" w:hAnsi="Times New Roman;serif"/>
          <w:b w:val="false"/>
          <w:strike/>
          <w:color w:val="FF0000"/>
          <w:sz w:val="22"/>
        </w:rPr>
        <w:t>, that Required Lenders may, in their reasonable credit judgment, elect to require that Portfolio Companies arising after the Closing Date be assigned a concentration level of 35% percent instead of 40%, such election, if made, to occur at the time of and in connection with such Portfolio Company first attaining such status hereunder)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if the aggregate amount of the Combined Eligible Availability attributable to Portfolio Companies organized in Canada (excluding for this purpose any such Portfolio Companies with respect to which perfected, first priority Liens on substantially all of their assets have been granted to the Borrower pursuant to the applicable Qualified Intercompany Debt Documents) exceeds 15% of the total Combined Eligible Availability, then any such excess amounts shall be excluded from the amount of Combined Eligible Availability. </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Commitment</w:t>
      </w:r>
      <w:r>
        <w:rPr>
          <w:color w:val="000000"/>
        </w:rPr>
        <w:t xml:space="preserve">” </w:t>
      </w:r>
      <w:r>
        <w:rPr>
          <w:rFonts w:ascii="Times New Roman;serif" w:hAnsi="Times New Roman;serif"/>
          <w:b w:val="false"/>
          <w:color w:val="000000"/>
          <w:sz w:val="22"/>
        </w:rPr>
        <w:t xml:space="preserve">means, as to each Lender, the Revolving Commitment of such Lender, </w:t>
      </w:r>
      <w:r>
        <w:rPr>
          <w:rFonts w:ascii="Times New Roman;serif" w:hAnsi="Times New Roman;serif"/>
          <w:b w:val="false"/>
          <w:strike/>
          <w:color w:val="FF0000"/>
          <w:sz w:val="22"/>
        </w:rPr>
        <w:t xml:space="preserve">the Term Loan Commitment of such Lender </w:t>
      </w:r>
      <w:r>
        <w:rPr>
          <w:rFonts w:ascii="Times New Roman;serif" w:hAnsi="Times New Roman;serif"/>
          <w:b w:val="false"/>
          <w:color w:val="000000"/>
          <w:sz w:val="22"/>
        </w:rPr>
        <w:t>and/or any Incremental Facility Commitment of such Lender</w:t>
      </w:r>
      <w:r>
        <w:rPr>
          <w:strike/>
          <w:color w:val="FF0000"/>
        </w:rPr>
        <w:t xml:space="preserve"> </w:t>
      </w:r>
      <w:r>
        <w:rPr>
          <w:rFonts w:ascii="Times New Roman;serif" w:hAnsi="Times New Roman;serif"/>
          <w:b w:val="false"/>
          <w:strike/>
          <w:color w:val="FF0000"/>
          <w:sz w:val="22"/>
        </w:rPr>
        <w:t>and the Incremental Delayed Draw Term Loan Commitment of such Lender</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Commitment Fee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2.09(a)</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Commodity Exchange Act</w:t>
      </w:r>
      <w:r>
        <w:rPr>
          <w:color w:val="000000"/>
        </w:rPr>
        <w:t xml:space="preserve">” </w:t>
      </w:r>
      <w:r>
        <w:rPr>
          <w:rFonts w:ascii="Times New Roman;serif" w:hAnsi="Times New Roman;serif"/>
          <w:b w:val="false"/>
          <w:color w:val="000000"/>
          <w:sz w:val="22"/>
        </w:rPr>
        <w:t xml:space="preserve">means the Commodity Exchange Act (7 U.S.C. Section 1 </w:t>
      </w:r>
      <w:r>
        <w:rPr>
          <w:rFonts w:ascii="Times New Roman;serif" w:hAnsi="Times New Roman;serif"/>
          <w:b w:val="false"/>
          <w:i/>
          <w:color w:val="000000"/>
          <w:sz w:val="22"/>
        </w:rPr>
        <w:t>et seq</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Communication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10.17</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Compass-Owned EBITDA</w:t>
      </w:r>
      <w:r>
        <w:rPr>
          <w:color w:val="000000"/>
        </w:rPr>
        <w:t xml:space="preserve">” </w:t>
      </w:r>
      <w:r>
        <w:rPr>
          <w:rFonts w:ascii="Times New Roman;serif" w:hAnsi="Times New Roman;serif"/>
          <w:b w:val="false"/>
          <w:color w:val="000000"/>
          <w:sz w:val="22"/>
        </w:rPr>
        <w:t>means, with respect to any Portfolio Company, the product of (i) the Portfolio Company EBITDA of such Portfolio Company for the twelve month period ending on the last day of the month for which financial statements regarding such Portfolio Company have been most recently delivered to the Administrative Agent in accordance with the terms of this Agreement times (ii) the percentage of the equity interests in such Portfolio Company that are directly or indirectly owned and controlled by the Borrower (on a primary basis).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Compliance Certificate</w:t>
      </w:r>
      <w:r>
        <w:rPr>
          <w:color w:val="000000"/>
        </w:rPr>
        <w:t xml:space="preserve">” </w:t>
      </w:r>
      <w:r>
        <w:rPr>
          <w:rFonts w:ascii="Times New Roman;serif" w:hAnsi="Times New Roman;serif"/>
          <w:b w:val="false"/>
          <w:color w:val="000000"/>
          <w:sz w:val="22"/>
        </w:rPr>
        <w:t xml:space="preserve">means a certificate substantially in the form of </w:t>
      </w:r>
      <w:r>
        <w:rPr>
          <w:rFonts w:ascii="Times New Roman;serif" w:hAnsi="Times New Roman;serif"/>
          <w:b w:val="false"/>
          <w:color w:val="000000"/>
          <w:sz w:val="22"/>
          <w:u w:val="single"/>
        </w:rPr>
        <w:t>Exhibit 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Conforming Changes</w:t>
      </w:r>
      <w:r>
        <w:rPr>
          <w:color w:val="000000"/>
        </w:rPr>
        <w:t xml:space="preserve">” </w:t>
      </w:r>
      <w:r>
        <w:rPr>
          <w:rFonts w:ascii="Times New Roman;serif" w:hAnsi="Times New Roman;serif"/>
          <w:b w:val="false"/>
          <w:color w:val="000000"/>
          <w:sz w:val="22"/>
        </w:rPr>
        <w:t>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Connection Income Taxes</w:t>
      </w:r>
      <w:r>
        <w:rPr>
          <w:color w:val="000000"/>
        </w:rPr>
        <w:t xml:space="preserve">” </w:t>
      </w:r>
      <w:r>
        <w:rPr>
          <w:rFonts w:ascii="Times New Roman;serif" w:hAnsi="Times New Roman;serif"/>
          <w:b w:val="false"/>
          <w:color w:val="000000"/>
          <w:sz w:val="22"/>
        </w:rPr>
        <w:t>means Other Connection Taxes that are imposed on or measured by net income (however denominated) or that are franchise Taxes or branch profits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Consolidated Capital Expenditures</w:t>
      </w:r>
      <w:r>
        <w:rPr>
          <w:color w:val="000000"/>
        </w:rPr>
        <w:t xml:space="preserve">” </w:t>
      </w:r>
      <w:r>
        <w:rPr>
          <w:rFonts w:ascii="Times New Roman;serif" w:hAnsi="Times New Roman;serif"/>
          <w:b w:val="false"/>
          <w:color w:val="000000"/>
          <w:sz w:val="22"/>
        </w:rPr>
        <w:t>means, for any period, for the Borrower and its Subsidiaries (other than Subsidiary Outside Companies) on a consolidated basis, all capital expenditures, as determined in accordance with GAAP, but excluding (a) expenditures made in connection with the replacement, substitution or restoration of assets to the extent financed with (i) insurance proceeds (or other similar recoveries) paid on account of the loss of or damage to the assets being replaced or restored, (ii) cash awards of compensation arising from the taking by eminent domain or condemnation of the assets being replaced or (iii) cash proceeds of Dispositions that are reinvested in accordance with this Agreement and (b) expenditures made to fund the purchase price for assets acquired in a Permitted Eligible Acquisition or a Permitted Ineligible Acquisition.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Consolidated EBITDA</w:t>
      </w:r>
      <w:r>
        <w:rPr>
          <w:color w:val="000000"/>
        </w:rPr>
        <w:t xml:space="preserve">” </w:t>
      </w:r>
      <w:r>
        <w:rPr>
          <w:rFonts w:ascii="Times New Roman;serif" w:hAnsi="Times New Roman;serif"/>
          <w:b w:val="false"/>
          <w:color w:val="000000"/>
          <w:sz w:val="22"/>
        </w:rPr>
        <w:t xml:space="preserve">means, for any period, the remainder of (i) the sum of (x) the combined total of the Portfolio Company EBITDA for each Existing Portfolio Company for such period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(y) the combined total of the Portfolio Company EBITDA for each New Portfolio Company for such period,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(ii) for each Portfolio Company, the positive amount, if any, of Net Income Attributable to Non-Controlling Interests for such period.</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Consolidated Fixed Charge Coverage Ratio</w:t>
      </w:r>
      <w:r>
        <w:rPr>
          <w:color w:val="000000"/>
        </w:rPr>
        <w:t xml:space="preserve">” </w:t>
      </w:r>
      <w:r>
        <w:rPr>
          <w:rFonts w:ascii="Times New Roman;serif" w:hAnsi="Times New Roman;serif"/>
          <w:b w:val="false"/>
          <w:color w:val="000000"/>
          <w:sz w:val="22"/>
        </w:rPr>
        <w:t xml:space="preserve">means, as of any date of determination, the ratio of (a) the remainder for such period of (i) Consolidated EBITDA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 the sum of all income taxes paid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or payable in cash by the Borrower and the Subsidiaries (other than Subsidiary Outside Companies), and (without duplication) tax distributions described in </w:t>
      </w:r>
      <w:r>
        <w:rPr>
          <w:rFonts w:ascii="Times New Roman;serif" w:hAnsi="Times New Roman;serif"/>
          <w:b w:val="false"/>
          <w:color w:val="000000"/>
          <w:sz w:val="22"/>
          <w:u w:val="single"/>
        </w:rPr>
        <w:t>Section 7.06(c)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(iii) all Consolidated Capital Expenditures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(iv) the aggregate amount of Management Fees paid in cash by the Borrower and/or the Portfolio Companies pursuant to the Management Fee Documents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(v) Borrower Expenses </w:t>
      </w:r>
      <w:r>
        <w:rPr>
          <w:rFonts w:ascii="Times New Roman;serif" w:hAnsi="Times New Roman;serif"/>
          <w:b w:val="false"/>
          <w:color w:val="000000"/>
          <w:sz w:val="22"/>
          <w:u w:val="single"/>
        </w:rPr>
        <w:t>to</w:t>
      </w:r>
      <w:r>
        <w:rPr>
          <w:color w:val="000000"/>
        </w:rPr>
        <w:t xml:space="preserve"> </w:t>
      </w:r>
      <w:r>
        <w:rPr>
          <w:rFonts w:ascii="Times New Roman;serif" w:hAnsi="Times New Roman;serif"/>
          <w:b w:val="false"/>
          <w:color w:val="000000"/>
          <w:sz w:val="22"/>
        </w:rPr>
        <w:t xml:space="preserve">(b) the sum for such period of (i) Consolidated Interest Charges accrued for such period and paid or payable in cash at any time (excluding in all instances any interest paid in kind),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Consolidated Scheduled Funded Debt Payments for such period.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Consolidated Funded Indebtedness</w:t>
      </w:r>
      <w:r>
        <w:rPr>
          <w:color w:val="000000"/>
        </w:rPr>
        <w:t xml:space="preserve">” </w:t>
      </w:r>
      <w:r>
        <w:rPr>
          <w:rFonts w:ascii="Times New Roman;serif" w:hAnsi="Times New Roman;serif"/>
          <w:b w:val="false"/>
          <w:color w:val="000000"/>
          <w:sz w:val="22"/>
        </w:rPr>
        <w:t>means Funded Indebtedness of the Borrower and its Subsidiaries (other than Subsidiary Outside Companies) on a consolidated basis.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Consolidated Interest Charges</w:t>
      </w:r>
      <w:r>
        <w:rPr>
          <w:color w:val="000000"/>
        </w:rPr>
        <w:t xml:space="preserve">” </w:t>
      </w:r>
      <w:r>
        <w:rPr>
          <w:rFonts w:ascii="Times New Roman;serif" w:hAnsi="Times New Roman;serif"/>
          <w:b w:val="false"/>
          <w:color w:val="000000"/>
          <w:sz w:val="22"/>
        </w:rPr>
        <w:t>means, for any period, for the Borrower and its Subsidiaries (other than Subsidiary Outside Companies)</w:t>
      </w:r>
      <w:r>
        <w:rPr>
          <w:color w:val="000000"/>
        </w:rPr>
        <w:t xml:space="preserve"> </w:t>
      </w:r>
      <w:r>
        <w:rPr>
          <w:rFonts w:ascii="Times New Roman;serif" w:hAnsi="Times New Roman;serif"/>
          <w:b w:val="false"/>
          <w:color w:val="000000"/>
          <w:sz w:val="22"/>
        </w:rPr>
        <w:t xml:space="preserve">on a consolidated basis, the sum of (a) all interest, premium payments, debt discounts, fees and other charges in connection with borrowed money (including capitalized interest but excluding any unrealized mark-to-market gains or losses arising under Swap Contracts) or in connection with the deferred purchase price of assets, in each case to the extent treated as interest in accordance with GAAP (net of interest income of the Borrower and excluding interest expense of the Portfolio Companies in respect of Qualified Intercompany Debt),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(b) the portion of rent expense with respect to such period under capital leases that is treated as interest in accordance with GAAP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(c) the implied interest component of Synthetic Lease Obligations with respect to such period.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Consolidated Net Income</w:t>
      </w:r>
      <w:r>
        <w:rPr>
          <w:color w:val="000000"/>
        </w:rPr>
        <w:t xml:space="preserve">” </w:t>
      </w:r>
      <w:r>
        <w:rPr>
          <w:rFonts w:ascii="Times New Roman;serif" w:hAnsi="Times New Roman;serif"/>
          <w:b w:val="false"/>
          <w:color w:val="000000"/>
          <w:sz w:val="22"/>
        </w:rPr>
        <w:t>means, with respect to any Person (as used in this definition, the “</w:t>
      </w:r>
      <w:r>
        <w:rPr>
          <w:rFonts w:ascii="Times New Roman;serif" w:hAnsi="Times New Roman;serif"/>
          <w:b w:val="false"/>
          <w:color w:val="000000"/>
          <w:sz w:val="22"/>
          <w:u w:val="single"/>
        </w:rPr>
        <w:t>primary Person</w:t>
      </w:r>
      <w:r>
        <w:rPr>
          <w:color w:val="000000"/>
        </w:rPr>
        <w:t>”</w:t>
      </w:r>
      <w:r>
        <w:rPr>
          <w:rFonts w:ascii="Times New Roman;serif" w:hAnsi="Times New Roman;serif"/>
          <w:b w:val="false"/>
          <w:color w:val="000000"/>
          <w:sz w:val="22"/>
        </w:rPr>
        <w:t>) for any period, the consolidated net income (or loss) of such Person for such period, excluding (a) any gains or non-cash losses from Dispositions, (b) any extraordinary gains or extraordinary non-cash losses, (c) any gains or non-cash losses from discontinued operations, (d) the net income of any Subsidiary of the primary Person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the primary Person’s equity in any net loss of any such Subsidiary for such period shall be included in determining Consolidated Net Income for the primary Person, and (e) any income (or loss) for such period of any Person that is not a Subsidiary of the primary Person, except that the primary Person’s equity in the net income of any such other Person for such period shall be included in Consolidated Net Income up to the aggregate amount of cash actually distributed by such other Person during such period to the primary Person or a Subsidiary of the primary Person as a dividend or other distribution (and in the case of a dividend or other distribution to a Subsidiary of the primary Person, such Subsidiary is not precluded from further distributing such amount to the primary Person as described in clause (d) of this definition).</w:t>
      </w:r>
    </w:p>
    <w:p>
      <w:pPr>
        <w:pStyle w:val="TextBody"/>
        <w:bidi w:val="0"/>
        <w:spacing w:before="0" w:after="0"/>
        <w:jc w:val="left"/>
        <w:rPr/>
      </w:pPr>
      <w:r>
        <w:rPr/>
      </w:r>
    </w:p>
    <w:p>
      <w:pPr>
        <w:pStyle w:val="TextBody"/>
        <w:bidi w:val="0"/>
        <w:spacing w:lineRule="auto" w:line="268"/>
        <w:ind w:left="0" w:right="0" w:firstLine="720"/>
        <w:jc w:val="both"/>
        <w:rPr/>
      </w:pPr>
      <w:r>
        <w:rPr>
          <w:color w:val="000000"/>
        </w:rPr>
        <w:t>“</w:t>
      </w:r>
      <w:r>
        <w:rPr>
          <w:rFonts w:ascii="Times New Roman;serif" w:hAnsi="Times New Roman;serif"/>
          <w:b w:val="false"/>
          <w:color w:val="000000"/>
          <w:sz w:val="22"/>
          <w:u w:val="single"/>
        </w:rPr>
        <w:t>Consolidated Net Indebtedness</w:t>
      </w:r>
      <w:r>
        <w:rPr>
          <w:color w:val="000000"/>
        </w:rPr>
        <w:t xml:space="preserve">” </w:t>
      </w:r>
      <w:r>
        <w:rPr>
          <w:rFonts w:ascii="Times New Roman;serif" w:hAnsi="Times New Roman;serif"/>
          <w:b w:val="false"/>
          <w:color w:val="000000"/>
          <w:sz w:val="22"/>
        </w:rPr>
        <w:t xml:space="preserve">means Consolidated Funded Indebtedness (other than Qualified Intercompany Debt and Indebtedness described in clauses (d) and (i) of the definition of “Indebtedness” herein unless such Indebtedness is reflected on the balance sheet of the Borrower as a liability in accordance with GAAP or, in the case of any Earn Out Obligations, if such Earn Out Obligations have become due and payable), net of (a) all cash and Cash Equivalents of the Borrower on deposit in an account that is with the Administrative Agent or is subject to a Qualifying Control Agreement and (b) up to $25,000,000 in the aggregate of Unrestricted Cash of all Portfolio Companies (other than any Portfolio Company that is a Foreign Subsidiary);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 no event shall Consolidated Net Indebtedness be less than $0 for any purpose under this Agreement. For the avoidance of doubt, for purposes of calculating Borrowing Availability at the time of any Borrowing of Revolving Loans, Indebtedness described in clause (d) of the definition of “Indebtedness” herein shall not be included in Consolidated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Net Indebtedness to the extent such Indebtedness is repaid with the proceeds of such Revolving Loans substantially concurrently with such Borrowing.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Consolidated Scheduled Funded Debt Payments</w:t>
      </w:r>
      <w:r>
        <w:rPr>
          <w:color w:val="000000"/>
        </w:rPr>
        <w:t xml:space="preserve">” </w:t>
      </w:r>
      <w:r>
        <w:rPr>
          <w:rFonts w:ascii="Times New Roman;serif" w:hAnsi="Times New Roman;serif"/>
          <w:b w:val="false"/>
          <w:color w:val="000000"/>
          <w:sz w:val="22"/>
        </w:rPr>
        <w:t>means for any period for the Borrower and its Subsidiaries on a consolidated basis, the sum of all scheduled payments of principal on Consolidated Funded Indebtedness. For purposes of this definition, “scheduled payments of principal” (a) shall be determined without giving effect to any reduction of such scheduled payments resulting from the application of any voluntary or mandatory prepayments made during the applicable period, (b) shall be deemed to include the Attributable Indebtedness and (c) shall not include any voluntary or mandatory prepayments or any payments of principal of Revolving Loans or Qualified Intercompany Debt.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Consolidated Senior Secured Leverage Ratio</w:t>
      </w:r>
      <w:r>
        <w:rPr>
          <w:color w:val="000000"/>
        </w:rPr>
        <w:t xml:space="preserve">” </w:t>
      </w:r>
      <w:r>
        <w:rPr>
          <w:rFonts w:ascii="Times New Roman;serif" w:hAnsi="Times New Roman;serif"/>
          <w:b w:val="false"/>
          <w:color w:val="000000"/>
          <w:sz w:val="22"/>
        </w:rPr>
        <w:t xml:space="preserve">means, as of any date of determination, the ratio of (a) Consolidated Net Indebtedness (excluding Consolidated Funded Indebtedness that is not secured by a Lien on any property of the Borrower or any Subsidiary that would otherwise be included in Consolidated Net Indebtedness) as of such date </w:t>
      </w:r>
      <w:r>
        <w:rPr>
          <w:rFonts w:ascii="Times New Roman;serif" w:hAnsi="Times New Roman;serif"/>
          <w:b w:val="false"/>
          <w:color w:val="000000"/>
          <w:sz w:val="22"/>
          <w:u w:val="single"/>
        </w:rPr>
        <w:t>to</w:t>
      </w:r>
      <w:r>
        <w:rPr>
          <w:color w:val="000000"/>
        </w:rPr>
        <w:t xml:space="preserve"> </w:t>
      </w:r>
      <w:r>
        <w:rPr>
          <w:rFonts w:ascii="Times New Roman;serif" w:hAnsi="Times New Roman;serif"/>
          <w:b w:val="false"/>
          <w:color w:val="000000"/>
          <w:sz w:val="22"/>
        </w:rPr>
        <w:t>(b) Consolidated EBITDA for the twelve-month period of the Borrower most recently ended.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Consolidated Total Leverage Ratio</w:t>
      </w:r>
      <w:r>
        <w:rPr>
          <w:color w:val="000000"/>
        </w:rPr>
        <w:t xml:space="preserve">” </w:t>
      </w:r>
      <w:r>
        <w:rPr>
          <w:rFonts w:ascii="Times New Roman;serif" w:hAnsi="Times New Roman;serif"/>
          <w:b w:val="false"/>
          <w:color w:val="000000"/>
          <w:sz w:val="22"/>
        </w:rPr>
        <w:t xml:space="preserve">means, as of any date of determination, the ratio of (a) Consolidated Net Indebtedness as of such date </w:t>
      </w:r>
      <w:r>
        <w:rPr>
          <w:rFonts w:ascii="Times New Roman;serif" w:hAnsi="Times New Roman;serif"/>
          <w:b w:val="false"/>
          <w:color w:val="000000"/>
          <w:sz w:val="22"/>
          <w:u w:val="single"/>
        </w:rPr>
        <w:t>to</w:t>
      </w:r>
      <w:r>
        <w:rPr>
          <w:color w:val="000000"/>
        </w:rPr>
        <w:t xml:space="preserve"> </w:t>
      </w:r>
      <w:r>
        <w:rPr>
          <w:rFonts w:ascii="Times New Roman;serif" w:hAnsi="Times New Roman;serif"/>
          <w:b w:val="false"/>
          <w:color w:val="000000"/>
          <w:sz w:val="22"/>
        </w:rPr>
        <w:t>(b) Consolidated EBITDA for the twelve-month period of the Borrower most recently ended.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Contractual Obligation</w:t>
      </w:r>
      <w:r>
        <w:rPr>
          <w:color w:val="000000"/>
        </w:rPr>
        <w:t xml:space="preserve">” </w:t>
      </w:r>
      <w:r>
        <w:rPr>
          <w:rFonts w:ascii="Times New Roman;serif" w:hAnsi="Times New Roman;serif"/>
          <w:b w:val="false"/>
          <w:color w:val="000000"/>
          <w:sz w:val="22"/>
        </w:rPr>
        <w:t>means, as to any Person, any provision of any security issued by such Person or of any agreement, instrument or other undertaking to which such Person is a party or by which it or any of its property is bound.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color w:val="000000"/>
          <w:sz w:val="22"/>
          <w:u w:val="single"/>
        </w:rPr>
        <w:t>Controlling</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Controlled</w:t>
      </w:r>
      <w:r>
        <w:rPr>
          <w:color w:val="000000"/>
        </w:rPr>
        <w:t xml:space="preserve">” </w:t>
      </w:r>
      <w:r>
        <w:rPr>
          <w:rFonts w:ascii="Times New Roman;serif" w:hAnsi="Times New Roman;serif"/>
          <w:b w:val="false"/>
          <w:color w:val="000000"/>
          <w:sz w:val="22"/>
        </w:rPr>
        <w:t>have meanings correlative thereto. Without limiting the generality of the foregoing, a Person shall be deemed to be Controlled by another Person if such other Person possesses, directly or indirectly, power to vote 10% or more of the securities (on a fully diluted basis) having ordinary voting power for the election of directors, managing general partners or the equivalent.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Covered Entity</w:t>
      </w:r>
      <w:r>
        <w:rPr>
          <w:color w:val="000000"/>
        </w:rPr>
        <w:t xml:space="preserve">” </w:t>
      </w:r>
      <w:r>
        <w:rPr>
          <w:rFonts w:ascii="Times New Roman;serif" w:hAnsi="Times New Roman;serif"/>
          <w:b w:val="false"/>
          <w:color w:val="000000"/>
          <w:sz w:val="22"/>
        </w:rPr>
        <w:t>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Covered Party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10.20</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Credit Extension</w:t>
      </w:r>
      <w:r>
        <w:rPr>
          <w:color w:val="000000"/>
        </w:rPr>
        <w:t xml:space="preserve">” </w:t>
      </w:r>
      <w:r>
        <w:rPr>
          <w:rFonts w:ascii="Times New Roman;serif" w:hAnsi="Times New Roman;serif"/>
          <w:b w:val="false"/>
          <w:color w:val="000000"/>
          <w:sz w:val="22"/>
        </w:rPr>
        <w:t>means each of the following: (a) a Borrowing and (b) an L/C Credit Extension.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Credit Party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9.13</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Daily Simple SOFR</w:t>
      </w:r>
      <w:r>
        <w:rPr>
          <w:color w:val="000000"/>
        </w:rPr>
        <w:t xml:space="preserve">” </w:t>
      </w:r>
      <w:r>
        <w:rPr>
          <w:rFonts w:ascii="Times New Roman;serif" w:hAnsi="Times New Roman;serif"/>
          <w:b w:val="false"/>
          <w:color w:val="000000"/>
          <w:sz w:val="22"/>
        </w:rPr>
        <w:t>with respect to any applicable determination date means the SOFR published on such date on the Federal Reserve Bank of New York’s website (or any successor source).</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Debtor Relief Laws</w:t>
      </w:r>
      <w:r>
        <w:rPr>
          <w:color w:val="000000"/>
        </w:rPr>
        <w:t xml:space="preserve">” </w:t>
      </w:r>
      <w:r>
        <w:rPr>
          <w:rFonts w:ascii="Times New Roman;serif" w:hAnsi="Times New Roman;serif"/>
          <w:b w:val="false"/>
          <w:color w:val="000000"/>
          <w:sz w:val="22"/>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Default</w:t>
      </w:r>
      <w:r>
        <w:rPr>
          <w:color w:val="000000"/>
        </w:rPr>
        <w:t xml:space="preserve">” </w:t>
      </w:r>
      <w:r>
        <w:rPr>
          <w:rFonts w:ascii="Times New Roman;serif" w:hAnsi="Times New Roman;serif"/>
          <w:b w:val="false"/>
          <w:color w:val="000000"/>
          <w:sz w:val="22"/>
        </w:rPr>
        <w:t>means any event or condition that constitutes an Event of Default or that, with the giving of any notice, the passage of time, or both, would be an Event of Default.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Default Rate</w:t>
      </w:r>
      <w:r>
        <w:rPr>
          <w:color w:val="000000"/>
        </w:rPr>
        <w:t xml:space="preserve">” </w:t>
      </w:r>
      <w:r>
        <w:rPr>
          <w:rFonts w:ascii="Times New Roman;serif" w:hAnsi="Times New Roman;serif"/>
          <w:b w:val="false"/>
          <w:color w:val="000000"/>
          <w:sz w:val="22"/>
        </w:rPr>
        <w:t xml:space="preserve">means (a) when used with respect to Obligations other than Letter of Credit Fees, an interest rate equal to (i) the Base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the Applicable Rate, if any, applicable to Base Rate Loans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(iii) 2% per annum;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with respect to a Term SOFR Loan, the Default Rate shall be an interest rate equal to the interest rate (including any Applicable Rate) otherwise applicable to such Loan plus 2% per annum and (b) when used with respect to Letter of Credit Fees, a rate equal to the Applicable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2% per annum.</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Default Right</w:t>
      </w:r>
      <w:r>
        <w:rPr>
          <w:color w:val="000000"/>
        </w:rPr>
        <w:t xml:space="preserve">” </w:t>
      </w:r>
      <w:r>
        <w:rPr>
          <w:rFonts w:ascii="Times New Roman;serif" w:hAnsi="Times New Roman;serif"/>
          <w:b w:val="false"/>
          <w:color w:val="000000"/>
          <w:sz w:val="22"/>
        </w:rPr>
        <w:t>has the meaning assigned to that term in, and shall be interpreted in accordance with, 12 C.F.R. §§ 252.81, 47.2 or 382.1, as applicable.</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Defaulting Lender</w:t>
      </w:r>
      <w:r>
        <w:rPr>
          <w:color w:val="000000"/>
        </w:rPr>
        <w:t xml:space="preserve">” </w:t>
      </w:r>
      <w:r>
        <w:rPr>
          <w:rFonts w:ascii="Times New Roman;serif" w:hAnsi="Times New Roman;serif"/>
          <w:b w:val="false"/>
          <w:color w:val="000000"/>
          <w:sz w:val="22"/>
        </w:rPr>
        <w:t xml:space="preserve">means, subject to </w:t>
      </w:r>
      <w:r>
        <w:rPr>
          <w:rFonts w:ascii="Times New Roman;serif" w:hAnsi="Times New Roman;serif"/>
          <w:b w:val="false"/>
          <w:color w:val="000000"/>
          <w:sz w:val="22"/>
          <w:u w:val="single"/>
        </w:rPr>
        <w:t>Section 2.15(d)</w:t>
      </w:r>
      <w:r>
        <w:rPr>
          <w:rFonts w:ascii="Times New Roman;serif" w:hAnsi="Times New Roman;serif"/>
          <w:b w:val="false"/>
          <w:color w:val="000000"/>
          <w:sz w:val="22"/>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be deemed to be a Defaulting Lender (subject to </w:t>
      </w:r>
      <w:r>
        <w:rPr>
          <w:rFonts w:ascii="Times New Roman;serif" w:hAnsi="Times New Roman;serif"/>
          <w:b w:val="false"/>
          <w:color w:val="000000"/>
          <w:sz w:val="22"/>
          <w:u w:val="single"/>
        </w:rPr>
        <w:t>Section 2.15(d)</w:t>
      </w:r>
      <w:r>
        <w:rPr>
          <w:rFonts w:ascii="Times New Roman;serif" w:hAnsi="Times New Roman;serif"/>
          <w:b w:val="false"/>
          <w:color w:val="000000"/>
          <w:sz w:val="22"/>
        </w:rPr>
        <w:t>) as of the date established therefor by the Administrative Agent in a written notice of such determination, which shall be delivered by the Administrative Agent to the Borrower, the L/C Issuer, the Swing Line Lender and each other Lender promptly following such determination.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Designated Jurisdiction</w:t>
      </w:r>
      <w:r>
        <w:rPr>
          <w:color w:val="000000"/>
        </w:rPr>
        <w:t xml:space="preserve">” </w:t>
      </w:r>
      <w:r>
        <w:rPr>
          <w:rFonts w:ascii="Times New Roman;serif" w:hAnsi="Times New Roman;serif"/>
          <w:b w:val="false"/>
          <w:color w:val="000000"/>
          <w:sz w:val="22"/>
        </w:rPr>
        <w:t>means any country or territory to the extent that such country or territory itself, or its government, is the subject of any Sanction.</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Disposition</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Dispose</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val="false"/>
          <w:color w:val="000000"/>
          <w:sz w:val="24"/>
        </w:rPr>
        <w:t>the sale, transfer, license, lease or other disposition of any property (including the Equity Interests of any Subsidiary) by the Borrower or any Subsidiary (other than any Subsidiary Outside Company), including any Sale and Leaseback Transaction and any sale, assignment, transfer or other disposal, with or without recourse, of any notes or accounts receivable or any rights and claims associated therewith, but excluding (a) the disposition of inventory in the ordinary course of business; (b) the disposition of machinery and equipment no longer used or useful in the conduct of business of the Borrower and its Subsidiaries in the ordinary course of business; (c) the disposition of property to the Borrower or by a Subsidiary to any Subsidiary (other than any Subsidiary Outside Company); (d) the d</w:t>
      </w:r>
      <w:r>
        <w:rPr>
          <w:rFonts w:ascii="Times New Roman;serif" w:hAnsi="Times New Roman;serif"/>
          <w:b w:val="false"/>
          <w:color w:val="000000"/>
          <w:sz w:val="22"/>
        </w:rPr>
        <w:t xml:space="preserve">isposition of accounts receivable in connection with the collection or compromise thereof; (e) licenses, sublicenses, leases or subleases granted to others not interfering in any material respect with the business of the Borrower and its Subsidiaries; (f) the sale or disposition of Cash Equivalents for fair market value; </w:t>
      </w:r>
      <w:r>
        <w:rPr>
          <w:rFonts w:ascii="Times New Roman;serif" w:hAnsi="Times New Roman;serif"/>
          <w:b w:val="false"/>
          <w:strike/>
          <w:color w:val="FF0000"/>
          <w:sz w:val="22"/>
        </w:rPr>
        <w:t xml:space="preserve">and </w:t>
      </w:r>
      <w:r>
        <w:rPr>
          <w:rFonts w:ascii="Times New Roman;serif" w:hAnsi="Times New Roman;serif"/>
          <w:b w:val="false"/>
          <w:color w:val="000000"/>
          <w:sz w:val="22"/>
        </w:rPr>
        <w:t>(g) any Recovery Event</w:t>
      </w:r>
      <w:r>
        <w:rPr>
          <w:rFonts w:ascii="Times New Roman;serif" w:hAnsi="Times New Roman;serif"/>
          <w:b w:val="false"/>
          <w:color w:val="0000FF"/>
          <w:sz w:val="22"/>
          <w:u w:val="single"/>
        </w:rPr>
        <w:t>; and (h) any sale, transfer or other disposition of any Supply Chain Financing Assets pursuant to a Permitted Supply Chain Arrangement</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Disqualified Portfolio Company</w:t>
      </w:r>
      <w:r>
        <w:rPr>
          <w:color w:val="000000"/>
        </w:rPr>
        <w:t xml:space="preserve">” </w:t>
      </w:r>
      <w:r>
        <w:rPr>
          <w:rFonts w:ascii="Times New Roman;serif" w:hAnsi="Times New Roman;serif"/>
          <w:b w:val="false"/>
          <w:color w:val="000000"/>
          <w:sz w:val="22"/>
        </w:rPr>
        <w:t xml:space="preserve">means, as of any date, a Portfolio Company (a) that is not Solvent, (b) in respect of which any of the events described in </w:t>
      </w:r>
      <w:r>
        <w:rPr>
          <w:rFonts w:ascii="Times New Roman;serif" w:hAnsi="Times New Roman;serif"/>
          <w:b w:val="false"/>
          <w:color w:val="000000"/>
          <w:sz w:val="22"/>
          <w:u w:val="single"/>
        </w:rPr>
        <w:t>Section 8.01(f)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8.01(g)(i)</w:t>
      </w:r>
      <w:r>
        <w:rPr>
          <w:color w:val="000000"/>
        </w:rPr>
        <w:t xml:space="preserve"> </w:t>
      </w:r>
      <w:r>
        <w:rPr>
          <w:rFonts w:ascii="Times New Roman;serif" w:hAnsi="Times New Roman;serif"/>
          <w:b w:val="false"/>
          <w:color w:val="000000"/>
          <w:sz w:val="22"/>
        </w:rPr>
        <w:t>has occurred or (c) that is in payment default under an Intercompany Debt Document where such payment default has continued unremedied for a period of at least 60 days. For the avoidance of doubt, Lugano Holding shall be a Disqualified Portfolio Company from and after November 7, 2025.</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Dollar</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mean lawful money of the United States.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Domestic Subsidiary</w:t>
      </w:r>
      <w:r>
        <w:rPr>
          <w:color w:val="000000"/>
        </w:rPr>
        <w:t xml:space="preserve">” </w:t>
      </w:r>
      <w:r>
        <w:rPr>
          <w:rFonts w:ascii="Times New Roman;serif" w:hAnsi="Times New Roman;serif"/>
          <w:b w:val="false"/>
          <w:color w:val="000000"/>
          <w:sz w:val="22"/>
        </w:rPr>
        <w:t>means any Subsidiary that is organized under the Laws of any state of the United States or the District of Columbia.</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Earn Out Obligations</w:t>
      </w:r>
      <w:r>
        <w:rPr>
          <w:color w:val="000000"/>
        </w:rPr>
        <w:t xml:space="preserve">” </w:t>
      </w:r>
      <w:r>
        <w:rPr>
          <w:rFonts w:ascii="Times New Roman;serif" w:hAnsi="Times New Roman;serif"/>
          <w:b w:val="false"/>
          <w:color w:val="000000"/>
          <w:sz w:val="22"/>
        </w:rPr>
        <w:t xml:space="preserve">means, with respect to an Acquisition, all obligations of the Borrower or any Subsidiary to make earn out or other contingency payments (including purchase price adjustments, non-competition and consulting agreements, or other indemnity obligations) pursuant to the documentation relating to such Acquisition. For purposes of determining the aggregate consideration paid for an Acquisition at the time of such Acquisition and for purposes of clause (a)(ii) of the definition of Permitted Earn Out Obligations and </w:t>
      </w:r>
      <w:r>
        <w:rPr>
          <w:rFonts w:ascii="Times New Roman;serif" w:hAnsi="Times New Roman;serif"/>
          <w:b w:val="false"/>
          <w:color w:val="000000"/>
          <w:sz w:val="22"/>
          <w:u w:val="single"/>
        </w:rPr>
        <w:t>Section 7.03(i)</w:t>
      </w:r>
      <w:r>
        <w:rPr>
          <w:rFonts w:ascii="Times New Roman;serif" w:hAnsi="Times New Roman;serif"/>
          <w:b w:val="false"/>
          <w:color w:val="000000"/>
          <w:sz w:val="22"/>
        </w:rPr>
        <w:t>, the amount of any Earn Out Obligations shall be deemed to be the maximum amount of the earn-out payments in respect thereof as specified in the documents relating to such Acquisition (or, if no maximum amount is specified in such documents, the Borrower’s good faith estimate of the maximum amount of such earn-out payments on the date the documents relating to such Acquisition are entered into). For purposes of determining the amount of any Earn Out Obligations to be included in the definition of Funded Indebtedness, the amount of Earn Out Obligations shall be deemed to be the amount, if any, that has become due and payable and remains outstanding as of the relevant determination date and for the avoidance of doubt, shall not include any amounts, contingent or otherwise, that are not outstanding as of such date.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EEA Financial Institution</w:t>
      </w:r>
      <w:r>
        <w:rPr>
          <w:color w:val="000000"/>
        </w:rPr>
        <w:t xml:space="preserve">” </w:t>
      </w:r>
      <w:r>
        <w:rPr>
          <w:rFonts w:ascii="Times New Roman;serif" w:hAnsi="Times New Roman;serif"/>
          <w:b w:val="false"/>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EEA Member Country</w:t>
      </w:r>
      <w:r>
        <w:rPr>
          <w:color w:val="000000"/>
        </w:rPr>
        <w:t xml:space="preserve">” </w:t>
      </w:r>
      <w:r>
        <w:rPr>
          <w:rFonts w:ascii="Times New Roman;serif" w:hAnsi="Times New Roman;serif"/>
          <w:b w:val="false"/>
          <w:color w:val="000000"/>
          <w:sz w:val="22"/>
        </w:rPr>
        <w:t>means any of the member states of the European Union, Iceland, Liechtenstein, and Norway.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EEA Resolution Authority</w:t>
      </w:r>
      <w:r>
        <w:rPr>
          <w:color w:val="000000"/>
        </w:rPr>
        <w:t xml:space="preserve">” </w:t>
      </w:r>
      <w:r>
        <w:rPr>
          <w:rFonts w:ascii="Times New Roman;serif" w:hAnsi="Times New Roman;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Electronic Copy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10.17</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Electronic Record</w:t>
      </w:r>
      <w:r>
        <w:rPr>
          <w:color w:val="000000"/>
        </w:rPr>
        <w:t xml:space="preserve">” </w:t>
      </w:r>
      <w:r>
        <w:rPr>
          <w:rFonts w:ascii="Times New Roman;serif" w:hAnsi="Times New Roman;serif"/>
          <w:b w:val="false"/>
          <w:color w:val="000000"/>
          <w:sz w:val="22"/>
        </w:rPr>
        <w:t>has the meaning assigned to that term in 15 U.S.C. § 7006.</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Electronic Signature</w:t>
      </w:r>
      <w:r>
        <w:rPr>
          <w:color w:val="000000"/>
        </w:rPr>
        <w:t xml:space="preserve">” </w:t>
      </w:r>
      <w:r>
        <w:rPr>
          <w:rFonts w:ascii="Times New Roman;serif" w:hAnsi="Times New Roman;serif"/>
          <w:b w:val="false"/>
          <w:color w:val="000000"/>
          <w:sz w:val="22"/>
        </w:rPr>
        <w:t>has the meaning assigned to that term in 15 U.S.C. § 7006.</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Eligible Assignee</w:t>
      </w:r>
      <w:r>
        <w:rPr>
          <w:color w:val="000000"/>
        </w:rPr>
        <w:t xml:space="preserve">” </w:t>
      </w:r>
      <w:r>
        <w:rPr>
          <w:rFonts w:ascii="Times New Roman;serif" w:hAnsi="Times New Roman;serif"/>
          <w:b w:val="false"/>
          <w:color w:val="000000"/>
          <w:sz w:val="22"/>
        </w:rPr>
        <w:t xml:space="preserve">means any Person that meets the requirements to be an assignee under </w:t>
      </w:r>
      <w:r>
        <w:rPr>
          <w:rFonts w:ascii="Times New Roman;serif" w:hAnsi="Times New Roman;serif"/>
          <w:b w:val="false"/>
          <w:color w:val="000000"/>
          <w:sz w:val="22"/>
          <w:u w:val="single"/>
        </w:rPr>
        <w:t>Sections 10.06(b)(iii)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 xml:space="preserve">(subject to such consents, if any, as may be required under </w:t>
      </w:r>
      <w:r>
        <w:rPr>
          <w:rFonts w:ascii="Times New Roman;serif" w:hAnsi="Times New Roman;serif"/>
          <w:b w:val="false"/>
          <w:color w:val="000000"/>
          <w:sz w:val="22"/>
          <w:u w:val="single"/>
        </w:rPr>
        <w:t>Section 10.06(b)(iii)</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Environmental Laws</w:t>
      </w:r>
      <w:r>
        <w:rPr>
          <w:color w:val="000000"/>
        </w:rPr>
        <w:t xml:space="preserve">” </w:t>
      </w:r>
      <w:r>
        <w:rPr>
          <w:rFonts w:ascii="Times New Roman;serif" w:hAnsi="Times New Roman;serif"/>
          <w:b w:val="false"/>
          <w:color w:val="000000"/>
          <w:sz w:val="22"/>
        </w:rPr>
        <w:t>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Environmental Liability</w:t>
      </w:r>
      <w:r>
        <w:rPr>
          <w:color w:val="000000"/>
        </w:rPr>
        <w:t xml:space="preserve">” </w:t>
      </w:r>
      <w:r>
        <w:rPr>
          <w:rFonts w:ascii="Times New Roman;serif" w:hAnsi="Times New Roman;serif"/>
          <w:b w:val="false"/>
          <w:color w:val="000000"/>
          <w:sz w:val="22"/>
        </w:rPr>
        <w:t>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Equity Interests</w:t>
      </w:r>
      <w:r>
        <w:rPr>
          <w:color w:val="000000"/>
        </w:rPr>
        <w:t xml:space="preserve">” </w:t>
      </w:r>
      <w:r>
        <w:rPr>
          <w:rFonts w:ascii="Times New Roman;serif" w:hAnsi="Times New Roman;serif"/>
          <w:b w:val="false"/>
          <w:color w:val="000000"/>
          <w:sz w:val="22"/>
        </w:rPr>
        <w:t>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Ergo Baby</w:t>
      </w:r>
      <w:r>
        <w:rPr>
          <w:color w:val="000000"/>
        </w:rPr>
        <w:t xml:space="preserve">” </w:t>
      </w:r>
      <w:r>
        <w:rPr>
          <w:rFonts w:ascii="Times New Roman;serif" w:hAnsi="Times New Roman;serif"/>
          <w:b w:val="false"/>
          <w:color w:val="000000"/>
          <w:sz w:val="22"/>
        </w:rPr>
        <w:t>means EBP Lifestyle Brands Holdings, Inc., a Delaware corporation.</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means the Employee Retirement Income Security Act of 1974.</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ERISA Affiliate</w:t>
      </w:r>
      <w:r>
        <w:rPr>
          <w:color w:val="000000"/>
        </w:rPr>
        <w:t xml:space="preserve">” </w:t>
      </w:r>
      <w:r>
        <w:rPr>
          <w:rFonts w:ascii="Times New Roman;serif" w:hAnsi="Times New Roman;serif"/>
          <w:b w:val="false"/>
          <w:color w:val="000000"/>
          <w:sz w:val="22"/>
        </w:rPr>
        <w:t>means any trade or business (whether or not incorporated) under common control with the Borrower within the meaning of Section 414(b) or (c) of the Internal Revenue Code (and Sections 414(m) and (o) of the Internal Revenue Code for purposes of provisions relating to Section 412 of the Internal Revenue Code).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ERISA Event</w:t>
      </w:r>
      <w:r>
        <w:rPr>
          <w:color w:val="000000"/>
        </w:rPr>
        <w:t xml:space="preserve">” </w:t>
      </w:r>
      <w:r>
        <w:rPr>
          <w:rFonts w:ascii="Times New Roman;serif" w:hAnsi="Times New Roman;serif"/>
          <w:b w:val="false"/>
          <w:color w:val="000000"/>
          <w:sz w:val="22"/>
        </w:rPr>
        <w:t>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Internal Revenue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EU Bail-In Legislation Schedule</w:t>
      </w:r>
      <w:r>
        <w:rPr>
          <w:color w:val="000000"/>
        </w:rPr>
        <w:t xml:space="preserve">” </w:t>
      </w:r>
      <w:r>
        <w:rPr>
          <w:rFonts w:ascii="Times New Roman;serif" w:hAnsi="Times New Roman;serif"/>
          <w:b w:val="false"/>
          <w:color w:val="000000"/>
          <w:sz w:val="22"/>
        </w:rPr>
        <w:t>means the EU Bail-In Legislation Schedule published by the Loan Market Association (or any successor person), as in effect from time to time.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8.01</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Excluded Property</w:t>
      </w:r>
      <w:r>
        <w:rPr>
          <w:color w:val="000000"/>
        </w:rPr>
        <w:t xml:space="preserve">” </w:t>
      </w:r>
      <w:r>
        <w:rPr>
          <w:rFonts w:ascii="Times New Roman;serif" w:hAnsi="Times New Roman;serif"/>
          <w:b w:val="false"/>
          <w:color w:val="000000"/>
          <w:sz w:val="22"/>
        </w:rPr>
        <w:t xml:space="preserve">means, with respect to the Borrower, (a) any owned or leased real property which is located outside of the United States, unless requested by the Administrative Agent or the Required Lenders, (b) unless requested by the Administrative Agent or the Required Lenders, any IP Rights for which a perfected Lien thereon is not effected either by filing of a Uniform Commercial Code financing statement or by appropriate evidence of such Lien being filed in either the United States Copyright Office or the United States Patent and Trademark Office, (c) unless requested by the Administrative Agent or the Required Lenders, any personal property (other than personal property described in clause (b) above) for which the attachment or perfection of a Lien thereon is not governed by the Uniform Commercial Code, (d) the Equity Interests of any Foreign Subsidiary to the extent not required to be pledged to secure the Obligations pursuant to </w:t>
      </w:r>
      <w:r>
        <w:rPr>
          <w:rFonts w:ascii="Times New Roman;serif" w:hAnsi="Times New Roman;serif"/>
          <w:b w:val="false"/>
          <w:color w:val="000000"/>
          <w:sz w:val="22"/>
          <w:u w:val="single"/>
        </w:rPr>
        <w:t>Section 6.12(a)</w:t>
      </w:r>
      <w:r>
        <w:rPr>
          <w:rFonts w:ascii="Times New Roman;serif" w:hAnsi="Times New Roman;serif"/>
          <w:b w:val="false"/>
          <w:color w:val="000000"/>
          <w:sz w:val="22"/>
        </w:rPr>
        <w:t xml:space="preserve">, (e) any property which, subject to the terms of </w:t>
      </w:r>
      <w:r>
        <w:rPr>
          <w:rFonts w:ascii="Times New Roman;serif" w:hAnsi="Times New Roman;serif"/>
          <w:b w:val="false"/>
          <w:color w:val="000000"/>
          <w:sz w:val="22"/>
          <w:u w:val="single"/>
        </w:rPr>
        <w:t>Section 7.09</w:t>
      </w:r>
      <w:r>
        <w:rPr>
          <w:rFonts w:ascii="Times New Roman;serif" w:hAnsi="Times New Roman;serif"/>
          <w:b w:val="false"/>
          <w:color w:val="000000"/>
          <w:sz w:val="22"/>
        </w:rPr>
        <w:t xml:space="preserve">, is subject to a Lien of the type described in </w:t>
      </w:r>
      <w:r>
        <w:rPr>
          <w:rFonts w:ascii="Times New Roman;serif" w:hAnsi="Times New Roman;serif"/>
          <w:b w:val="false"/>
          <w:color w:val="000000"/>
          <w:sz w:val="22"/>
          <w:u w:val="single"/>
        </w:rPr>
        <w:t>Section 7.01(i)</w:t>
      </w:r>
      <w:r>
        <w:rPr>
          <w:color w:val="000000"/>
        </w:rPr>
        <w:t xml:space="preserve"> </w:t>
      </w:r>
      <w:r>
        <w:rPr>
          <w:rFonts w:ascii="Times New Roman;serif" w:hAnsi="Times New Roman;serif"/>
          <w:b w:val="false"/>
          <w:color w:val="000000"/>
          <w:sz w:val="22"/>
        </w:rPr>
        <w:t xml:space="preserve">pursuant to documents which prohibit the Borrower from granting any other Liens in such property, (f) any leasehold interest of the Borrower in office space and (g) any lease, license, contract or other agreement (other than Intercompany Debt Documents) of the Borrower if and for so long as the grant of a security interest in such lease, license, contract or other agreement in the manner contemplated hereby is prohibited under the terms of such lease, license, contract or other agreement or under applicable Law or would result in default thereunder, the termination thereof or give the other parties thereto the right to terminate, accelerate or otherwise alter the Borrower’s rights, titles and interests thereunder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upon the giving of notice or the lapse of time or both);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any such limitation described in the foregoing clause (g) shall apply only to the extent that any such prohibition could not be rendered ineffective pursuant to the UCC (as defined in the Security Agreement) or any other applicable Law (including Debtor Relief Laws) or principles of equity.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Excluded Taxes</w:t>
      </w:r>
      <w:r>
        <w:rPr>
          <w:color w:val="000000"/>
        </w:rPr>
        <w:t xml:space="preserve">” </w:t>
      </w:r>
      <w:r>
        <w:rPr>
          <w:rFonts w:ascii="Times New Roman;serif" w:hAnsi="Times New Roman;serif"/>
          <w:b w:val="false"/>
          <w:color w:val="000000"/>
          <w:sz w:val="22"/>
        </w:rPr>
        <w:t xml:space="preserve">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serif" w:hAnsi="Times New Roman;serif"/>
          <w:b w:val="false"/>
          <w:color w:val="000000"/>
          <w:sz w:val="22"/>
          <w:u w:val="single"/>
        </w:rPr>
        <w:t>Section 10.13</w:t>
      </w:r>
      <w:r>
        <w:rPr>
          <w:rFonts w:ascii="Times New Roman;serif" w:hAnsi="Times New Roman;serif"/>
          <w:b w:val="false"/>
          <w:color w:val="000000"/>
          <w:sz w:val="22"/>
        </w:rPr>
        <w:t xml:space="preserve">) or (ii) such Lender changes its Lending Office, except in each case to the extent that, pursuant to </w:t>
      </w:r>
      <w:r>
        <w:rPr>
          <w:rFonts w:ascii="Times New Roman;serif" w:hAnsi="Times New Roman;serif"/>
          <w:b w:val="false"/>
          <w:color w:val="000000"/>
          <w:sz w:val="22"/>
          <w:u w:val="single"/>
        </w:rPr>
        <w:t>Section 3.01(a)(ii)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(a)(iii)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serif" w:hAnsi="Times New Roman;serif"/>
          <w:b w:val="false"/>
          <w:color w:val="000000"/>
          <w:sz w:val="22"/>
          <w:u w:val="single"/>
        </w:rPr>
        <w:t>Section 3.01(e)</w:t>
      </w:r>
      <w:r>
        <w:rPr>
          <w:color w:val="000000"/>
        </w:rPr>
        <w:t xml:space="preserve"> </w:t>
      </w:r>
      <w:r>
        <w:rPr>
          <w:rFonts w:ascii="Times New Roman;serif" w:hAnsi="Times New Roman;serif"/>
          <w:b w:val="false"/>
          <w:color w:val="000000"/>
          <w:sz w:val="22"/>
        </w:rPr>
        <w:t>and (d) any U.S. federal withholding Taxes imposed under FATCA.</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Existing Credit Agreement</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10.21</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4"/>
          <w:u w:val="single"/>
        </w:rPr>
        <w:t>Existing Letters of Credit</w:t>
      </w:r>
      <w:r>
        <w:rPr>
          <w:color w:val="000000"/>
        </w:rPr>
        <w:t xml:space="preserve">” </w:t>
      </w:r>
      <w:r>
        <w:rPr>
          <w:rFonts w:ascii="Times New Roman;serif" w:hAnsi="Times New Roman;serif"/>
          <w:b w:val="false"/>
          <w:color w:val="000000"/>
          <w:sz w:val="24"/>
        </w:rPr>
        <w:t xml:space="preserve">means those Letters of Credit outstanding on the Closing Date and identified on </w:t>
      </w:r>
      <w:r>
        <w:rPr>
          <w:rFonts w:ascii="Times New Roman;serif" w:hAnsi="Times New Roman;serif"/>
          <w:b w:val="false"/>
          <w:color w:val="000000"/>
          <w:sz w:val="24"/>
          <w:u w:val="single"/>
        </w:rPr>
        <w:t>Schedule 2.03</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color w:val="000000"/>
        </w:rPr>
        <w:t>“</w:t>
      </w:r>
      <w:r>
        <w:rPr>
          <w:rFonts w:ascii="Times New Roman;serif" w:hAnsi="Times New Roman;serif"/>
          <w:b w:val="false"/>
          <w:color w:val="000000"/>
          <w:sz w:val="22"/>
          <w:u w:val="single"/>
        </w:rPr>
        <w:t>Existing Portfolio Companies</w:t>
      </w:r>
      <w:r>
        <w:rPr>
          <w:color w:val="000000"/>
        </w:rPr>
        <w:t xml:space="preserve">” </w:t>
      </w:r>
      <w:r>
        <w:rPr>
          <w:rFonts w:ascii="Times New Roman;serif" w:hAnsi="Times New Roman;serif"/>
          <w:b w:val="false"/>
          <w:color w:val="000000"/>
          <w:sz w:val="22"/>
        </w:rPr>
        <w:t xml:space="preserve">means (i) Arnold Magnetics, together with its Wholly-Owned Subsidiaries as of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(ii) BOA together with its Wholly-Owned Subsidiaries as of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(iii) </w:t>
      </w:r>
      <w:r>
        <w:rPr>
          <w:rFonts w:ascii="Times New Roman;serif" w:hAnsi="Times New Roman;serif"/>
          <w:b w:val="false"/>
          <w:strike/>
          <w:color w:val="FF0000"/>
          <w:sz w:val="22"/>
        </w:rPr>
        <w:t>Sterno</w:t>
      </w:r>
      <w:r>
        <w:rPr>
          <w:rFonts w:ascii="Times New Roman;serif" w:hAnsi="Times New Roman;serif"/>
          <w:b w:val="false"/>
          <w:color w:val="0000FF"/>
          <w:sz w:val="22"/>
          <w:u w:val="single"/>
        </w:rPr>
        <w:t>Rimports</w:t>
      </w:r>
      <w:r>
        <w:rPr>
          <w:rFonts w:ascii="Times New Roman;serif" w:hAnsi="Times New Roman;serif"/>
          <w:b w:val="false"/>
          <w:color w:val="000000"/>
          <w:sz w:val="22"/>
        </w:rPr>
        <w:t xml:space="preserve">, together with its Wholly-Owned Subsidiaries as of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(iv) </w:t>
      </w:r>
      <w:r>
        <w:rPr>
          <w:rFonts w:ascii="Times New Roman;serif" w:hAnsi="Times New Roman;serif"/>
          <w:b w:val="false"/>
          <w:strike/>
          <w:color w:val="FF0000"/>
          <w:sz w:val="22"/>
        </w:rPr>
        <w:t>Foam Fab</w:t>
      </w:r>
      <w:r>
        <w:rPr>
          <w:rFonts w:ascii="Times New Roman;serif" w:hAnsi="Times New Roman;serif"/>
          <w:b w:val="false"/>
          <w:color w:val="0000FF"/>
          <w:sz w:val="22"/>
          <w:u w:val="single"/>
        </w:rPr>
        <w:t>Altor Solutions</w:t>
      </w:r>
      <w:r>
        <w:rPr>
          <w:rFonts w:ascii="Times New Roman;serif" w:hAnsi="Times New Roman;serif"/>
          <w:b w:val="false"/>
          <w:color w:val="000000"/>
          <w:sz w:val="22"/>
        </w:rPr>
        <w:t xml:space="preserve">, together with its Wholly-Owned Subsidiaries as of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(v) 5.11, together with its Wholly-Owned Subsidiaries as of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(vi) Velocity, together with its Wholly-Owned Subsidiaries as of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(vii) Lugano Buyer, together with its Wholly-Owned Subsidiaries as of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(viii) PrimaLoft, together with its Wholly-Owned Subsidiaries as of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(ix) Honey Pot, together with its Wholly-Owned Subsidiaries as of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(x) any Target acquired by an Existing Portfolio Company in a Permitted Eligible Acquisition as long as (A) the aggregate consideration to be paid in such Acquisition does not exceed $50,000,000 and (B) as of the date of consummation of such Acquisition, the amount of Portfolio Company EBITDA of such Existing Portfolio Company attributable to such Target after giving effect to such Acquisition on a Pro Forma Basis shall not exceed twenty percent (20%) of such Portfolio Company EBITDA, and (xi) any (A) Target acquired by an Existing Portfolio Company in a Permitted Eligible Acquisition that does not comply with the requirements of clause (xii) above or (B) any New Portfolio Company with respect to which, in each case of any such Target or New Portfolio Company, a classification or reclassification as an Existing Portfolio Company has been approved by Required Lenders in their sole discretion (it being agreed and understood that (1) Lenders shall make reasonable efforts to indicate their response within fifteen (15) days of receiving a request for a classification or reclassification of any such Target or New Portfolio Company as an Existing Portfolio Company, and (2) any Lender that approves the classification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 xml:space="preserve">or reclassification of such Target or New Portfolio Company as an Existing Portfolio Company shall deliver to the Administrative Agent, together with its response, a written approval in the form of </w:t>
      </w:r>
      <w:r>
        <w:rPr>
          <w:rFonts w:ascii="Times New Roman;serif" w:hAnsi="Times New Roman;serif"/>
          <w:b w:val="false"/>
          <w:color w:val="000000"/>
          <w:sz w:val="24"/>
          <w:u w:val="single"/>
        </w:rPr>
        <w:t>Exhibit K</w:t>
      </w:r>
      <w:r>
        <w:rPr>
          <w:rFonts w:ascii="Times New Roman;serif" w:hAnsi="Times New Roman;serif"/>
          <w:b w:val="false"/>
          <w:color w:val="000000"/>
          <w:sz w:val="22"/>
        </w:rPr>
        <w:t>), in each case to the extent that any such company has become a Subsidiary of the Borrower pursuant to a Permitted Eligible Acquisition and remains a Subsidiary of the Borrower</w:t>
      </w:r>
      <w:r>
        <w:rPr>
          <w:rFonts w:ascii="Times New Roman;serif" w:hAnsi="Times New Roman;serif"/>
          <w:b w:val="false"/>
          <w:color w:val="000000"/>
          <w:sz w:val="24"/>
        </w:rPr>
        <w:t>.</w:t>
      </w:r>
    </w:p>
    <w:p>
      <w:pPr>
        <w:pStyle w:val="TextBody"/>
        <w:bidi w:val="0"/>
        <w:spacing w:lineRule="auto" w:line="288" w:before="180" w:after="283"/>
        <w:ind w:left="0" w:right="0" w:firstLine="720"/>
        <w:jc w:val="both"/>
        <w:rPr/>
      </w:pPr>
      <w:r>
        <w:rPr>
          <w:color w:val="000000"/>
        </w:rPr>
        <w:t>“</w:t>
      </w:r>
      <w:r>
        <w:rPr>
          <w:rFonts w:ascii="Times New Roman;serif" w:hAnsi="Times New Roman;serif"/>
          <w:b w:val="false"/>
          <w:color w:val="000000"/>
          <w:sz w:val="22"/>
          <w:u w:val="single"/>
        </w:rPr>
        <w:t>Existing Portfolio Company Acquisition Documents</w:t>
      </w:r>
      <w:r>
        <w:rPr>
          <w:color w:val="000000"/>
        </w:rPr>
        <w:t xml:space="preserve">” </w:t>
      </w:r>
      <w:r>
        <w:rPr>
          <w:rFonts w:ascii="Times New Roman;serif" w:hAnsi="Times New Roman;serif"/>
          <w:b w:val="false"/>
          <w:color w:val="000000"/>
          <w:sz w:val="22"/>
        </w:rPr>
        <w:t>means the primary acquisition documents governing the acquisition of any of the Existing Portfolio Companies.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Facility Termination Date</w:t>
      </w:r>
      <w:r>
        <w:rPr>
          <w:color w:val="000000"/>
        </w:rPr>
        <w:t xml:space="preserve">” </w:t>
      </w:r>
      <w:r>
        <w:rPr>
          <w:rFonts w:ascii="Times New Roman;serif" w:hAnsi="Times New Roman;serif"/>
          <w:b w:val="false"/>
          <w:color w:val="000000"/>
          <w:sz w:val="22"/>
        </w:rPr>
        <w:t xml:space="preserve">means the date as of which all of the following shall have occurred: (a) all Commitments have terminated, (b) all Obligations arising under the Loan Documents have been paid in full (other than contingent indemnification obligations), and (c) all Letters of Credit have terminated or expired (other than Letters of Credit that have been Cash Collateralized).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FASB ASC</w:t>
      </w:r>
      <w:r>
        <w:rPr>
          <w:color w:val="000000"/>
        </w:rPr>
        <w:t xml:space="preserve">” </w:t>
      </w:r>
      <w:r>
        <w:rPr>
          <w:rFonts w:ascii="Times New Roman;serif" w:hAnsi="Times New Roman;serif"/>
          <w:b w:val="false"/>
          <w:color w:val="000000"/>
          <w:sz w:val="22"/>
        </w:rPr>
        <w:t>means the Accounting Standards Codification of the Financial Accounting Standards Board.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FATCA</w:t>
      </w:r>
      <w:r>
        <w:rPr>
          <w:color w:val="000000"/>
        </w:rPr>
        <w:t xml:space="preserve">” </w:t>
      </w:r>
      <w:r>
        <w:rPr>
          <w:rFonts w:ascii="Times New Roman;serif" w:hAnsi="Times New Roman;serif"/>
          <w:b w:val="false"/>
          <w:color w:val="000000"/>
          <w:sz w:val="22"/>
        </w:rPr>
        <w:t>means Sections 1471 through 1474 of the Internal Revenue Code, as of the Closing Date (or any amended or successor version that is substantively comparable and not materially more onerous to comply with), any current or future regulations or official interpretations thereof and any agreements entered into pursuant to Section 1471(b)(1) of the Internal Revenue Code.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Federal Funds Rate</w:t>
      </w:r>
      <w:r>
        <w:rPr>
          <w:color w:val="000000"/>
        </w:rPr>
        <w:t xml:space="preserve">” </w:t>
      </w:r>
      <w:r>
        <w:rPr>
          <w:rFonts w:ascii="Times New Roman;serif" w:hAnsi="Times New Roman;serif"/>
          <w:b w:val="false"/>
          <w:color w:val="000000"/>
          <w:sz w:val="22"/>
        </w:rPr>
        <w:t xml:space="preserve">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if such day is not a Business Day, the Federal Funds Rate for such day shall be such rate on such transactions on the next preceding Business Day as so published on the next succeeding Business Day,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 and (c) if the Federal Funds Rate shall be less than zero, such rate shall be deemed zero for purposes of this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Fee Letter</w:t>
      </w:r>
      <w:r>
        <w:rPr>
          <w:color w:val="000000"/>
        </w:rPr>
        <w:t xml:space="preserve">” </w:t>
      </w:r>
      <w:r>
        <w:rPr>
          <w:rFonts w:ascii="Times New Roman;serif" w:hAnsi="Times New Roman;serif"/>
          <w:b w:val="false"/>
          <w:color w:val="000000"/>
          <w:sz w:val="22"/>
        </w:rPr>
        <w:t>means the letter agreement dated June 15, 2022 among the Borrower, BofA Securities, and Bank of America.</w:t>
      </w:r>
    </w:p>
    <w:p>
      <w:pPr>
        <w:pStyle w:val="TextBody"/>
        <w:bidi w:val="0"/>
        <w:spacing w:lineRule="auto" w:line="288" w:before="240" w:after="283"/>
        <w:ind w:left="0" w:right="0" w:firstLine="720"/>
        <w:jc w:val="both"/>
        <w:rPr>
          <w:color w:val="000000"/>
          <w:u w:val="single"/>
        </w:rPr>
      </w:pPr>
      <w:r>
        <w:rPr>
          <w:color w:val="000000"/>
          <w:u w:val="single"/>
        </w:rPr>
        <w:t>“</w:t>
      </w:r>
      <w:r>
        <w:rPr>
          <w:rFonts w:ascii="Times New Roman;serif" w:hAnsi="Times New Roman;serif"/>
          <w:b w:val="false"/>
          <w:color w:val="000000"/>
          <w:sz w:val="22"/>
          <w:u w:val="single"/>
        </w:rPr>
        <w:t>Fifth Amendment Effective Date” means December 19, 2025.</w:t>
      </w:r>
    </w:p>
    <w:p>
      <w:pPr>
        <w:pStyle w:val="TextBody"/>
        <w:bidi w:val="0"/>
        <w:spacing w:lineRule="auto" w:line="288" w:before="240" w:after="283"/>
        <w:ind w:left="0" w:right="0" w:firstLine="720"/>
        <w:jc w:val="both"/>
        <w:rPr>
          <w:color w:val="000000"/>
          <w:u w:val="single"/>
        </w:rPr>
      </w:pPr>
      <w:r>
        <w:rPr>
          <w:color w:val="000000"/>
          <w:u w:val="single"/>
        </w:rPr>
        <w:t>“</w:t>
      </w:r>
      <w:r>
        <w:rPr>
          <w:rFonts w:ascii="Times New Roman;serif" w:hAnsi="Times New Roman;serif"/>
          <w:b w:val="false"/>
          <w:color w:val="000000"/>
          <w:sz w:val="22"/>
          <w:u w:val="single"/>
        </w:rPr>
        <w:t>Fifth Amendment Transaction Letter” means the letter agreement dated as of the Fifth Amendment Effective Date among the Borrower, the Administrative Agent, and the Lenders.</w:t>
      </w:r>
    </w:p>
    <w:p>
      <w:pPr>
        <w:pStyle w:val="TextBody"/>
        <w:bidi w:val="0"/>
        <w:spacing w:lineRule="auto" w:line="288" w:before="300" w:after="283"/>
        <w:ind w:left="0" w:right="0" w:firstLine="720"/>
        <w:jc w:val="both"/>
        <w:rPr/>
      </w:pPr>
      <w:r>
        <w:rPr>
          <w:color w:val="000000"/>
        </w:rPr>
        <w:t>“</w:t>
      </w:r>
      <w:r>
        <w:rPr>
          <w:rFonts w:ascii="Times New Roman;serif" w:hAnsi="Times New Roman;serif"/>
          <w:b w:val="false"/>
          <w:color w:val="000000"/>
          <w:sz w:val="22"/>
          <w:u w:val="single"/>
        </w:rPr>
        <w:t>First Incremental Facility Amendment</w:t>
      </w:r>
      <w:r>
        <w:rPr>
          <w:color w:val="000000"/>
        </w:rPr>
        <w:t xml:space="preserve">” </w:t>
      </w:r>
      <w:r>
        <w:rPr>
          <w:rFonts w:ascii="Times New Roman;serif" w:hAnsi="Times New Roman;serif"/>
          <w:b w:val="false"/>
          <w:color w:val="000000"/>
          <w:sz w:val="22"/>
        </w:rPr>
        <w:t xml:space="preserve">means that certain First Incremental Facility Amendment dated as of the First Incremental Facility Amendment Effective Date by and among the Borrower, the Lenders party thereto and the Administrative Agent. </w:t>
      </w:r>
    </w:p>
    <w:p>
      <w:pPr>
        <w:pStyle w:val="TextBody"/>
        <w:bidi w:val="0"/>
        <w:spacing w:lineRule="auto" w:line="288" w:before="300" w:after="283"/>
        <w:ind w:left="0" w:right="0" w:firstLine="720"/>
        <w:jc w:val="both"/>
        <w:rPr/>
      </w:pPr>
      <w:r>
        <w:rPr>
          <w:color w:val="000000"/>
        </w:rPr>
        <w:t>“</w:t>
      </w:r>
      <w:r>
        <w:rPr>
          <w:rFonts w:ascii="Times New Roman;serif" w:hAnsi="Times New Roman;serif"/>
          <w:b w:val="false"/>
          <w:color w:val="000000"/>
          <w:sz w:val="22"/>
          <w:u w:val="single"/>
        </w:rPr>
        <w:t>First Incremental Facility Amendment Effective Date</w:t>
      </w:r>
      <w:r>
        <w:rPr>
          <w:color w:val="000000"/>
        </w:rPr>
        <w:t xml:space="preserve">” </w:t>
      </w:r>
      <w:r>
        <w:rPr>
          <w:rFonts w:ascii="Times New Roman;serif" w:hAnsi="Times New Roman;serif"/>
          <w:b w:val="false"/>
          <w:color w:val="000000"/>
          <w:sz w:val="22"/>
        </w:rPr>
        <w:t>means January 9, 2025.</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Foam Fab</w:t>
      </w:r>
      <w:r>
        <w:rPr>
          <w:color w:val="000000"/>
        </w:rPr>
        <w:t xml:space="preserve">” </w:t>
      </w:r>
      <w:r>
        <w:rPr>
          <w:rFonts w:ascii="Times New Roman;serif" w:hAnsi="Times New Roman;serif"/>
          <w:b w:val="false"/>
          <w:color w:val="000000"/>
          <w:sz w:val="22"/>
        </w:rPr>
        <w:t xml:space="preserve">means FFI Compass, Inc., a Delaware corporation.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Foreign Lender</w:t>
      </w:r>
      <w:r>
        <w:rPr>
          <w:color w:val="000000"/>
        </w:rPr>
        <w:t xml:space="preserve">” </w:t>
      </w:r>
      <w:r>
        <w:rPr>
          <w:rFonts w:ascii="Times New Roman;serif" w:hAnsi="Times New Roman;serif"/>
          <w:b w:val="false"/>
          <w:color w:val="000000"/>
          <w:sz w:val="22"/>
        </w:rPr>
        <w:t>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Foreign Subsidiary</w:t>
      </w:r>
      <w:r>
        <w:rPr>
          <w:color w:val="000000"/>
        </w:rPr>
        <w:t xml:space="preserve">” </w:t>
      </w:r>
      <w:r>
        <w:rPr>
          <w:rFonts w:ascii="Times New Roman;serif" w:hAnsi="Times New Roman;serif"/>
          <w:b w:val="false"/>
          <w:color w:val="000000"/>
          <w:sz w:val="22"/>
        </w:rPr>
        <w:t>means any Subsidiary that is not a Domestic Subsidiary.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u w:val="single"/>
        </w:rPr>
        <w:t>“</w:t>
      </w:r>
      <w:r>
        <w:rPr>
          <w:rFonts w:ascii="Times New Roman;serif" w:hAnsi="Times New Roman;serif"/>
          <w:b w:val="false"/>
          <w:color w:val="000000"/>
          <w:sz w:val="22"/>
          <w:u w:val="single"/>
        </w:rPr>
        <w:t>Fourth Amendment”</w:t>
      </w:r>
      <w:r>
        <w:rPr>
          <w:color w:val="000000"/>
        </w:rPr>
        <w:t xml:space="preserve"> </w:t>
      </w:r>
      <w:r>
        <w:rPr>
          <w:rFonts w:ascii="Times New Roman;serif" w:hAnsi="Times New Roman;serif"/>
          <w:b w:val="false"/>
          <w:color w:val="000000"/>
          <w:sz w:val="22"/>
        </w:rPr>
        <w:t>means that certain Fourth Forbearance Agreement and Fourth Amendment to Credit Agreement dated as of the Fourth Amendment Effective Date, by and among the Borrower, the Lenders, the Administrative Agent and the L/C Issuer.</w:t>
      </w:r>
    </w:p>
    <w:p>
      <w:pPr>
        <w:pStyle w:val="TextBody"/>
        <w:bidi w:val="0"/>
        <w:spacing w:lineRule="auto" w:line="288" w:before="180" w:after="283"/>
        <w:jc w:val="left"/>
        <w:rPr/>
      </w:pPr>
      <w:r>
        <w:rPr>
          <w:color w:val="000000"/>
        </w:rPr>
        <w:t>    </w:t>
      </w:r>
      <w:r>
        <w:rPr>
          <w:color w:val="000000"/>
          <w:u w:val="single"/>
        </w:rPr>
        <w:t>“</w:t>
      </w:r>
      <w:r>
        <w:rPr>
          <w:rFonts w:ascii="Times New Roman;serif" w:hAnsi="Times New Roman;serif"/>
          <w:b w:val="false"/>
          <w:color w:val="000000"/>
          <w:sz w:val="22"/>
          <w:u w:val="single"/>
        </w:rPr>
        <w:t>Fourth Amendment Effective Date”</w:t>
      </w:r>
      <w:r>
        <w:rPr>
          <w:color w:val="000000"/>
        </w:rPr>
        <w:t xml:space="preserve"> </w:t>
      </w:r>
      <w:r>
        <w:rPr>
          <w:rFonts w:ascii="Times New Roman;serif" w:hAnsi="Times New Roman;serif"/>
          <w:b w:val="false"/>
          <w:color w:val="000000"/>
          <w:sz w:val="22"/>
        </w:rPr>
        <w:t>m</w:t>
      </w:r>
      <w:r>
        <w:rPr>
          <w:rFonts w:ascii="Times New Roman;serif" w:hAnsi="Times New Roman;serif"/>
          <w:b w:val="false"/>
          <w:color w:val="000000"/>
          <w:sz w:val="22"/>
          <w:u w:val="single"/>
        </w:rPr>
        <w:t>eans November 7, 2025.</w:t>
      </w:r>
      <w:r>
        <w:rPr>
          <w:color w:val="000000"/>
          <w:u w:val="single"/>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FRB</w:t>
      </w:r>
      <w:r>
        <w:rPr>
          <w:color w:val="000000"/>
        </w:rPr>
        <w:t xml:space="preserve">” </w:t>
      </w:r>
      <w:r>
        <w:rPr>
          <w:rFonts w:ascii="Times New Roman;serif" w:hAnsi="Times New Roman;serif"/>
          <w:b w:val="false"/>
          <w:color w:val="000000"/>
          <w:sz w:val="22"/>
        </w:rPr>
        <w:t>means the Board of Governors of the Federal Reserve System of the United States.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Fronting Exposure</w:t>
      </w:r>
      <w:r>
        <w:rPr>
          <w:color w:val="000000"/>
        </w:rPr>
        <w:t xml:space="preserve">” </w:t>
      </w:r>
      <w:r>
        <w:rPr>
          <w:rFonts w:ascii="Times New Roman;serif" w:hAnsi="Times New Roman;serif"/>
          <w:b w:val="false"/>
          <w:color w:val="000000"/>
          <w:sz w:val="22"/>
        </w:rPr>
        <w:t>means, at any time there is a Defaulting Lender, (a) with respect to the L/C Issuer, such Defaulting Lender’s Applicable Percentage (with respect to the Revolving Facility)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(with respect to the Revolving Facility) of Swing Line Loans other than Swing Line Loans as to which such Defaulting Lender’s participation obligation has been reallocated to other Lenders in accordance with the terms hereof.</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Fund</w:t>
      </w:r>
      <w:r>
        <w:rPr>
          <w:color w:val="000000"/>
        </w:rPr>
        <w:t xml:space="preserve">” </w:t>
      </w:r>
      <w:r>
        <w:rPr>
          <w:rFonts w:ascii="Times New Roman;serif" w:hAnsi="Times New Roman;serif"/>
          <w:b w:val="false"/>
          <w:color w:val="000000"/>
          <w:sz w:val="22"/>
        </w:rPr>
        <w:t>means any Person (other than a natural Person) that is (or will be) engaged in making, purchasing, holding or otherwise investing in commercial loans and similar extensions of credit in the ordinary course of its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Funded Indebtedness</w:t>
      </w:r>
      <w:r>
        <w:rPr>
          <w:color w:val="000000"/>
        </w:rPr>
        <w:t xml:space="preserve">” </w:t>
      </w:r>
      <w:r>
        <w:rPr>
          <w:rFonts w:ascii="Times New Roman;serif" w:hAnsi="Times New Roman;serif"/>
          <w:b w:val="false"/>
          <w:color w:val="000000"/>
          <w:sz w:val="22"/>
        </w:rPr>
        <w:t>means, as to any Person as of any date of determination, all Indebtedness of such Person other than Indebtedness described in paragraphs (f) and (g) of the definition of “Indebtedness” herein.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consistently applied.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Guarantee</w:t>
      </w:r>
      <w:r>
        <w:rPr>
          <w:color w:val="000000"/>
        </w:rPr>
        <w:t xml:space="preserve">” </w:t>
      </w:r>
      <w:r>
        <w:rPr>
          <w:rFonts w:ascii="Times New Roman;serif" w:hAnsi="Times New Roman;serif"/>
          <w:b w:val="false"/>
          <w:color w:val="000000"/>
          <w:sz w:val="22"/>
        </w:rPr>
        <w:t xml:space="preserve">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Hazardous Materials</w:t>
      </w:r>
      <w:r>
        <w:rPr>
          <w:color w:val="000000"/>
        </w:rPr>
        <w:t xml:space="preserve">” </w:t>
      </w:r>
      <w:r>
        <w:rPr>
          <w:rFonts w:ascii="Times New Roman;serif" w:hAnsi="Times New Roman;serif"/>
          <w:b w:val="false"/>
          <w:color w:val="000000"/>
          <w:sz w:val="22"/>
        </w:rPr>
        <w:t>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Hedge Bank</w:t>
      </w:r>
      <w:r>
        <w:rPr>
          <w:color w:val="000000"/>
        </w:rPr>
        <w:t xml:space="preserve">” </w:t>
      </w:r>
      <w:r>
        <w:rPr>
          <w:rFonts w:ascii="Times New Roman;serif" w:hAnsi="Times New Roman;serif"/>
          <w:b w:val="false"/>
          <w:color w:val="000000"/>
          <w:sz w:val="22"/>
        </w:rPr>
        <w:t xml:space="preserve">means any Person in its capacity as a party to a Swap Contract with the Borrower or any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at the time such Person enters into such Swap Contract, such Person is a Lender or an Affiliate of a Lender or (b) such Swap Contract exists on the Closing Date and such Person is a Lender or an Affiliate of a Lender on the Closing Date or within thirty (30) days thereafter.</w:t>
      </w:r>
    </w:p>
    <w:p>
      <w:pPr>
        <w:pStyle w:val="TextBody"/>
        <w:bidi w:val="0"/>
        <w:spacing w:lineRule="auto" w:line="288" w:before="240" w:after="283"/>
        <w:ind w:left="0" w:right="0" w:firstLine="720"/>
        <w:jc w:val="both"/>
        <w:rPr/>
      </w:pPr>
      <w:r>
        <w:rPr>
          <w:color w:val="000000"/>
        </w:rPr>
        <w:t>“</w:t>
      </w:r>
      <w:r>
        <w:rPr>
          <w:rFonts w:ascii="Times New Roman;serif" w:hAnsi="Times New Roman;serif"/>
          <w:b w:val="false"/>
          <w:color w:val="000000"/>
          <w:sz w:val="22"/>
          <w:u w:val="single"/>
        </w:rPr>
        <w:t>Honey Pot</w:t>
      </w:r>
      <w:r>
        <w:rPr>
          <w:color w:val="000000"/>
        </w:rPr>
        <w:t xml:space="preserve">” </w:t>
      </w:r>
      <w:r>
        <w:rPr>
          <w:rFonts w:ascii="Times New Roman;serif" w:hAnsi="Times New Roman;serif"/>
          <w:b w:val="false"/>
          <w:color w:val="000000"/>
          <w:sz w:val="22"/>
        </w:rPr>
        <w:t>means THP Topco, Inc., a Delaware corporation.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Honor Date</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2.03(c)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2"/>
          <w:u w:val="single"/>
        </w:rPr>
        <w:t>IFRS</w:t>
      </w:r>
      <w:r>
        <w:rPr>
          <w:color w:val="000000"/>
        </w:rPr>
        <w:t xml:space="preserve">” </w:t>
      </w:r>
      <w:r>
        <w:rPr>
          <w:rFonts w:ascii="Times New Roman;serif" w:hAnsi="Times New Roman;serif"/>
          <w:b w:val="false"/>
          <w:color w:val="000000"/>
          <w:sz w:val="22"/>
        </w:rPr>
        <w:t>means international accounting standards within the meaning of IAS Regulation 1606/2002 to the extent applicable to the relevant financial statements delivered under or referred to herein.</w:t>
      </w:r>
    </w:p>
    <w:p>
      <w:pPr>
        <w:pStyle w:val="TextBody"/>
        <w:bidi w:val="0"/>
        <w:spacing w:lineRule="auto" w:line="288" w:before="240" w:after="283"/>
        <w:ind w:left="0" w:right="0" w:firstLine="720"/>
        <w:jc w:val="both"/>
        <w:rPr/>
      </w:pPr>
      <w:r>
        <w:rPr>
          <w:strike/>
          <w:color w:val="FF0000"/>
        </w:rPr>
        <w:t>“</w:t>
      </w:r>
      <w:r>
        <w:rPr>
          <w:rFonts w:ascii="Times New Roman;serif" w:hAnsi="Times New Roman;serif"/>
          <w:b w:val="false"/>
          <w:strike/>
          <w:color w:val="FF0000"/>
          <w:sz w:val="22"/>
          <w:u w:val="single"/>
        </w:rPr>
        <w:t>Incremental DDTL Availability Period</w:t>
      </w:r>
      <w:r>
        <w:rPr>
          <w:strike/>
          <w:color w:val="FF0000"/>
        </w:rPr>
        <w:t xml:space="preserve">” </w:t>
      </w:r>
      <w:r>
        <w:rPr>
          <w:rFonts w:ascii="Times New Roman;serif" w:hAnsi="Times New Roman;serif"/>
          <w:b w:val="false"/>
          <w:strike/>
          <w:color w:val="FF0000"/>
          <w:sz w:val="22"/>
        </w:rPr>
        <w:t xml:space="preserve">means the period commencing on January 9, 2025 and ending on the Second Amendment Effective Date. </w:t>
      </w:r>
    </w:p>
    <w:p>
      <w:pPr>
        <w:pStyle w:val="TextBody"/>
        <w:bidi w:val="0"/>
        <w:spacing w:lineRule="auto" w:line="288" w:before="240" w:after="283"/>
        <w:ind w:left="0" w:right="0" w:firstLine="720"/>
        <w:jc w:val="left"/>
        <w:rPr/>
      </w:pPr>
      <w:r>
        <w:rPr>
          <w:strike/>
          <w:color w:val="FF0000"/>
        </w:rPr>
        <w:t>“</w:t>
      </w:r>
      <w:r>
        <w:rPr>
          <w:rFonts w:ascii="Times New Roman;serif" w:hAnsi="Times New Roman;serif"/>
          <w:b w:val="false"/>
          <w:strike/>
          <w:color w:val="FF0000"/>
          <w:sz w:val="22"/>
          <w:u w:val="single"/>
        </w:rPr>
        <w:t>Incremental DDTL Commitment Fee</w:t>
      </w:r>
      <w:r>
        <w:rPr>
          <w:strike/>
          <w:color w:val="008000"/>
        </w:rPr>
        <w:t xml:space="preserve">” </w:t>
      </w:r>
      <w:r>
        <w:rPr>
          <w:rFonts w:ascii="Times New Roman;serif" w:hAnsi="Times New Roman;serif"/>
          <w:b w:val="false"/>
          <w:strike/>
          <w:color w:val="008000"/>
          <w:sz w:val="22"/>
        </w:rPr>
        <w:t xml:space="preserve">has the meaning specified in </w:t>
      </w:r>
      <w:r>
        <w:rPr>
          <w:rFonts w:ascii="Times New Roman;serif" w:hAnsi="Times New Roman;serif"/>
          <w:b w:val="false"/>
          <w:strike/>
          <w:color w:val="FF0000"/>
          <w:sz w:val="22"/>
          <w:u w:val="single"/>
        </w:rPr>
        <w:t>Section 2.09(c)</w:t>
      </w:r>
      <w:r>
        <w:rPr>
          <w:rFonts w:ascii="Times New Roman;serif" w:hAnsi="Times New Roman;serif"/>
          <w:b w:val="false"/>
          <w:strike/>
          <w:color w:val="FF0000"/>
          <w:sz w:val="22"/>
        </w:rPr>
        <w:t>.</w:t>
      </w:r>
      <w:r>
        <w:rPr>
          <w:color w:val="000000"/>
        </w:rPr>
        <w:t xml:space="preserve">     </w:t>
      </w:r>
    </w:p>
    <w:p>
      <w:pPr>
        <w:pStyle w:val="TextBody"/>
        <w:bidi w:val="0"/>
        <w:spacing w:lineRule="auto" w:line="288" w:before="240" w:after="283"/>
        <w:ind w:left="0" w:right="0" w:firstLine="720"/>
        <w:jc w:val="left"/>
        <w:rPr/>
      </w:pPr>
      <w:r>
        <w:rPr>
          <w:strike/>
          <w:color w:val="FF0000"/>
        </w:rPr>
        <w:t>“</w:t>
      </w:r>
      <w:r>
        <w:rPr>
          <w:rFonts w:ascii="Times New Roman;serif" w:hAnsi="Times New Roman;serif"/>
          <w:b w:val="false"/>
          <w:strike/>
          <w:color w:val="FF0000"/>
          <w:sz w:val="22"/>
          <w:u w:val="single"/>
        </w:rPr>
        <w:t>Incremental Delayed Draw Term Loan Commitment</w:t>
      </w:r>
      <w:r>
        <w:rPr>
          <w:strike/>
          <w:color w:val="FF0000"/>
        </w:rPr>
        <w:t xml:space="preserve">” </w:t>
      </w:r>
      <w:r>
        <w:rPr>
          <w:rFonts w:ascii="Times New Roman;serif" w:hAnsi="Times New Roman;serif"/>
          <w:b w:val="false"/>
          <w:strike/>
          <w:color w:val="FF0000"/>
          <w:sz w:val="22"/>
        </w:rPr>
        <w:t xml:space="preserve">means, as to each applicable Lender, its obligation to make a portion of the Incremental Delayed Draw Term Loan during the Incremental DDTL Availability Period to the Borrower pursuant to </w:t>
      </w:r>
      <w:r>
        <w:rPr>
          <w:rFonts w:ascii="Times New Roman;serif" w:hAnsi="Times New Roman;serif"/>
          <w:b w:val="false"/>
          <w:strike/>
          <w:color w:val="FF0000"/>
          <w:sz w:val="22"/>
          <w:u w:val="single"/>
        </w:rPr>
        <w:t>Section 2.01(b)(ii)</w:t>
      </w:r>
      <w:r>
        <w:rPr>
          <w:strike/>
          <w:color w:val="FF0000"/>
        </w:rPr>
        <w:t xml:space="preserve"> </w:t>
      </w:r>
      <w:r>
        <w:rPr>
          <w:rFonts w:ascii="Times New Roman;serif" w:hAnsi="Times New Roman;serif"/>
          <w:b w:val="false"/>
          <w:strike/>
          <w:color w:val="FF0000"/>
          <w:sz w:val="22"/>
        </w:rPr>
        <w:t xml:space="preserve">hereunder, in an aggregate principal amount at any one time outstanding not to exceed the amount set forth opposite such Lender’s name on </w:t>
      </w:r>
      <w:r>
        <w:rPr>
          <w:rFonts w:ascii="Times New Roman;serif" w:hAnsi="Times New Roman;serif"/>
          <w:b w:val="false"/>
          <w:strike/>
          <w:color w:val="FF0000"/>
          <w:sz w:val="22"/>
          <w:u w:val="single"/>
        </w:rPr>
        <w:t>Schedule 1</w:t>
      </w:r>
      <w:r>
        <w:rPr>
          <w:strike/>
          <w:color w:val="FF0000"/>
        </w:rPr>
        <w:t xml:space="preserve"> </w:t>
      </w:r>
      <w:r>
        <w:rPr>
          <w:rFonts w:ascii="Times New Roman;serif" w:hAnsi="Times New Roman;serif"/>
          <w:b w:val="false"/>
          <w:strike/>
          <w:color w:val="FF0000"/>
          <w:sz w:val="22"/>
        </w:rPr>
        <w:t xml:space="preserve">to </w:t>
      </w:r>
      <w:r>
        <w:rPr>
          <w:rFonts w:ascii="Times New Roman;serif" w:hAnsi="Times New Roman;serif"/>
          <w:b w:val="false"/>
          <w:strike/>
          <w:color w:val="008000"/>
          <w:sz w:val="22"/>
        </w:rPr>
        <w:t xml:space="preserve">the First Incremental Facility Amendment </w:t>
      </w:r>
      <w:r>
        <w:rPr>
          <w:rFonts w:ascii="Times New Roman;serif" w:hAnsi="Times New Roman;serif"/>
          <w:b w:val="false"/>
          <w:strike/>
          <w:color w:val="FF0000"/>
          <w:sz w:val="22"/>
        </w:rPr>
        <w:t>under the caption “Incremental Delayed Draw Term Loan Commitment” or in the Assignment and Assumption or other documentation pursuant to which such Lender becomes a party hereto, as applicable, as such amount may be adjusted from time to time in accordance with this Agreement. The Incremental Delayed Draw Term Loan Commitment of all the Lenders as of January 9, 2025 shall be $100,000,000.</w:t>
      </w:r>
      <w:r>
        <w:rPr>
          <w:color w:val="000000"/>
        </w:rPr>
        <w:t xml:space="preserve"> </w:t>
      </w:r>
    </w:p>
    <w:p>
      <w:pPr>
        <w:pStyle w:val="TextBody"/>
        <w:bidi w:val="0"/>
        <w:spacing w:lineRule="auto" w:line="288" w:before="240" w:after="283"/>
        <w:ind w:left="0" w:right="0" w:firstLine="720"/>
        <w:jc w:val="left"/>
        <w:rPr/>
      </w:pPr>
      <w:r>
        <w:rPr>
          <w:strike/>
          <w:color w:val="FF0000"/>
        </w:rPr>
        <w:t>“</w:t>
      </w:r>
      <w:r>
        <w:rPr>
          <w:rFonts w:ascii="Times New Roman;serif" w:hAnsi="Times New Roman;serif"/>
          <w:b w:val="false"/>
          <w:strike/>
          <w:color w:val="FF0000"/>
          <w:sz w:val="22"/>
          <w:u w:val="single"/>
        </w:rPr>
        <w:t>Incremental Delayed Draw Term Loan</w:t>
      </w:r>
      <w:r>
        <w:rPr>
          <w:strike/>
          <w:color w:val="FF0000"/>
        </w:rPr>
        <w:t xml:space="preserve">” </w:t>
      </w:r>
      <w:r>
        <w:rPr>
          <w:rFonts w:ascii="Times New Roman;serif" w:hAnsi="Times New Roman;serif"/>
          <w:b w:val="false"/>
          <w:strike/>
          <w:color w:val="FF0000"/>
          <w:sz w:val="22"/>
        </w:rPr>
        <w:t xml:space="preserve">has the meaning specified in </w:t>
      </w:r>
      <w:r>
        <w:rPr>
          <w:rFonts w:ascii="Times New Roman;serif" w:hAnsi="Times New Roman;serif"/>
          <w:b w:val="false"/>
          <w:strike/>
          <w:color w:val="FF0000"/>
          <w:sz w:val="22"/>
          <w:u w:val="single"/>
        </w:rPr>
        <w:t>Section 2.01(b)(ii)</w:t>
      </w:r>
      <w:r>
        <w:rPr>
          <w:rFonts w:ascii="Times New Roman;serif" w:hAnsi="Times New Roman;serif"/>
          <w:b w:val="false"/>
          <w:strike/>
          <w:color w:val="FF0000"/>
          <w:sz w:val="22"/>
        </w:rPr>
        <w:t>.</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Incremental Facilities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Incremental Facility Amendment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Incremental Facility Commitment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Incremental Revolving Increase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Incremental Term Facility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2.01(c)</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means, as to any Person at a particular time, without duplication, all of the following, whether or not included as indebtedness or liabilities in accordance with GAAP:</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all obligations, whether current or long-term, for borrowed money (including Obligations hereunder) and all obligations evidenced by bonds, debentures, notes, loan agreements or other similar instruments;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all purchase money indebtedness;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maximum amount available to be drawn under letters of credit (including standby and commercial), bankers’ acceptances, bank guaranties, surety bonds and similar instruments;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all obligations in respect of the deferred purchase price of property or services (other than trade accounts payable in the ordinary course of business), including any Earn Out Obligations;</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all Attributable Indebtedness;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the Swap Termination Value of any Swap Contract;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pStyle w:val="TextBody"/>
        <w:bidi w:val="0"/>
        <w:spacing w:lineRule="auto" w:line="288" w:before="18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all obligations to purchase, redeem, retire, defease or otherwise make any payment prior to the Maturity Date in respect of any Equity Interests or any warrant, right or option to acquire such Equity Interests, valued, in the case of a redeemable preferred interest, at the greater of its voluntary or involuntary liquidation preference plus accrued and unpaid dividends;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without duplication, all Guarantees in respect of any of the foregoing;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(j) all Indebtedness of the types referred to in clauses (a) through (i) above of any partnership or joint venture (other than a joint venture that is itself a corporation or limited liability company) in which such Person is a general partner or a joint venturer, except to the extent that such Indebtedness is expressly made non-recourse to such Person. </w:t>
      </w:r>
    </w:p>
    <w:p>
      <w:pPr>
        <w:pStyle w:val="TextBody"/>
        <w:bidi w:val="0"/>
        <w:spacing w:lineRule="auto" w:line="288" w:before="120" w:after="283"/>
        <w:ind w:left="0" w:right="0" w:firstLine="720"/>
        <w:jc w:val="both"/>
        <w:rPr/>
      </w:pPr>
      <w:r>
        <w:rPr>
          <w:color w:val="000000"/>
        </w:rPr>
        <w:t>“</w:t>
      </w:r>
      <w:r>
        <w:rPr>
          <w:rFonts w:ascii="Times New Roman;serif" w:hAnsi="Times New Roman;serif"/>
          <w:b w:val="false"/>
          <w:color w:val="000000"/>
          <w:sz w:val="22"/>
          <w:u w:val="single"/>
        </w:rPr>
        <w:t>Indemnified Taxes</w:t>
      </w:r>
      <w:r>
        <w:rPr>
          <w:color w:val="000000"/>
        </w:rPr>
        <w:t xml:space="preserve">” </w:t>
      </w:r>
      <w:r>
        <w:rPr>
          <w:rFonts w:ascii="Times New Roman;serif" w:hAnsi="Times New Roman;serif"/>
          <w:b w:val="false"/>
          <w:color w:val="000000"/>
          <w:sz w:val="22"/>
        </w:rPr>
        <w:t>means (a) Taxes, other than Excluded Taxes, imposed on or with respect to any payment made by or on account of any obligation of the Borrower under any Loan Document and (b) to the extent not otherwise described in clause (a), Other Taxes.</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Indemnitee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10.04(b)</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Information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10.07</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Integration Services Fees</w:t>
      </w:r>
      <w:r>
        <w:rPr>
          <w:color w:val="000000"/>
        </w:rPr>
        <w:t xml:space="preserve">” </w:t>
      </w:r>
      <w:r>
        <w:rPr>
          <w:rFonts w:ascii="Times New Roman;serif" w:hAnsi="Times New Roman;serif"/>
          <w:b w:val="false"/>
          <w:color w:val="000000"/>
          <w:sz w:val="22"/>
        </w:rPr>
        <w:t>means fees payable by a Portfolio Company or an Outside Company to the Manager (or an Affiliate of the Manager) in connection with (a) an Acquisition or sale of such Portfolio Company or Outside Company that is permitted hereunder or (b) the consummation of an add-on Acquisition by such Portfolio Company or Outside Company that is permitted hereunder, in each case to the extent such fees are paid within 12 months of the applicable Acquisition or sale.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Intercompany Debt</w:t>
      </w:r>
      <w:r>
        <w:rPr>
          <w:color w:val="000000"/>
        </w:rPr>
        <w:t xml:space="preserve">” </w:t>
      </w:r>
      <w:r>
        <w:rPr>
          <w:rFonts w:ascii="Times New Roman;serif" w:hAnsi="Times New Roman;serif"/>
          <w:b w:val="false"/>
          <w:color w:val="000000"/>
          <w:sz w:val="22"/>
        </w:rPr>
        <w:t>means Indebtedness owing by a Portfolio Company or a Subsidiary Outside Company to the Borrower.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Intercompany Debt Document</w:t>
      </w:r>
      <w:r>
        <w:rPr>
          <w:color w:val="000000"/>
        </w:rPr>
        <w:t xml:space="preserve">” </w:t>
      </w:r>
      <w:r>
        <w:rPr>
          <w:rFonts w:ascii="Times New Roman;serif" w:hAnsi="Times New Roman;serif"/>
          <w:b w:val="false"/>
          <w:color w:val="000000"/>
          <w:sz w:val="22"/>
        </w:rPr>
        <w:t xml:space="preserve">means any agreement that governs, guarantees or secures any Intercompany Debt. </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Interest Payment Date</w:t>
      </w:r>
      <w:r>
        <w:rPr>
          <w:color w:val="000000"/>
        </w:rPr>
        <w:t xml:space="preserve">” </w:t>
      </w:r>
      <w:r>
        <w:rPr>
          <w:rFonts w:ascii="Times New Roman;serif" w:hAnsi="Times New Roman;serif"/>
          <w:b w:val="false"/>
          <w:color w:val="000000"/>
          <w:sz w:val="22"/>
        </w:rPr>
        <w:t>means (a) as to any Term SOFR Loan, the last day of each Interest Period applicable to such Loan and the Maturity Date</w:t>
      </w:r>
      <w:r>
        <w:rPr>
          <w:color w:val="0000FF"/>
          <w:u w:val="single"/>
        </w:rPr>
        <w:t xml:space="preserve"> </w:t>
      </w:r>
      <w:r>
        <w:rPr>
          <w:rFonts w:ascii="Times New Roman;serif" w:hAnsi="Times New Roman;serif"/>
          <w:b w:val="false"/>
          <w:color w:val="0000FF"/>
          <w:sz w:val="22"/>
          <w:u w:val="single"/>
        </w:rPr>
        <w:t>for such Loan</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any Interest Period for a Term SOFR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w:t>
      </w:r>
      <w:r>
        <w:rPr>
          <w:color w:val="0000FF"/>
          <w:u w:val="single"/>
        </w:rPr>
        <w:t xml:space="preserve"> </w:t>
      </w:r>
      <w:r>
        <w:rPr>
          <w:rFonts w:ascii="Times New Roman;serif" w:hAnsi="Times New Roman;serif"/>
          <w:b w:val="false"/>
          <w:color w:val="0000FF"/>
          <w:sz w:val="22"/>
          <w:u w:val="single"/>
        </w:rPr>
        <w:t>for such Loan</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Interest Period</w:t>
      </w:r>
      <w:r>
        <w:rPr>
          <w:color w:val="000000"/>
        </w:rPr>
        <w:t xml:space="preserve">” </w:t>
      </w:r>
      <w:r>
        <w:rPr>
          <w:rFonts w:ascii="Times New Roman;serif" w:hAnsi="Times New Roman;serif"/>
          <w:b w:val="false"/>
          <w:color w:val="000000"/>
          <w:sz w:val="22"/>
        </w:rPr>
        <w:t xml:space="preserve">means, as to each Term SOFR Loan, the period commencing on the date such Term SOFR Loan is disbursed or converted to or continued as a Term SOFR Loan and ending on the date one, three or six months thereafter (in each case, subject to availability), as selected by the Borrower in its Loan Notice;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88" w:before="120" w:after="283"/>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lineRule="auto" w:line="268" w:before="0" w:after="0"/>
        <w:ind w:left="0" w:right="0" w:firstLine="1440"/>
        <w:jc w:val="left"/>
        <w:rPr/>
      </w:pPr>
      <w:r>
        <w:rPr>
          <w:rFonts w:ascii="Times New Roman;serif" w:hAnsi="Times New Roman;serif"/>
          <w:b w:val="false"/>
          <w:color w:val="000000"/>
          <w:sz w:val="22"/>
        </w:rPr>
        <w:t xml:space="preserve">(c) no Interest Period </w:t>
      </w:r>
      <w:r>
        <w:rPr>
          <w:rFonts w:ascii="Times New Roman;serif" w:hAnsi="Times New Roman;serif"/>
          <w:b w:val="false"/>
          <w:color w:val="0000FF"/>
          <w:sz w:val="22"/>
          <w:u w:val="single"/>
        </w:rPr>
        <w:t xml:space="preserve">for any Loan </w:t>
      </w:r>
      <w:r>
        <w:rPr>
          <w:rFonts w:ascii="Times New Roman;serif" w:hAnsi="Times New Roman;serif"/>
          <w:b w:val="false"/>
          <w:color w:val="000000"/>
          <w:sz w:val="22"/>
        </w:rPr>
        <w:t>shall extend beyond the Maturity Date</w:t>
      </w:r>
      <w:r>
        <w:rPr>
          <w:color w:val="0000FF"/>
          <w:u w:val="single"/>
        </w:rPr>
        <w:t xml:space="preserve"> </w:t>
      </w:r>
      <w:r>
        <w:rPr>
          <w:rFonts w:ascii="Times New Roman;serif" w:hAnsi="Times New Roman;serif"/>
          <w:b w:val="false"/>
          <w:color w:val="0000FF"/>
          <w:sz w:val="22"/>
          <w:u w:val="single"/>
        </w:rPr>
        <w:t>for such Loan</w:t>
      </w:r>
      <w:r>
        <w:rPr>
          <w:rFonts w:ascii="Times New Roman;serif" w:hAnsi="Times New Roman;serif"/>
          <w:b w:val="false"/>
          <w:color w:val="000000"/>
          <w:sz w:val="22"/>
        </w:rPr>
        <w:t>.</w:t>
      </w:r>
    </w:p>
    <w:p>
      <w:pPr>
        <w:pStyle w:val="TextBody"/>
        <w:bidi w:val="0"/>
        <w:spacing w:before="0" w:after="0"/>
        <w:ind w:left="0" w:right="0" w:firstLine="144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Internal Revenue Code</w:t>
      </w:r>
      <w:r>
        <w:rPr>
          <w:color w:val="000000"/>
        </w:rPr>
        <w:t xml:space="preserve">” </w:t>
      </w:r>
      <w:r>
        <w:rPr>
          <w:rFonts w:ascii="Times New Roman;serif" w:hAnsi="Times New Roman;serif"/>
          <w:b w:val="false"/>
          <w:color w:val="000000"/>
          <w:sz w:val="22"/>
        </w:rPr>
        <w:t>means the Internal Revenue Code of 1986.</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Investment</w:t>
      </w:r>
      <w:r>
        <w:rPr>
          <w:color w:val="000000"/>
        </w:rPr>
        <w:t xml:space="preserve">” </w:t>
      </w:r>
      <w:r>
        <w:rPr>
          <w:rFonts w:ascii="Times New Roman;serif" w:hAnsi="Times New Roman;serif"/>
          <w:b w:val="false"/>
          <w:color w:val="000000"/>
          <w:sz w:val="22"/>
        </w:rPr>
        <w:t xml:space="preserve">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or (c) an Acquisition. For purposes of covenant compliance, the amount of any Investment shall be the amount actually invested, without adjustment for subsequent increases or decreases in the value of such Investment.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IP Rights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5.17</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IRS</w:t>
      </w:r>
      <w:r>
        <w:rPr>
          <w:color w:val="000000"/>
        </w:rPr>
        <w:t xml:space="preserve">” </w:t>
      </w:r>
      <w:r>
        <w:rPr>
          <w:rFonts w:ascii="Times New Roman;serif" w:hAnsi="Times New Roman;serif"/>
          <w:b w:val="false"/>
          <w:color w:val="000000"/>
          <w:sz w:val="22"/>
        </w:rPr>
        <w:t>means the United States Internal Revenue Service.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ISDA Definitions</w:t>
      </w:r>
      <w:r>
        <w:rPr>
          <w:color w:val="000000"/>
        </w:rPr>
        <w:t xml:space="preserve">” </w:t>
      </w:r>
      <w:r>
        <w:rPr>
          <w:rFonts w:ascii="Times New Roman;serif" w:hAnsi="Times New Roman;serif"/>
          <w:b w:val="false"/>
          <w:color w:val="000000"/>
          <w:sz w:val="22"/>
        </w:rPr>
        <w:t>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ISP</w:t>
      </w:r>
      <w:r>
        <w:rPr>
          <w:color w:val="000000"/>
        </w:rPr>
        <w:t xml:space="preserve">” </w:t>
      </w:r>
      <w:r>
        <w:rPr>
          <w:rFonts w:ascii="Times New Roman;serif" w:hAnsi="Times New Roman;serif"/>
          <w:b w:val="false"/>
          <w:color w:val="000000"/>
          <w:sz w:val="22"/>
        </w:rPr>
        <w:t>means the International Standby Practices, International Chamber of Commerce Publication No. 590 (or such later version thereof as may be in effect at the applicable time).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Issuer Documents</w:t>
      </w:r>
      <w:r>
        <w:rPr>
          <w:color w:val="000000"/>
        </w:rPr>
        <w:t xml:space="preserve">” </w:t>
      </w:r>
      <w:r>
        <w:rPr>
          <w:rFonts w:ascii="Times New Roman;serif" w:hAnsi="Times New Roman;serif"/>
          <w:b w:val="false"/>
          <w:color w:val="000000"/>
          <w:sz w:val="22"/>
        </w:rPr>
        <w:t>means with respect to any Letter of Credit, the Letter of Credit Application, and any other document, agreement and instrument entered into by the L/C Issuer and the Borrower (or any Subsidiary) or in favor of the L/C Issuer and relating to such Letter of Credit.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Laws</w:t>
      </w:r>
      <w:r>
        <w:rPr>
          <w:color w:val="000000"/>
        </w:rPr>
        <w:t xml:space="preserve">” </w:t>
      </w:r>
      <w:r>
        <w:rPr>
          <w:rFonts w:ascii="Times New Roman;serif" w:hAnsi="Times New Roman;serif"/>
          <w:b w:val="false"/>
          <w:color w:val="000000"/>
          <w:sz w:val="22"/>
        </w:rPr>
        <w:t>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L/C Advance</w:t>
      </w:r>
      <w:r>
        <w:rPr>
          <w:color w:val="000000"/>
        </w:rPr>
        <w:t xml:space="preserve">” </w:t>
      </w:r>
      <w:r>
        <w:rPr>
          <w:rFonts w:ascii="Times New Roman;serif" w:hAnsi="Times New Roman;serif"/>
          <w:b w:val="false"/>
          <w:color w:val="000000"/>
          <w:sz w:val="22"/>
        </w:rPr>
        <w:t>means, with respect to each Lender, such Lender’s funding of its participation in any L/C Borrowing in accordance with its Applicable Percentage (with respect to the Revolving Facility).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L/C Borrowing</w:t>
      </w:r>
      <w:r>
        <w:rPr>
          <w:color w:val="000000"/>
        </w:rPr>
        <w:t xml:space="preserve">” </w:t>
      </w:r>
      <w:r>
        <w:rPr>
          <w:rFonts w:ascii="Times New Roman;serif" w:hAnsi="Times New Roman;serif"/>
          <w:b w:val="false"/>
          <w:color w:val="000000"/>
          <w:sz w:val="22"/>
        </w:rPr>
        <w:t>means an extension of credit resulting from a drawing under any Letter of Credit which has not been reimbursed on the date when made or refinanced as a Borrowing of Revolving Loans.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L/C Credit Extension</w:t>
      </w:r>
      <w:r>
        <w:rPr>
          <w:color w:val="000000"/>
        </w:rPr>
        <w:t xml:space="preserve">” </w:t>
      </w:r>
      <w:r>
        <w:rPr>
          <w:rFonts w:ascii="Times New Roman;serif" w:hAnsi="Times New Roman;serif"/>
          <w:b w:val="false"/>
          <w:color w:val="000000"/>
          <w:sz w:val="22"/>
        </w:rPr>
        <w:t>means, with respect to any Letter of Credit, the issuance thereof or extension of the expiry date thereof, or the increase of the amount thereof.</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L/C Issuer</w:t>
      </w:r>
      <w:r>
        <w:rPr>
          <w:color w:val="000000"/>
        </w:rPr>
        <w:t xml:space="preserve">” </w:t>
      </w:r>
      <w:r>
        <w:rPr>
          <w:rFonts w:ascii="Times New Roman;serif" w:hAnsi="Times New Roman;serif"/>
          <w:b w:val="false"/>
          <w:color w:val="000000"/>
          <w:sz w:val="22"/>
        </w:rPr>
        <w:t xml:space="preserve">means each of (i) Bank of America in its capacity as issuer of Letters of Credit hereunder, or any successor issuer of Letters of Credit hereunder and (ii) U.S. Bank National Association, </w:t>
      </w:r>
      <w:r>
        <w:rPr>
          <w:rFonts w:ascii="Times New Roman;serif" w:hAnsi="Times New Roman;serif"/>
          <w:b w:val="false"/>
          <w:strike/>
          <w:color w:val="FF0000"/>
          <w:sz w:val="22"/>
        </w:rPr>
        <w:t>in its capacity as issuer of</w:t>
      </w:r>
      <w:r>
        <w:rPr>
          <w:rFonts w:ascii="Times New Roman;serif" w:hAnsi="Times New Roman;serif"/>
          <w:b w:val="false"/>
          <w:color w:val="0000FF"/>
          <w:sz w:val="22"/>
          <w:u w:val="single"/>
        </w:rPr>
        <w:t>solely with respect to any outstanding</w:t>
      </w:r>
      <w:r>
        <w:rPr>
          <w:color w:val="000000"/>
        </w:rPr>
        <w:t xml:space="preserve"> </w:t>
      </w:r>
      <w:r>
        <w:rPr>
          <w:rFonts w:ascii="Times New Roman;serif" w:hAnsi="Times New Roman;serif"/>
          <w:b w:val="false"/>
          <w:color w:val="000000"/>
          <w:sz w:val="22"/>
        </w:rPr>
        <w:t xml:space="preserve">Letters of Credit </w:t>
      </w:r>
      <w:r>
        <w:rPr>
          <w:rFonts w:ascii="Times New Roman;serif" w:hAnsi="Times New Roman;serif"/>
          <w:b w:val="false"/>
          <w:strike/>
          <w:color w:val="FF0000"/>
          <w:sz w:val="22"/>
        </w:rPr>
        <w:t>(including the Existing Letters of Credit) hereunder</w:t>
      </w:r>
      <w:r>
        <w:rPr>
          <w:rFonts w:ascii="Times New Roman;serif" w:hAnsi="Times New Roman;serif"/>
          <w:b w:val="false"/>
          <w:color w:val="0000FF"/>
          <w:sz w:val="22"/>
          <w:u w:val="single"/>
        </w:rPr>
        <w:t>as of the Sixth Amendment Effective Date</w:t>
      </w:r>
      <w:r>
        <w:rPr>
          <w:rFonts w:ascii="Times New Roman;serif" w:hAnsi="Times New Roman;serif"/>
          <w:b w:val="false"/>
          <w:color w:val="000000"/>
          <w:sz w:val="22"/>
        </w:rPr>
        <w:t xml:space="preserve">, or any successor issuer of Letters of Credit hereunder. The term “L/C Issuer” when used with respect to a Letter of </w:t>
      </w:r>
      <w:r>
        <w:rPr>
          <w:rFonts w:ascii="Times New Roman;serif" w:hAnsi="Times New Roman;serif"/>
          <w:b w:val="false"/>
          <w:color w:val="000000"/>
          <w:sz w:val="24"/>
        </w:rPr>
        <w:t>Credit or the L/C Obligations relating to a Letter of Credit shall refer to the L/C Issuer that issued (or will issue) such Letter of Credit.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L/C Obligations</w:t>
      </w:r>
      <w:r>
        <w:rPr>
          <w:color w:val="000000"/>
        </w:rPr>
        <w:t xml:space="preserve">” </w:t>
      </w:r>
      <w:r>
        <w:rPr>
          <w:rFonts w:ascii="Times New Roman;serif" w:hAnsi="Times New Roman;serif"/>
          <w:b w:val="false"/>
          <w:color w:val="000000"/>
          <w:sz w:val="22"/>
        </w:rPr>
        <w:t xml:space="preserve">means, as at any date of determination, the aggregate amount available to be drawn under all outstanding Letters of Credit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aggregate of all Unreimbursed Amounts, including all L/C Borrowings. For purposes of computing the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LCT Election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1.07</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LCT End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1.07</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LCT Test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1.07</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means each of the Persons identified as a “Lender” on the signature pages hereto, each other Person that becomes a “Lender” in accordance with this Agreement and their successors and assigns and, unless the context requires otherwise, includes the Swing Line Lender.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Lending Office</w:t>
      </w:r>
      <w:r>
        <w:rPr>
          <w:color w:val="000000"/>
        </w:rPr>
        <w:t xml:space="preserve">” </w:t>
      </w:r>
      <w:r>
        <w:rPr>
          <w:rFonts w:ascii="Times New Roman;serif" w:hAnsi="Times New Roman;serif"/>
          <w:b w:val="false"/>
          <w:color w:val="000000"/>
          <w:sz w:val="22"/>
        </w:rPr>
        <w:t>means, as to any Lender, the office or offices of such Lender described as such in such Lender’s Administrative Questionnaire, or such other office or offices as a Lender may from time to time notify the Borrower and the Administrative Agent.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Letter of Credit</w:t>
      </w:r>
      <w:r>
        <w:rPr>
          <w:color w:val="000000"/>
        </w:rPr>
        <w:t xml:space="preserve">” </w:t>
      </w:r>
      <w:r>
        <w:rPr>
          <w:rFonts w:ascii="Times New Roman;serif" w:hAnsi="Times New Roman;serif"/>
          <w:b w:val="false"/>
          <w:color w:val="000000"/>
          <w:sz w:val="22"/>
        </w:rPr>
        <w:t>means any letter of credit issued hereunder providing for the payment of cash upon the honoring of a presentation thereunder and shall include the Existing Letters of Credit. A Letter of Credit may be a commercial letter of credit or a standby letter of credit.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Letter of Credit Application</w:t>
      </w:r>
      <w:r>
        <w:rPr>
          <w:color w:val="000000"/>
        </w:rPr>
        <w:t xml:space="preserve">” </w:t>
      </w:r>
      <w:r>
        <w:rPr>
          <w:rFonts w:ascii="Times New Roman;serif" w:hAnsi="Times New Roman;serif"/>
          <w:b w:val="false"/>
          <w:color w:val="000000"/>
          <w:sz w:val="22"/>
        </w:rPr>
        <w:t>means an application and agreement for the issuance or amendment of a Letter of Credit in the form from time to time in use by the L/C Issuer.</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Letter of Credit Expiration Date</w:t>
      </w:r>
      <w:r>
        <w:rPr>
          <w:color w:val="000000"/>
        </w:rPr>
        <w:t xml:space="preserve">” </w:t>
      </w:r>
      <w:r>
        <w:rPr>
          <w:rFonts w:ascii="Times New Roman;serif" w:hAnsi="Times New Roman;serif"/>
          <w:b w:val="false"/>
          <w:color w:val="000000"/>
          <w:sz w:val="22"/>
        </w:rPr>
        <w:t xml:space="preserve">means the day that is seven days prior to the Maturity Date </w:t>
      </w:r>
      <w:r>
        <w:rPr>
          <w:rFonts w:ascii="Times New Roman;serif" w:hAnsi="Times New Roman;serif"/>
          <w:b w:val="false"/>
          <w:color w:val="0000FF"/>
          <w:sz w:val="22"/>
          <w:u w:val="single"/>
        </w:rPr>
        <w:t xml:space="preserve">for the Aggregate Revolving Commitments </w:t>
      </w:r>
      <w:r>
        <w:rPr>
          <w:rFonts w:ascii="Times New Roman;serif" w:hAnsi="Times New Roman;serif"/>
          <w:b w:val="false"/>
          <w:color w:val="000000"/>
          <w:sz w:val="22"/>
        </w:rPr>
        <w:t>then in effect (or, if such day is not a Business Day, the next preceding Business Day).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Letter of Credit Fee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2.03(h)</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Letter of Credit Sublimit</w:t>
      </w:r>
      <w:r>
        <w:rPr>
          <w:color w:val="000000"/>
        </w:rPr>
        <w:t xml:space="preserve">” </w:t>
      </w:r>
      <w:r>
        <w:rPr>
          <w:rFonts w:ascii="Times New Roman;serif" w:hAnsi="Times New Roman;serif"/>
          <w:b w:val="false"/>
          <w:color w:val="000000"/>
          <w:sz w:val="22"/>
        </w:rPr>
        <w:t>means an amount equal to to $</w:t>
      </w:r>
      <w:r>
        <w:rPr>
          <w:rFonts w:ascii="Times New Roman;serif" w:hAnsi="Times New Roman;serif"/>
          <w:b w:val="false"/>
          <w:strike/>
          <w:color w:val="FF0000"/>
          <w:sz w:val="22"/>
        </w:rPr>
        <w:t>100,000,000</w:t>
      </w:r>
      <w:r>
        <w:rPr>
          <w:rFonts w:ascii="Times New Roman;serif" w:hAnsi="Times New Roman;serif"/>
          <w:b w:val="false"/>
          <w:color w:val="0000FF"/>
          <w:sz w:val="22"/>
          <w:u w:val="single"/>
        </w:rPr>
        <w:t>54,000,000.00.</w:t>
      </w:r>
      <w:r>
        <w:rPr>
          <w:color w:val="000000"/>
        </w:rPr>
        <w:t xml:space="preserve"> </w:t>
      </w:r>
      <w:r>
        <w:rPr>
          <w:rFonts w:ascii="Times New Roman;serif" w:hAnsi="Times New Roman;serif"/>
          <w:b w:val="false"/>
          <w:color w:val="000000"/>
          <w:sz w:val="22"/>
        </w:rPr>
        <w:t>The Letter of Credit Sublimit is part of, and not in addition to, the Aggregate Revolving Commitments.</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r>
        <w:rPr>
          <w:color w:val="0000FF"/>
          <w:u w:val="single"/>
        </w:rPr>
        <w:t xml:space="preserve"> </w:t>
      </w:r>
      <w:r>
        <w:rPr>
          <w:rFonts w:ascii="Times New Roman;serif" w:hAnsi="Times New Roman;serif"/>
          <w:b w:val="false"/>
          <w:color w:val="0000FF"/>
          <w:sz w:val="22"/>
          <w:u w:val="single"/>
        </w:rPr>
        <w:t>By way of clarification and not limitation, the sale of Supply Chain Financing Assets pursuant to a Permitted Supply Chain Arrangement shall not be construed to be the granting of a Lien on such accounts.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Limited Condition Transaction</w:t>
      </w:r>
      <w:r>
        <w:rPr>
          <w:color w:val="000000"/>
        </w:rPr>
        <w:t xml:space="preserve">” </w:t>
      </w:r>
      <w:r>
        <w:rPr>
          <w:rFonts w:ascii="Times New Roman;serif" w:hAnsi="Times New Roman;serif"/>
          <w:b w:val="false"/>
          <w:color w:val="000000"/>
          <w:sz w:val="22"/>
        </w:rPr>
        <w:t xml:space="preserve">means any Permitted Eligible Acquisition, Permitted Ineligible Acquisition or other permitted Investment, in each case for which the consummation thereof is not conditioned on the availability of financing. </w:t>
      </w:r>
    </w:p>
    <w:p>
      <w:pPr>
        <w:pStyle w:val="TextBody"/>
        <w:bidi w:val="0"/>
        <w:spacing w:before="0" w:after="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2"/>
          <w:u w:val="single"/>
        </w:rPr>
        <w:t>Loan</w:t>
      </w:r>
      <w:r>
        <w:rPr>
          <w:color w:val="000000"/>
        </w:rPr>
        <w:t xml:space="preserve">” </w:t>
      </w:r>
      <w:r>
        <w:rPr>
          <w:rFonts w:ascii="Times New Roman;serif" w:hAnsi="Times New Roman;serif"/>
          <w:b w:val="false"/>
          <w:color w:val="000000"/>
          <w:sz w:val="22"/>
        </w:rPr>
        <w:t xml:space="preserve">means an extension of credit by a Lender to the Borrower under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 xml:space="preserve">in the form of a Revolving Loan, Swing Line Loan, the Term </w:t>
      </w:r>
      <w:r>
        <w:rPr>
          <w:rFonts w:ascii="Times New Roman;serif" w:hAnsi="Times New Roman;serif"/>
          <w:b w:val="false"/>
          <w:strike/>
          <w:color w:val="FF0000"/>
          <w:sz w:val="22"/>
        </w:rPr>
        <w:t xml:space="preserve">Loan </w:t>
      </w:r>
      <w:r>
        <w:rPr>
          <w:rFonts w:ascii="Times New Roman;serif" w:hAnsi="Times New Roman;serif"/>
          <w:b w:val="false"/>
          <w:color w:val="0000FF"/>
          <w:sz w:val="22"/>
          <w:u w:val="single"/>
        </w:rPr>
        <w:t>Loans</w:t>
      </w:r>
      <w:r>
        <w:rPr>
          <w:color w:val="000000"/>
        </w:rPr>
        <w:t xml:space="preserve"> </w:t>
      </w:r>
      <w:r>
        <w:rPr>
          <w:rFonts w:ascii="Times New Roman;serif" w:hAnsi="Times New Roman;serif"/>
          <w:b w:val="false"/>
          <w:color w:val="000000"/>
          <w:sz w:val="22"/>
        </w:rPr>
        <w:t>or any term loan under an Incremental Term Facility.</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Loan Documents</w:t>
      </w:r>
      <w:r>
        <w:rPr>
          <w:color w:val="000000"/>
        </w:rPr>
        <w:t xml:space="preserve">” </w:t>
      </w:r>
      <w:r>
        <w:rPr>
          <w:rFonts w:ascii="Times New Roman;serif" w:hAnsi="Times New Roman;serif"/>
          <w:b w:val="false"/>
          <w:color w:val="000000"/>
          <w:sz w:val="22"/>
        </w:rPr>
        <w:t>means this Agreement, each Note, each Issuer Document, the Collateral Documents, the Fee Letter and any Auto Borrow Agreement (but specifically excluding Secured Hedge Agreements and Secured Cash Management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Loan Notice</w:t>
      </w:r>
      <w:r>
        <w:rPr>
          <w:color w:val="000000"/>
        </w:rPr>
        <w:t xml:space="preserve">” </w:t>
      </w:r>
      <w:r>
        <w:rPr>
          <w:rFonts w:ascii="Times New Roman;serif" w:hAnsi="Times New Roman;serif"/>
          <w:b w:val="false"/>
          <w:color w:val="000000"/>
          <w:sz w:val="22"/>
        </w:rPr>
        <w:t>means a notice of (a) a Borrowing of Revolving Loans</w:t>
      </w:r>
      <w:r>
        <w:rPr>
          <w:rFonts w:ascii="Times New Roman;serif" w:hAnsi="Times New Roman;serif"/>
          <w:b w:val="false"/>
          <w:strike/>
          <w:color w:val="FF0000"/>
          <w:sz w:val="22"/>
        </w:rPr>
        <w:t xml:space="preserve">, the Term Loan </w:t>
      </w:r>
      <w:r>
        <w:rPr>
          <w:rFonts w:ascii="Times New Roman;serif" w:hAnsi="Times New Roman;serif"/>
          <w:b w:val="false"/>
          <w:color w:val="000000"/>
          <w:sz w:val="22"/>
        </w:rPr>
        <w:t xml:space="preserve">or a term loan under an Incremental Term Facility, (b) a conversion of Loans from one Type to the other, or (c) a continuation of Term SOFR Loans, in each case pursuant to </w:t>
      </w:r>
      <w:r>
        <w:rPr>
          <w:rFonts w:ascii="Times New Roman;serif" w:hAnsi="Times New Roman;serif"/>
          <w:b w:val="false"/>
          <w:color w:val="000000"/>
          <w:sz w:val="22"/>
          <w:u w:val="single"/>
        </w:rPr>
        <w:t>Section 2.02(a)</w:t>
      </w:r>
      <w:r>
        <w:rPr>
          <w:rFonts w:ascii="Times New Roman;serif" w:hAnsi="Times New Roman;serif"/>
          <w:b w:val="false"/>
          <w:color w:val="000000"/>
          <w:sz w:val="22"/>
        </w:rPr>
        <w:t xml:space="preserve">, which shall be substantially in the form of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lineRule="auto" w:line="288" w:before="180" w:after="283"/>
        <w:ind w:left="0" w:right="0" w:firstLine="720"/>
        <w:jc w:val="both"/>
        <w:rPr>
          <w:color w:val="000000"/>
          <w:u w:val="single"/>
        </w:rPr>
      </w:pPr>
      <w:r>
        <w:rPr>
          <w:color w:val="000000"/>
          <w:u w:val="single"/>
        </w:rPr>
        <w:t>“</w:t>
      </w:r>
      <w:r>
        <w:rPr>
          <w:rFonts w:ascii="Times New Roman;serif" w:hAnsi="Times New Roman;serif"/>
          <w:b w:val="false"/>
          <w:color w:val="000000"/>
          <w:sz w:val="22"/>
          <w:u w:val="single"/>
        </w:rPr>
        <w:t>Lugano Bankruptcy” means a Chapter 11 voluntary proceeding under the Bankruptcy Code with respect to Lugano Holding or certain of its Subsidiaries in the Bankruptcy Court.</w:t>
      </w:r>
    </w:p>
    <w:p>
      <w:pPr>
        <w:pStyle w:val="TextBody"/>
        <w:bidi w:val="0"/>
        <w:spacing w:lineRule="auto" w:line="288" w:before="180" w:after="283"/>
        <w:ind w:left="0" w:right="0" w:firstLine="720"/>
        <w:jc w:val="both"/>
        <w:rPr/>
      </w:pPr>
      <w:r>
        <w:rPr>
          <w:color w:val="000000"/>
        </w:rPr>
        <w:t>“</w:t>
      </w:r>
      <w:r>
        <w:rPr>
          <w:rFonts w:ascii="Times New Roman;serif" w:hAnsi="Times New Roman;serif"/>
          <w:b w:val="false"/>
          <w:color w:val="000000"/>
          <w:sz w:val="22"/>
          <w:u w:val="single"/>
        </w:rPr>
        <w:t>Lugano Buyer</w:t>
      </w:r>
      <w:r>
        <w:rPr>
          <w:color w:val="000000"/>
        </w:rPr>
        <w:t xml:space="preserve">” </w:t>
      </w:r>
      <w:r>
        <w:rPr>
          <w:rFonts w:ascii="Times New Roman;serif" w:hAnsi="Times New Roman;serif"/>
          <w:b w:val="false"/>
          <w:color w:val="000000"/>
          <w:sz w:val="22"/>
        </w:rPr>
        <w:t>means Lugano Buyer, Inc., a Delaware corporation.</w:t>
      </w:r>
    </w:p>
    <w:p>
      <w:pPr>
        <w:pStyle w:val="TextBody"/>
        <w:bidi w:val="0"/>
        <w:spacing w:lineRule="auto" w:line="288" w:before="180" w:after="283"/>
        <w:ind w:left="0" w:right="0" w:firstLine="720"/>
        <w:jc w:val="both"/>
        <w:rPr>
          <w:color w:val="000000"/>
          <w:u w:val="single"/>
        </w:rPr>
      </w:pPr>
      <w:r>
        <w:rPr>
          <w:color w:val="000000"/>
          <w:u w:val="single"/>
        </w:rPr>
        <w:t>“</w:t>
      </w:r>
      <w:r>
        <w:rPr>
          <w:rFonts w:ascii="Times New Roman;serif" w:hAnsi="Times New Roman;serif"/>
          <w:b w:val="false"/>
          <w:color w:val="000000"/>
          <w:sz w:val="22"/>
          <w:u w:val="single"/>
        </w:rPr>
        <w:t>Lugano Diamonds” means Lugano Diamonds &amp; Jewelry, Inc., a California corporation.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strike/>
          <w:color w:val="FF0000"/>
        </w:rPr>
        <w:t>“</w:t>
      </w:r>
      <w:r>
        <w:rPr>
          <w:rFonts w:ascii="Times New Roman;serif" w:hAnsi="Times New Roman;serif"/>
          <w:b w:val="false"/>
          <w:strike/>
          <w:color w:val="FF0000"/>
          <w:sz w:val="22"/>
          <w:u w:val="single"/>
        </w:rPr>
        <w:t>Lugano DIP Budget</w:t>
      </w:r>
      <w:r>
        <w:rPr>
          <w:strike/>
          <w:color w:val="FF0000"/>
        </w:rPr>
        <w:t xml:space="preserve">” </w:t>
      </w:r>
      <w:r>
        <w:rPr>
          <w:rFonts w:ascii="Times New Roman;serif" w:hAnsi="Times New Roman;serif"/>
          <w:b w:val="false"/>
          <w:strike/>
          <w:color w:val="FF0000"/>
          <w:sz w:val="22"/>
        </w:rPr>
        <w:t xml:space="preserve">means the then-current form of a budget consisting of a minimum 13-week cash flow forecast of the Lugano Entities setting forth, among other things, the cash, revenue, cash flows, and net operating cash flow, trade payables, ordinary course expenses, total expenses, capital expenditures (if applicable), vendor disbursements, working capital, and fees and expenses of the Lugano DIP Intercompany Debt and the Lugano Bankruptcy (including categories for professionals and the committee) during such minimum 13-week period that the Lugano Entities are authorized to use the proceeds of the Lugano DIP Intercompany Debt.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strike/>
          <w:color w:val="FF0000"/>
        </w:rPr>
        <w:t>“</w:t>
      </w:r>
      <w:r>
        <w:rPr>
          <w:rFonts w:ascii="Times New Roman;serif" w:hAnsi="Times New Roman;serif"/>
          <w:b w:val="false"/>
          <w:strike/>
          <w:color w:val="FF0000"/>
          <w:sz w:val="22"/>
          <w:u w:val="single"/>
        </w:rPr>
        <w:t>Lugano DIP Credit Agreement</w:t>
      </w:r>
      <w:r>
        <w:rPr>
          <w:strike/>
          <w:color w:val="FF0000"/>
        </w:rPr>
        <w:t xml:space="preserve">” </w:t>
      </w:r>
      <w:r>
        <w:rPr>
          <w:rFonts w:ascii="Times New Roman;serif" w:hAnsi="Times New Roman;serif"/>
          <w:b w:val="false"/>
          <w:strike/>
          <w:color w:val="FF0000"/>
          <w:sz w:val="22"/>
        </w:rPr>
        <w:t>means that certain Superpriority Secured Debtor-in-Possession Credit Agreement</w:t>
      </w:r>
      <w:r>
        <w:rPr>
          <w:rFonts w:ascii="Times New Roman;serif" w:hAnsi="Times New Roman;serif"/>
          <w:b w:val="false"/>
          <w:strike/>
          <w:color w:val="008000"/>
          <w:sz w:val="22"/>
        </w:rPr>
        <w:t xml:space="preserve">, by and among the Borrower </w:t>
      </w:r>
      <w:r>
        <w:rPr>
          <w:rFonts w:ascii="Times New Roman;serif" w:hAnsi="Times New Roman;serif"/>
          <w:b w:val="false"/>
          <w:strike/>
          <w:color w:val="FF0000"/>
          <w:sz w:val="22"/>
        </w:rPr>
        <w:t>and certain of the Lugano Entities, in form and substance reasonably satisfactory to the Administrative Agent.</w:t>
      </w:r>
      <w:r>
        <w:rPr>
          <w:color w:val="000000"/>
        </w:rPr>
        <w:t xml:space="preserve"> </w:t>
      </w:r>
      <w:r>
        <w:rPr>
          <w:strike/>
          <w:color w:val="FF0000"/>
        </w:rPr>
        <w:t>“</w:t>
      </w:r>
      <w:r>
        <w:rPr>
          <w:rFonts w:ascii="Times New Roman;serif" w:hAnsi="Times New Roman;serif"/>
          <w:b w:val="false"/>
          <w:strike/>
          <w:color w:val="FF0000"/>
          <w:sz w:val="22"/>
          <w:u w:val="single"/>
        </w:rPr>
        <w:t>Lugano DIP Intercompany Debt</w:t>
      </w:r>
      <w:r>
        <w:rPr>
          <w:strike/>
          <w:color w:val="FF0000"/>
        </w:rPr>
        <w:t xml:space="preserve">” </w:t>
      </w:r>
      <w:r>
        <w:rPr>
          <w:rFonts w:ascii="Times New Roman;serif" w:hAnsi="Times New Roman;serif"/>
          <w:b w:val="false"/>
          <w:strike/>
          <w:color w:val="FF0000"/>
          <w:sz w:val="22"/>
        </w:rPr>
        <w:t>means Indebtedness issued by the Borrower to Lugano under Section 364 of the Bankruptcy Code pursuant to the Lugano DIP Loan Documents in an amount not to exceed $12,000,000 (inclusive of any “roll up” of prepetition Indebtedness owing by Lugano to the Borrower).</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pPr>
      <w:r>
        <w:rPr>
          <w:strike/>
          <w:color w:val="FF0000"/>
        </w:rPr>
        <w:t>“</w:t>
      </w:r>
      <w:r>
        <w:rPr>
          <w:rFonts w:ascii="Times New Roman;serif" w:hAnsi="Times New Roman;serif"/>
          <w:b w:val="false"/>
          <w:strike/>
          <w:color w:val="FF0000"/>
          <w:sz w:val="22"/>
          <w:u w:val="single"/>
        </w:rPr>
        <w:t>Lugano DIP Loan Documents</w:t>
      </w:r>
      <w:r>
        <w:rPr>
          <w:strike/>
          <w:color w:val="FF0000"/>
        </w:rPr>
        <w:t xml:space="preserve">” </w:t>
      </w:r>
      <w:r>
        <w:rPr>
          <w:rFonts w:ascii="Times New Roman;serif" w:hAnsi="Times New Roman;serif"/>
          <w:b w:val="false"/>
          <w:strike/>
          <w:color w:val="FF0000"/>
          <w:sz w:val="22"/>
        </w:rPr>
        <w:t>means collectively, the Lugano DIP Credit Agreement, the Lugano DIP Budget, the Lugano Liquidation Plan, the Lugano DIP Order, and any related documents or instruments, in each case in form and substance reasonably satisfactory to the Administrative Agent.</w:t>
      </w:r>
      <w:r>
        <w:rPr>
          <w:color w:val="000000"/>
        </w:rPr>
        <w:t xml:space="preserve"> </w:t>
      </w:r>
      <w:r>
        <w:rPr>
          <w:strike/>
          <w:color w:val="FF0000"/>
        </w:rPr>
        <w:t>“</w:t>
      </w:r>
      <w:r>
        <w:rPr>
          <w:rFonts w:ascii="Times New Roman;serif" w:hAnsi="Times New Roman;serif"/>
          <w:b w:val="false"/>
          <w:strike/>
          <w:color w:val="FF0000"/>
          <w:sz w:val="22"/>
          <w:u w:val="single"/>
        </w:rPr>
        <w:t>Lugano DIP Order</w:t>
      </w:r>
      <w:r>
        <w:rPr>
          <w:strike/>
          <w:color w:val="FF0000"/>
        </w:rPr>
        <w:t xml:space="preserve">” </w:t>
      </w:r>
      <w:r>
        <w:rPr>
          <w:rFonts w:ascii="Times New Roman;serif" w:hAnsi="Times New Roman;serif"/>
          <w:b w:val="false"/>
          <w:strike/>
          <w:color w:val="FF0000"/>
          <w:sz w:val="22"/>
        </w:rPr>
        <w:t>means any order issued by the Bankruptcy Court authorizing the incurrence by Lugano Holding of the Lugano DIP Intercompany Debt, in form and substance reasonably satisfactory to the Administrative Agent.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4"/>
          <w:u w:val="single"/>
        </w:rPr>
        <w:t>Lugano Entities</w:t>
      </w:r>
      <w:r>
        <w:rPr>
          <w:color w:val="000000"/>
        </w:rPr>
        <w:t xml:space="preserve">” </w:t>
      </w:r>
      <w:r>
        <w:rPr>
          <w:rFonts w:ascii="Times New Roman;serif" w:hAnsi="Times New Roman;serif"/>
          <w:b w:val="false"/>
          <w:color w:val="000000"/>
          <w:sz w:val="22"/>
        </w:rPr>
        <w:t>means collectively, (i) Lugano Buyer, (ii) Lugano Holding, (iii) Lugano Diamonds, (iv) Lugano Prive, LLC, a Delaware limited liability company, and (v) K.L.D. Jewelry, LLC, a Delaware limited liability company.</w:t>
      </w:r>
      <w:r>
        <w:rPr>
          <w:color w:val="000000"/>
        </w:rPr>
        <w:t xml:space="preserve"> </w:t>
      </w:r>
    </w:p>
    <w:p>
      <w:pPr>
        <w:pStyle w:val="TextBody"/>
        <w:bidi w:val="0"/>
        <w:spacing w:lineRule="auto" w:line="288" w:before="240" w:after="283"/>
        <w:ind w:left="0" w:right="0" w:firstLine="720"/>
        <w:jc w:val="both"/>
        <w:rPr/>
      </w:pPr>
      <w:r>
        <w:rPr>
          <w:color w:val="000000"/>
        </w:rPr>
        <w:t>“</w:t>
      </w:r>
      <w:r>
        <w:rPr>
          <w:rFonts w:ascii="Times New Roman;serif" w:hAnsi="Times New Roman;serif"/>
          <w:b w:val="false"/>
          <w:color w:val="000000"/>
          <w:sz w:val="22"/>
          <w:u w:val="single"/>
        </w:rPr>
        <w:t>Lugano Events of Default</w:t>
      </w:r>
      <w:r>
        <w:rPr>
          <w:color w:val="000000"/>
        </w:rPr>
        <w:t xml:space="preserve">” </w:t>
      </w:r>
      <w:r>
        <w:rPr>
          <w:rFonts w:ascii="Times New Roman;serif" w:hAnsi="Times New Roman;serif"/>
          <w:b w:val="false"/>
          <w:color w:val="000000"/>
          <w:sz w:val="22"/>
        </w:rPr>
        <w:t>has the meaning specified in the Fourth Amendment.</w:t>
      </w:r>
      <w:r>
        <w:rPr>
          <w:color w:val="000000"/>
        </w:rPr>
        <w:t xml:space="preserve"> </w:t>
      </w:r>
    </w:p>
    <w:p>
      <w:pPr>
        <w:pStyle w:val="TextBody"/>
        <w:bidi w:val="0"/>
        <w:spacing w:lineRule="auto" w:line="288" w:before="240" w:after="283"/>
        <w:ind w:left="0" w:right="0" w:firstLine="720"/>
        <w:jc w:val="both"/>
        <w:rPr/>
      </w:pPr>
      <w:r>
        <w:rPr>
          <w:color w:val="000000"/>
        </w:rPr>
        <w:t>“</w:t>
      </w:r>
      <w:r>
        <w:rPr>
          <w:rFonts w:ascii="Times New Roman;serif" w:hAnsi="Times New Roman;serif"/>
          <w:b w:val="false"/>
          <w:color w:val="000000"/>
          <w:sz w:val="22"/>
          <w:u w:val="single"/>
        </w:rPr>
        <w:t>Lugano Holding</w:t>
      </w:r>
      <w:r>
        <w:rPr>
          <w:color w:val="000000"/>
        </w:rPr>
        <w:t xml:space="preserve">” </w:t>
      </w:r>
      <w:r>
        <w:rPr>
          <w:rFonts w:ascii="Times New Roman;serif" w:hAnsi="Times New Roman;serif"/>
          <w:b w:val="false"/>
          <w:color w:val="000000"/>
          <w:sz w:val="22"/>
        </w:rPr>
        <w:t xml:space="preserve">means Lugano Holding, Inc., a Delaware corporation, together with its successors and assigns (including, without limitation, Lugano Holding, Inc. in its capacity as debtor-in-possession under the Lugano Bankruptcy). </w:t>
      </w:r>
    </w:p>
    <w:p>
      <w:pPr>
        <w:pStyle w:val="TextBody"/>
        <w:bidi w:val="0"/>
        <w:spacing w:lineRule="auto" w:line="288" w:before="240" w:after="283"/>
        <w:ind w:left="0" w:right="0" w:firstLine="720"/>
        <w:jc w:val="both"/>
        <w:rPr>
          <w:color w:val="000000"/>
        </w:rPr>
      </w:pPr>
      <w:r>
        <w:rPr>
          <w:color w:val="000000"/>
        </w:rPr>
        <w:t>“</w:t>
      </w:r>
      <w:r>
        <w:rPr>
          <w:rFonts w:ascii="Times New Roman;serif" w:hAnsi="Times New Roman;serif"/>
          <w:b w:val="false"/>
          <w:color w:val="000000"/>
          <w:sz w:val="22"/>
        </w:rPr>
        <w:t xml:space="preserve">Lugano Liquidation Plan” means a liquidation plan detailing the proposed process for the orderly liquidation of the assets of the Lugano Entities.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Management Fee Agreement</w:t>
      </w:r>
      <w:r>
        <w:rPr>
          <w:color w:val="000000"/>
        </w:rPr>
        <w:t xml:space="preserve">” </w:t>
      </w:r>
      <w:r>
        <w:rPr>
          <w:rFonts w:ascii="Times New Roman;serif" w:hAnsi="Times New Roman;serif"/>
          <w:b w:val="false"/>
          <w:color w:val="000000"/>
          <w:sz w:val="22"/>
        </w:rPr>
        <w:t xml:space="preserve">means certain </w:t>
      </w:r>
      <w:r>
        <w:rPr>
          <w:rFonts w:ascii="Times New Roman;serif" w:hAnsi="Times New Roman;serif"/>
          <w:b w:val="false"/>
          <w:strike/>
          <w:color w:val="FF0000"/>
          <w:sz w:val="22"/>
        </w:rPr>
        <w:t>Seventh</w:t>
      </w:r>
      <w:r>
        <w:rPr>
          <w:rFonts w:ascii="Times New Roman;serif" w:hAnsi="Times New Roman;serif"/>
          <w:b w:val="false"/>
          <w:color w:val="0000FF"/>
          <w:sz w:val="22"/>
          <w:u w:val="single"/>
        </w:rPr>
        <w:t>Ninth</w:t>
      </w:r>
      <w:r>
        <w:rPr>
          <w:color w:val="000000"/>
        </w:rPr>
        <w:t xml:space="preserve"> </w:t>
      </w:r>
      <w:r>
        <w:rPr>
          <w:rFonts w:ascii="Times New Roman;serif" w:hAnsi="Times New Roman;serif"/>
          <w:b w:val="false"/>
          <w:color w:val="000000"/>
          <w:sz w:val="22"/>
        </w:rPr>
        <w:t xml:space="preserve">Amended and Restated Management Services Agreement, dated as of </w:t>
      </w:r>
      <w:r>
        <w:rPr>
          <w:rFonts w:ascii="Times New Roman;serif" w:hAnsi="Times New Roman;serif"/>
          <w:b w:val="false"/>
          <w:strike/>
          <w:color w:val="FF0000"/>
          <w:sz w:val="22"/>
        </w:rPr>
        <w:t>January 15</w:t>
      </w:r>
      <w:r>
        <w:rPr>
          <w:rFonts w:ascii="Times New Roman;serif" w:hAnsi="Times New Roman;serif"/>
          <w:b w:val="false"/>
          <w:color w:val="0000FF"/>
          <w:sz w:val="22"/>
          <w:u w:val="single"/>
        </w:rPr>
        <w:t>July 12</w:t>
      </w:r>
      <w:r>
        <w:rPr>
          <w:rFonts w:ascii="Times New Roman;serif" w:hAnsi="Times New Roman;serif"/>
          <w:b w:val="false"/>
          <w:color w:val="000000"/>
          <w:sz w:val="22"/>
        </w:rPr>
        <w:t xml:space="preserve">, </w:t>
      </w:r>
      <w:r>
        <w:rPr>
          <w:rFonts w:ascii="Times New Roman;serif" w:hAnsi="Times New Roman;serif"/>
          <w:b w:val="false"/>
          <w:strike/>
          <w:color w:val="FF0000"/>
          <w:sz w:val="22"/>
        </w:rPr>
        <w:t>2025</w:t>
      </w:r>
      <w:r>
        <w:rPr>
          <w:rFonts w:ascii="Times New Roman;serif" w:hAnsi="Times New Roman;serif"/>
          <w:b w:val="false"/>
          <w:color w:val="0000FF"/>
          <w:sz w:val="22"/>
          <w:u w:val="single"/>
        </w:rPr>
        <w:t>2026</w:t>
      </w:r>
      <w:r>
        <w:rPr>
          <w:rFonts w:ascii="Times New Roman;serif" w:hAnsi="Times New Roman;serif"/>
          <w:b w:val="false"/>
          <w:color w:val="000000"/>
          <w:sz w:val="22"/>
        </w:rPr>
        <w:t xml:space="preserve">, by and between the Borrower and the Manager, as may from time to time hereafter be amended as permitted hereby.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Management Fee Documents</w:t>
      </w:r>
      <w:r>
        <w:rPr>
          <w:color w:val="000000"/>
        </w:rPr>
        <w:t xml:space="preserve">” </w:t>
      </w:r>
      <w:r>
        <w:rPr>
          <w:rFonts w:ascii="Times New Roman;serif" w:hAnsi="Times New Roman;serif"/>
          <w:b w:val="false"/>
          <w:color w:val="000000"/>
          <w:sz w:val="22"/>
        </w:rPr>
        <w:t xml:space="preserve">means collectively, the Management Fee Agreement and each management services agreement entered into between a Portfolio Company and the Manager or an Affiliate of the Manager having terms whereby payments made under such management services agreement by such Portfolio Company reduce on a dollar-for-dollar basis the total payment obligations of the Borrower under the Management Fee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Management Fee Subordination Agreement</w:t>
      </w:r>
      <w:r>
        <w:rPr>
          <w:color w:val="000000"/>
        </w:rPr>
        <w:t xml:space="preserve">” </w:t>
      </w:r>
      <w:r>
        <w:rPr>
          <w:rFonts w:ascii="Times New Roman;serif" w:hAnsi="Times New Roman;serif"/>
          <w:b w:val="false"/>
          <w:color w:val="000000"/>
          <w:sz w:val="22"/>
        </w:rPr>
        <w:t xml:space="preserve">means an agreement satisfactory to the Administrative Agent in form and substance among the Administrative Agent and the parties to the Management Fee Documents that subordinates the obligations of the Borrower under the Management Fee Documents to the Obligations upon the occurrence and continuation of an Event of Default and the commencement of an exercise of remedies against any portion of the Collateral by the Administrative Agent. </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Management Fees</w:t>
      </w:r>
      <w:r>
        <w:rPr>
          <w:color w:val="000000"/>
        </w:rPr>
        <w:t xml:space="preserve">” </w:t>
      </w:r>
      <w:r>
        <w:rPr>
          <w:rFonts w:ascii="Times New Roman;serif" w:hAnsi="Times New Roman;serif"/>
          <w:b w:val="false"/>
          <w:color w:val="000000"/>
          <w:sz w:val="22"/>
        </w:rPr>
        <w:t xml:space="preserve">means all fees paid to Manager or an Affiliate of the Manager pursuant to the Management Fee Documents.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Manager</w:t>
      </w:r>
      <w:r>
        <w:rPr>
          <w:color w:val="000000"/>
        </w:rPr>
        <w:t xml:space="preserve">” </w:t>
      </w:r>
      <w:r>
        <w:rPr>
          <w:rFonts w:ascii="Times New Roman;serif" w:hAnsi="Times New Roman;serif"/>
          <w:b w:val="false"/>
          <w:color w:val="000000"/>
          <w:sz w:val="22"/>
        </w:rPr>
        <w:t xml:space="preserve">means Compass Group Management LLC, a Delaware limited liability company.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Marucci</w:t>
      </w:r>
      <w:r>
        <w:rPr>
          <w:color w:val="000000"/>
        </w:rPr>
        <w:t xml:space="preserve">” </w:t>
      </w:r>
      <w:r>
        <w:rPr>
          <w:rFonts w:ascii="Times New Roman;serif" w:hAnsi="Times New Roman;serif"/>
          <w:b w:val="false"/>
          <w:color w:val="000000"/>
          <w:sz w:val="22"/>
        </w:rPr>
        <w:t>means Wheelhouse Holdings Inc., a Delaware corporation.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Master Agreement</w:t>
      </w:r>
      <w:r>
        <w:rPr>
          <w:color w:val="000000"/>
        </w:rPr>
        <w:t xml:space="preserve">” </w:t>
      </w:r>
      <w:r>
        <w:rPr>
          <w:rFonts w:ascii="Times New Roman;serif" w:hAnsi="Times New Roman;serif"/>
          <w:b w:val="false"/>
          <w:color w:val="000000"/>
          <w:sz w:val="22"/>
        </w:rPr>
        <w:t>has the meaning specified in the definition of “Swap Contract.”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Material Acquisition</w:t>
      </w:r>
      <w:r>
        <w:rPr>
          <w:color w:val="000000"/>
        </w:rPr>
        <w:t xml:space="preserve">” </w:t>
      </w:r>
      <w:r>
        <w:rPr>
          <w:rFonts w:ascii="Times New Roman;serif" w:hAnsi="Times New Roman;serif"/>
          <w:b w:val="false"/>
          <w:color w:val="000000"/>
          <w:sz w:val="22"/>
        </w:rPr>
        <w:t>means any Permitted Eligible Acquisition or Permitted Ineligible Acquisition consummated on or after the Closing Date</w:t>
      </w:r>
      <w:r>
        <w:rPr>
          <w:color w:val="000000"/>
        </w:rPr>
        <w:t xml:space="preserve"> </w:t>
      </w:r>
      <w:r>
        <w:rPr>
          <w:rFonts w:ascii="Times New Roman;serif" w:hAnsi="Times New Roman;serif"/>
          <w:b w:val="false"/>
          <w:color w:val="000000"/>
          <w:sz w:val="22"/>
        </w:rPr>
        <w:t>for which the cash consideration (including the aggregate principal amount of Indebtedness assumed by the Borrower or any Subsidiary in connection therewith but excluding any contingent deferred purchase price obligations) is at least $100,000,000 (including, for the avoidance of doubt, the Closing Date Acquisition).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means (a) a material adverse change in, or a material adverse effect on, the operations, business, assets, properties, liabilities (actual or contingent) or condition (financial or otherwise) of the Borrower and its Subsidiaries, taken as a whole; (b) a material impairment of the rights and remedies of the Administrative Agent or any Lender under any Loan Document to which it is a party; (c) a material impairment of the ability of the Borrower to perform its obligations under any Loan Document to which it is a party; or (d) a material adverse effect upon the legality, validity, binding effect or enforceability against the Borrower of any Loan Document to which it is a party.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Material Indebtedness</w:t>
      </w:r>
      <w:r>
        <w:rPr>
          <w:color w:val="000000"/>
        </w:rPr>
        <w:t xml:space="preserve">” </w:t>
      </w:r>
      <w:r>
        <w:rPr>
          <w:rFonts w:ascii="Times New Roman;serif" w:hAnsi="Times New Roman;serif"/>
          <w:b w:val="false"/>
          <w:color w:val="000000"/>
          <w:sz w:val="22"/>
        </w:rPr>
        <w:t>means any Indebtedness (other than Indebtedness arising under the Loan Documents and Indebtedness arising under Swap Contracts) having an aggregate principal amount (including undrawn committed or available amounts and including amounts owing to all creditors under any combined or syndicated credit arrangement) of more than the Threshold Amount.</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Maturity Date</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val="false"/>
          <w:strike/>
          <w:color w:val="FF0000"/>
          <w:sz w:val="22"/>
        </w:rPr>
        <w:t xml:space="preserve">July </w:t>
      </w:r>
      <w:r>
        <w:rPr>
          <w:rFonts w:ascii="Times New Roman;serif" w:hAnsi="Times New Roman;serif"/>
          <w:b w:val="false"/>
          <w:color w:val="0000FF"/>
          <w:sz w:val="22"/>
          <w:u w:val="single"/>
        </w:rPr>
        <w:t>with respect to the Aggregate Revolving Commitment and the Term Loan, January</w:t>
      </w:r>
      <w:r>
        <w:rPr>
          <w:color w:val="000000"/>
        </w:rPr>
        <w:t xml:space="preserve"> </w:t>
      </w:r>
      <w:r>
        <w:rPr>
          <w:rFonts w:ascii="Times New Roman;serif" w:hAnsi="Times New Roman;serif"/>
          <w:b w:val="false"/>
          <w:color w:val="000000"/>
          <w:sz w:val="22"/>
        </w:rPr>
        <w:t xml:space="preserve">12, </w:t>
      </w:r>
      <w:r>
        <w:rPr>
          <w:rFonts w:ascii="Times New Roman;serif" w:hAnsi="Times New Roman;serif"/>
          <w:b w:val="false"/>
          <w:strike/>
          <w:color w:val="FF0000"/>
          <w:sz w:val="22"/>
        </w:rPr>
        <w:t>2027</w:t>
      </w:r>
      <w:r>
        <w:rPr>
          <w:rFonts w:ascii="Times New Roman;serif" w:hAnsi="Times New Roman;serif"/>
          <w:b w:val="false"/>
          <w:color w:val="0000FF"/>
          <w:sz w:val="22"/>
          <w:u w:val="single"/>
        </w:rPr>
        <w:t>2028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such date is not a Business Day, the </w:t>
      </w:r>
      <w:r>
        <w:rPr>
          <w:rFonts w:ascii="Times New Roman;serif" w:hAnsi="Times New Roman;serif"/>
          <w:b w:val="false"/>
          <w:color w:val="0000FF"/>
          <w:sz w:val="22"/>
          <w:u w:val="single"/>
        </w:rPr>
        <w:t xml:space="preserve">applicable </w:t>
      </w:r>
      <w:r>
        <w:rPr>
          <w:rFonts w:ascii="Times New Roman;serif" w:hAnsi="Times New Roman;serif"/>
          <w:b w:val="false"/>
          <w:color w:val="000000"/>
          <w:sz w:val="22"/>
        </w:rPr>
        <w:t>Maturity Date shall be the next preceding Business Day.</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Minimum Collateral Amount</w:t>
      </w:r>
      <w:r>
        <w:rPr>
          <w:color w:val="000000"/>
        </w:rPr>
        <w:t xml:space="preserve">” </w:t>
      </w:r>
      <w:r>
        <w:rPr>
          <w:rFonts w:ascii="Times New Roman;serif" w:hAnsi="Times New Roman;serif"/>
          <w:b w:val="false"/>
          <w:color w:val="000000"/>
          <w:sz w:val="22"/>
        </w:rPr>
        <w:t xml:space="preserve">means, at any time, (i) with respect to Cash Collateral consisting of cash or deposit account balances provided to reduce or eliminate Fronting Exposure during the existence of a Defaulting Lender, an amount equal to 102% of the Fronting Exposure of the L/C Issuer with respect to Letters of Credit issued and outstanding at such time, (ii) with respect to Cash Collateral consisting of cash or deposit account balances provided in accordance with the provisions of </w:t>
      </w:r>
      <w:r>
        <w:rPr>
          <w:rFonts w:ascii="Times New Roman;serif" w:hAnsi="Times New Roman;serif"/>
          <w:b w:val="false"/>
          <w:color w:val="000000"/>
          <w:sz w:val="22"/>
          <w:u w:val="single"/>
        </w:rPr>
        <w:t>Section 2.14(a)(i)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(a)(iii)</w:t>
      </w:r>
      <w:r>
        <w:rPr>
          <w:rFonts w:ascii="Times New Roman;serif" w:hAnsi="Times New Roman;serif"/>
          <w:b w:val="false"/>
          <w:color w:val="000000"/>
          <w:sz w:val="22"/>
        </w:rPr>
        <w:t>, an amount equal to 102% of the Outstanding Amount of all L/C Obligations, and (iii) otherwise, an amount determined by the Administrative Agent and the L/C Issuer in their sole discretion.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Moody’s</w:t>
      </w:r>
      <w:r>
        <w:rPr>
          <w:color w:val="000000"/>
        </w:rPr>
        <w:t xml:space="preserve">” </w:t>
      </w:r>
      <w:r>
        <w:rPr>
          <w:rFonts w:ascii="Times New Roman;serif" w:hAnsi="Times New Roman;serif"/>
          <w:b w:val="false"/>
          <w:color w:val="000000"/>
          <w:sz w:val="22"/>
        </w:rPr>
        <w:t>means Moody’s Investors Service, Inc. and any successor thereto.</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Multiemployer Plan</w:t>
      </w:r>
      <w:r>
        <w:rPr>
          <w:color w:val="000000"/>
        </w:rPr>
        <w:t xml:space="preserve">” </w:t>
      </w:r>
      <w:r>
        <w:rPr>
          <w:rFonts w:ascii="Times New Roman;serif" w:hAnsi="Times New Roman;serif"/>
          <w:b w:val="false"/>
          <w:color w:val="000000"/>
          <w:sz w:val="22"/>
        </w:rPr>
        <w:t>means any employee benefit plan of the type described in Section 4001(a)(3) of ERISA, to which the Borrower or any ERISA Affiliate makes or is obligated to make contributions, or during the preceding five plan years, has made or been obligated to make contributions.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Multiple Employer Plan</w:t>
      </w:r>
      <w:r>
        <w:rPr>
          <w:color w:val="000000"/>
        </w:rPr>
        <w:t xml:space="preserve">” </w:t>
      </w:r>
      <w:r>
        <w:rPr>
          <w:rFonts w:ascii="Times New Roman;serif" w:hAnsi="Times New Roman;serif"/>
          <w:b w:val="false"/>
          <w:color w:val="000000"/>
          <w:sz w:val="22"/>
        </w:rPr>
        <w:t>means a Plan which has two or more contributing sponsors (including the Borrower or any ERISA Affiliate) at least two of whom are not under common control, as such a plan is described in Section 4064 of ERISA.</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Net Cash Proceeds</w:t>
      </w:r>
      <w:r>
        <w:rPr>
          <w:color w:val="000000"/>
        </w:rPr>
        <w:t xml:space="preserve">” </w:t>
      </w:r>
      <w:r>
        <w:rPr>
          <w:rFonts w:ascii="Times New Roman;serif" w:hAnsi="Times New Roman;serif"/>
          <w:b w:val="false"/>
          <w:color w:val="000000"/>
          <w:sz w:val="22"/>
        </w:rPr>
        <w:t xml:space="preserve">means the aggregate cash or Cash Equivalents proceeds received by the Borrower or any Subsidiary in respect of any Disposition or Recovery Event net of (a) reasonable direct costs incurred in connection therewith (including (i) legal, accounting and investment banking fees, sales commissions and other professional fees, commissions and expenses and (ii) any Integration Services Fees required to be paid to the Manager as a result of such Disposition or Recovery Event and permitted under </w:t>
      </w:r>
      <w:r>
        <w:rPr>
          <w:rFonts w:ascii="Times New Roman;serif" w:hAnsi="Times New Roman;serif"/>
          <w:b w:val="false"/>
          <w:color w:val="000000"/>
          <w:sz w:val="22"/>
          <w:u w:val="single"/>
        </w:rPr>
        <w:t>Section 7.06</w:t>
      </w:r>
      <w:r>
        <w:rPr>
          <w:color w:val="000000"/>
        </w:rPr>
        <w:t xml:space="preserve"> </w:t>
      </w:r>
      <w:r>
        <w:rPr>
          <w:rFonts w:ascii="Times New Roman;serif" w:hAnsi="Times New Roman;serif"/>
          <w:b w:val="false"/>
          <w:color w:val="000000"/>
          <w:sz w:val="22"/>
        </w:rPr>
        <w:t>and any Allocation Member Distributions payable to the Allocation Member as a result of such Disposition or Recovery Event), (b) taxes paid or reasonably estimated by the Borrower to be payable as a result thereof (after taking into account any available tax credits or deductions and any tax sharing arrangements), (c) any portion of such proceeds deposited in an escrow account pursuant to the documentation relating to such Disposition or Recovery Event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amounts shall be treated as Net Cash Proceeds upon their release from such escrow account to the Borrower or any Subsidiary), (d) the amount necessary to retire any Indebtedness secured by a Permitted Lien (ranking senior to (i) any Lien of the Administrative Agent, in the case of assets of Borrower, or (ii) any Lien of the Borrower pursuant to Qualified Intercompany Debt Documents, in the case of assets of a Subsidiary) on the related property, and (e) in the case of a Disposition or Recovery Event by a Subsidiary (to the extent in excess of the then balance of the Intercompany Debt owed by such Subsidiary), the portion of such proceeds paid to equityholders of such Subsidiary (other than the Borrower or another Subsidiary) as a pro rata distribution at time of the distribution of the proceeds of such Disposition or Recovery Event by such Subsidiary to its equityholders; it being understood that “Net Cash Proceeds” shall include any cash or Cash Equivalents received upon the sale or other disposition of any non</w:t>
        <w:noBreakHyphen/>
        <w:t>cash consideration received by the Borrower or any Subsidiary in any Disposition or Recovery Event.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Net Income Attributable to Non-Controlling Interests</w:t>
      </w:r>
      <w:r>
        <w:rPr>
          <w:color w:val="000000"/>
        </w:rPr>
        <w:t xml:space="preserve">” </w:t>
      </w:r>
      <w:r>
        <w:rPr>
          <w:rFonts w:ascii="Times New Roman;serif" w:hAnsi="Times New Roman;serif"/>
          <w:b w:val="false"/>
          <w:color w:val="000000"/>
          <w:sz w:val="22"/>
        </w:rPr>
        <w:t>means, for any period, (x) with respect to any Portfolio Company, the product of (i) the Consolidated Net Income of such Portfolio Company for such period times (ii) the percentage of the equity interests in such Portfolio Company on a primary basis that are not directly or indirectly owned and controlled by the Borrower and (y) with respect to the Portfolio Companies collectively, the combined Net Income Attributable to Non-Controlling Interests for each Portfolio Company for such period.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New Portfolio Company</w:t>
      </w:r>
      <w:r>
        <w:rPr>
          <w:color w:val="000000"/>
        </w:rPr>
        <w:t xml:space="preserve">” </w:t>
      </w:r>
      <w:r>
        <w:rPr>
          <w:rFonts w:ascii="Times New Roman;serif" w:hAnsi="Times New Roman;serif"/>
          <w:b w:val="false"/>
          <w:color w:val="000000"/>
          <w:sz w:val="22"/>
        </w:rPr>
        <w:t xml:space="preserve">means (i) a Target acquired after the </w:t>
      </w:r>
      <w:r>
        <w:rPr>
          <w:rFonts w:ascii="Times New Roman;serif" w:hAnsi="Times New Roman;serif"/>
          <w:b w:val="false"/>
          <w:strike/>
          <w:color w:val="FF0000"/>
          <w:sz w:val="24"/>
        </w:rPr>
        <w:t>F</w:t>
      </w:r>
      <w:r>
        <w:rPr>
          <w:rFonts w:ascii="Times New Roman;serif" w:hAnsi="Times New Roman;serif"/>
          <w:b w:val="false"/>
          <w:strike/>
          <w:color w:val="FF0000"/>
          <w:sz w:val="22"/>
        </w:rPr>
        <w:t>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 xml:space="preserve">Amendment Effective Date by the Borrower or any Acquisition Subsidiary as a new portfolio company pursuant to a Permitted Eligible Acquisition or (ii) a Target acquired after the </w:t>
      </w:r>
      <w:r>
        <w:rPr>
          <w:rFonts w:ascii="Times New Roman;serif" w:hAnsi="Times New Roman;serif"/>
          <w:b w:val="false"/>
          <w:strike/>
          <w:color w:val="FF0000"/>
          <w:sz w:val="22"/>
        </w:rPr>
        <w:t>First Incremental Facility</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Amendment Effective Date by an Existing Portfolio Company or any Acquisition Subsidiary as an add-on acquisition by such Existing Portfolio Company in a Permitted Eligible Acquisition, in each case together with, if applicable, the Acquisition Subsidiary and the Wholly-Owned Subsidiaries of such Target and to the extent that any such Target remains a Subsidiary of the Borrower and either (A) is not deemed an Existing Portfolio Company pursuant to clause (xi) of the definition of “Existing Portfolio Company” or (B) has not been classified or reclassified as an Existing Portfolio Company. For the avoidance of doubt, New Portfolio Companies shall in all instances exclude any Outside Companies</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New Portfolio Company Acquisition Documents</w:t>
      </w:r>
      <w:r>
        <w:rPr>
          <w:color w:val="000000"/>
        </w:rPr>
        <w:t xml:space="preserve">” </w:t>
      </w:r>
      <w:r>
        <w:rPr>
          <w:rFonts w:ascii="Times New Roman;serif" w:hAnsi="Times New Roman;serif"/>
          <w:b w:val="false"/>
          <w:color w:val="000000"/>
          <w:sz w:val="22"/>
        </w:rPr>
        <w:t>means the primary acquisition documents governing the acquisition of any of the New Portfolio Companies.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Non-Consenting Lender</w:t>
      </w:r>
      <w:r>
        <w:rPr>
          <w:color w:val="000000"/>
        </w:rPr>
        <w:t xml:space="preserve">” </w:t>
      </w:r>
      <w:r>
        <w:rPr>
          <w:rFonts w:ascii="Times New Roman;serif" w:hAnsi="Times New Roman;serif"/>
          <w:b w:val="false"/>
          <w:color w:val="000000"/>
          <w:sz w:val="22"/>
        </w:rPr>
        <w:t xml:space="preserve">means any Lender that does not approve any consent, waiver or amendment that (a) requires the approval of all Lenders in accordance with the terms of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 xml:space="preserve">and has been approved by the Required Lenders or (b) requires the approval of all affected Lenders in accordance with the terms of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and has been approved by affected Lenders holding more than 50% of the aggregate outstanding principal amount of all Loans (and unutilized Commitments, if any) of all affected Lenders.</w:t>
      </w:r>
    </w:p>
    <w:p>
      <w:pPr>
        <w:pStyle w:val="TextBody"/>
        <w:bidi w:val="0"/>
        <w:spacing w:lineRule="auto" w:line="288" w:before="180" w:after="283"/>
        <w:ind w:left="0" w:right="0" w:firstLine="720"/>
        <w:jc w:val="both"/>
        <w:rPr/>
      </w:pPr>
      <w:r>
        <w:rPr>
          <w:color w:val="000000"/>
        </w:rPr>
        <w:t>“</w:t>
      </w:r>
      <w:r>
        <w:rPr>
          <w:rFonts w:ascii="Times New Roman;serif" w:hAnsi="Times New Roman;serif"/>
          <w:b w:val="false"/>
          <w:color w:val="000000"/>
          <w:sz w:val="22"/>
          <w:u w:val="single"/>
        </w:rPr>
        <w:t>Non-Defaulting Lender</w:t>
      </w:r>
      <w:r>
        <w:rPr>
          <w:color w:val="000000"/>
        </w:rPr>
        <w:t xml:space="preserve">” </w:t>
      </w:r>
      <w:r>
        <w:rPr>
          <w:rFonts w:ascii="Times New Roman;serif" w:hAnsi="Times New Roman;serif"/>
          <w:b w:val="false"/>
          <w:color w:val="000000"/>
          <w:sz w:val="22"/>
        </w:rPr>
        <w:t>means, at any time, each Lender that is not a Defaulting Lender at such time.</w:t>
      </w:r>
    </w:p>
    <w:p>
      <w:pPr>
        <w:pStyle w:val="TextBody"/>
        <w:bidi w:val="0"/>
        <w:spacing w:lineRule="auto" w:line="288" w:before="180" w:after="283"/>
        <w:ind w:left="0" w:right="0" w:firstLine="720"/>
        <w:jc w:val="both"/>
        <w:rPr/>
      </w:pPr>
      <w:r>
        <w:rPr>
          <w:color w:val="000000"/>
        </w:rPr>
        <w:t>“</w:t>
      </w:r>
      <w:r>
        <w:rPr>
          <w:rFonts w:ascii="Times New Roman;serif" w:hAnsi="Times New Roman;serif"/>
          <w:b w:val="false"/>
          <w:color w:val="000000"/>
          <w:sz w:val="22"/>
          <w:u w:val="single"/>
        </w:rPr>
        <w:t>Non-Subsidiary Outside Company</w:t>
      </w:r>
      <w:r>
        <w:rPr>
          <w:color w:val="000000"/>
        </w:rPr>
        <w:t xml:space="preserve">” </w:t>
      </w:r>
      <w:r>
        <w:rPr>
          <w:rFonts w:ascii="Times New Roman;serif" w:hAnsi="Times New Roman;serif"/>
          <w:b w:val="false"/>
          <w:color w:val="000000"/>
          <w:sz w:val="22"/>
        </w:rPr>
        <w:t>means an Outside Company that is not a Subsidiary of the Borrower.</w:t>
      </w:r>
    </w:p>
    <w:p>
      <w:pPr>
        <w:pStyle w:val="TextBody"/>
        <w:bidi w:val="0"/>
        <w:spacing w:lineRule="auto" w:line="288" w:before="180" w:after="283"/>
        <w:ind w:left="0" w:right="0" w:firstLine="720"/>
        <w:jc w:val="both"/>
        <w:rPr/>
      </w:pPr>
      <w:r>
        <w:rPr>
          <w:color w:val="000000"/>
        </w:rPr>
        <w:t>“</w:t>
      </w:r>
      <w:r>
        <w:rPr>
          <w:rFonts w:ascii="Times New Roman;serif" w:hAnsi="Times New Roman;serif"/>
          <w:b w:val="false"/>
          <w:color w:val="000000"/>
          <w:sz w:val="22"/>
          <w:u w:val="single"/>
        </w:rPr>
        <w:t>Note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2.11(a)</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Notice of Loan Prepayment</w:t>
      </w:r>
      <w:r>
        <w:rPr>
          <w:color w:val="000000"/>
        </w:rPr>
        <w:t xml:space="preserve">” </w:t>
      </w:r>
      <w:r>
        <w:rPr>
          <w:rFonts w:ascii="Times New Roman;serif" w:hAnsi="Times New Roman;serif"/>
          <w:b w:val="false"/>
          <w:color w:val="000000"/>
          <w:sz w:val="22"/>
        </w:rPr>
        <w:t xml:space="preserve">means a notice of prepayment with respect to a Loan, which shall be substantially in the form of </w:t>
      </w:r>
      <w:r>
        <w:rPr>
          <w:rFonts w:ascii="Times New Roman;serif" w:hAnsi="Times New Roman;serif"/>
          <w:b w:val="false"/>
          <w:color w:val="000000"/>
          <w:sz w:val="22"/>
          <w:u w:val="single"/>
        </w:rPr>
        <w:t>Exhibit C</w:t>
      </w:r>
      <w:r>
        <w:rPr>
          <w:color w:val="000000"/>
        </w:rPr>
        <w:t xml:space="preserve"> </w:t>
      </w:r>
      <w:r>
        <w:rPr>
          <w:rFonts w:ascii="Times New Roman;serif" w:hAnsi="Times New Roman;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Obligations</w:t>
      </w:r>
      <w:r>
        <w:rPr>
          <w:color w:val="000000"/>
        </w:rPr>
        <w:t xml:space="preserve">” </w:t>
      </w:r>
      <w:r>
        <w:rPr>
          <w:rFonts w:ascii="Times New Roman;serif" w:hAnsi="Times New Roman;serif"/>
          <w:b w:val="false"/>
          <w:color w:val="000000"/>
          <w:sz w:val="22"/>
        </w:rPr>
        <w:t>means (a) all advances to, and debts, liabilities, obligations, covenants and duties of, the Borrower arising under any Loan Document or otherwise with respect to any Loan or Letter of Credit and (b) all obligations of the Borrower or any Subsidiary owing to a Cash Management Bank or a Hedge Bank in respect of Secured Cash Management Agreements or Secured Hedge Agreements, in each case identified in clauses (a) and(b)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claims in such proceeding.</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OFAC</w:t>
      </w:r>
      <w:r>
        <w:rPr>
          <w:color w:val="000000"/>
        </w:rPr>
        <w:t xml:space="preserve">” </w:t>
      </w:r>
      <w:r>
        <w:rPr>
          <w:rFonts w:ascii="Times New Roman;serif" w:hAnsi="Times New Roman;serif"/>
          <w:b w:val="false"/>
          <w:color w:val="000000"/>
          <w:sz w:val="22"/>
        </w:rPr>
        <w:t>means the Office of Foreign Assets Control of the United States Department of the Treasury.</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Organization Documents</w:t>
      </w:r>
      <w:r>
        <w:rPr>
          <w:color w:val="000000"/>
        </w:rPr>
        <w:t xml:space="preserve">” </w:t>
      </w:r>
      <w:r>
        <w:rPr>
          <w:rFonts w:ascii="Times New Roman;serif" w:hAnsi="Times New Roman;serif"/>
          <w:b w:val="false"/>
          <w:color w:val="000000"/>
          <w:sz w:val="22"/>
        </w:rPr>
        <w:t>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Other Connection Taxes</w:t>
      </w:r>
      <w:r>
        <w:rPr>
          <w:color w:val="000000"/>
        </w:rPr>
        <w:t xml:space="preserve">” </w:t>
      </w:r>
      <w:r>
        <w:rPr>
          <w:rFonts w:ascii="Times New Roman;serif" w:hAnsi="Times New Roman;serif"/>
          <w:b w:val="false"/>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Other Taxes</w:t>
      </w:r>
      <w:r>
        <w:rPr>
          <w:color w:val="000000"/>
        </w:rPr>
        <w:t xml:space="preserve">” </w:t>
      </w:r>
      <w:r>
        <w:rPr>
          <w:rFonts w:ascii="Times New Roman;serif" w:hAnsi="Times New Roman;serif"/>
          <w:b w:val="false"/>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erif" w:hAnsi="Times New Roman;serif"/>
          <w:b w:val="false"/>
          <w:color w:val="000000"/>
          <w:sz w:val="22"/>
          <w:u w:val="single"/>
        </w:rPr>
        <w:t>Section 3.06</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Outside Company</w:t>
      </w:r>
      <w:r>
        <w:rPr>
          <w:color w:val="000000"/>
        </w:rPr>
        <w:t xml:space="preserve">” </w:t>
      </w:r>
      <w:r>
        <w:rPr>
          <w:rFonts w:ascii="Times New Roman;serif" w:hAnsi="Times New Roman;serif"/>
          <w:b w:val="false"/>
          <w:color w:val="000000"/>
          <w:sz w:val="22"/>
        </w:rPr>
        <w:t xml:space="preserve">means (a) a Subsidiary of the Borrower (and not of any Portfolio Company) acquired pursuant to a Permitted Ineligible Acquisition, together with any Subsidiaries of such Subsidiary and any Acquisition Subsidiary formed to consummate such Permitted Ineligible Acquisition, or (b) a company in which the Borrower has an ownership interest that was previously a Portfolio Company and has been reclassified as an Outside Company in connection with the consummation of a transaction of the type described in </w:t>
      </w:r>
      <w:r>
        <w:rPr>
          <w:rFonts w:ascii="Times New Roman;serif" w:hAnsi="Times New Roman;serif"/>
          <w:b w:val="false"/>
          <w:color w:val="000000"/>
          <w:sz w:val="22"/>
          <w:u w:val="single"/>
        </w:rPr>
        <w:t>Section 7.05(b)</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Outside Debt</w:t>
      </w:r>
      <w:r>
        <w:rPr>
          <w:color w:val="000000"/>
        </w:rPr>
        <w:t xml:space="preserve">” </w:t>
      </w:r>
      <w:r>
        <w:rPr>
          <w:rFonts w:ascii="Times New Roman;serif" w:hAnsi="Times New Roman;serif"/>
          <w:b w:val="false"/>
          <w:color w:val="000000"/>
          <w:sz w:val="22"/>
        </w:rPr>
        <w:t xml:space="preserve">means (i) Indebtedness that does not constitute Qualified Intercompany Debt and is incurred or assumed by an Outside Company in connection with the Acquisition of such Outside Company pursuant to a Permitted Ineligible Acquisition and (ii) any Indebtedness incurred by an Outside Company subsequent to the Acquisition of such Outside Company pursuant to a Permitted Ineligible Acquisition (or, as applicable, subsequent to such Outside Company having been reclassified as such in connection with the consummation of a transaction of the type described in </w:t>
      </w:r>
      <w:r>
        <w:rPr>
          <w:rFonts w:ascii="Times New Roman;serif" w:hAnsi="Times New Roman;serif"/>
          <w:b w:val="false"/>
          <w:color w:val="000000"/>
          <w:sz w:val="22"/>
          <w:u w:val="single"/>
        </w:rPr>
        <w:t>Section 7.05(b))</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Outstanding Amount</w:t>
      </w:r>
      <w:r>
        <w:rPr>
          <w:color w:val="000000"/>
        </w:rPr>
        <w:t xml:space="preserve">” </w:t>
      </w:r>
      <w:r>
        <w:rPr>
          <w:rFonts w:ascii="Times New Roman;serif" w:hAnsi="Times New Roman;serif"/>
          <w:b w:val="false"/>
          <w:color w:val="000000"/>
          <w:sz w:val="22"/>
        </w:rPr>
        <w:t>means (a) with respect to any Loans on any date, the aggregate outstanding principal amount thereof after giving effect to any borrowings and prepayments or repayments of any Loans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10.06(d)</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Participant Register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10.06(d)</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PBGC</w:t>
      </w:r>
      <w:r>
        <w:rPr>
          <w:color w:val="000000"/>
        </w:rPr>
        <w:t xml:space="preserve">” </w:t>
      </w:r>
      <w:r>
        <w:rPr>
          <w:rFonts w:ascii="Times New Roman;serif" w:hAnsi="Times New Roman;serif"/>
          <w:b w:val="false"/>
          <w:color w:val="000000"/>
          <w:sz w:val="22"/>
        </w:rPr>
        <w:t>means the Pension Benefit Guaranty Corporation.</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Pension Act</w:t>
      </w:r>
      <w:r>
        <w:rPr>
          <w:color w:val="000000"/>
        </w:rPr>
        <w:t xml:space="preserve">” </w:t>
      </w:r>
      <w:r>
        <w:rPr>
          <w:rFonts w:ascii="Times New Roman;serif" w:hAnsi="Times New Roman;serif"/>
          <w:b w:val="false"/>
          <w:color w:val="000000"/>
          <w:sz w:val="22"/>
        </w:rPr>
        <w:t>means the Pension Protection Act of 2006.</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Pension Funding Rules</w:t>
      </w:r>
      <w:r>
        <w:rPr>
          <w:color w:val="000000"/>
        </w:rPr>
        <w:t xml:space="preserve">” </w:t>
      </w:r>
      <w:r>
        <w:rPr>
          <w:rFonts w:ascii="Times New Roman;serif" w:hAnsi="Times New Roman;serif"/>
          <w:b w:val="false"/>
          <w:color w:val="000000"/>
          <w:sz w:val="22"/>
        </w:rPr>
        <w:t>means the rules of the Internal Revenue Code and ERISA regarding minimum required contributions (including any installment payment thereof) to Pension Plans and set forth in, with respect to plan years ending prior to the effective date of the Pension Act, Section 412 of the Internal Revenue Code and Section 302 of ERISA, each as in effect prior to the Pension Act and, thereafter, Sections 412, 430, 431, 432 and 436 of the Internal Revenue Code and Sections 302, 303, 304 and 305 of ERISA.</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Pension Plan</w:t>
      </w:r>
      <w:r>
        <w:rPr>
          <w:color w:val="000000"/>
        </w:rPr>
        <w:t xml:space="preserve">” </w:t>
      </w:r>
      <w:r>
        <w:rPr>
          <w:rFonts w:ascii="Times New Roman;serif" w:hAnsi="Times New Roman;serif"/>
          <w:b w:val="false"/>
          <w:color w:val="000000"/>
          <w:sz w:val="22"/>
        </w:rPr>
        <w:t>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Internal Revenue Code.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Permitted Earn Out Obligations</w:t>
      </w:r>
      <w:r>
        <w:rPr>
          <w:color w:val="000000"/>
        </w:rPr>
        <w:t xml:space="preserve">” </w:t>
      </w:r>
      <w:r>
        <w:rPr>
          <w:rFonts w:ascii="Times New Roman;serif" w:hAnsi="Times New Roman;serif"/>
          <w:b w:val="false"/>
          <w:color w:val="000000"/>
          <w:sz w:val="22"/>
        </w:rPr>
        <w:t>means, collectively, Earn Out Obligations of a Portfolio Company or its Subsidiaries arising from a Permitted Eligible Acquisition if either (a) such Earn Out Obligations are subject to subordination terms in favor of the Borrower that subordinate such Earn Out Obligations to the Intercompany Debt owing to the Borrower by such Portfolio Company and its Subsidiaries, which subordination terms must be acceptable to the Administrative Agent in its reasonable credit judgment or (b) the amount of such Earn Out Obligations, together with the amount of all other Earn Out Obligations that do not satisfy clause (a), do not exceed $10,000,000.</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Permitted Eligible Acquisition</w:t>
      </w:r>
      <w:r>
        <w:rPr>
          <w:color w:val="000000"/>
        </w:rPr>
        <w:t xml:space="preserve">” </w:t>
      </w:r>
      <w:r>
        <w:rPr>
          <w:rFonts w:ascii="Times New Roman;serif" w:hAnsi="Times New Roman;serif"/>
          <w:b w:val="false"/>
          <w:color w:val="000000"/>
          <w:sz w:val="22"/>
        </w:rPr>
        <w:t>means any Acquisition by (a) an Acquisition Subsidiary of the Borrower of all or substantially all of the assets of a Person as a New Portfolio Company or Existing Portfolio Company, or of all or substantially all of any business or division of a Person as a New Portfolio Company or Existing Portfolio Company, (b) the Borrower of no less than a majority of the Voting Equity Interests of any Person as a New Portfolio Company or Existing Portfolio Company, (c) a Portfolio Company (or an Acquisition Subsidiary of such Portfolio Company) of all or substantially all of the assets of a Person as an add-on acquisition for such Portfolio Company, or of all or substantially all of any business or division of a Person as an add-on acquisition for such Portfolio Company or (d) a Portfolio Company of no less than 100% of the Voting Equity Interests and a majority of all other Equity Interests of any Person as an add-on acquisition for such Portfolio Company, in each case to the extent that each of the following conditions precedent shall have been satisfied:</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the Administrative Agent (for further distribution by the Administrative Agent to the Lenders) shall receive not less than fifteen (15) Business Days (or such shorter period as the Administrative Agent may agree in its sole discretion) prior written notice of such Acquisition, which notice shall include a reasonably detailed description of the proposed terms of such Acquisition, and shall receive not less than five (5) Business Days (or such shorter period as the Administrative Agent may agree in its sole discretion) prior to the consummation of such Acquisition substantially final versions of the primary acquisition documents (including the purchase agreement and any Intercompany Debt Documents) to be executed in connection with such Acquisition; </w:t>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(ii) such Acquisition shall not be hostile and shall have been approved by the board of directors (or other similar body) and/or the stockholders or other equityholders of the Target; </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 no Default or Event of Default is in existence or would occur after giving effect to such Acquisition; </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(iv) (A) the Administrative Agent shall have received an updated Availability Certificate prepared on a Pro Forma Basis after giving effect to the consummation of the Acquisition and the incurrence of any Loans and other Indebtedness in connection therewith, and (B) immediately after consummation of the Acquisition and the incurrence of any Loans and other Indebtedness in connection therewith, the sum of (x) all cash and Cash Equivalents of the Borrower on deposit in an account that is with the Administrative Agent or is subject to a Qualifying Control Agreement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(y) Unused Borrowing Availability shall be not less than $25,000,000;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(v) after giving effect to such Acquisition and the incurrence of any Loans and other Indebtedness in connection therewith, the Borrower shall be in compliance on a Pro Forma Basis with the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recomputed for the twelve-month period ending on the last day of the most recently ended month for which a Compliance Certificate has been delivered to the Administrative Agent in accordance with the provisions of this Agreement, and if the aggregate consideration to be paid in such Acquisition exceeds $75,000,000, the Borrower shall have delivered to the Administrative Agent a Pro Forma Compliance Certificate demonstrating compliance with the foregoing;</w:t>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(vi) such Acquisition shall only involve a Target organized within the United States or Canada (with all Subsidiaries of such Target, subject to the proviso below, organized within the United States or, with respect to a Target organized within Canada, organized within Canada) and/or business and assets located in the United States or Canada;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 the provisions of this clause (vi) shall not apply to add-on Acquisitions of Targets and/or businesses and assets outside of the United States or Canada or Acquisitions of Targets organized within the United States or Canada that have Subsidiaries organized outside of the United States or Canada so long as the Administrative Agent has received financial data that is reasonably acceptable to the Administrative Agent which demonstrates that, after giving effect to any such Acquisition (either as a result of the add-on Acquisition of Targets and/or businesses and assets outside of the United States or Canada by an Existing Portfolio Company or a New Portfolio Company or as a result of the percentage of Portfolio Company EBITDA attributable to Subsidiaries organized outside of the United States or Canada or businesses and assets located outside of the United States or Canada of the Target in any Acquisition that is to become a Portfolio Company), no more than 25% of the aggregate amount of Portfolio Company EBITDA of the applicable Portfolio Company is attributable to Subsidiaries, businesses and assets outside of the United States (in the case of Portfolio Companies organized within the United States) and Canada (in the case of Portfolio Companies organized in Canada and in the case of Portfolio Companies organized in the United States to the extent that the Subsidiaries that are organized in Canada of the applicable Portfolio Company organized in the United States become guarantors under the Intercompany Debt Documents of such Portfolio Company), and (B) after giving effect to any Acquisition of a Target organized in Canada, no more than 25% of the aggregate Portfolio Company EBITDA of all Portfolio Companies, calculated on a Pro Forma Basis, is attributable to Portfolio Companies organized in Canada and their Subsidiaries (excluding for this purpose any such Portfolio Companies with respect to which perfected, first priority Liens on substantially all of their assets have been granted to the Borrower pursuant to the applicable Qualified Intercompany Debt Documents);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 the business of the Target would not subject the Administrative Agent or any Lender to regulatory or third party approvals in connection with the exercise of its rights and remedies under this Agreement or any other Loan Documents other than approvals applicable to the exercise of such rights and remedies with respect to the Borrower prior to such Acquisition; </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(viii) upon the reasonable request of the Administrative Agent, the Administrative Agent (for further distribution by the Administrative Agent to the Lenders) shall have received: (A) a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general description of (1) the Target’s business, (2) the Target’s competitive position within the Target’s industry, (3) material agreements binding upon the Target or any of its personal or real property and, if requested by the Administrative Agent, copies of such material agreements and (4) pending material litigation involving the Target; (B) background checks with respect to the management of the Target, (C) environmental reports and related information regarding any property owned, leased or otherwise used by the Target; and (D) any other material due diligence information or investigation with respect to the Target that is reasonably required by the Administrative Agent, which, shall be in form and substance reasonably satisfactory to the Administrative Agent that no Material Adverse Effect would be caused by, or would exist after giving effect to, the proposed Acquisition;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(ix) with respect to any Acquisition that is an add-on acquisition by a Portfolio Company, the Target in such Acquisition shall comprise a business of or ancillary to the type engaged in by such acquiring Portfolio Company;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 upon the reasonable request of the Administrative Agent, the Administrative Agent (for further distribution by the Administrative Agent to the Lenders) shall have received a financial due diligence report with respect to the Target, inclusive of a quality of earnings assessment and a calculation of the pro forma Consolidated EBITDA attributable to the Target;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(xi) the Target must have had a positive pro forma EBITDA on a cumulative basis for the immediately preceding four fiscal quarters;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(xii) the Target must have in place, with financially sound and reputable insurers, public liability, property damage and business interruption insurance with respect to its business and properties against loss or damage of the kinds customarily carried or maintained by Persons of established reputation engaged in similar businesses and in commercial reasonable amounts, and the Administrative Agent shall receive, within thirty (30) days (or such longer period as the Administrative Agent agrees in its sole discretion) immediately after the consummation of the Acquisition of the Target, evidence of such insurance that meets the foregoing requirements and the other insurance requirements set forth herein;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(xiii) the acquisition documents governing such Acquisition shall permit the collateral assignment by the Borrower of its rights under such acquisition documents to the Administrative Agent as security for the Obligations and for the Administrative Agent’s reliance on any legal opinions rendered in connection with such Acquisition;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(xiv) there shall be no Indebtedness incurred or assumed in connection with such Acquisition other than Revolving Loans funded to the Borrower under this Agreement, Qualified Intercompany Debt incurred by the applicable Target and Indebtedness permitted under</w:t>
      </w:r>
      <w:r>
        <w:rPr>
          <w:color w:val="000000"/>
        </w:rPr>
        <w:t xml:space="preserve"> </w:t>
      </w:r>
      <w:r>
        <w:rPr>
          <w:rFonts w:ascii="Times New Roman;serif" w:hAnsi="Times New Roman;serif"/>
          <w:b w:val="false"/>
          <w:color w:val="000000"/>
          <w:sz w:val="22"/>
          <w:u w:val="single"/>
        </w:rPr>
        <w:t>Sections 7.03(e)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7.03(i)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7.03(k)</w:t>
      </w:r>
      <w:r>
        <w:rPr>
          <w:rFonts w:ascii="Times New Roman;serif" w:hAnsi="Times New Roman;serif"/>
          <w:b w:val="false"/>
          <w:color w:val="000000"/>
          <w:sz w:val="22"/>
        </w:rPr>
        <w:t xml:space="preserve">; </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(xv) to the extent that any investments of Qualified Intercompany Debt are made in the Target in connection with such Acquisition, (A) such Qualified Intercompany Debt shall be evidenced by Qualified Intercompany Debt Documents pursuant to which, among other things, a perfected, first-priority Lien has been granted to the Borrower in substantially all of the assets of such Target (other than a Target organized in Canada) in accordance with the definition of the term Qualified Intercompany Debt Documents, and (B) the Administrative Agent shall have received projections and other financial data reasonably acceptable to the Administrative Agent which demonstrates that, after giving effect to such investments of Qualified Intercompany Debt, (1) such Target is Solvent and (2) the Portfolio Company Leverage Ratio for such Target would not be greater than 5.00 to 1.00;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(xvi) in the case of any such Acquisition by the Borrower of less than all of the Voting Equity Interests of any Person as a New Portfolio Company or Existing Portfolio Company, none of the Organization Documents of the Target (or any Acquisition Subsidiary formed in connection with such Acquisition), any shareholder agreements relating to the Equity Interests in the Target (or any Acquisition Subsidiary formed in connection with such Acquisition), and any other agreements or instruments conferring rights upon the minority holders of the Equity Interests in the Target (or any Acquisition Subsidiary formed in connection with such Acquisition) shall in any way (A) prohibit or otherwise impair the Administrative Agent’s Lien on the Equity Interests owned by the Borrower in such Portfolio Company or Acquisition Subsidiary or (B) allow the minority holders of the Equity Interests in such Portfolio Company or Acquisition Subsidiary to block or otherwise interfere in any way with the exercise of remedies by the Administrative Agent with respect to the Equity Interests owned by the Borrower in such Portfolio Company or Acquisition Subsidiary (including the Administrative Agent’s foreclosure of Liens on such Equity Interests and the sale, transfer or other disposition by the Administrative Agent of such Equity Interests);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this clause (B) shall not prohibit customary “tag-along” or “co-sale” rights granted to minority holders of Equity Interests so long as such “tag-along” or “co-sale” rights do not apply to (1) the granting of Liens on such Equity Interests in favor of the Administrative Agent, (2) the foreclosure by the Administrative Agent of its Liens on such Equity Interests or transfer of such Equity Interests to the Administrative Agent or (3) any sale, transfer or other disposition by the Administrative Agent of such Equity Interests to a third party;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(xvii) all material consents necessary for such Acquisition (including such consents as the Administrative Agent deems reasonably necessary) have been acquired and such Acquisition is consummated in accordance with the applicable acquisition documents and applicable Law; and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(xviii) promptly after obtaining knowledge thereof, the Borrower shall provide to the Administrative Agent notice of any material change to any of the documents or information previously provided pursuant to clauses (i) through </w:t>
      </w:r>
      <w:r>
        <w:rPr>
          <w:rFonts w:ascii="Times New Roman;serif" w:hAnsi="Times New Roman;serif"/>
          <w:b w:val="false"/>
          <w:color w:val="000000"/>
          <w:sz w:val="22"/>
          <w:u w:val="single"/>
        </w:rPr>
        <w:t>(xvii)</w:t>
      </w:r>
      <w:r>
        <w:rPr>
          <w:color w:val="000000"/>
        </w:rPr>
        <w:t xml:space="preserve"> </w:t>
      </w:r>
      <w:r>
        <w:rPr>
          <w:rFonts w:ascii="Times New Roman;serif" w:hAnsi="Times New Roman;serif"/>
          <w:b w:val="false"/>
          <w:color w:val="000000"/>
          <w:sz w:val="22"/>
        </w:rPr>
        <w:t xml:space="preserve">above;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such Acquisition is otherwise a Permitted Eligible Acquisition under clauses (c) or (d) hereof and the aggregate consideration to be paid in such Acquisition is (x) $75,000,000 or less, then the conditions set forth in the foregoing clauses (i), (iv), (viii), and (x) shall not be required to be satisfied, and (y) $25,000,000 or less, then the conditions set forth in the foregoing clause (xi) shall not be required to be satisfied.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Permitted Ineligible Acquisition</w:t>
      </w:r>
      <w:r>
        <w:rPr>
          <w:color w:val="000000"/>
        </w:rPr>
        <w:t xml:space="preserve">” </w:t>
      </w:r>
      <w:r>
        <w:rPr>
          <w:rFonts w:ascii="Times New Roman;serif" w:hAnsi="Times New Roman;serif"/>
          <w:b w:val="false"/>
          <w:color w:val="000000"/>
          <w:sz w:val="22"/>
        </w:rPr>
        <w:t xml:space="preserve">means any Acquisition that is funded in whole or in part by Outside Debt incurred only after Required Lenders have refused to allow for the treatment of the applicable Target in such Acquisition as an Existing Portfolio Company in accordance with the provisions hereof and where (a) an Acquisition Subsidiary of the Borrower has acquired all or substantially all of the assets of a Person as an Outside Company, or of all or substantially all of any business or division of a Person as an Outside Company or (b) the Borrower has acquired no less than a majority of the Voting Equity Interests of any Person as an Outside Company, in each case to the extent that each of the following conditions precedent shall have been satisfied: </w:t>
      </w:r>
    </w:p>
    <w:p>
      <w:pPr>
        <w:pStyle w:val="TextBody"/>
        <w:bidi w:val="0"/>
        <w:spacing w:before="0" w:after="0"/>
        <w:jc w:val="left"/>
        <w:rPr/>
      </w:pPr>
      <w:r>
        <w:rPr/>
      </w:r>
    </w:p>
    <w:p>
      <w:pPr>
        <w:pStyle w:val="TextBody"/>
        <w:bidi w:val="0"/>
        <w:spacing w:lineRule="auto" w:line="288"/>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 xml:space="preserve">(i) the Administrative Agent (for further distribution by the Administrative Agent to the Lenders) shall receive not less than fifteen (15) Business Days (or such shorter period as the Administrative Agent may agree in its sole discretion) prior written notice of such Acquisition, which notice shall include a reasonably detailed description of the proposed terms of such Acquisition, and shall receive not less than five (5) Business Days (or such shorter period as the Administrative Agent may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agree in its sole discretion) prior to the consummation of such Acquisition substantially final versions of the primary acquisition documents (including the purchase agreement and any Intercompany Debt Documents) to be executed in connection with such Acquisition; </w:t>
      </w:r>
    </w:p>
    <w:p>
      <w:pPr>
        <w:pStyle w:val="TextBody"/>
        <w:bidi w:val="0"/>
        <w:spacing w:before="0" w:after="0"/>
        <w:jc w:val="left"/>
        <w:rPr/>
      </w:pPr>
      <w:r>
        <w:rPr/>
      </w:r>
    </w:p>
    <w:p>
      <w:pPr>
        <w:pStyle w:val="TextBody"/>
        <w:bidi w:val="0"/>
        <w:spacing w:lineRule="auto" w:line="288" w:before="0" w:after="0"/>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 xml:space="preserve">(ii) such Acquisition shall not be hostile and shall have been approved by the board of directors (or other similar body) and/or the stockholders or other equityholders of the Target; </w:t>
      </w:r>
    </w:p>
    <w:p>
      <w:pPr>
        <w:pStyle w:val="TextBody"/>
        <w:bidi w:val="0"/>
        <w:spacing w:before="0" w:after="0"/>
        <w:ind w:left="0" w:right="0" w:firstLine="979"/>
        <w:jc w:val="both"/>
        <w:rPr/>
      </w:pPr>
      <w:r>
        <w:rPr/>
      </w:r>
    </w:p>
    <w:p>
      <w:pPr>
        <w:pStyle w:val="TextBody"/>
        <w:bidi w:val="0"/>
        <w:spacing w:lineRule="auto" w:line="288" w:before="0" w:after="0"/>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 xml:space="preserve">(iii) no Default or Event of Default is in existence or would occur after giving effect to such Acquisition; </w:t>
      </w:r>
    </w:p>
    <w:p>
      <w:pPr>
        <w:pStyle w:val="TextBody"/>
        <w:bidi w:val="0"/>
        <w:spacing w:before="0" w:after="0"/>
        <w:jc w:val="left"/>
        <w:rPr/>
      </w:pPr>
      <w:r>
        <w:rPr/>
      </w:r>
    </w:p>
    <w:p>
      <w:pPr>
        <w:pStyle w:val="TextBody"/>
        <w:bidi w:val="0"/>
        <w:spacing w:lineRule="auto" w:line="288" w:before="0" w:after="0"/>
        <w:ind w:left="0" w:right="0" w:firstLine="979"/>
        <w:jc w:val="both"/>
        <w:rPr/>
      </w:pPr>
      <w:r>
        <w:rPr>
          <w:rFonts w:ascii="Times New Roman;serif" w:hAnsi="Times New Roman;serif"/>
          <w:b w:val="false"/>
          <w:color w:val="000000"/>
          <w:sz w:val="22"/>
        </w:rPr>
        <w:t xml:space="preserve">(iv) (A) the Administrative Agent shall have received an updated Availability Certificate prepared on a Pro Forma Basis after giving effect to the consummation of the Acquisition and the incurrence of any Loans and other Indebtedness in connection therewith, and (B) immediately after consummation of the Acquisition and the incurrence of any Loans and other Indebtedness in connection therewith, the sum of (x) all cash and Cash Equivalents of the Borrower on deposit in an account that is with the Administrative Agent or is subject to a Qualifying Control Agreement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(y) Unused Borrowing Availability shall be not less than $25,000,000; </w:t>
      </w:r>
    </w:p>
    <w:p>
      <w:pPr>
        <w:pStyle w:val="TextBody"/>
        <w:bidi w:val="0"/>
        <w:spacing w:before="0" w:after="0"/>
        <w:jc w:val="left"/>
        <w:rPr/>
      </w:pPr>
      <w:r>
        <w:rPr/>
      </w:r>
    </w:p>
    <w:p>
      <w:pPr>
        <w:pStyle w:val="TextBody"/>
        <w:bidi w:val="0"/>
        <w:spacing w:lineRule="auto" w:line="288" w:before="0" w:after="0"/>
        <w:ind w:left="0" w:right="0" w:firstLine="979"/>
        <w:jc w:val="both"/>
        <w:rPr/>
      </w:pPr>
      <w:r>
        <w:rPr>
          <w:rFonts w:ascii="Times New Roman;serif" w:hAnsi="Times New Roman;serif"/>
          <w:b w:val="false"/>
          <w:color w:val="000000"/>
          <w:sz w:val="22"/>
        </w:rPr>
        <w:t xml:space="preserve">(v) after giving effect to such Acquisition and the incurrence of any Loans and other Indebtedness in connection therewith, the Borrower shall be in compliance on a Pro Forma Basis with the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 xml:space="preserve">recomputed for the twelve-month period ending on the last day of the most recently ended month for which a Compliance Certificate has been delivered to the Administrative Agent in accordance with the provisions of this Agreement; </w:t>
      </w:r>
    </w:p>
    <w:p>
      <w:pPr>
        <w:pStyle w:val="TextBody"/>
        <w:bidi w:val="0"/>
        <w:spacing w:before="0" w:after="0"/>
        <w:jc w:val="left"/>
        <w:rPr/>
      </w:pPr>
      <w:r>
        <w:rPr/>
      </w:r>
    </w:p>
    <w:p>
      <w:pPr>
        <w:pStyle w:val="TextBody"/>
        <w:bidi w:val="0"/>
        <w:spacing w:lineRule="auto" w:line="288" w:before="0" w:after="0"/>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 xml:space="preserve">(vi) the business of the Target would not subject the Administrative Agent or any Lender to regulatory or third party approvals in connection with the exercise of its rights and remedies under this Agreement or any other Loan Documents other than approvals applicable to the exercise of such rights and remedies with respect to the Borrower prior to such Acquisition; </w:t>
      </w:r>
    </w:p>
    <w:p>
      <w:pPr>
        <w:pStyle w:val="TextBody"/>
        <w:bidi w:val="0"/>
        <w:spacing w:before="0" w:after="0"/>
        <w:jc w:val="left"/>
        <w:rPr/>
      </w:pPr>
      <w:r>
        <w:rPr/>
      </w:r>
    </w:p>
    <w:p>
      <w:pPr>
        <w:pStyle w:val="TextBody"/>
        <w:bidi w:val="0"/>
        <w:spacing w:lineRule="auto" w:line="288" w:before="0" w:after="0"/>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 xml:space="preserve">(vii) upon the reasonable request of the Administrative Agent, the Administrative Agent (for further distribution by the Administrative Agent to the Lenders) shall have received (A) a general description of (1) the Target’s business, (2) the Target’s competitive position within the Target’s industry, (3) material agreements binding upon the Target or any of its personal or real property and, if requested by the Administrative Agent, copies of such material agreements and (4) pending material litigation involving the Target; (B) background checks with respect to the management of the Target, (C) environmental reports and related information regarding any property owned, leased or otherwise used by the Target; and (D) any other material due diligence information or investigation with respect to the Target that is reasonably required by the Administrative Agent; </w:t>
      </w:r>
    </w:p>
    <w:p>
      <w:pPr>
        <w:pStyle w:val="TextBody"/>
        <w:bidi w:val="0"/>
        <w:spacing w:before="0" w:after="0"/>
        <w:jc w:val="left"/>
        <w:rPr/>
      </w:pPr>
      <w:r>
        <w:rPr/>
      </w:r>
    </w:p>
    <w:p>
      <w:pPr>
        <w:pStyle w:val="TextBody"/>
        <w:bidi w:val="0"/>
        <w:spacing w:lineRule="auto" w:line="288" w:before="0" w:after="0"/>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(viii) upon the reasonable request of the Administrative Agent, the Administrative Agent (for further distribution by the Administrative Agent to the Lenders) shall have received a financial due diligence report with respect to the Target, inclusive of a quality of earnings assessment and a calculation of the pro forma Consolidated EBITDA attributable to the Target;</w:t>
      </w:r>
    </w:p>
    <w:p>
      <w:pPr>
        <w:pStyle w:val="TextBody"/>
        <w:bidi w:val="0"/>
        <w:spacing w:before="0" w:after="0"/>
        <w:jc w:val="left"/>
        <w:rPr/>
      </w:pPr>
      <w:r>
        <w:rPr/>
      </w:r>
    </w:p>
    <w:p>
      <w:pPr>
        <w:pStyle w:val="TextBody"/>
        <w:bidi w:val="0"/>
        <w:spacing w:lineRule="auto" w:line="288"/>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 xml:space="preserve">(ix) the acquisition documents governing such Acquisition, and the loan documents governing any Investments constituting Indebtedness made by the Borrower in the applicable Target, shall permit the collateral assignment by the Borrower of its rights under such acquisition documents to the Administrative Agent as security for the Obligations and for the Administrative Agent’s reliance on any legal opinions rendered in connection with such Acquisition;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 xml:space="preserve">(x) all material consents necessary for such Acquisition (including such consents as the Administrative Agent deems reasonably necessary) have been acquired and such Acquisition is consummated in accordance with the applicable acquisition documents and applicable Law; and </w:t>
      </w:r>
    </w:p>
    <w:p>
      <w:pPr>
        <w:pStyle w:val="TextBody"/>
        <w:bidi w:val="0"/>
        <w:spacing w:lineRule="auto" w:line="288" w:before="180" w:after="283"/>
        <w:ind w:left="0" w:right="0" w:firstLine="979"/>
        <w:jc w:val="both"/>
        <w:rPr/>
      </w:pPr>
      <w:r>
        <w:rPr>
          <w:rFonts w:ascii="Times New Roman;serif" w:hAnsi="Times New Roman;serif"/>
          <w:b w:val="false"/>
          <w:color w:val="000000"/>
          <w:sz w:val="22"/>
        </w:rPr>
        <w:t xml:space="preserve">(xi) promptly after obtaining knowledge thereof, the Borrower shall provide to the Administrative Agent notice of any material change to any of the documents or information previously provided pursuant to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through (</w:t>
      </w:r>
      <w:r>
        <w:rPr>
          <w:rFonts w:ascii="Times New Roman;serif" w:hAnsi="Times New Roman;serif"/>
          <w:b w:val="false"/>
          <w:color w:val="000000"/>
          <w:sz w:val="22"/>
          <w:u w:val="single"/>
        </w:rPr>
        <w:t>x</w:t>
      </w:r>
      <w:r>
        <w:rPr>
          <w:rFonts w:ascii="Times New Roman;serif" w:hAnsi="Times New Roman;serif"/>
          <w:b w:val="false"/>
          <w:color w:val="000000"/>
          <w:sz w:val="22"/>
        </w:rPr>
        <w:t xml:space="preserve">) above.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Permitted Liens</w:t>
      </w:r>
      <w:r>
        <w:rPr>
          <w:color w:val="000000"/>
        </w:rPr>
        <w:t xml:space="preserve">” </w:t>
      </w:r>
      <w:r>
        <w:rPr>
          <w:rFonts w:ascii="Times New Roman;serif" w:hAnsi="Times New Roman;serif"/>
          <w:b w:val="false"/>
          <w:color w:val="000000"/>
          <w:sz w:val="22"/>
        </w:rPr>
        <w:t xml:space="preserve">means, at any time, Liens in respect of property of the Borrower or any Subsidiary permitted to exist at such time pursuant to the terms of </w:t>
      </w:r>
      <w:r>
        <w:rPr>
          <w:rFonts w:ascii="Times New Roman;serif" w:hAnsi="Times New Roman;serif"/>
          <w:b w:val="false"/>
          <w:color w:val="000000"/>
          <w:sz w:val="22"/>
          <w:u w:val="single"/>
        </w:rPr>
        <w:t>Section 7.01</w:t>
      </w:r>
      <w:r>
        <w:rPr>
          <w:rFonts w:ascii="Times New Roman;serif" w:hAnsi="Times New Roman;serif"/>
          <w:b w:val="false"/>
          <w:color w:val="000000"/>
          <w:sz w:val="22"/>
        </w:rPr>
        <w:t>.</w:t>
      </w:r>
    </w:p>
    <w:p>
      <w:pPr>
        <w:pStyle w:val="TextBody"/>
        <w:bidi w:val="0"/>
        <w:spacing w:lineRule="auto" w:line="288" w:before="240" w:after="283"/>
        <w:ind w:left="0" w:right="0" w:firstLine="720"/>
        <w:jc w:val="both"/>
        <w:rPr/>
      </w:pPr>
      <w:r>
        <w:rPr>
          <w:color w:val="0000FF"/>
          <w:u w:val="single"/>
        </w:rPr>
        <w:t>“</w:t>
      </w:r>
      <w:r>
        <w:rPr>
          <w:rFonts w:ascii="Times New Roman;serif" w:hAnsi="Times New Roman;serif"/>
          <w:b w:val="false"/>
          <w:color w:val="0000FF"/>
          <w:sz w:val="22"/>
          <w:u w:val="single"/>
        </w:rPr>
        <w:t xml:space="preserve">Permitted Supply Chain Arrangement” means any customary supply chain financing under which Rimports and any other Portfolio Company </w:t>
      </w:r>
      <w:r>
        <w:rPr>
          <w:rFonts w:ascii="Times New Roman;serif" w:hAnsi="Times New Roman;serif"/>
          <w:b w:val="false"/>
          <w:color w:val="008000"/>
          <w:sz w:val="22"/>
          <w:u w:val="single"/>
        </w:rPr>
        <w:t xml:space="preserve">approved by the Administrative Agent </w:t>
      </w:r>
      <w:r>
        <w:rPr>
          <w:rFonts w:ascii="Times New Roman;serif" w:hAnsi="Times New Roman;serif"/>
          <w:b w:val="false"/>
          <w:color w:val="0000FF"/>
          <w:sz w:val="22"/>
          <w:u w:val="single"/>
        </w:rPr>
        <w:t>in its reasonable discretion, or any Subsidiary thereof, sells specified accounts originated by such Portfolio Company in the ordinary course of business and other assets customarily transferred in connection therewith (the “Supply Chain Financing Assets”) to a financial institution on a “true sale” basis for which such financial institution has no recourse against the Borrower or any Subsidiary other than for customary representations and warranties and indemnities made by such Portfolio Company.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Permitted Trust Merger</w:t>
      </w:r>
      <w:r>
        <w:rPr>
          <w:color w:val="000000"/>
        </w:rPr>
        <w:t xml:space="preserve">” </w:t>
      </w:r>
      <w:r>
        <w:rPr>
          <w:rFonts w:ascii="Times New Roman;serif" w:hAnsi="Times New Roman;serif"/>
          <w:b w:val="false"/>
          <w:color w:val="000000"/>
          <w:sz w:val="22"/>
        </w:rPr>
        <w:t xml:space="preserve">means a merger of the Trust with and into the Borrower, with the Borrower as the surviving company, which is consummated with prior written notice to the Administrative Agent and in compliance with the Trust Agreement and applicable Law, and otherwise on terms and conditions reasonably acceptable to the Administrative Agent.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natural person, corporation, limited liability company, trust, joint venture, association, company, partnership, Governmental Authority or other entity.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Plan</w:t>
      </w:r>
      <w:r>
        <w:rPr>
          <w:color w:val="000000"/>
        </w:rPr>
        <w:t xml:space="preserve">” </w:t>
      </w:r>
      <w:r>
        <w:rPr>
          <w:rFonts w:ascii="Times New Roman;serif" w:hAnsi="Times New Roman;serif"/>
          <w:b w:val="false"/>
          <w:color w:val="000000"/>
          <w:sz w:val="22"/>
        </w:rPr>
        <w:t>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Platform</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6.02</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Portfolio Companies</w:t>
      </w:r>
      <w:r>
        <w:rPr>
          <w:color w:val="000000"/>
        </w:rPr>
        <w:t xml:space="preserve">” </w:t>
      </w:r>
      <w:r>
        <w:rPr>
          <w:rFonts w:ascii="Times New Roman;serif" w:hAnsi="Times New Roman;serif"/>
          <w:b w:val="false"/>
          <w:color w:val="000000"/>
          <w:sz w:val="22"/>
        </w:rPr>
        <w:t>means Existing Portfolio Companies and New Portfolio Companies, and shall in all instances exclude any Outside Companies.</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Portfolio Company EBITDA</w:t>
      </w:r>
      <w:r>
        <w:rPr>
          <w:color w:val="000000"/>
        </w:rPr>
        <w:t xml:space="preserve">” </w:t>
      </w:r>
      <w:r>
        <w:rPr>
          <w:rFonts w:ascii="Times New Roman;serif" w:hAnsi="Times New Roman;serif"/>
          <w:b w:val="false"/>
          <w:color w:val="000000"/>
          <w:sz w:val="22"/>
        </w:rPr>
        <w:t xml:space="preserve">means, for any Portfolio Company for any period, Consolidated Net Income of such Portfolio Company </w:t>
      </w:r>
      <w:r>
        <w:rPr>
          <w:rFonts w:ascii="Times New Roman;serif" w:hAnsi="Times New Roman;serif"/>
          <w:b w:val="false"/>
          <w:color w:val="000000"/>
          <w:sz w:val="22"/>
          <w:u w:val="single"/>
        </w:rPr>
        <w:t>plus</w:t>
      </w:r>
      <w:r>
        <w:rPr>
          <w:rFonts w:ascii="Times New Roman;serif" w:hAnsi="Times New Roman;serif"/>
          <w:b w:val="false"/>
          <w:color w:val="000000"/>
          <w:sz w:val="22"/>
        </w:rPr>
        <w:t xml:space="preserve">, to the extent deducted in determining such Consolidated Net Income (and without duplication), (i) the consolidated interest expense of such Portfolio Company (including the portion of rent expense with respect to such period under capital leases and the implied interest component of Synthetic Lease Obligations), determined in accordance with GAAP, (ii) income tax expense of such Portfolio Company, (iii) depreciation and amortization of such Portfolio Company, (iv) Management Fees paid that are permitted under </w:t>
      </w:r>
      <w:r>
        <w:rPr>
          <w:rFonts w:ascii="Times New Roman;serif" w:hAnsi="Times New Roman;serif"/>
          <w:b w:val="false"/>
          <w:color w:val="000000"/>
          <w:sz w:val="22"/>
          <w:u w:val="single"/>
        </w:rPr>
        <w:t>Section 7.06</w:t>
      </w:r>
      <w:r>
        <w:rPr>
          <w:color w:val="000000"/>
        </w:rPr>
        <w:t xml:space="preserve"> </w:t>
      </w:r>
      <w:r>
        <w:rPr>
          <w:rFonts w:ascii="Times New Roman;serif" w:hAnsi="Times New Roman;serif"/>
          <w:b w:val="false"/>
          <w:color w:val="000000"/>
          <w:sz w:val="22"/>
        </w:rPr>
        <w:t xml:space="preserve">and satisfied by or otherwise allocable to such Portfolio Company, (v) non-cash charges incurred to reflect any in-process research and development acquired by the Borrower at the time of its acquisition of such Portfolio Company, (vi) expense in respect of any forgiveness of non-cash loans to management of such Portfolio Company, (vii) other non-cash expenses (or less gains or income) for which no cash outlay (or cash receipt) is foreseeable prior to the Maturity Date with respect to Revolving Loans, (viii) Integration Services Fees and one-time closing costs and expenses incurred by such Portfolio Company in connection with consummating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acquisition of such Portfolio Company or of a Target acquired by such Portfolio Company pursuant to a Permitted Eligible Acquisition that is an add-on Acquisition, and (ix) integration costs incurred by such Portfolio Company in connection with the integration of a Target acquired by such Portfolio Company pursuant to a Permitted Eligible Acquisition that is an add-on Acquisition, in each case so long as (A) the aggregate amount of all such integration costs with respect to such Target so added back to the Portfolio Company EBITDA of such Portfolio Company pursuant to this clause (ix) does not exceed the lesser of (I) fifteen percent (15%) of the amount of the Portfolio Company EBITDA of such Portfolio Company (after giving effect to the consummation of the Acquisition of the applicable add-on Target and as of the date thereof) and (II) forty percent (40%) of the pro forma EBITDA of the applicable add-on Target, and (B) such integration costs are incurred within the first twenty-four (24) months following the consummation of the applicable Acquisition;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with respect to a Portfolio Company that is acquired pursuant to a Permitted Eligible Acquisition after the date hereof, for any period prior to the acquisition of such Portfolio Company pursuant to such Permitted Eligible Acquisition, the Portfolio Company EBITDA for such Portfolio Company shall be equal to the pro forma EBITDA of such Portfolio Company (calculated substantially in accordance with the above provisions of this definition, as adjusted by extraordinary expenses, increased costs, identifiable and verifiable expense reductions and excess management compensation, if any, in each case calculated by the Borrower in accordance with the requirements of GAAP and Article XI of regulation S-X under the Securities Exchange Act of 1934, with such adjustments thereto as the Administrative Agent may reasonably require) for such pre-acquisition period. </w:t>
      </w:r>
    </w:p>
    <w:p>
      <w:pPr>
        <w:pStyle w:val="TextBody"/>
        <w:bidi w:val="0"/>
        <w:spacing w:lineRule="auto" w:line="288" w:before="180" w:after="283"/>
        <w:ind w:left="0" w:right="0" w:firstLine="720"/>
        <w:jc w:val="both"/>
        <w:rPr/>
      </w:pPr>
      <w:r>
        <w:rPr>
          <w:color w:val="000000"/>
        </w:rPr>
        <w:t>“</w:t>
      </w:r>
      <w:r>
        <w:rPr>
          <w:rFonts w:ascii="Times New Roman;serif" w:hAnsi="Times New Roman;serif"/>
          <w:b w:val="false"/>
          <w:color w:val="000000"/>
          <w:sz w:val="22"/>
          <w:u w:val="single"/>
        </w:rPr>
        <w:t>Portfolio Company Leverage Ratio</w:t>
      </w:r>
      <w:r>
        <w:rPr>
          <w:color w:val="000000"/>
        </w:rPr>
        <w:t xml:space="preserve">” </w:t>
      </w:r>
      <w:r>
        <w:rPr>
          <w:rFonts w:ascii="Times New Roman;serif" w:hAnsi="Times New Roman;serif"/>
          <w:b w:val="false"/>
          <w:color w:val="000000"/>
          <w:sz w:val="22"/>
        </w:rPr>
        <w:t>means, for any Portfolio Company as of any date of determination, the ratio of (a) all Indebtedness (other than Indebtedness described in clauses (d) and (i) of the definition thereof unless such Indebtedness is reflected on the balance sheet of such Portfolio Company as a liability in accordance with GAAP) of such Portfolio Company, determined on a consolidated basis for such Portfolio Company and its Subsidiaries, to (b) the Portfolio Company EBITDA of such Portfolio Company for the twelve-month period ending on the last day of the most recently ended month for which financial statements regarding such Portfolio Company have been delivered to the Administrative Agent in accordance with the terms of this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PrimaLoft</w:t>
      </w:r>
      <w:r>
        <w:rPr>
          <w:color w:val="000000"/>
        </w:rPr>
        <w:t xml:space="preserve">” </w:t>
      </w:r>
      <w:r>
        <w:rPr>
          <w:rFonts w:ascii="Times New Roman;serif" w:hAnsi="Times New Roman;serif"/>
          <w:b w:val="false"/>
          <w:color w:val="000000"/>
          <w:sz w:val="22"/>
        </w:rPr>
        <w:t>means Relentless Topco, Inc., a Delaware</w:t>
      </w:r>
      <w:r>
        <w:rPr>
          <w:color w:val="000000"/>
        </w:rPr>
        <w:t xml:space="preserve"> </w:t>
      </w:r>
      <w:r>
        <w:rPr>
          <w:rFonts w:ascii="Times New Roman;serif" w:hAnsi="Times New Roman;serif"/>
          <w:b w:val="false"/>
          <w:color w:val="000000"/>
          <w:sz w:val="22"/>
        </w:rPr>
        <w:t xml:space="preserve">corporation. </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Pro Forma Basis</w:t>
      </w:r>
      <w:r>
        <w:rPr>
          <w:color w:val="000000"/>
        </w:rPr>
        <w:t xml:space="preserve">” </w:t>
      </w:r>
      <w:r>
        <w:rPr>
          <w:rFonts w:ascii="Times New Roman;serif" w:hAnsi="Times New Roman;serif"/>
          <w:b w:val="false"/>
          <w:color w:val="000000"/>
          <w:sz w:val="22"/>
        </w:rPr>
        <w:t xml:space="preserve">means, with respect to any transaction, that for purposes of calculating the financial covenants set forth in </w:t>
      </w:r>
      <w:r>
        <w:rPr>
          <w:rFonts w:ascii="Times New Roman;serif" w:hAnsi="Times New Roman;serif"/>
          <w:b w:val="false"/>
          <w:color w:val="000000"/>
          <w:sz w:val="22"/>
          <w:u w:val="single"/>
        </w:rPr>
        <w:t>Section 7.11</w:t>
      </w:r>
      <w:r>
        <w:rPr>
          <w:rFonts w:ascii="Times New Roman;serif" w:hAnsi="Times New Roman;serif"/>
          <w:b w:val="false"/>
          <w:color w:val="000000"/>
          <w:sz w:val="22"/>
        </w:rPr>
        <w:t xml:space="preserve">, such transaction (including the incurrence of any Funded Indebtedness in connection therewith) shall be deemed to have occurred as of the first day of the most recent twelve-month period preceding the date of such transaction for which the Borrower was required to deliver a Compliance Certificate pursuant to </w:t>
      </w:r>
      <w:r>
        <w:rPr>
          <w:rFonts w:ascii="Times New Roman;serif" w:hAnsi="Times New Roman;serif"/>
          <w:b w:val="false"/>
          <w:color w:val="000000"/>
          <w:sz w:val="22"/>
          <w:u w:val="single"/>
        </w:rPr>
        <w:t>Section 6.02(b)</w:t>
      </w:r>
      <w:r>
        <w:rPr>
          <w:rFonts w:ascii="Times New Roman;serif" w:hAnsi="Times New Roman;serif"/>
          <w:b w:val="false"/>
          <w:color w:val="000000"/>
          <w:sz w:val="22"/>
        </w:rPr>
        <w:t xml:space="preserve">. In connection with the foregoing, (a) with respect to any Disposition or Recovery Event, (i) income statement and cash flow statement items (whether positive or negative) attributable to the property disposed of shall be excluded to the extent relating to any period occurring prior to the date of such transaction and (ii) Indebtedness which is retired shall be excluded and deemed to have been retired as of the first day of the applicable period and (b) with respect to any Acquisition, (i) income statement and cash flow statement items attributable to the Person or property acquired shall be included to the extent relating to any period applicable in such calculations to the extent (A) such items are not otherwise included in such income statement and cash flow statement items for the Borrower and its Subsidiaries in accordance with GAAP or in accordance with any defined terms set forth in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 xml:space="preserve">and (B) such items are supported by financial statements or other information reasonably satisfactory to the Administrative Agent and (ii) any Indebtedness incurred or assumed by the Borrower or any Subsidiary (including the Person or property acquired) in connection with such transaction and any Indebtedness of the Person or property acquired which is not retired in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connection with such transaction (A) shall be deemed to have been incurred as of the first day of the applicable period and (B)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Pro Forma Compliance Certificate</w:t>
      </w:r>
      <w:r>
        <w:rPr>
          <w:color w:val="000000"/>
        </w:rPr>
        <w:t xml:space="preserve">” </w:t>
      </w:r>
      <w:r>
        <w:rPr>
          <w:rFonts w:ascii="Times New Roman;serif" w:hAnsi="Times New Roman;serif"/>
          <w:b w:val="false"/>
          <w:color w:val="000000"/>
          <w:sz w:val="22"/>
        </w:rPr>
        <w:t xml:space="preserve">means a certificate of a Responsible Officer of the Borrower containing reasonably detailed calculations of the financial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 xml:space="preserve">recomputed as of the end of the twelve-month period most recently ended for which the Borrower has delivered a Compliance Certificate pursuant to </w:t>
      </w:r>
      <w:r>
        <w:rPr>
          <w:rFonts w:ascii="Times New Roman;serif" w:hAnsi="Times New Roman;serif"/>
          <w:b w:val="false"/>
          <w:color w:val="000000"/>
          <w:sz w:val="22"/>
          <w:u w:val="single"/>
        </w:rPr>
        <w:t>Section 6.02(b)</w:t>
      </w:r>
      <w:r>
        <w:rPr>
          <w:color w:val="000000"/>
        </w:rPr>
        <w:t xml:space="preserve"> </w:t>
      </w:r>
      <w:r>
        <w:rPr>
          <w:rFonts w:ascii="Times New Roman;serif" w:hAnsi="Times New Roman;serif"/>
          <w:b w:val="false"/>
          <w:color w:val="000000"/>
          <w:sz w:val="22"/>
        </w:rPr>
        <w:t>(or, prior to the first such delivery under this Agreement, pursuant to Section 6.02(d) under the Existing Credit Agreement) after giving effect to the applicable transaction on a Pro Forma Basis.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PTE</w:t>
      </w:r>
      <w:r>
        <w:rPr>
          <w:color w:val="000000"/>
        </w:rPr>
        <w:t xml:space="preserve">” </w:t>
      </w:r>
      <w:r>
        <w:rPr>
          <w:rFonts w:ascii="Times New Roman;serif" w:hAnsi="Times New Roman;serif"/>
          <w:b w:val="false"/>
          <w:color w:val="000000"/>
          <w:sz w:val="22"/>
        </w:rPr>
        <w:t xml:space="preserve">means a prohibited transaction class exemption issued by the U.S. Department of Labor, as any such exemption may be amended from time to time.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Public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6.02</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QFC</w:t>
      </w:r>
      <w:r>
        <w:rPr>
          <w:color w:val="000000"/>
        </w:rPr>
        <w:t xml:space="preserve">” </w:t>
      </w:r>
      <w:r>
        <w:rPr>
          <w:rFonts w:ascii="Times New Roman;serif" w:hAnsi="Times New Roman;serif"/>
          <w:b w:val="false"/>
          <w:color w:val="000000"/>
          <w:sz w:val="22"/>
        </w:rPr>
        <w:t>has the meaning assigned to the term “qualified financial contract” in, and shall be interpreted in accordance with, 12 U.S.C. 5390(c)(8)(D).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10.20</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4"/>
          <w:u w:val="single"/>
        </w:rPr>
        <w:t>Qualified Intercompany Debt</w:t>
      </w:r>
      <w:r>
        <w:rPr>
          <w:color w:val="000000"/>
        </w:rPr>
        <w:t xml:space="preserve">” </w:t>
      </w:r>
      <w:r>
        <w:rPr>
          <w:rFonts w:ascii="Times New Roman;serif" w:hAnsi="Times New Roman;serif"/>
          <w:b w:val="false"/>
          <w:color w:val="000000"/>
          <w:sz w:val="22"/>
        </w:rPr>
        <w:t xml:space="preserve">means, without duplication, Intercompany Debt that is owing by a Portfolio Company pursuant to Qualified Intercompany Debt Documents and that has a maturity date, an interest rate, an amortization schedule for principal, mandatory prepayment provisions and interest payment dates that are reasonably acceptable to the Administrative Agent (it being agreed and understood that such terms as in effect on the Closing Date under the Intercompany Debt Documents for Existing Portfolio Companies are acceptable to the Administrative Agent). For the avoidance of doubt, Qualified Intercompany Debt shall not include any Indebtedness of Lugano Diamonds and Lugano Buyer to the Borrower permitted under </w:t>
      </w:r>
      <w:r>
        <w:rPr>
          <w:rFonts w:ascii="Times New Roman;serif" w:hAnsi="Times New Roman;serif"/>
          <w:b w:val="false"/>
          <w:strike/>
          <w:color w:val="FF0000"/>
          <w:sz w:val="24"/>
          <w:u w:val="single"/>
        </w:rPr>
        <w:t xml:space="preserve">Sections </w:t>
      </w:r>
      <w:r>
        <w:rPr>
          <w:rFonts w:ascii="Times New Roman;serif" w:hAnsi="Times New Roman;serif"/>
          <w:b w:val="false"/>
          <w:color w:val="0000FF"/>
          <w:sz w:val="24"/>
          <w:u w:val="single"/>
        </w:rPr>
        <w:t>Section</w:t>
      </w:r>
      <w:r>
        <w:rPr>
          <w:color w:val="000000"/>
          <w:u w:val="single"/>
        </w:rPr>
        <w:t xml:space="preserve"> </w:t>
      </w:r>
      <w:r>
        <w:rPr>
          <w:rFonts w:ascii="Times New Roman;serif" w:hAnsi="Times New Roman;serif"/>
          <w:b w:val="false"/>
          <w:color w:val="000000"/>
          <w:sz w:val="24"/>
          <w:u w:val="single"/>
        </w:rPr>
        <w:t>7.03(l)</w:t>
      </w:r>
      <w:r>
        <w:rPr>
          <w:strike/>
          <w:color w:val="FF0000"/>
        </w:rPr>
        <w:t xml:space="preserve"> </w:t>
      </w:r>
      <w:r>
        <w:rPr>
          <w:rFonts w:ascii="Times New Roman;serif" w:hAnsi="Times New Roman;serif"/>
          <w:b w:val="false"/>
          <w:strike/>
          <w:color w:val="FF0000"/>
          <w:sz w:val="24"/>
        </w:rPr>
        <w:t xml:space="preserve">and </w:t>
      </w:r>
      <w:r>
        <w:rPr>
          <w:rFonts w:ascii="Times New Roman;serif" w:hAnsi="Times New Roman;serif"/>
          <w:b w:val="false"/>
          <w:strike/>
          <w:color w:val="FF0000"/>
          <w:sz w:val="24"/>
          <w:u w:val="single"/>
        </w:rPr>
        <w:t>(m)</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color w:val="000000"/>
        </w:rPr>
        <w:t>“</w:t>
      </w:r>
      <w:r>
        <w:rPr>
          <w:rFonts w:ascii="Times New Roman;serif" w:hAnsi="Times New Roman;serif"/>
          <w:b w:val="false"/>
          <w:color w:val="000000"/>
          <w:sz w:val="22"/>
          <w:u w:val="single"/>
        </w:rPr>
        <w:t>Qualified Intercompany Debt Documents</w:t>
      </w:r>
      <w:r>
        <w:rPr>
          <w:color w:val="000000"/>
        </w:rPr>
        <w:t xml:space="preserve">” </w:t>
      </w:r>
      <w:r>
        <w:rPr>
          <w:rFonts w:ascii="Times New Roman;serif" w:hAnsi="Times New Roman;serif"/>
          <w:b w:val="false"/>
          <w:color w:val="000000"/>
          <w:sz w:val="22"/>
        </w:rPr>
        <w:t xml:space="preserve">means, in respect of any Portfolio Company, (a) a reasonable and customary senior loan agreement (that includes reasonable and customary representations and warranties, affirmative, negative and financial covenants and events of default) between the Borrower, as the sole lender, and such Portfolio Company, as the borrower or a co-borrower thereunder, as such loan agreement may be amended from time to time in compliance with the provisions of this Agreement, (b) guaranty documentation pursuant to which all Subsidiaries of such Portfolio Company and/or of the other borrowers, as applicable, under such loan agreement guaranty (together with any parent companies of such Portfolio Company or co-borrowers that are Subsidiaries of the Borrower) all of the obligations under such loan agreement, and (c) collateral documents pursuant to which the Borrower is provided with a perfected, first-priority (subject to customary exceptions provided in the applicable loan documentation) Lien in substantially all of the real and personal property of such Portfolio Company and such co-borrowers (if any) under such loan agreement, and of the guarantors under such guaranty documentation, to secure all of the obligations under such loan agreement and related Intercompany Debt Documents, including a security agreement applicable to all of the equity interests owned by and substantially all of the assets of such borrowers and guarantors, UCC financing statements covering all of the assets of such borrowers and guarantors that are properly filed in the respective jurisdictions of organization for such companies, real estate mortgages for any real estate of such borrowers and guarantors, control agreements with respect to the deposit accounts of such borrowers and guarantors and insurance documentation whereby the Borrower has been named as loss payee (and, if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 xml:space="preserve">mortgagee) in respect of all policies of property and casualty insurance of such borrowers and guarantors; </w:t>
      </w:r>
      <w:r>
        <w:rPr>
          <w:rFonts w:ascii="Times New Roman;serif" w:hAnsi="Times New Roman;serif"/>
          <w:b w:val="false"/>
          <w:color w:val="000000"/>
          <w:sz w:val="24"/>
          <w:u w:val="single"/>
        </w:rPr>
        <w:t>provided</w:t>
      </w:r>
      <w:r>
        <w:rPr>
          <w:rFonts w:ascii="Times New Roman;serif" w:hAnsi="Times New Roman;serif"/>
          <w:b w:val="false"/>
          <w:color w:val="000000"/>
          <w:sz w:val="22"/>
        </w:rPr>
        <w:t xml:space="preserve">, that notwithstanding the foregoing, it is agreed that (w) Portfolio Companies (or any such co-borrowers) organized in Canada and their Subsidiaries (other than any such Subsidiary that (i) is organized in the United States and is treated as a C-corporation for U.S. federal income tax purposes and (ii) has not been determined by the Administrative Agent, in its sole discretion, to be immaterial to the assets, operations and/or income of such Portfolio Company and its Subsidiaries as a whole) will not be required to provide collateral to the Borrower to secure the obligations under such loan agreement and related Intercompany Debt Documents, (x) if CFCs that are Subsidiaries of a Portfolio Company organized in the United States collectively contribute 15% or less of the aggregate amount of Portfolio Company EBITDA of such Portfolio Company, such CFCs shall not be required to deliver guarantees in respect of such Portfolio Company’s Qualified Intercompany Debt and the collateral delivery requirements in respect of such CFCs shall be limited to customary pledge documentation pursuant to which 65% of the total outstanding voting equity interests of such CFCs and 100% of all outstanding non-voting equity interests of such CFCs are pledged to secure such Portfolio Company’s Qualified Intercompany Debt (excluding equity interests in a CFC owned by another CFC) and (y) if CFCs that are Subsidiaries of a Portfolio Company organized in the United States collectively contribute more than 15% of the aggregate amount of Portfolio Company EBITDA of such Portfolio Company, to the extent required by the Administrative Agent in its discretion or the Required Lenders in their discretion such CFCs shall be required to deliver customary guarantees in respect of such Portfolio Company’s Qualified Intercompany Debt and such CFCs and their immediate parent companies shall be required to deliver customary pledge and collateral documentation providing for Liens in all of the equity interests and substantially all of the assets of such CFCs securing such Portfolio Company’s Qualified Intercompany Debt; </w:t>
      </w:r>
      <w:r>
        <w:rPr>
          <w:rFonts w:ascii="Times New Roman;serif" w:hAnsi="Times New Roman;serif"/>
          <w:b w:val="false"/>
          <w:color w:val="000000"/>
          <w:sz w:val="24"/>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2"/>
        </w:rPr>
        <w:t>, that if the Borrower and the Administrative Agent mutually agree that either (1) the cost of obtaining a Lien in any property of any Portfolio Company or any Subsidiary of a Portfolio Company is excessive in relation to the benefit to the Borrower of such Lien in such property or (</w:t>
      </w:r>
      <w:r>
        <w:rPr>
          <w:rFonts w:ascii="Times New Roman;serif" w:hAnsi="Times New Roman;serif"/>
          <w:b w:val="false"/>
          <w:strike/>
          <w:color w:val="FF0000"/>
          <w:sz w:val="24"/>
        </w:rPr>
        <w:t>ii</w:t>
      </w:r>
      <w:r>
        <w:rPr>
          <w:rFonts w:ascii="Times New Roman;serif" w:hAnsi="Times New Roman;serif"/>
          <w:b w:val="false"/>
          <w:color w:val="0000FF"/>
          <w:sz w:val="24"/>
          <w:u w:val="single"/>
        </w:rPr>
        <w:t>2</w:t>
      </w:r>
      <w:r>
        <w:rPr>
          <w:rFonts w:ascii="Times New Roman;serif" w:hAnsi="Times New Roman;serif"/>
          <w:b w:val="false"/>
          <w:color w:val="000000"/>
          <w:sz w:val="22"/>
        </w:rPr>
        <w:t>) the creation or maintenance of a Lien in any property of any Portfolio Company or any Subsidiary of a Portfolio Company would reasonably be expected to result in material adverse tax or regulatory consequences to the Borrower and its Subsidiaries, then such Portfolio Company or such Subsidiary shall not be required to grant a Lien in such property.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Qualifying Control Agreement</w:t>
      </w:r>
      <w:r>
        <w:rPr>
          <w:color w:val="000000"/>
        </w:rPr>
        <w:t xml:space="preserve">” </w:t>
      </w:r>
      <w:r>
        <w:rPr>
          <w:rFonts w:ascii="Times New Roman;serif" w:hAnsi="Times New Roman;serif"/>
          <w:b w:val="false"/>
          <w:color w:val="000000"/>
          <w:sz w:val="22"/>
        </w:rPr>
        <w:t xml:space="preserve">means an agreement, among the Borrower, a depository institution or securities intermediary and the Administrative Agent, which agreement is in form and substance acceptable to the Administrative Agent and which perfects by “control” (as such term is used in Article 9 of the Uniform Commercial Code) the Administrative Agent’s lien on the deposit account(s) or securities account(s) described therein. The Qualifying Control Agreements in existence on the Closing Date are set forth on </w:t>
      </w:r>
      <w:r>
        <w:rPr>
          <w:rFonts w:ascii="Times New Roman;serif" w:hAnsi="Times New Roman;serif"/>
          <w:b w:val="false"/>
          <w:color w:val="000000"/>
          <w:sz w:val="22"/>
          <w:u w:val="single"/>
        </w:rPr>
        <w:t>Schedule 1.2</w:t>
      </w:r>
      <w:r>
        <w:rPr>
          <w:color w:val="000000"/>
        </w:rPr>
        <w:t xml:space="preserve"> </w:t>
      </w:r>
      <w:r>
        <w:rPr>
          <w:rFonts w:ascii="Times New Roman;serif" w:hAnsi="Times New Roman;serif"/>
          <w:b w:val="false"/>
          <w:color w:val="000000"/>
          <w:sz w:val="22"/>
        </w:rPr>
        <w:t>attached hereto.</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Recipient</w:t>
      </w:r>
      <w:r>
        <w:rPr>
          <w:color w:val="000000"/>
        </w:rPr>
        <w:t xml:space="preserve">” </w:t>
      </w:r>
      <w:r>
        <w:rPr>
          <w:rFonts w:ascii="Times New Roman;serif" w:hAnsi="Times New Roman;serif"/>
          <w:b w:val="false"/>
          <w:color w:val="000000"/>
          <w:sz w:val="22"/>
        </w:rPr>
        <w:t>means the Administrative Agent, any Lender, the L/C Issuer or any other recipient of any payment to be made by or on account of any obligation of the Borrower hereunder.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Recovery Event</w:t>
      </w:r>
      <w:r>
        <w:rPr>
          <w:color w:val="000000"/>
        </w:rPr>
        <w:t xml:space="preserve">” </w:t>
      </w:r>
      <w:r>
        <w:rPr>
          <w:rFonts w:ascii="Times New Roman;serif" w:hAnsi="Times New Roman;serif"/>
          <w:b w:val="false"/>
          <w:color w:val="000000"/>
          <w:sz w:val="22"/>
        </w:rPr>
        <w:t>means any loss of, damage to or destruction of, or any condemnation or other taking for public use of, any property of the Borrower or any Subsidiary (other than any Subsidiary Outside Company).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Refinancing Amendment</w:t>
      </w:r>
      <w:r>
        <w:rPr>
          <w:color w:val="000000"/>
        </w:rPr>
        <w:t xml:space="preserve">” </w:t>
      </w:r>
      <w:r>
        <w:rPr>
          <w:rFonts w:ascii="Times New Roman;serif" w:hAnsi="Times New Roman;serif"/>
          <w:b w:val="false"/>
          <w:color w:val="000000"/>
          <w:sz w:val="22"/>
        </w:rPr>
        <w:t>means an amendment to this Agreement in form and substance satisfactory to the Administrative Agent and the Borrower, executed by each of (a) the Borrower, (b) the Administrative Agent and (c) each Lender that agrees to provide any portion of the Refinancing Loans being incurred pursuant thereto.</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Register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10.06(c)</w:t>
      </w:r>
      <w:r>
        <w:rPr>
          <w:rFonts w:ascii="Times New Roman;serif" w:hAnsi="Times New Roman;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Related Agreements</w:t>
      </w:r>
      <w:r>
        <w:rPr>
          <w:color w:val="000000"/>
        </w:rPr>
        <w:t xml:space="preserve">” </w:t>
      </w:r>
      <w:r>
        <w:rPr>
          <w:rFonts w:ascii="Times New Roman;serif" w:hAnsi="Times New Roman;serif"/>
          <w:b w:val="false"/>
          <w:color w:val="000000"/>
          <w:sz w:val="22"/>
        </w:rPr>
        <w:t xml:space="preserve">means the Intercompany Debt Documents, the Management Fee Documents, the Existing Portfolio Company Acquisition Documents, the New Portfolio Company Acquisition Documents, the agreements governing payment of the Integration Services Fees, the Borrower LLC Agreement and the Trust Agreement.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Related Parties</w:t>
      </w:r>
      <w:r>
        <w:rPr>
          <w:color w:val="000000"/>
        </w:rPr>
        <w:t xml:space="preserve">” </w:t>
      </w:r>
      <w:r>
        <w:rPr>
          <w:rFonts w:ascii="Times New Roman;serif" w:hAnsi="Times New Roman;serif"/>
          <w:b w:val="false"/>
          <w:color w:val="000000"/>
          <w:sz w:val="22"/>
        </w:rPr>
        <w:t>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Related Transactions</w:t>
      </w:r>
      <w:r>
        <w:rPr>
          <w:color w:val="000000"/>
        </w:rPr>
        <w:t xml:space="preserve">” </w:t>
      </w:r>
      <w:r>
        <w:rPr>
          <w:rFonts w:ascii="Times New Roman;serif" w:hAnsi="Times New Roman;serif"/>
          <w:b w:val="false"/>
          <w:color w:val="000000"/>
          <w:sz w:val="22"/>
        </w:rPr>
        <w:t>means the transactions contemplated by the Related Agreements.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Reportable Event</w:t>
      </w:r>
      <w:r>
        <w:rPr>
          <w:color w:val="000000"/>
        </w:rPr>
        <w:t xml:space="preserve">” </w:t>
      </w:r>
      <w:r>
        <w:rPr>
          <w:rFonts w:ascii="Times New Roman;serif" w:hAnsi="Times New Roman;serif"/>
          <w:b w:val="false"/>
          <w:color w:val="000000"/>
          <w:sz w:val="22"/>
        </w:rPr>
        <w:t>means any of the events set forth in Section 4043(c) of ERISA, other than events for which the thirty-day notice period has been waived.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Request for Credit Extension</w:t>
      </w:r>
      <w:r>
        <w:rPr>
          <w:color w:val="000000"/>
        </w:rPr>
        <w:t xml:space="preserve">” </w:t>
      </w:r>
      <w:r>
        <w:rPr>
          <w:rFonts w:ascii="Times New Roman;serif" w:hAnsi="Times New Roman;serif"/>
          <w:b w:val="false"/>
          <w:color w:val="000000"/>
          <w:sz w:val="22"/>
        </w:rPr>
        <w:t>means (a) with respect to a Borrowing, conversion or continuation of Loans, a Loan Notice, (b) with respect to an L/C Credit Extension, a Letter of Credit Application, and (c) with respect to a Swing Line Loan at any time an Auto Borrow Agreement is not in effect, a Swing Line Loan Notice.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Required Lenders</w:t>
      </w:r>
      <w:r>
        <w:rPr>
          <w:color w:val="000000"/>
        </w:rPr>
        <w:t xml:space="preserve">” </w:t>
      </w:r>
      <w:r>
        <w:rPr>
          <w:rFonts w:ascii="Times New Roman;serif" w:hAnsi="Times New Roman;serif"/>
          <w:b w:val="false"/>
          <w:color w:val="000000"/>
          <w:sz w:val="22"/>
        </w:rPr>
        <w:t xml:space="preserve">means, at any time, Lenders having Total Credit Exposures representing more than 50% of the Total Credit Exposures of all Lenders. The Total Credit Exposure of any Defaulting Lender shall be disregarded in determining Required Lenders at any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Rescindable Amount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2.12(b)(ii)</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Resolution Authority</w:t>
      </w:r>
      <w:r>
        <w:rPr>
          <w:color w:val="000000"/>
        </w:rPr>
        <w:t xml:space="preserve">” </w:t>
      </w:r>
      <w:r>
        <w:rPr>
          <w:rFonts w:ascii="Times New Roman;serif" w:hAnsi="Times New Roman;serif"/>
          <w:b w:val="false"/>
          <w:color w:val="000000"/>
          <w:sz w:val="22"/>
        </w:rPr>
        <w:t>means an EEA Resolution Authority or, with respect to any UK Financial Institution, a UK Resolution Authority.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Responsible Officer</w:t>
      </w:r>
      <w:r>
        <w:rPr>
          <w:color w:val="000000"/>
        </w:rPr>
        <w:t xml:space="preserve">” </w:t>
      </w:r>
      <w:r>
        <w:rPr>
          <w:rFonts w:ascii="Times New Roman;serif" w:hAnsi="Times New Roman;serif"/>
          <w:b w:val="false"/>
          <w:color w:val="000000"/>
          <w:sz w:val="22"/>
        </w:rPr>
        <w:t xml:space="preserve">means the chief executive officer, president, chief financial officer, manager, treasurer, assistant treasurer or controller of the Borrower and, solely for purposes of the delivery of incumbency certificates, the secretary or any assistant secretary of the Borrower and, solely for purposes of notices given pursuant to </w:t>
      </w:r>
      <w:r>
        <w:rPr>
          <w:rFonts w:ascii="Times New Roman;serif" w:hAnsi="Times New Roman;serif"/>
          <w:b w:val="false"/>
          <w:color w:val="000000"/>
          <w:sz w:val="22"/>
          <w:u w:val="single"/>
        </w:rPr>
        <w:t>Article II</w:t>
      </w:r>
      <w:r>
        <w:rPr>
          <w:rFonts w:ascii="Times New Roman;serif" w:hAnsi="Times New Roman;serif"/>
          <w:b w:val="false"/>
          <w:color w:val="000000"/>
          <w:sz w:val="22"/>
        </w:rPr>
        <w:t>, any other officer of the Borrower so designated by any of the foregoing officers in a notice to the Administrative Agent or any other officer or employee of the Borrower designated in or pursuant to an agreement between the Borrower and the Administrative Agent.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 To the extent requested by the Administrative Agent, each Responsible Officer will provide an incumbency certificate and appropriate authorization documentation, in form and substance reasonably satisfactory to the Administrative Agent.</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Restricted Payment</w:t>
      </w:r>
      <w:r>
        <w:rPr>
          <w:color w:val="000000"/>
        </w:rPr>
        <w:t xml:space="preserve">” </w:t>
      </w:r>
      <w:r>
        <w:rPr>
          <w:rFonts w:ascii="Times New Roman;serif" w:hAnsi="Times New Roman;serif"/>
          <w:b w:val="false"/>
          <w:color w:val="000000"/>
          <w:sz w:val="22"/>
        </w:rPr>
        <w:t xml:space="preserve">means (a) any dividend or other distribution (whether in cash, securities or other property) with respect to any Equity Interests of any Person, or any payment (whether in cash, securities or other property), including any sinking fund or similar deposit, on account of the purchase, redemption, retirement, defeasance, acquisition, cancellation or termination of any such Equity Interests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or on account of any return of capital to such Person’s stockholders, partners or members (or the equivalent Person thereof), or any option, warrant or other right to acquire any such dividend or other distribution or payment; or (b) any payment by the Borrower or any Subsidiary pursuant to any of the Management Fee Documents or any payment of management fees or similar fees to any other Person.</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2"/>
          <w:u w:val="single"/>
        </w:rPr>
        <w:t>Revolving Commitment</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val="false"/>
          <w:color w:val="000000"/>
          <w:sz w:val="24"/>
        </w:rPr>
        <w:t>as to each Lender, its obligation to (a) make Revolving L</w:t>
      </w:r>
      <w:r>
        <w:rPr>
          <w:rFonts w:ascii="Times New Roman;serif" w:hAnsi="Times New Roman;serif"/>
          <w:b w:val="false"/>
          <w:color w:val="000000"/>
          <w:sz w:val="22"/>
        </w:rPr>
        <w:t xml:space="preserve">oans to the Borrower pursuant to </w:t>
      </w:r>
      <w:r>
        <w:rPr>
          <w:rFonts w:ascii="Times New Roman;serif" w:hAnsi="Times New Roman;serif"/>
          <w:b w:val="false"/>
          <w:color w:val="000000"/>
          <w:sz w:val="22"/>
          <w:u w:val="single"/>
        </w:rPr>
        <w:t>Section 2.01</w:t>
      </w:r>
      <w:r>
        <w:rPr>
          <w:rFonts w:ascii="Times New Roman;serif" w:hAnsi="Times New Roman;serif"/>
          <w:b w:val="false"/>
          <w:color w:val="000000"/>
          <w:sz w:val="22"/>
        </w:rPr>
        <w:t xml:space="preserve">, (b) purchase participations in L/C Obligations, and (c) purchase participations in Swing Line Loans, in an aggregate principal amount at any one time outstanding not to exceed the amount set forth opposite such Lender’s name on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FF"/>
          <w:sz w:val="22"/>
          <w:u w:val="single"/>
        </w:rPr>
        <w:t xml:space="preserve">to the Sixth Amendment </w:t>
      </w:r>
      <w:r>
        <w:rPr>
          <w:rFonts w:ascii="Times New Roman;serif" w:hAnsi="Times New Roman;serif"/>
          <w:b w:val="false"/>
          <w:color w:val="000000"/>
          <w:sz w:val="22"/>
        </w:rPr>
        <w:t xml:space="preserve">or in the Assignment and Assumption pursuant to which such Lender becomes a party hereto or in any documentation executed by such Lender pursuant to </w:t>
      </w:r>
      <w:r>
        <w:rPr>
          <w:rFonts w:ascii="Times New Roman;serif" w:hAnsi="Times New Roman;serif"/>
          <w:b w:val="false"/>
          <w:color w:val="000000"/>
          <w:sz w:val="22"/>
          <w:u w:val="single"/>
        </w:rPr>
        <w:t>Section 2.01(c)</w:t>
      </w:r>
      <w:r>
        <w:rPr>
          <w:rFonts w:ascii="Times New Roman;serif" w:hAnsi="Times New Roman;serif"/>
          <w:b w:val="false"/>
          <w:color w:val="000000"/>
          <w:sz w:val="22"/>
        </w:rPr>
        <w:t>, as applicable, as such amount may be adjusted from time to time in accordance with this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Revolving Credit Exposure</w:t>
      </w:r>
      <w:r>
        <w:rPr>
          <w:color w:val="000000"/>
        </w:rPr>
        <w:t xml:space="preserve">” </w:t>
      </w:r>
      <w:r>
        <w:rPr>
          <w:rFonts w:ascii="Times New Roman;serif" w:hAnsi="Times New Roman;serif"/>
          <w:b w:val="false"/>
          <w:color w:val="000000"/>
          <w:sz w:val="22"/>
        </w:rPr>
        <w:t>means, as to any Lender at any time, the aggregate principal amount at such time of its outstanding Revolving Loans and such Lender’s participation in L/C Obligations and Swing Line Loans at such time.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Revolving Facility</w:t>
      </w:r>
      <w:r>
        <w:rPr>
          <w:color w:val="000000"/>
        </w:rPr>
        <w:t xml:space="preserve">” </w:t>
      </w:r>
      <w:r>
        <w:rPr>
          <w:rFonts w:ascii="Times New Roman;serif" w:hAnsi="Times New Roman;serif"/>
          <w:b w:val="false"/>
          <w:color w:val="000000"/>
          <w:sz w:val="22"/>
        </w:rPr>
        <w:t xml:space="preserve">means the revolving credit facility described in </w:t>
      </w:r>
      <w:r>
        <w:rPr>
          <w:rFonts w:ascii="Times New Roman;serif" w:hAnsi="Times New Roman;serif"/>
          <w:b w:val="false"/>
          <w:color w:val="000000"/>
          <w:sz w:val="22"/>
          <w:u w:val="single"/>
        </w:rPr>
        <w:t>Section 2.01(a)</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Revolving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2.01(a)</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color w:val="0000FF"/>
          <w:u w:val="single"/>
        </w:rPr>
      </w:pPr>
      <w:r>
        <w:rPr>
          <w:color w:val="0000FF"/>
          <w:u w:val="single"/>
        </w:rPr>
        <w:t>“</w:t>
      </w:r>
      <w:r>
        <w:rPr>
          <w:rFonts w:ascii="Times New Roman;serif" w:hAnsi="Times New Roman;serif"/>
          <w:b w:val="false"/>
          <w:color w:val="0000FF"/>
          <w:sz w:val="22"/>
          <w:u w:val="single"/>
        </w:rPr>
        <w:t xml:space="preserve">Rimports” means Rimports Holdings, Inc., a Delaware corporation.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S&amp;P</w:t>
      </w:r>
      <w:r>
        <w:rPr>
          <w:color w:val="000000"/>
        </w:rPr>
        <w:t xml:space="preserve">” </w:t>
      </w:r>
      <w:r>
        <w:rPr>
          <w:rFonts w:ascii="Times New Roman;serif" w:hAnsi="Times New Roman;serif"/>
          <w:b w:val="false"/>
          <w:color w:val="000000"/>
          <w:sz w:val="22"/>
        </w:rPr>
        <w:t>means Standard &amp; Poor’s Financial Services LLC, a subsidiary of S&amp;P Global Inc., and any successor thereto.</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Sale and Leaseback Transaction</w:t>
      </w:r>
      <w:r>
        <w:rPr>
          <w:color w:val="000000"/>
        </w:rPr>
        <w:t xml:space="preserve">” </w:t>
      </w:r>
      <w:r>
        <w:rPr>
          <w:rFonts w:ascii="Times New Roman;serif" w:hAnsi="Times New Roman;serif"/>
          <w:b w:val="false"/>
          <w:color w:val="000000"/>
          <w:sz w:val="22"/>
        </w:rPr>
        <w:t>means, with respect to any Person, any arrangement, directly or indirectly, whereby such Person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Sanction(s)</w:t>
      </w:r>
      <w:r>
        <w:rPr>
          <w:color w:val="000000"/>
        </w:rPr>
        <w:t xml:space="preserve">” </w:t>
      </w:r>
      <w:r>
        <w:rPr>
          <w:rFonts w:ascii="Times New Roman;serif" w:hAnsi="Times New Roman;serif"/>
          <w:b w:val="false"/>
          <w:color w:val="000000"/>
          <w:sz w:val="22"/>
        </w:rPr>
        <w:t>means any sanctions administered or enforced by the United States Government, including OFAC, the United Nations Security Council, the European Union, Her Majesty’s Treasury or other relevant sanctions authority.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SEC</w:t>
      </w:r>
      <w:r>
        <w:rPr>
          <w:color w:val="000000"/>
        </w:rPr>
        <w:t xml:space="preserve">” </w:t>
      </w:r>
      <w:r>
        <w:rPr>
          <w:rFonts w:ascii="Times New Roman;serif" w:hAnsi="Times New Roman;serif"/>
          <w:b w:val="false"/>
          <w:color w:val="000000"/>
          <w:sz w:val="22"/>
        </w:rPr>
        <w:t>means the Securities and Exchange Commission, or any Governmental Authority succeeding to any of its principal functions.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Secured Cash Management Agreement</w:t>
      </w:r>
      <w:r>
        <w:rPr>
          <w:color w:val="000000"/>
        </w:rPr>
        <w:t xml:space="preserve">” </w:t>
      </w:r>
      <w:r>
        <w:rPr>
          <w:rFonts w:ascii="Times New Roman;serif" w:hAnsi="Times New Roman;serif"/>
          <w:b w:val="false"/>
          <w:color w:val="000000"/>
          <w:sz w:val="22"/>
        </w:rPr>
        <w:t xml:space="preserve">means any Cash Management Agreement that is entered into by and between the Borrower or any Subsidiary and any Cash Management Bank with respect to such Cash Management Agreement. For the avoidance of doubt, a holder of Obligations in respect of Secured Cash Management Agreements shall be subject to the last paragraph of </w:t>
      </w:r>
      <w:r>
        <w:rPr>
          <w:rFonts w:ascii="Times New Roman;serif" w:hAnsi="Times New Roman;serif"/>
          <w:b w:val="false"/>
          <w:color w:val="000000"/>
          <w:sz w:val="22"/>
          <w:u w:val="single"/>
        </w:rPr>
        <w:t>Section 8.03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9.11</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Secured Hedge Agreement</w:t>
      </w:r>
      <w:r>
        <w:rPr>
          <w:color w:val="000000"/>
        </w:rPr>
        <w:t xml:space="preserve">” </w:t>
      </w:r>
      <w:r>
        <w:rPr>
          <w:rFonts w:ascii="Times New Roman;serif" w:hAnsi="Times New Roman;serif"/>
          <w:b w:val="false"/>
          <w:color w:val="000000"/>
          <w:sz w:val="22"/>
        </w:rPr>
        <w:t>means any Swap Contract that is entered into by and between the Borrower or any Subsidiary</w:t>
      </w:r>
      <w:r>
        <w:rPr>
          <w:color w:val="000000"/>
        </w:rPr>
        <w:t xml:space="preserve"> </w:t>
      </w:r>
      <w:r>
        <w:rPr>
          <w:rFonts w:ascii="Times New Roman;serif" w:hAnsi="Times New Roman;serif"/>
          <w:b w:val="false"/>
          <w:color w:val="000000"/>
          <w:sz w:val="22"/>
        </w:rPr>
        <w:t xml:space="preserve">and any Hedge Bank with respect to such Swap Contract. For the avoidance of doubt, a holder of Obligations in respect of Secured Hedge Agreements shall be subject to the last paragraph of </w:t>
      </w:r>
      <w:r>
        <w:rPr>
          <w:rFonts w:ascii="Times New Roman;serif" w:hAnsi="Times New Roman;serif"/>
          <w:b w:val="false"/>
          <w:color w:val="000000"/>
          <w:sz w:val="22"/>
          <w:u w:val="single"/>
        </w:rPr>
        <w:t>Section 8.03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9.11</w:t>
      </w:r>
      <w:r>
        <w:rPr>
          <w:rFonts w:ascii="Times New Roman;serif" w:hAnsi="Times New Roman;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Secured Party Designation Notice</w:t>
      </w:r>
      <w:r>
        <w:rPr>
          <w:color w:val="000000"/>
        </w:rPr>
        <w:t xml:space="preserve">” </w:t>
      </w:r>
      <w:r>
        <w:rPr>
          <w:rFonts w:ascii="Times New Roman;serif" w:hAnsi="Times New Roman;serif"/>
          <w:b w:val="false"/>
          <w:color w:val="000000"/>
          <w:sz w:val="22"/>
        </w:rPr>
        <w:t xml:space="preserve">shall mean a notice from any Lender or an Affiliate of a Lender substantially in the form of </w:t>
      </w:r>
      <w:r>
        <w:rPr>
          <w:rFonts w:ascii="Times New Roman;serif" w:hAnsi="Times New Roman;serif"/>
          <w:b w:val="false"/>
          <w:color w:val="000000"/>
          <w:sz w:val="22"/>
          <w:u w:val="single"/>
        </w:rPr>
        <w:t>Exhibit H</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Securitization Transaction</w:t>
      </w:r>
      <w:r>
        <w:rPr>
          <w:color w:val="000000"/>
        </w:rPr>
        <w:t xml:space="preserve">” </w:t>
      </w:r>
      <w:r>
        <w:rPr>
          <w:rFonts w:ascii="Times New Roman;serif" w:hAnsi="Times New Roman;serif"/>
          <w:b w:val="false"/>
          <w:color w:val="000000"/>
          <w:sz w:val="22"/>
        </w:rPr>
        <w:t>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Security Agreement</w:t>
      </w:r>
      <w:r>
        <w:rPr>
          <w:color w:val="000000"/>
        </w:rPr>
        <w:t xml:space="preserve">” </w:t>
      </w:r>
      <w:r>
        <w:rPr>
          <w:rFonts w:ascii="Times New Roman;serif" w:hAnsi="Times New Roman;serif"/>
          <w:b w:val="false"/>
          <w:color w:val="000000"/>
          <w:sz w:val="22"/>
        </w:rPr>
        <w:t>means the security and pledge agreement dated as of the Closing Date executed in favor of the Administrative Agent, for the benefit of the holders of the Obligations, by the Borrower.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FF"/>
          <w:u w:val="single"/>
        </w:rPr>
        <w:t>“</w:t>
      </w:r>
      <w:r>
        <w:rPr>
          <w:rFonts w:ascii="Times New Roman;serif" w:hAnsi="Times New Roman;serif"/>
          <w:b w:val="false"/>
          <w:color w:val="0000FF"/>
          <w:sz w:val="22"/>
          <w:u w:val="single"/>
        </w:rPr>
        <w:t>Sixth Amendment” means that certain Sixth Amendment to Credit Agreement dated as of the Sixth Amendment Effective Date</w:t>
      </w:r>
      <w:r>
        <w:rPr>
          <w:rFonts w:ascii="Times New Roman;serif" w:hAnsi="Times New Roman;serif"/>
          <w:b w:val="false"/>
          <w:color w:val="008000"/>
          <w:sz w:val="22"/>
          <w:u w:val="single"/>
        </w:rPr>
        <w:t>, by and among the Borrower</w:t>
      </w:r>
      <w:r>
        <w:rPr>
          <w:rFonts w:ascii="Times New Roman;serif" w:hAnsi="Times New Roman;serif"/>
          <w:b w:val="false"/>
          <w:color w:val="0000FF"/>
          <w:sz w:val="22"/>
          <w:u w:val="single"/>
        </w:rPr>
        <w:t xml:space="preserve">, the Lenders, </w:t>
      </w:r>
      <w:r>
        <w:rPr>
          <w:rFonts w:ascii="Times New Roman;serif" w:hAnsi="Times New Roman;serif"/>
          <w:b w:val="false"/>
          <w:color w:val="008000"/>
          <w:sz w:val="22"/>
          <w:u w:val="single"/>
        </w:rPr>
        <w:t xml:space="preserve">the Administrative Agent and the </w:t>
      </w:r>
      <w:r>
        <w:rPr>
          <w:rFonts w:ascii="Times New Roman;serif" w:hAnsi="Times New Roman;serif"/>
          <w:b w:val="false"/>
          <w:color w:val="0000FF"/>
          <w:sz w:val="22"/>
          <w:u w:val="single"/>
        </w:rPr>
        <w:t>L/C Issuer.</w:t>
      </w:r>
    </w:p>
    <w:p>
      <w:pPr>
        <w:pStyle w:val="TextBody"/>
        <w:bidi w:val="0"/>
        <w:spacing w:before="0" w:after="0"/>
        <w:jc w:val="left"/>
        <w:rPr/>
      </w:pPr>
      <w:r>
        <w:rPr/>
      </w:r>
    </w:p>
    <w:p>
      <w:pPr>
        <w:pStyle w:val="TextBody"/>
        <w:bidi w:val="0"/>
        <w:spacing w:lineRule="auto" w:line="268" w:before="0" w:after="0"/>
        <w:ind w:left="0" w:right="0" w:firstLine="720"/>
        <w:jc w:val="both"/>
        <w:rPr>
          <w:color w:val="0000FF"/>
          <w:u w:val="single"/>
        </w:rPr>
      </w:pPr>
      <w:r>
        <w:rPr>
          <w:color w:val="0000FF"/>
          <w:u w:val="single"/>
        </w:rPr>
        <w:t>“</w:t>
      </w:r>
      <w:r>
        <w:rPr>
          <w:rFonts w:ascii="Times New Roman;serif" w:hAnsi="Times New Roman;serif"/>
          <w:b w:val="false"/>
          <w:color w:val="0000FF"/>
          <w:sz w:val="22"/>
          <w:u w:val="single"/>
        </w:rPr>
        <w:t>Sixth Amendment Effective Date” means August 6, 2026.</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SOFR</w:t>
      </w:r>
      <w:r>
        <w:rPr>
          <w:color w:val="000000"/>
        </w:rPr>
        <w:t xml:space="preserve">” </w:t>
      </w:r>
      <w:r>
        <w:rPr>
          <w:rFonts w:ascii="Times New Roman;serif" w:hAnsi="Times New Roman;serif"/>
          <w:b w:val="false"/>
          <w:color w:val="000000"/>
          <w:sz w:val="22"/>
        </w:rPr>
        <w:t>means the Secured Overnight Financing Rate as administered by the Federal Reserve Bank of New York (or a successor administrator).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SOFR Adjustment</w:t>
      </w:r>
      <w:r>
        <w:rPr>
          <w:color w:val="000000"/>
        </w:rPr>
        <w:t xml:space="preserve">” </w:t>
      </w:r>
      <w:r>
        <w:rPr>
          <w:rFonts w:ascii="Times New Roman;serif" w:hAnsi="Times New Roman;serif"/>
          <w:b w:val="false"/>
          <w:color w:val="000000"/>
          <w:sz w:val="22"/>
        </w:rPr>
        <w:t>means 0.10% (10.00 basis points).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Solvency</w:t>
      </w:r>
      <w:r>
        <w:rPr>
          <w:color w:val="000000"/>
        </w:rPr>
        <w:t xml:space="preserve">” </w:t>
      </w:r>
      <w:r>
        <w:rPr>
          <w:rFonts w:ascii="Times New Roman;serif" w:hAnsi="Times New Roman;serif"/>
          <w:b w:val="false"/>
          <w:color w:val="000000"/>
          <w:sz w:val="22"/>
        </w:rPr>
        <w:t>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such debts and liabilities as they mature in the ordinary course of business, (c) such Person is not engaged in a business or a transaction, and is not about to engage in a business or a transaction, for which such Person’s property would constitute unreasonably small capital, (d) the fair value of the property of such Person is greater than the total amount of liabilities, including contingent liabilities, of such Person, (e) the present fair salable value of the property of such Person is not less than the amount that will be required to pay the probable liability of such Person on its debts as they become absolute and matured and (f) such Person does not intend, in any transaction, to hinder, delay or defraud either present or future creditors or any other person to which such Person is or will become, through such transaction, indebted.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Specified Event of Default</w:t>
      </w:r>
      <w:r>
        <w:rPr>
          <w:color w:val="000000"/>
        </w:rPr>
        <w:t xml:space="preserve">” </w:t>
      </w:r>
      <w:r>
        <w:rPr>
          <w:rFonts w:ascii="Times New Roman;serif" w:hAnsi="Times New Roman;serif"/>
          <w:b w:val="false"/>
          <w:color w:val="000000"/>
          <w:sz w:val="22"/>
        </w:rPr>
        <w:t xml:space="preserve">means an Event of Default under </w:t>
      </w:r>
      <w:r>
        <w:rPr>
          <w:rFonts w:ascii="Times New Roman;serif" w:hAnsi="Times New Roman;serif"/>
          <w:b w:val="false"/>
          <w:color w:val="000000"/>
          <w:sz w:val="22"/>
          <w:u w:val="single"/>
        </w:rPr>
        <w:t>Section 8.01(a)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Sterno</w:t>
      </w:r>
      <w:r>
        <w:rPr>
          <w:color w:val="000000"/>
        </w:rPr>
        <w:t xml:space="preserve">” </w:t>
      </w:r>
      <w:r>
        <w:rPr>
          <w:rFonts w:ascii="Times New Roman;serif" w:hAnsi="Times New Roman;serif"/>
          <w:b w:val="false"/>
          <w:color w:val="000000"/>
          <w:sz w:val="22"/>
        </w:rPr>
        <w:t>means SternoCandleLamp Holdings, Inc., a Delaware corporation.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Subsequent Transaction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1.07</w:t>
      </w:r>
      <w:r>
        <w:rPr>
          <w:rFonts w:ascii="Times New Roman;serif" w:hAnsi="Times New Roman;serif"/>
          <w:b w:val="false"/>
          <w:color w:val="000000"/>
          <w:sz w:val="22"/>
        </w:rPr>
        <w:t xml:space="preserve">.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 xml:space="preserve">of a Person means a corporation, partnership, joint venture, limited liability company or other business entity of which a majority of the shares of Voting Equity Interests is at the time beneficially owned, or the management of which is otherwise controlled, directly, or indirectly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through one or more intermediaries, or both, by such Person. Unless otherwise specified, all references herein to a “Subsidiary” or to “Subsidiaries” shall refer to a Subsidiary or Subsidiaries of the Borrower.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Subsidiary Outside Company</w:t>
      </w:r>
      <w:r>
        <w:rPr>
          <w:color w:val="000000"/>
        </w:rPr>
        <w:t xml:space="preserve">” </w:t>
      </w:r>
      <w:r>
        <w:rPr>
          <w:rFonts w:ascii="Times New Roman;serif" w:hAnsi="Times New Roman;serif"/>
          <w:b w:val="false"/>
          <w:color w:val="000000"/>
          <w:sz w:val="22"/>
        </w:rPr>
        <w:t xml:space="preserve">means an Outside Company that is a Subsidiary of the Borrower. </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FF"/>
          <w:u w:val="single"/>
        </w:rPr>
        <w:t>“</w:t>
      </w:r>
      <w:r>
        <w:rPr>
          <w:rFonts w:ascii="Times New Roman;serif" w:hAnsi="Times New Roman;serif"/>
          <w:b w:val="false"/>
          <w:color w:val="0000FF"/>
          <w:sz w:val="24"/>
          <w:u w:val="single"/>
        </w:rPr>
        <w:t>Supply Chain Financing Assets</w:t>
      </w:r>
      <w:r>
        <w:rPr>
          <w:color w:val="008000"/>
          <w:u w:val="single"/>
        </w:rPr>
        <w:t xml:space="preserve">” </w:t>
      </w:r>
      <w:r>
        <w:rPr>
          <w:rFonts w:ascii="Times New Roman;serif" w:hAnsi="Times New Roman;serif"/>
          <w:b w:val="false"/>
          <w:color w:val="008000"/>
          <w:sz w:val="24"/>
          <w:u w:val="single"/>
        </w:rPr>
        <w:t xml:space="preserve">has the meaning specified in </w:t>
      </w:r>
      <w:r>
        <w:rPr>
          <w:rFonts w:ascii="Times New Roman;serif" w:hAnsi="Times New Roman;serif"/>
          <w:b w:val="false"/>
          <w:color w:val="0000FF"/>
          <w:sz w:val="24"/>
          <w:u w:val="single"/>
        </w:rPr>
        <w:t>the definition of “Permitted Supply Chain Arrangement”.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Supported QFC</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10.20</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Swap Contract</w:t>
      </w:r>
      <w:r>
        <w:rPr>
          <w:color w:val="000000"/>
        </w:rPr>
        <w:t xml:space="preserve">” </w:t>
      </w:r>
      <w:r>
        <w:rPr>
          <w:rFonts w:ascii="Times New Roman;serif" w:hAnsi="Times New Roman;serif"/>
          <w:b w:val="false"/>
          <w:color w:val="000000"/>
          <w:sz w:val="22"/>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erif" w:hAnsi="Times New Roman;serif"/>
          <w:b w:val="false"/>
          <w:color w:val="000000"/>
          <w:sz w:val="22"/>
          <w:u w:val="single"/>
        </w:rPr>
        <w:t>Master Agreement</w:t>
      </w:r>
      <w:r>
        <w:rPr>
          <w:color w:val="000000"/>
        </w:rPr>
        <w:t>”</w:t>
      </w:r>
      <w:r>
        <w:rPr>
          <w:rFonts w:ascii="Times New Roman;serif" w:hAnsi="Times New Roman;serif"/>
          <w:b w:val="false"/>
          <w:color w:val="000000"/>
          <w:sz w:val="22"/>
        </w:rPr>
        <w:t>), including any such obligations or liabilities under any Master Agreement.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Swap Termination Value</w:t>
      </w:r>
      <w:r>
        <w:rPr>
          <w:color w:val="000000"/>
        </w:rPr>
        <w:t xml:space="preserve">” </w:t>
      </w:r>
      <w:r>
        <w:rPr>
          <w:rFonts w:ascii="Times New Roman;serif" w:hAnsi="Times New Roman;serif"/>
          <w:b w:val="false"/>
          <w:color w:val="000000"/>
          <w:sz w:val="22"/>
        </w:rPr>
        <w:t>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Swing Line Lender</w:t>
      </w:r>
      <w:r>
        <w:rPr>
          <w:color w:val="000000"/>
        </w:rPr>
        <w:t xml:space="preserve">” </w:t>
      </w:r>
      <w:r>
        <w:rPr>
          <w:rFonts w:ascii="Times New Roman;serif" w:hAnsi="Times New Roman;serif"/>
          <w:b w:val="false"/>
          <w:color w:val="000000"/>
          <w:sz w:val="22"/>
        </w:rPr>
        <w:t>means Bank of America in its capacity as provider of Swing Line Loans, or any successor swing line lender hereunder.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Swing Line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2.04(a)</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Swing Line Loan Notice</w:t>
      </w:r>
      <w:r>
        <w:rPr>
          <w:color w:val="000000"/>
        </w:rPr>
        <w:t xml:space="preserve">” </w:t>
      </w:r>
      <w:r>
        <w:rPr>
          <w:rFonts w:ascii="Times New Roman;serif" w:hAnsi="Times New Roman;serif"/>
          <w:b w:val="false"/>
          <w:color w:val="000000"/>
          <w:sz w:val="22"/>
        </w:rPr>
        <w:t xml:space="preserve">means a notice of a Borrowing of Swing Line Loans pursuant to </w:t>
      </w:r>
      <w:r>
        <w:rPr>
          <w:rFonts w:ascii="Times New Roman;serif" w:hAnsi="Times New Roman;serif"/>
          <w:b w:val="false"/>
          <w:color w:val="000000"/>
          <w:sz w:val="22"/>
          <w:u w:val="single"/>
        </w:rPr>
        <w:t>Section 2.04(b)</w:t>
      </w:r>
      <w:r>
        <w:rPr>
          <w:rFonts w:ascii="Times New Roman;serif" w:hAnsi="Times New Roman;serif"/>
          <w:b w:val="false"/>
          <w:color w:val="000000"/>
          <w:sz w:val="22"/>
        </w:rPr>
        <w:t xml:space="preserve">, which shall be substantially in the form of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before="0" w:after="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2"/>
          <w:u w:val="single"/>
        </w:rPr>
        <w:t>Swing Line Sublimit</w:t>
      </w:r>
      <w:r>
        <w:rPr>
          <w:color w:val="000000"/>
        </w:rPr>
        <w:t xml:space="preserve">” </w:t>
      </w:r>
      <w:r>
        <w:rPr>
          <w:rFonts w:ascii="Times New Roman;serif" w:hAnsi="Times New Roman;serif"/>
          <w:b w:val="false"/>
          <w:color w:val="000000"/>
          <w:sz w:val="22"/>
        </w:rPr>
        <w:t>means an amount equal to $</w:t>
      </w:r>
      <w:r>
        <w:rPr>
          <w:rFonts w:ascii="Times New Roman;serif" w:hAnsi="Times New Roman;serif"/>
          <w:b w:val="false"/>
          <w:strike/>
          <w:color w:val="FF0000"/>
          <w:sz w:val="22"/>
        </w:rPr>
        <w:t>25,000,000</w:t>
      </w:r>
      <w:r>
        <w:rPr>
          <w:rFonts w:ascii="Times New Roman;serif" w:hAnsi="Times New Roman;serif"/>
          <w:b w:val="false"/>
          <w:color w:val="0000FF"/>
          <w:sz w:val="22"/>
          <w:u w:val="single"/>
        </w:rPr>
        <w:t>13,500,000.00</w:t>
      </w:r>
      <w:r>
        <w:rPr>
          <w:rFonts w:ascii="Times New Roman;serif" w:hAnsi="Times New Roman;serif"/>
          <w:b w:val="false"/>
          <w:color w:val="000000"/>
          <w:sz w:val="22"/>
        </w:rPr>
        <w:t>. The Swing Line Sublimit is part of, and not in addition to, the Aggregate Revolving Commitments.</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Synthetic Lease Obligation</w:t>
      </w:r>
      <w:r>
        <w:rPr>
          <w:color w:val="000000"/>
        </w:rPr>
        <w:t xml:space="preserve">” </w:t>
      </w:r>
      <w:r>
        <w:rPr>
          <w:rFonts w:ascii="Times New Roman;serif" w:hAnsi="Times New Roman;serif"/>
          <w:b w:val="false"/>
          <w:color w:val="000000"/>
          <w:sz w:val="22"/>
        </w:rPr>
        <w:t xml:space="preserve">means the monetary obligation of a Person under (a) a so-called synthetic, off-balance sheet or tax retention lease, or (b) an agreement for the use or possession of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property creating obligations that do not appear on the balance sheet of such Person but which, upon the insolvency or bankruptcy of such Person, would be characterized as the indebtedness of such Person (without regard to accounting treatment).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Target</w:t>
      </w:r>
      <w:r>
        <w:rPr>
          <w:color w:val="000000"/>
        </w:rPr>
        <w:t xml:space="preserve">” </w:t>
      </w:r>
      <w:r>
        <w:rPr>
          <w:rFonts w:ascii="Times New Roman;serif" w:hAnsi="Times New Roman;serif"/>
          <w:b w:val="false"/>
          <w:color w:val="000000"/>
          <w:sz w:val="22"/>
        </w:rPr>
        <w:t>means the Person, or business or substantially all of the assets of a Person, acquired in an Acquisition.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Taxes</w:t>
      </w:r>
      <w:r>
        <w:rPr>
          <w:color w:val="000000"/>
        </w:rPr>
        <w:t xml:space="preserve">” </w:t>
      </w:r>
      <w:r>
        <w:rPr>
          <w:rFonts w:ascii="Times New Roman;serif" w:hAnsi="Times New Roman;serif"/>
          <w:b w:val="false"/>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strike/>
          <w:color w:val="FF0000"/>
        </w:rPr>
        <w:t>“</w:t>
      </w:r>
      <w:r>
        <w:rPr>
          <w:rFonts w:ascii="Times New Roman;serif" w:hAnsi="Times New Roman;serif"/>
          <w:b w:val="false"/>
          <w:strike/>
          <w:color w:val="FF0000"/>
          <w:sz w:val="22"/>
        </w:rPr>
        <w:t>Term Facility</w:t>
      </w:r>
      <w:r>
        <w:rPr>
          <w:strike/>
          <w:color w:val="FF0000"/>
        </w:rPr>
        <w:t xml:space="preserve">” </w:t>
      </w:r>
      <w:r>
        <w:rPr>
          <w:rFonts w:ascii="Times New Roman;serif" w:hAnsi="Times New Roman;serif"/>
          <w:b w:val="false"/>
          <w:strike/>
          <w:color w:val="FF0000"/>
          <w:sz w:val="24"/>
        </w:rPr>
        <w:t>means, at any time, (a) on or prior to the Closing Date, the aggregate amount of the Term Loan Commitments at such time and (b) thereafter, the aggregate principal amount of the Term Loan outstanding at such time.</w:t>
      </w:r>
    </w:p>
    <w:p>
      <w:pPr>
        <w:pStyle w:val="TextBody"/>
        <w:bidi w:val="0"/>
        <w:spacing w:before="0" w:after="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u w:val="single"/>
        </w:rPr>
        <w:t>Term Loan</w:t>
      </w:r>
      <w:r>
        <w:rPr>
          <w:color w:val="000000"/>
        </w:rPr>
        <w:t xml:space="preserve">” </w:t>
      </w:r>
      <w:r>
        <w:rPr>
          <w:rFonts w:ascii="Times New Roman;serif" w:hAnsi="Times New Roman;serif"/>
          <w:b w:val="false"/>
          <w:color w:val="000000"/>
          <w:sz w:val="22"/>
        </w:rPr>
        <w:t xml:space="preserve">has the meaning </w:t>
      </w:r>
      <w:r>
        <w:rPr>
          <w:rFonts w:ascii="Times New Roman;serif" w:hAnsi="Times New Roman;serif"/>
          <w:b w:val="false"/>
          <w:strike/>
          <w:color w:val="FF0000"/>
          <w:sz w:val="24"/>
        </w:rPr>
        <w:t xml:space="preserve">specified </w:t>
      </w:r>
      <w:r>
        <w:rPr>
          <w:rFonts w:ascii="Times New Roman;serif" w:hAnsi="Times New Roman;serif"/>
          <w:b w:val="false"/>
          <w:color w:val="0000FF"/>
          <w:sz w:val="24"/>
          <w:u w:val="single"/>
        </w:rPr>
        <w:t>set forth</w:t>
      </w:r>
      <w:r>
        <w:rPr>
          <w:color w:val="000000"/>
        </w:rPr>
        <w:t xml:space="preserve"> </w:t>
      </w:r>
      <w:r>
        <w:rPr>
          <w:rFonts w:ascii="Times New Roman;serif" w:hAnsi="Times New Roman;serif"/>
          <w:b w:val="false"/>
          <w:color w:val="000000"/>
          <w:sz w:val="22"/>
        </w:rPr>
        <w:t xml:space="preserve">in </w:t>
      </w:r>
      <w:r>
        <w:rPr>
          <w:rFonts w:ascii="Times New Roman;serif" w:hAnsi="Times New Roman;serif"/>
          <w:b w:val="false"/>
          <w:color w:val="000000"/>
          <w:sz w:val="24"/>
          <w:u w:val="single"/>
        </w:rPr>
        <w:t>Section 2.01(b)</w:t>
      </w:r>
      <w:r>
        <w:rPr>
          <w:rFonts w:ascii="Times New Roman;serif" w:hAnsi="Times New Roman;serif"/>
          <w:b w:val="false"/>
          <w:strike/>
          <w:color w:val="FF0000"/>
          <w:sz w:val="24"/>
          <w:u w:val="single"/>
        </w:rPr>
        <w:t>(i)</w:t>
      </w:r>
      <w:r>
        <w:rPr>
          <w:rFonts w:ascii="Times New Roman;serif" w:hAnsi="Times New Roman;serif"/>
          <w:b w:val="false"/>
          <w:color w:val="000000"/>
          <w:sz w:val="24"/>
        </w:rPr>
        <w:t>.</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pPr>
      <w:r>
        <w:rPr>
          <w:strike/>
          <w:color w:val="FF0000"/>
        </w:rPr>
        <w:t>“</w:t>
      </w:r>
      <w:r>
        <w:rPr>
          <w:rFonts w:ascii="Times New Roman;serif" w:hAnsi="Times New Roman;serif"/>
          <w:b w:val="false"/>
          <w:strike/>
          <w:color w:val="FF0000"/>
          <w:sz w:val="24"/>
          <w:u w:val="single"/>
        </w:rPr>
        <w:t>Term Loan Commitment</w:t>
      </w:r>
      <w:r>
        <w:rPr>
          <w:strike/>
          <w:color w:val="FF0000"/>
        </w:rPr>
        <w:t xml:space="preserve">” </w:t>
      </w:r>
      <w:r>
        <w:rPr>
          <w:rFonts w:ascii="Times New Roman;serif" w:hAnsi="Times New Roman;serif"/>
          <w:b w:val="false"/>
          <w:strike/>
          <w:color w:val="FF0000"/>
          <w:sz w:val="24"/>
        </w:rPr>
        <w:t xml:space="preserve">means, as to each Lender, its obligation to make its portion of the Term Loan to the Borrower pursuant to </w:t>
      </w:r>
      <w:r>
        <w:rPr>
          <w:rFonts w:ascii="Times New Roman;serif" w:hAnsi="Times New Roman;serif"/>
          <w:b w:val="false"/>
          <w:strike/>
          <w:color w:val="FF0000"/>
          <w:sz w:val="24"/>
          <w:u w:val="single"/>
        </w:rPr>
        <w:t>Section 2.01(b)</w:t>
      </w:r>
      <w:r>
        <w:rPr>
          <w:rFonts w:ascii="Times New Roman;serif" w:hAnsi="Times New Roman;serif"/>
          <w:b w:val="false"/>
          <w:strike/>
          <w:color w:val="FF0000"/>
          <w:sz w:val="24"/>
        </w:rPr>
        <w:t xml:space="preserve">, in the principal amount set forth opposite such Lender’s name on </w:t>
      </w:r>
      <w:r>
        <w:rPr>
          <w:rFonts w:ascii="Times New Roman;serif" w:hAnsi="Times New Roman;serif"/>
          <w:b w:val="false"/>
          <w:strike/>
          <w:color w:val="FF0000"/>
          <w:sz w:val="24"/>
          <w:u w:val="single"/>
        </w:rPr>
        <w:t>Schedule 2.01</w:t>
      </w:r>
      <w:r>
        <w:rPr>
          <w:rFonts w:ascii="Times New Roman;serif" w:hAnsi="Times New Roman;serif"/>
          <w:b w:val="false"/>
          <w:strike/>
          <w:color w:val="FF0000"/>
          <w:sz w:val="24"/>
        </w:rPr>
        <w:t>. The aggregate principal amount of the Term Loan Commitments of all of the Lenders as in effect on the Closing Date is FOUR HUNDRED MILLION DOLLARS ($400,000,000).</w:t>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2"/>
          <w:u w:val="single"/>
        </w:rPr>
        <w:t>Term SOFR</w:t>
      </w:r>
      <w:r>
        <w:rPr>
          <w:color w:val="000000"/>
        </w:rPr>
        <w:t xml:space="preserve">” </w:t>
      </w:r>
      <w:r>
        <w:rPr>
          <w:rFonts w:ascii="Times New Roman;serif" w:hAnsi="Times New Roman;serif"/>
          <w:b w:val="false"/>
          <w:color w:val="000000"/>
          <w:sz w:val="22"/>
        </w:rPr>
        <w:t>means: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(a) 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w:t>
      </w:r>
      <w:r>
        <w:rPr>
          <w:color w:val="FF0000"/>
        </w:rPr>
        <w:t xml:space="preserv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the SOFR Adjustment for such Interest Period</w:t>
      </w:r>
      <w:r>
        <w:rPr>
          <w:rFonts w:ascii="Times New Roman;serif" w:hAnsi="Times New Roman;serif"/>
          <w:b/>
          <w:color w:val="000000"/>
          <w:sz w:val="22"/>
        </w:rPr>
        <w:t xml:space="preserve">; </w:t>
      </w:r>
      <w:r>
        <w:rPr>
          <w:rFonts w:ascii="Times New Roman;serif" w:hAnsi="Times New Roman;serif"/>
          <w:b w:val="false"/>
          <w:color w:val="000000"/>
          <w:sz w:val="22"/>
        </w:rPr>
        <w:t>and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for any interest calculation with respect to a Base Rate Loan on any date, the rate per annum equal to the Term SOFR Screen Rate with a term of one month commencing that day;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2"/>
          <w:u w:val="single"/>
        </w:rPr>
        <w:t>provided</w:t>
      </w:r>
      <w:r>
        <w:rPr>
          <w:color w:val="000000"/>
        </w:rPr>
        <w:t xml:space="preserve"> </w:t>
      </w:r>
      <w:r>
        <w:rPr>
          <w:rFonts w:ascii="Times New Roman;serif" w:hAnsi="Times New Roman;serif"/>
          <w:b w:val="false"/>
          <w:color w:val="000000"/>
          <w:sz w:val="22"/>
        </w:rPr>
        <w:t>that if Term SOFR determined in accordance with either of the foregoing provisions (a) or (b) of this definition would otherwise be less than zero, Term SOFR shall be deemed zero for purposes of this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Term SOFR Loan</w:t>
      </w:r>
      <w:r>
        <w:rPr>
          <w:color w:val="000000"/>
        </w:rPr>
        <w:t xml:space="preserve">” </w:t>
      </w:r>
      <w:r>
        <w:rPr>
          <w:rFonts w:ascii="Times New Roman;serif" w:hAnsi="Times New Roman;serif"/>
          <w:b w:val="false"/>
          <w:color w:val="000000"/>
          <w:sz w:val="22"/>
        </w:rPr>
        <w:t>means a Loan that bears interest at a rate based on clause (a) of the definition of Term SOFR.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Term SOFR Screen Rate</w:t>
      </w:r>
      <w:r>
        <w:rPr>
          <w:color w:val="000000"/>
        </w:rPr>
        <w:t xml:space="preserve">” </w:t>
      </w:r>
      <w:r>
        <w:rPr>
          <w:rFonts w:ascii="Times New Roman;serif" w:hAnsi="Times New Roman;serif"/>
          <w:b w:val="false"/>
          <w:color w:val="000000"/>
          <w:sz w:val="22"/>
        </w:rPr>
        <w:t>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Threshold Amount</w:t>
      </w:r>
      <w:r>
        <w:rPr>
          <w:color w:val="000000"/>
        </w:rPr>
        <w:t xml:space="preserve">” </w:t>
      </w:r>
      <w:r>
        <w:rPr>
          <w:rFonts w:ascii="Times New Roman;serif" w:hAnsi="Times New Roman;serif"/>
          <w:b w:val="false"/>
          <w:color w:val="000000"/>
          <w:sz w:val="22"/>
        </w:rPr>
        <w:t>means $10,000,000.</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Total Credit Exposure</w:t>
      </w:r>
      <w:r>
        <w:rPr>
          <w:color w:val="000000"/>
        </w:rPr>
        <w:t xml:space="preserve">” </w:t>
      </w:r>
      <w:r>
        <w:rPr>
          <w:rFonts w:ascii="Times New Roman;serif" w:hAnsi="Times New Roman;serif"/>
          <w:b w:val="false"/>
          <w:color w:val="000000"/>
          <w:sz w:val="22"/>
        </w:rPr>
        <w:t>means, as to any Lender at any time, the unused Commitments of such Lender at such time, the outstanding Loans of such Lender at such time and such Lender’s participation in L/C Obligations and Swing Line Loans at such time.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Total Revolving Outstandings</w:t>
      </w:r>
      <w:r>
        <w:rPr>
          <w:color w:val="000000"/>
        </w:rPr>
        <w:t xml:space="preserve">” </w:t>
      </w:r>
      <w:r>
        <w:rPr>
          <w:rFonts w:ascii="Times New Roman;serif" w:hAnsi="Times New Roman;serif"/>
          <w:b w:val="false"/>
          <w:color w:val="000000"/>
          <w:sz w:val="22"/>
        </w:rPr>
        <w:t>means the aggregate Outstanding Amount of all Revolving Loans, all Swing Line Loans and all L/C Obligations.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Trust</w:t>
      </w:r>
      <w:r>
        <w:rPr>
          <w:color w:val="000000"/>
        </w:rPr>
        <w:t xml:space="preserve">” </w:t>
      </w:r>
      <w:r>
        <w:rPr>
          <w:rFonts w:ascii="Times New Roman;serif" w:hAnsi="Times New Roman;serif"/>
          <w:b w:val="false"/>
          <w:color w:val="000000"/>
          <w:sz w:val="22"/>
        </w:rPr>
        <w:t>means Compass Diversified Holdings, a Delaware statutory trust, together with any other statutory or other trust that hereafter holds Trust Interests (as defined in the Borrower LLC Agreement).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Trust Agreement</w:t>
      </w:r>
      <w:r>
        <w:rPr>
          <w:color w:val="000000"/>
        </w:rPr>
        <w:t xml:space="preserve">” </w:t>
      </w:r>
      <w:r>
        <w:rPr>
          <w:rFonts w:ascii="Times New Roman;serif" w:hAnsi="Times New Roman;serif"/>
          <w:b w:val="false"/>
          <w:color w:val="000000"/>
          <w:sz w:val="22"/>
        </w:rPr>
        <w:t>means that certain Third Amended and Restated Trust Agreement of the Trust dated as of August 3, 2021, among Borrower, as Sponsor, The Bank of New York (Delaware), as Delaware Trustee, and the other trustees named therein, as in effect as of the date hereof or as modified in compliance with the provisions hereof.</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Type</w:t>
      </w:r>
      <w:r>
        <w:rPr>
          <w:color w:val="000000"/>
        </w:rPr>
        <w:t xml:space="preserve">” </w:t>
      </w:r>
      <w:r>
        <w:rPr>
          <w:rFonts w:ascii="Times New Roman;serif" w:hAnsi="Times New Roman;serif"/>
          <w:b w:val="false"/>
          <w:color w:val="000000"/>
          <w:sz w:val="22"/>
        </w:rPr>
        <w:t>means, with respect to any Loan, its character as a Base Rate Loan or Term SOFR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UCP</w:t>
      </w:r>
      <w:r>
        <w:rPr>
          <w:color w:val="000000"/>
        </w:rPr>
        <w:t xml:space="preserve">” </w:t>
      </w:r>
      <w:r>
        <w:rPr>
          <w:rFonts w:ascii="Times New Roman;serif" w:hAnsi="Times New Roman;serif"/>
          <w:b w:val="false"/>
          <w:color w:val="000000"/>
          <w:sz w:val="22"/>
        </w:rPr>
        <w:t>means, with respect to any Letter of Credit, the Uniform Customs and Practice for Documentary Credits, International Chamber of Commerce (“</w:t>
      </w:r>
      <w:r>
        <w:rPr>
          <w:rFonts w:ascii="Times New Roman;serif" w:hAnsi="Times New Roman;serif"/>
          <w:b w:val="false"/>
          <w:color w:val="000000"/>
          <w:sz w:val="22"/>
          <w:u w:val="single"/>
        </w:rPr>
        <w:t>ICC</w:t>
      </w:r>
      <w:r>
        <w:rPr>
          <w:color w:val="000000"/>
        </w:rPr>
        <w:t>”</w:t>
      </w:r>
      <w:r>
        <w:rPr>
          <w:rFonts w:ascii="Times New Roman;serif" w:hAnsi="Times New Roman;serif"/>
          <w:b w:val="false"/>
          <w:color w:val="000000"/>
          <w:sz w:val="22"/>
        </w:rPr>
        <w:t>) Publication No. 600 (or such later version thereof as may be in effect at the time of issuance).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UK Financial Institution</w:t>
      </w:r>
      <w:r>
        <w:rPr>
          <w:color w:val="000000"/>
        </w:rPr>
        <w:t xml:space="preserve">” </w:t>
      </w:r>
      <w:r>
        <w:rPr>
          <w:rFonts w:ascii="Times New Roman;serif" w:hAnsi="Times New Roman;serif"/>
          <w:b w:val="false"/>
          <w:color w:val="000000"/>
          <w:sz w:val="22"/>
        </w:rPr>
        <w:t>means (a)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UK Resolution Authority</w:t>
      </w:r>
      <w:r>
        <w:rPr>
          <w:color w:val="000000"/>
        </w:rPr>
        <w:t xml:space="preserve">” </w:t>
      </w:r>
      <w:r>
        <w:rPr>
          <w:rFonts w:ascii="Times New Roman;serif" w:hAnsi="Times New Roman;serif"/>
          <w:b w:val="false"/>
          <w:color w:val="000000"/>
          <w:sz w:val="22"/>
        </w:rPr>
        <w:t>means the Bank of England or any other public administrative authority having responsibility for the resolution of any UK Financial Institution.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United States</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U.S.</w:t>
      </w:r>
      <w:r>
        <w:rPr>
          <w:color w:val="000000"/>
        </w:rPr>
        <w:t xml:space="preserve">” </w:t>
      </w:r>
      <w:r>
        <w:rPr>
          <w:rFonts w:ascii="Times New Roman;serif" w:hAnsi="Times New Roman;serif"/>
          <w:b w:val="false"/>
          <w:color w:val="000000"/>
          <w:sz w:val="22"/>
        </w:rPr>
        <w:t>mean the United States of America.</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Unreimbursed Amount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2.03(c)(i)</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u w:val="single"/>
        </w:rPr>
        <w:t>Unrestricted Cash</w:t>
      </w:r>
      <w:r>
        <w:rPr>
          <w:color w:val="000000"/>
        </w:rPr>
        <w:t xml:space="preserve">” </w:t>
      </w:r>
      <w:r>
        <w:rPr>
          <w:rFonts w:ascii="Times New Roman;serif" w:hAnsi="Times New Roman;serif"/>
          <w:b w:val="false"/>
          <w:color w:val="000000"/>
          <w:sz w:val="22"/>
        </w:rPr>
        <w:t xml:space="preserve">means, at any time with respect to a Portfolio Company, the product of (a) the aggregate cash and Cash Equivalents of such Portfolio Company that (i) does not appear (or would be required to appear) as “restricted” on a consolidated balance sheet of such Portfolio Company and its Subsidiaries as determined in accordance with GAAP and (ii) is not subject to any Lien in favor of any Person (other than Liens permitted to exist pursuant to </w:t>
      </w:r>
      <w:r>
        <w:rPr>
          <w:rFonts w:ascii="Times New Roman;serif" w:hAnsi="Times New Roman;serif"/>
          <w:b w:val="false"/>
          <w:color w:val="000000"/>
          <w:sz w:val="22"/>
          <w:u w:val="single"/>
        </w:rPr>
        <w:t>Sections 7.01(m)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(n)</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(p)</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multiplied</w:t>
      </w:r>
      <w:r>
        <w:rPr>
          <w:color w:val="000000"/>
        </w:rPr>
        <w:t xml:space="preserve"> </w:t>
      </w:r>
      <w:r>
        <w:rPr>
          <w:rFonts w:ascii="Times New Roman;serif" w:hAnsi="Times New Roman;serif"/>
          <w:b w:val="false"/>
          <w:color w:val="000000"/>
          <w:sz w:val="22"/>
        </w:rPr>
        <w:t xml:space="preserve">by (b) the percentage of Equity Interests in such Portfolio Company owned by the Borrower (adjusted to give effect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to any preferred Equity Interests in such Portfolio Company in a manner reasonably acceptable to the Administrative Agent). </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Unused Borrowing Availability</w:t>
      </w:r>
      <w:r>
        <w:rPr>
          <w:color w:val="000000"/>
        </w:rPr>
        <w:t xml:space="preserve">” </w:t>
      </w:r>
      <w:r>
        <w:rPr>
          <w:rFonts w:ascii="Times New Roman;serif" w:hAnsi="Times New Roman;serif"/>
          <w:b w:val="false"/>
          <w:color w:val="000000"/>
          <w:sz w:val="22"/>
        </w:rPr>
        <w:t>means, as of any date of determination, an amount equal to (a) Borrowing Availability as of such date minus (b) Total Revolving Outstandings as of such date.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U.S. Government Securities Business Day</w:t>
      </w:r>
      <w:r>
        <w:rPr>
          <w:color w:val="000000"/>
        </w:rPr>
        <w:t xml:space="preserve">” </w:t>
      </w:r>
      <w:r>
        <w:rPr>
          <w:rFonts w:ascii="Times New Roman;serif" w:hAnsi="Times New Roman;serif"/>
          <w:b w:val="false"/>
          <w:color w:val="000000"/>
          <w:sz w:val="22"/>
        </w:rPr>
        <w:t>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U.S. Person</w:t>
      </w:r>
      <w:r>
        <w:rPr>
          <w:color w:val="000000"/>
        </w:rPr>
        <w:t xml:space="preserve">” </w:t>
      </w:r>
      <w:r>
        <w:rPr>
          <w:rFonts w:ascii="Times New Roman;serif" w:hAnsi="Times New Roman;serif"/>
          <w:b w:val="false"/>
          <w:color w:val="000000"/>
          <w:sz w:val="22"/>
        </w:rPr>
        <w:t>means any Person that is a “United States Person” as defined in Section 7701(a)(30) of the Internal Revenue Code.</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U.S. Special Resolution Regimes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10.20</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U.S. Tax Compliance Certificate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3.01(e)(ii)(B)(III)</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Velocity</w:t>
      </w:r>
      <w:r>
        <w:rPr>
          <w:color w:val="000000"/>
        </w:rPr>
        <w:t xml:space="preserve">” </w:t>
      </w:r>
      <w:r>
        <w:rPr>
          <w:rFonts w:ascii="Times New Roman;serif" w:hAnsi="Times New Roman;serif"/>
          <w:b w:val="false"/>
          <w:color w:val="000000"/>
          <w:sz w:val="22"/>
        </w:rPr>
        <w:t>means CBCP Products, LLC, a Delaware limited liability company.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Voting Equity Interests</w:t>
      </w:r>
      <w:r>
        <w:rPr>
          <w:color w:val="000000"/>
        </w:rPr>
        <w:t xml:space="preserve">” </w:t>
      </w:r>
      <w:r>
        <w:rPr>
          <w:rFonts w:ascii="Times New Roman;serif" w:hAnsi="Times New Roman;serif"/>
          <w:b w:val="false"/>
          <w:color w:val="000000"/>
          <w:sz w:val="22"/>
        </w:rPr>
        <w:t>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Weighted Average Life</w:t>
      </w:r>
      <w:r>
        <w:rPr>
          <w:color w:val="000000"/>
        </w:rPr>
        <w:t xml:space="preserve">” </w:t>
      </w:r>
      <w:r>
        <w:rPr>
          <w:rFonts w:ascii="Times New Roman;serif" w:hAnsi="Times New Roman;serif"/>
          <w:b w:val="false"/>
          <w:color w:val="000000"/>
          <w:sz w:val="22"/>
        </w:rPr>
        <w:t>means, when applied to any Indebtedness at any date of determination, the number of years obtained by dividing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of determination and the making of such payment; by (b) the then-outstanding principal amount of such Indebtedness as of such date of determination.</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Wholly-Owned Subsidiary</w:t>
      </w:r>
      <w:r>
        <w:rPr>
          <w:color w:val="000000"/>
        </w:rPr>
        <w:t xml:space="preserve">” </w:t>
      </w:r>
      <w:r>
        <w:rPr>
          <w:rFonts w:ascii="Times New Roman;serif" w:hAnsi="Times New Roman;serif"/>
          <w:b w:val="false"/>
          <w:color w:val="000000"/>
          <w:sz w:val="22"/>
        </w:rPr>
        <w:t>means any Person 100% of whose Equity Interests (except directors’ qualifying shares) are at the time owned by the Borrower directly or indirectly through other Persons 100% of whose Equity Interests (except directors’ qualifying shares) are at the time owned, directly or indirectly, by the Borrower.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Write-Down and Conversion Powers</w:t>
      </w:r>
      <w:r>
        <w:rPr>
          <w:color w:val="000000"/>
        </w:rPr>
        <w:t xml:space="preserve">” </w:t>
      </w:r>
      <w:r>
        <w:rPr>
          <w:rFonts w:ascii="Times New Roman;serif" w:hAnsi="Times New Roman;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pPr>
      <w:r>
        <w:rPr>
          <w:rFonts w:ascii="Times New Roman;serif" w:hAnsi="Times New Roman;serif"/>
          <w:b w:val="false"/>
          <w:color w:val="000000"/>
          <w:sz w:val="22"/>
        </w:rPr>
        <w:t>1.02    </w:t>
      </w:r>
      <w:r>
        <w:rPr>
          <w:rFonts w:ascii="Times New Roman;serif" w:hAnsi="Times New Roman;serif"/>
          <w:b w:val="false"/>
          <w:color w:val="000000"/>
          <w:sz w:val="22"/>
          <w:u w:val="single"/>
        </w:rPr>
        <w:t>Other Interpretive Provisions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reference to this Agreement and each other Loan Document, unless otherwise specified herein or in such other Loan Document: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(a) The definitions of terms herein shall apply equally to the singular and plural forms of the terms defined. Whenever the context may require, any pronoun shall include the corresponding masculine, feminine and neuter forms. The words “</w:t>
      </w:r>
      <w:r>
        <w:rPr>
          <w:rFonts w:ascii="Times New Roman;serif" w:hAnsi="Times New Roman;serif"/>
          <w:b w:val="false"/>
          <w:color w:val="000000"/>
          <w:sz w:val="22"/>
          <w:u w:val="single"/>
        </w:rPr>
        <w:t>include</w:t>
      </w:r>
      <w:r>
        <w:rPr>
          <w:rFonts w:ascii="Times New Roman;serif" w:hAnsi="Times New Roman;serif"/>
          <w:b w:val="false"/>
          <w:color w:val="000000"/>
          <w:sz w:val="22"/>
        </w:rPr>
        <w:t>,” “</w:t>
      </w:r>
      <w:r>
        <w:rPr>
          <w:rFonts w:ascii="Times New Roman;serif" w:hAnsi="Times New Roman;serif"/>
          <w:b w:val="false"/>
          <w:color w:val="000000"/>
          <w:sz w:val="22"/>
          <w:u w:val="single"/>
        </w:rPr>
        <w:t>includes</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including</w:t>
      </w:r>
      <w:r>
        <w:rPr>
          <w:color w:val="000000"/>
        </w:rPr>
        <w:t xml:space="preserve">” </w:t>
      </w:r>
      <w:r>
        <w:rPr>
          <w:rFonts w:ascii="Times New Roman;serif" w:hAnsi="Times New Roman;serif"/>
          <w:b w:val="false"/>
          <w:color w:val="000000"/>
          <w:sz w:val="22"/>
        </w:rPr>
        <w:t>shall be deemed to be followed by the phrase “without limitation.” The word “</w:t>
      </w:r>
      <w:r>
        <w:rPr>
          <w:rFonts w:ascii="Times New Roman;serif" w:hAnsi="Times New Roman;serif"/>
          <w:b w:val="false"/>
          <w:color w:val="000000"/>
          <w:sz w:val="22"/>
          <w:u w:val="single"/>
        </w:rPr>
        <w:t>will</w:t>
      </w:r>
      <w:r>
        <w:rPr>
          <w:color w:val="000000"/>
        </w:rPr>
        <w:t xml:space="preserve">” </w:t>
      </w:r>
      <w:r>
        <w:rPr>
          <w:rFonts w:ascii="Times New Roman;serif" w:hAnsi="Times New Roman;serif"/>
          <w:b w:val="false"/>
          <w:color w:val="000000"/>
          <w:sz w:val="22"/>
        </w:rPr>
        <w:t>shall be construed to have the same meaning and effect as the word “</w:t>
      </w:r>
      <w:r>
        <w:rPr>
          <w:rFonts w:ascii="Times New Roman;serif" w:hAnsi="Times New Roman;serif"/>
          <w:b w:val="false"/>
          <w:color w:val="000000"/>
          <w:sz w:val="22"/>
          <w:u w:val="single"/>
        </w:rPr>
        <w:t>shall</w:t>
      </w:r>
      <w:r>
        <w:rPr>
          <w:rFonts w:ascii="Times New Roman;serif" w:hAnsi="Times New Roman;serif"/>
          <w:b w:val="false"/>
          <w:color w:val="000000"/>
          <w:sz w:val="22"/>
        </w:rPr>
        <w:t>.”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serif" w:hAnsi="Times New Roman;serif"/>
          <w:b w:val="false"/>
          <w:color w:val="000000"/>
          <w:sz w:val="22"/>
          <w:u w:val="single"/>
        </w:rPr>
        <w:t>hereto</w:t>
      </w:r>
      <w:r>
        <w:rPr>
          <w:color w:val="000000"/>
        </w:rPr>
        <w:t>”</w:t>
      </w:r>
      <w:r>
        <w:rPr>
          <w:rFonts w:ascii="Times New Roman;serif" w:hAnsi="Times New Roman;serif"/>
          <w:b w:val="false"/>
          <w:color w:val="000000"/>
          <w:sz w:val="22"/>
        </w:rPr>
        <w:t>, “</w:t>
      </w:r>
      <w:r>
        <w:rPr>
          <w:rFonts w:ascii="Times New Roman;serif" w:hAnsi="Times New Roman;serif"/>
          <w:b w:val="false"/>
          <w:color w:val="000000"/>
          <w:sz w:val="22"/>
          <w:u w:val="single"/>
        </w:rPr>
        <w:t>herein</w:t>
      </w:r>
      <w:r>
        <w:rPr>
          <w:rFonts w:ascii="Times New Roman;serif" w:hAnsi="Times New Roman;serif"/>
          <w:b w:val="false"/>
          <w:color w:val="000000"/>
          <w:sz w:val="22"/>
        </w:rPr>
        <w:t>,” “</w:t>
      </w:r>
      <w:r>
        <w:rPr>
          <w:rFonts w:ascii="Times New Roman;serif" w:hAnsi="Times New Roman;serif"/>
          <w:b w:val="false"/>
          <w:color w:val="000000"/>
          <w:sz w:val="22"/>
          <w:u w:val="single"/>
        </w:rPr>
        <w:t>hereof</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hereunder</w:t>
      </w:r>
      <w:r>
        <w:rPr>
          <w:rFonts w:ascii="Times New Roman;serif" w:hAnsi="Times New Roman;serif"/>
          <w:b w:val="false"/>
          <w:color w:val="000000"/>
          <w:sz w:val="22"/>
        </w:rPr>
        <w:t>,”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extended, restated, replaced or supplemented from time to time, and (vi) the words “</w:t>
      </w:r>
      <w:r>
        <w:rPr>
          <w:rFonts w:ascii="Times New Roman;serif" w:hAnsi="Times New Roman;serif"/>
          <w:b w:val="false"/>
          <w:color w:val="000000"/>
          <w:sz w:val="22"/>
          <w:u w:val="single"/>
        </w:rPr>
        <w:t>asset</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property</w:t>
      </w:r>
      <w:r>
        <w:rPr>
          <w:color w:val="000000"/>
        </w:rPr>
        <w:t xml:space="preserve">” </w:t>
      </w:r>
      <w:r>
        <w:rPr>
          <w:rFonts w:ascii="Times New Roman;serif" w:hAnsi="Times New Roman;serif"/>
          <w:b w:val="false"/>
          <w:color w:val="000000"/>
          <w:sz w:val="22"/>
        </w:rPr>
        <w:t>shall be construed to have the same meaning and effect and to refer to any and all assets and properties, tangible and intangible, real and personal, including cash, securities, accounts and contract rights.</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(b) In the computation of periods of time from a specified date to a later specified date, the word “</w:t>
      </w:r>
      <w:r>
        <w:rPr>
          <w:rFonts w:ascii="Times New Roman;serif" w:hAnsi="Times New Roman;serif"/>
          <w:b w:val="false"/>
          <w:color w:val="000000"/>
          <w:sz w:val="22"/>
          <w:u w:val="single"/>
        </w:rPr>
        <w:t>from</w:t>
      </w:r>
      <w:r>
        <w:rPr>
          <w:color w:val="000000"/>
        </w:rPr>
        <w:t xml:space="preserve">” </w:t>
      </w:r>
      <w:r>
        <w:rPr>
          <w:rFonts w:ascii="Times New Roman;serif" w:hAnsi="Times New Roman;serif"/>
          <w:b w:val="false"/>
          <w:color w:val="000000"/>
          <w:sz w:val="22"/>
        </w:rPr>
        <w:t>means “</w:t>
      </w:r>
      <w:r>
        <w:rPr>
          <w:rFonts w:ascii="Times New Roman;serif" w:hAnsi="Times New Roman;serif"/>
          <w:b w:val="false"/>
          <w:color w:val="000000"/>
          <w:sz w:val="22"/>
          <w:u w:val="single"/>
        </w:rPr>
        <w:t>from and including</w:t>
      </w:r>
      <w:r>
        <w:rPr>
          <w:rFonts w:ascii="Times New Roman;serif" w:hAnsi="Times New Roman;serif"/>
          <w:b w:val="false"/>
          <w:color w:val="000000"/>
          <w:sz w:val="22"/>
        </w:rPr>
        <w:t>;” the words “</w:t>
      </w:r>
      <w:r>
        <w:rPr>
          <w:rFonts w:ascii="Times New Roman;serif" w:hAnsi="Times New Roman;serif"/>
          <w:b w:val="false"/>
          <w:color w:val="000000"/>
          <w:sz w:val="22"/>
          <w:u w:val="single"/>
        </w:rPr>
        <w:t>to</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until</w:t>
      </w:r>
      <w:r>
        <w:rPr>
          <w:color w:val="000000"/>
        </w:rPr>
        <w:t xml:space="preserve">” </w:t>
      </w:r>
      <w:r>
        <w:rPr>
          <w:rFonts w:ascii="Times New Roman;serif" w:hAnsi="Times New Roman;serif"/>
          <w:b w:val="false"/>
          <w:color w:val="000000"/>
          <w:sz w:val="22"/>
        </w:rPr>
        <w:t>each mean “</w:t>
      </w:r>
      <w:r>
        <w:rPr>
          <w:rFonts w:ascii="Times New Roman;serif" w:hAnsi="Times New Roman;serif"/>
          <w:b w:val="false"/>
          <w:color w:val="000000"/>
          <w:sz w:val="22"/>
          <w:u w:val="single"/>
        </w:rPr>
        <w:t>to but excluding</w:t>
      </w:r>
      <w:r>
        <w:rPr>
          <w:rFonts w:ascii="Times New Roman;serif" w:hAnsi="Times New Roman;serif"/>
          <w:b w:val="false"/>
          <w:color w:val="000000"/>
          <w:sz w:val="22"/>
        </w:rPr>
        <w:t>;” and the word “</w:t>
      </w:r>
      <w:r>
        <w:rPr>
          <w:rFonts w:ascii="Times New Roman;serif" w:hAnsi="Times New Roman;serif"/>
          <w:b w:val="false"/>
          <w:color w:val="000000"/>
          <w:sz w:val="22"/>
          <w:u w:val="single"/>
        </w:rPr>
        <w:t>through</w:t>
      </w:r>
      <w:r>
        <w:rPr>
          <w:color w:val="000000"/>
        </w:rPr>
        <w:t xml:space="preserve">” </w:t>
      </w:r>
      <w:r>
        <w:rPr>
          <w:rFonts w:ascii="Times New Roman;serif" w:hAnsi="Times New Roman;serif"/>
          <w:b w:val="false"/>
          <w:color w:val="000000"/>
          <w:sz w:val="22"/>
        </w:rPr>
        <w:t>means “</w:t>
      </w:r>
      <w:r>
        <w:rPr>
          <w:rFonts w:ascii="Times New Roman;serif" w:hAnsi="Times New Roman;serif"/>
          <w:b w:val="false"/>
          <w:color w:val="000000"/>
          <w:sz w:val="22"/>
          <w:u w:val="single"/>
        </w:rPr>
        <w:t>to and including</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Section headings herein and in the other Loan Documents are included for convenience of reference only and shall not affect the interpretation of this Agreement or any other Loan Document.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Any reference herein to a merger,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erif" w:hAnsi="Times New Roman;serif"/>
          <w:b w:val="false"/>
          <w:color w:val="000000"/>
          <w:sz w:val="22"/>
        </w:rPr>
        <w:t>1.03    </w:t>
      </w:r>
      <w:r>
        <w:rPr>
          <w:rFonts w:ascii="Times New Roman;serif" w:hAnsi="Times New Roman;serif"/>
          <w:b w:val="false"/>
          <w:color w:val="000000"/>
          <w:sz w:val="22"/>
          <w:u w:val="single"/>
        </w:rPr>
        <w:t>Accounting Terms; Changes in GAAP; Calculation of Financial Covenants on a Pro Forma Basis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Generally</w:t>
      </w:r>
      <w:r>
        <w:rPr>
          <w:rFonts w:ascii="Times New Roman;serif" w:hAnsi="Times New Roman;serif"/>
          <w:b w:val="false"/>
          <w:color w:val="000000"/>
          <w:sz w:val="22"/>
        </w:rPr>
        <w:t xml:space="preserve">. All accounting terms not specifically or completely defined herein shall be construed in conformity with, and all financial data (including financial ratios and other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(i) without modifying the foregoing requirement that financial ratios and calculations be prepared in accordance with GAAP, financial statements of Portfolio Companies organized in Canada may be prepared in accordance with generally accepted accounting principles in Canada set forth in the opinions, statements and pronouncements of the relevant Canadian accounting authorities, consistently applied, and (ii)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Changes in GAAP</w:t>
      </w:r>
      <w:r>
        <w:rPr>
          <w:rFonts w:ascii="Times New Roman;serif" w:hAnsi="Times New Roman;serif"/>
          <w:b w:val="false"/>
          <w:color w:val="000000"/>
          <w:sz w:val="22"/>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foregoing, with respect to the accounting for leases as either operating leases or capital leases and the impact of such accounting in accordance with FASB ASC 842 on the definitions and covenants herein, GAAP as in effect on December 31, 2018 shall be applied, unless the parties hereto shall enter into a mutually acceptable amendment addressing such changes, as provided for above.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Consolidation of Variable Interest Entities</w:t>
      </w:r>
      <w:r>
        <w:rPr>
          <w:rFonts w:ascii="Times New Roman;serif" w:hAnsi="Times New Roman;serif"/>
          <w:b w:val="false"/>
          <w:color w:val="000000"/>
          <w:sz w:val="22"/>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Calculation of Financial Covenants on a Pro Forma Basis</w:t>
      </w:r>
      <w:r>
        <w:rPr>
          <w:rFonts w:ascii="Times New Roman;serif" w:hAnsi="Times New Roman;serif"/>
          <w:b w:val="false"/>
          <w:color w:val="000000"/>
          <w:sz w:val="22"/>
        </w:rPr>
        <w:t xml:space="preserve">. Notwithstanding the above, the parties hereto acknowledge and agree that all calculations of the financial covenants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(including for purposes of determining the Applicable Rate) shall be made on a Pro Forma Basis with respect to (i) any Disposition of all of the Equity Interests of, or all or substantially all of the assets of, a Subsidiary, (ii) any Disposition of a line of business, division or operating unit of the Borrower or any Subsidiary, or (iii) any Acquisition, in each case, occurring during the applicable period.</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1.04    </w:t>
      </w:r>
      <w:r>
        <w:rPr>
          <w:rFonts w:ascii="Times New Roman;serif" w:hAnsi="Times New Roman;serif"/>
          <w:b w:val="false"/>
          <w:color w:val="000000"/>
          <w:sz w:val="22"/>
          <w:u w:val="single"/>
        </w:rPr>
        <w:t>Rounding</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1.05    </w:t>
      </w:r>
      <w:r>
        <w:rPr>
          <w:rFonts w:ascii="Times New Roman;serif" w:hAnsi="Times New Roman;serif"/>
          <w:b w:val="false"/>
          <w:color w:val="000000"/>
          <w:sz w:val="22"/>
          <w:u w:val="single"/>
        </w:rPr>
        <w:t>Times of Day; Rates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specified, all references herein to times of day shall be references to Eastern time (daylight or standard, as applicable). The Administrative Agent does not warrant, nor accept responsibility, nor shall the Administrative Agent have any liability with respect to, the administration, submission or any other matter related to the rates in the definition of “Term SOFR” or with respect to any comparable or successor rate thereto.</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1.06    </w:t>
      </w:r>
      <w:r>
        <w:rPr>
          <w:rFonts w:ascii="Times New Roman;serif" w:hAnsi="Times New Roman;serif"/>
          <w:b w:val="false"/>
          <w:color w:val="000000"/>
          <w:sz w:val="22"/>
          <w:u w:val="single"/>
        </w:rPr>
        <w:t>Letter of Credit Amounts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Unless otherwise specified herein, the amount of a Letter of Credit at any time shall be deemed to be the stated amount of such Letter of Credit in effect at such time;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val="false"/>
          <w:color w:val="000000"/>
          <w:sz w:val="22"/>
        </w:rPr>
        <w:t>1.07     </w:t>
      </w:r>
      <w:r>
        <w:rPr>
          <w:rFonts w:ascii="Times New Roman;serif" w:hAnsi="Times New Roman;serif"/>
          <w:b w:val="false"/>
          <w:color w:val="000000"/>
          <w:sz w:val="22"/>
          <w:u w:val="single"/>
        </w:rPr>
        <w:t>Limited Condition Transactions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Notwithstanding anything to the contrary herein, if in connection with any Limited Condition Transaction or any transaction related thereto (including a Borrowing under an Incremental Term Facility but excluding a Borrowing of Revolving Loans or Swing Line Loans), this Agreement or any other Loan Document requires (x) compliance with any financial ratio or test, (y) accuracy of any representation or warranty or the absence of any Default or Event of Default or (z) compliance with any basket (including any basket measured as a percentage of any financial metric) as a condition to such Limited Condition Transaction or other transaction, then, at the option of the Borrower (the Borrower’s election to exercise such option in connection with any Limited Condition Transaction, an “</w:t>
      </w:r>
      <w:r>
        <w:rPr>
          <w:rFonts w:ascii="Times New Roman;serif" w:hAnsi="Times New Roman;serif"/>
          <w:b w:val="false"/>
          <w:color w:val="000000"/>
          <w:sz w:val="22"/>
          <w:u w:val="single"/>
        </w:rPr>
        <w:t>LCT Election</w:t>
      </w:r>
      <w:r>
        <w:rPr>
          <w:color w:val="000000"/>
        </w:rPr>
        <w:t>”</w:t>
      </w:r>
      <w:r>
        <w:rPr>
          <w:rFonts w:ascii="Times New Roman;serif" w:hAnsi="Times New Roman;serif"/>
          <w:b w:val="false"/>
          <w:color w:val="000000"/>
          <w:sz w:val="22"/>
        </w:rPr>
        <w:t>), the date of determination of whether such requirement (other than the absence of a Specified Event of Default) is satisfied shall be the date the definitive agreement for such Limited Condition Transaction is entered into (the “</w:t>
      </w:r>
      <w:r>
        <w:rPr>
          <w:rFonts w:ascii="Times New Roman;serif" w:hAnsi="Times New Roman;serif"/>
          <w:b w:val="false"/>
          <w:color w:val="000000"/>
          <w:sz w:val="22"/>
          <w:u w:val="single"/>
        </w:rPr>
        <w:t>LCT Test Date</w:t>
      </w:r>
      <w:r>
        <w:rPr>
          <w:color w:val="000000"/>
        </w:rPr>
        <w:t>”</w:t>
      </w:r>
      <w:r>
        <w:rPr>
          <w:rFonts w:ascii="Times New Roman;serif" w:hAnsi="Times New Roman;serif"/>
          <w:b w:val="false"/>
          <w:color w:val="000000"/>
          <w:sz w:val="22"/>
        </w:rPr>
        <w:t xml:space="preserve">), and if the Borrower or the relevant Subsidiary, as applicable, would have satisfied such requirements on the LCT Test Date then the Borrower or such Subsidiary shall be deemed to have complied with such requirement,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(1) the LCT Test Date shall not occur more than 90 days prior to the consummation of the Limited Condition Transaction and (2) with respect to any determination of whether the absence of a Default or Event of Default requirement is satisfied, such requirement shall be satisfied only if there is no Default or Event of Default as of the LCT Test Date and no Specified Event of Default immediately prior to the consummation of such Limited Condition Transaction. For the avoidance of doubt, if the Borrower has made an LCT Election and any of the ratios, tests or baskets for which compliance was determined or tested as of the LCT Test Date are exceeded as a result of fluctuations in any such ratio, test or basket, including due to fluctuations in Consolidated EBITDA or any financial metric of the Person subject to such Limited Condition Transaction, at or prior to the consummation of such Limited Condition Transaction, such baskets, tests or ratios will not be deemed to have been exceeded as a result of such fluctuations. If the Borrower has made an LCT Election for any Limited Condition Transaction, then in connection with any calculation of any ratio, test or basket availability with respect to any transaction that is not entered into in connection with such Limited Condition Transaction (a “</w:t>
      </w:r>
      <w:r>
        <w:rPr>
          <w:rFonts w:ascii="Times New Roman;serif" w:hAnsi="Times New Roman;serif"/>
          <w:b w:val="false"/>
          <w:color w:val="000000"/>
          <w:sz w:val="22"/>
          <w:u w:val="single"/>
        </w:rPr>
        <w:t>Subsequent Transaction</w:t>
      </w:r>
      <w:r>
        <w:rPr>
          <w:color w:val="000000"/>
        </w:rPr>
        <w:t>”</w:t>
      </w:r>
      <w:r>
        <w:rPr>
          <w:rFonts w:ascii="Times New Roman;serif" w:hAnsi="Times New Roman;serif"/>
          <w:b w:val="false"/>
          <w:color w:val="000000"/>
          <w:sz w:val="22"/>
        </w:rPr>
        <w:t>) and prior to the earlier of (x) the date on which such Limited Condition Transaction is consummated or (y) the date that the definitive agreement for such Limited Condition Transaction is terminated or expires without consummation of such Limited Condition Transaction (or the date on which the Borrower demonstrates to the Administrative Agent that it has elected not to pursue such Limited Condition Transaction) (such earlier date, the “</w:t>
      </w:r>
      <w:r>
        <w:rPr>
          <w:rFonts w:ascii="Times New Roman;serif" w:hAnsi="Times New Roman;serif"/>
          <w:b w:val="false"/>
          <w:color w:val="000000"/>
          <w:sz w:val="22"/>
          <w:u w:val="single"/>
        </w:rPr>
        <w:t>LCT End Date</w:t>
      </w:r>
      <w:r>
        <w:rPr>
          <w:color w:val="000000"/>
        </w:rPr>
        <w:t>”</w:t>
      </w:r>
      <w:r>
        <w:rPr>
          <w:rFonts w:ascii="Times New Roman;serif" w:hAnsi="Times New Roman;serif"/>
          <w:b w:val="false"/>
          <w:color w:val="000000"/>
          <w:sz w:val="22"/>
        </w:rPr>
        <w:t xml:space="preserve">), then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purposes of determining whether such Subsequent Transaction is permitted under this Agreement, any such ratio, test or basket shall be required to be satisfied on a Pro Forma Basis assuming such Limited Condition Transaction and other transactions to be entered into in connection therewith (including any incurrence of Indebtedness and the use of proceeds thereof) have been consummated (and, if such Subsequent Transaction is the making of a Restricted Payment or an Unsecured Debt Prepayment, assuming such Limited Condition Transaction and other transactions to be entered into in connection therewith have not been consummated).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ARTICLE II </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THE COMMITMENTS AND CREDIT EXTENSIONS</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22"/>
        </w:rPr>
        <w:t>2.01    </w:t>
      </w:r>
      <w:r>
        <w:rPr>
          <w:rFonts w:ascii="Times New Roman;serif" w:hAnsi="Times New Roman;serif"/>
          <w:b w:val="false"/>
          <w:color w:val="000000"/>
          <w:sz w:val="22"/>
          <w:u w:val="single"/>
        </w:rPr>
        <w:t xml:space="preserve">Revolving Loans and Term </w:t>
      </w:r>
      <w:r>
        <w:rPr>
          <w:rFonts w:ascii="Times New Roman;serif" w:hAnsi="Times New Roman;serif"/>
          <w:b w:val="false"/>
          <w:strike/>
          <w:color w:val="FF0000"/>
          <w:sz w:val="22"/>
          <w:u w:val="single"/>
        </w:rPr>
        <w:t>Loan.</w:t>
      </w:r>
      <w:r>
        <w:rPr>
          <w:rFonts w:ascii="Times New Roman;serif" w:hAnsi="Times New Roman;serif"/>
          <w:b w:val="false"/>
          <w:color w:val="0000FF"/>
          <w:sz w:val="22"/>
          <w:u w:val="single"/>
        </w:rPr>
        <w:t>Loans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Revolving Loans</w:t>
      </w:r>
      <w:r>
        <w:rPr>
          <w:rFonts w:ascii="Times New Roman;serif" w:hAnsi="Times New Roman;serif"/>
          <w:b w:val="false"/>
          <w:color w:val="000000"/>
          <w:sz w:val="22"/>
        </w:rPr>
        <w:t>. Subject to the terms and conditions set forth herein, each Lender severally agrees to make loans (each such loan, a “</w:t>
      </w:r>
      <w:r>
        <w:rPr>
          <w:rFonts w:ascii="Times New Roman;serif" w:hAnsi="Times New Roman;serif"/>
          <w:b w:val="false"/>
          <w:color w:val="000000"/>
          <w:sz w:val="22"/>
          <w:u w:val="single"/>
        </w:rPr>
        <w:t>Revolving Loan</w:t>
      </w:r>
      <w:r>
        <w:rPr>
          <w:color w:val="000000"/>
        </w:rPr>
        <w:t>”</w:t>
      </w:r>
      <w:r>
        <w:rPr>
          <w:rFonts w:ascii="Times New Roman;serif" w:hAnsi="Times New Roman;serif"/>
          <w:b w:val="false"/>
          <w:color w:val="000000"/>
          <w:sz w:val="22"/>
        </w:rPr>
        <w:t xml:space="preserve">) to the Borrower in Dollars from time to time on any Business Day during the Availability Period in an aggregate amount not to exceed at any time outstanding the amount of such Lender’s Revolving Commitment;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after giving effect to any Borrowing of Revolving Loans, (i) the Total Revolving Outstandings shall not exceed the Borrowing Availability, and (ii) the Revolving Credit Exposure of any Lender shall not exceed such Lender’s Revolving Commitment. Within the limits of each Lender’s Revolving Commitment, and subject to the other terms and conditions hereof, the Borrower may borrow under this </w:t>
      </w:r>
      <w:r>
        <w:rPr>
          <w:rFonts w:ascii="Times New Roman;serif" w:hAnsi="Times New Roman;serif"/>
          <w:b w:val="false"/>
          <w:color w:val="000000"/>
          <w:sz w:val="22"/>
          <w:u w:val="single"/>
        </w:rPr>
        <w:t>Section 2.01(a)</w:t>
      </w:r>
      <w:r>
        <w:rPr>
          <w:rFonts w:ascii="Times New Roman;serif" w:hAnsi="Times New Roman;serif"/>
          <w:b w:val="false"/>
          <w:color w:val="000000"/>
          <w:sz w:val="22"/>
        </w:rPr>
        <w:t xml:space="preserve">, prepay under </w:t>
      </w:r>
      <w:r>
        <w:rPr>
          <w:rFonts w:ascii="Times New Roman;serif" w:hAnsi="Times New Roman;serif"/>
          <w:b w:val="false"/>
          <w:color w:val="000000"/>
          <w:sz w:val="22"/>
          <w:u w:val="single"/>
        </w:rPr>
        <w:t>Section 2.05</w:t>
      </w:r>
      <w:r>
        <w:rPr>
          <w:rFonts w:ascii="Times New Roman;serif" w:hAnsi="Times New Roman;serif"/>
          <w:b w:val="false"/>
          <w:color w:val="000000"/>
          <w:sz w:val="22"/>
        </w:rPr>
        <w:t xml:space="preserve">, and reborrow under this </w:t>
      </w:r>
      <w:r>
        <w:rPr>
          <w:rFonts w:ascii="Times New Roman;serif" w:hAnsi="Times New Roman;serif"/>
          <w:b w:val="false"/>
          <w:color w:val="000000"/>
          <w:sz w:val="22"/>
          <w:u w:val="single"/>
        </w:rPr>
        <w:t>Section 2.01(a)</w:t>
      </w:r>
      <w:r>
        <w:rPr>
          <w:rFonts w:ascii="Times New Roman;serif" w:hAnsi="Times New Roman;serif"/>
          <w:b w:val="false"/>
          <w:color w:val="000000"/>
          <w:sz w:val="22"/>
        </w:rPr>
        <w:t xml:space="preserve">. Revolving Loans may be Base Rate Loans or Term SOFR Loans, or a combination thereof, as further provided herein,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all Borrowings made on the Closing Date shall be made as Base Rate Loans unless the Administrative Agent shall have received an acceptable funding indemnity letter with respect to a Borrowing of Term SOFR Loans.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strike/>
          <w:color w:val="FF0000"/>
          <w:sz w:val="22"/>
        </w:rPr>
        <w:t>(b)</w:t>
      </w:r>
      <w:r>
        <w:rPr>
          <w:color w:val="000000"/>
        </w:rPr>
        <w:t xml:space="preserve"> </w:t>
      </w:r>
      <w:r>
        <w:rPr>
          <w:rFonts w:ascii="Times New Roman;serif" w:hAnsi="Times New Roman;serif"/>
          <w:b w:val="false"/>
          <w:strike/>
          <w:color w:val="FF0000"/>
          <w:sz w:val="22"/>
          <w:u w:val="single"/>
        </w:rPr>
        <w:t>Term Loan</w:t>
      </w:r>
      <w:r>
        <w:rPr>
          <w:rFonts w:ascii="Times New Roman;serif" w:hAnsi="Times New Roman;serif"/>
          <w:b w:val="false"/>
          <w:strike/>
          <w:color w:val="FF0000"/>
          <w:sz w:val="22"/>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FF"/>
          <w:sz w:val="22"/>
          <w:u w:val="single"/>
        </w:rPr>
        <w:t>(b)</w:t>
      </w:r>
      <w:r>
        <w:rPr>
          <w:color w:val="000000"/>
        </w:rPr>
        <w:t xml:space="preserve"> </w:t>
      </w:r>
      <w:r>
        <w:rPr>
          <w:rFonts w:ascii="Times New Roman;serif" w:hAnsi="Times New Roman;serif"/>
          <w:b w:val="false"/>
          <w:color w:val="0000FF"/>
          <w:sz w:val="22"/>
          <w:u w:val="single"/>
        </w:rPr>
        <w:t xml:space="preserve">Term Loans. On the Closing Date each Lender made a term loan to the Borrower in Dollars (the “Initial Term Loan”). On the First Incremental Facility Effective Date the Lenders identified in the First Incremental Facility Amendment made an Incremental Term Facility to the Borrower in Dollars (the “First Incremental Term Loan”). Pursuant to </w:t>
      </w:r>
      <w:r>
        <w:rPr>
          <w:rFonts w:ascii="Times New Roman;serif" w:hAnsi="Times New Roman;serif"/>
          <w:b w:val="false"/>
          <w:color w:val="008000"/>
          <w:sz w:val="22"/>
          <w:u w:val="single"/>
        </w:rPr>
        <w:t xml:space="preserve">the First Incremental Facility Amendment </w:t>
      </w:r>
      <w:r>
        <w:rPr>
          <w:rFonts w:ascii="Times New Roman;serif" w:hAnsi="Times New Roman;serif"/>
          <w:b w:val="false"/>
          <w:color w:val="0000FF"/>
          <w:sz w:val="22"/>
          <w:u w:val="single"/>
        </w:rPr>
        <w:t>(x) the First Incremental Term Loan was an additional advance of the Initial Term Loan and (y) the Initial Term Loan and the First Incremental Term Loan were deemed one term loan constituting the “Term Loan” as such term is defined in this Agreement as in effect immediately prior to the Sixth Amendment Effective Date (the “Existing Term Loan”). Pursuant to the Sixth Amendment on the Sixth Amendment Effective Date, Lenders have agreed to extend the maturity date of the Outstanding Amount of the Existing Term Loan held by such Lenders (as extended, the “Term Loan”). The Outstanding Amount of the Term Loan held by each Lender on the Sixth Amendment Effective Date after giving effect to the Sixth Amendment are set forth on Schedule 2.01 to the Sixth Amendment</w:t>
      </w:r>
      <w:r>
        <w:rPr>
          <w:rFonts w:ascii="Times New Roman;serif" w:hAnsi="Times New Roman;serif"/>
          <w:b w:val="false"/>
          <w:color w:val="008000"/>
          <w:sz w:val="22"/>
          <w:u w:val="single"/>
        </w:rPr>
        <w:t xml:space="preserve">. Amounts repaid on the Term </w:t>
      </w:r>
      <w:r>
        <w:rPr>
          <w:rFonts w:ascii="Times New Roman;serif" w:hAnsi="Times New Roman;serif"/>
          <w:b w:val="false"/>
          <w:color w:val="0000FF"/>
          <w:sz w:val="22"/>
          <w:u w:val="single"/>
        </w:rPr>
        <w:t xml:space="preserve">Loans </w:t>
      </w:r>
      <w:r>
        <w:rPr>
          <w:rFonts w:ascii="Times New Roman;serif" w:hAnsi="Times New Roman;serif"/>
          <w:b w:val="false"/>
          <w:color w:val="008000"/>
          <w:sz w:val="22"/>
          <w:u w:val="single"/>
        </w:rPr>
        <w:t xml:space="preserve">may not be reborrowed. The Term </w:t>
      </w:r>
      <w:r>
        <w:rPr>
          <w:rFonts w:ascii="Times New Roman;serif" w:hAnsi="Times New Roman;serif"/>
          <w:b w:val="false"/>
          <w:color w:val="0000FF"/>
          <w:sz w:val="22"/>
          <w:u w:val="single"/>
        </w:rPr>
        <w:t xml:space="preserve">Loans </w:t>
      </w:r>
      <w:r>
        <w:rPr>
          <w:rFonts w:ascii="Times New Roman;serif" w:hAnsi="Times New Roman;serif"/>
          <w:b w:val="false"/>
          <w:color w:val="008000"/>
          <w:sz w:val="22"/>
          <w:u w:val="single"/>
        </w:rPr>
        <w:t>may consist of Base Rate Loans or Term SOFR Loans, or a combination thereof, as further provided herein</w:t>
      </w:r>
      <w:r>
        <w:rPr>
          <w:rFonts w:ascii="Times New Roman;serif" w:hAnsi="Times New Roman;serif"/>
          <w:b w:val="false"/>
          <w:color w:val="0000FF"/>
          <w:sz w:val="22"/>
          <w:u w:val="single"/>
        </w:rPr>
        <w:t>.</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rFonts w:ascii="Times New Roman;serif" w:hAnsi="Times New Roman;serif"/>
          <w:b w:val="false"/>
          <w:strike/>
          <w:color w:val="FF0000"/>
          <w:sz w:val="22"/>
        </w:rPr>
        <w:t>(i)</w:t>
      </w:r>
      <w:r>
        <w:rPr>
          <w:color w:val="000000"/>
        </w:rPr>
        <w:t xml:space="preserve"> </w:t>
      </w:r>
      <w:r>
        <w:rPr>
          <w:rFonts w:ascii="Times New Roman;serif" w:hAnsi="Times New Roman;serif"/>
          <w:b w:val="false"/>
          <w:strike/>
          <w:color w:val="FF0000"/>
          <w:sz w:val="22"/>
        </w:rPr>
        <w:t>Subject to the terms and conditions set forth herein, each Lender severally agrees to make its portion of a term loan (the “</w:t>
      </w:r>
      <w:r>
        <w:rPr>
          <w:rFonts w:ascii="Times New Roman;serif" w:hAnsi="Times New Roman;serif"/>
          <w:b w:val="false"/>
          <w:strike/>
          <w:color w:val="FF0000"/>
          <w:sz w:val="22"/>
          <w:u w:val="single"/>
        </w:rPr>
        <w:t>Term Loan</w:t>
      </w:r>
      <w:r>
        <w:rPr>
          <w:strike/>
          <w:color w:val="FF0000"/>
        </w:rPr>
        <w:t>”</w:t>
      </w:r>
      <w:r>
        <w:rPr>
          <w:rFonts w:ascii="Times New Roman;serif" w:hAnsi="Times New Roman;serif"/>
          <w:b w:val="false"/>
          <w:strike/>
          <w:color w:val="FF0000"/>
          <w:sz w:val="22"/>
        </w:rPr>
        <w:t>) to the Borrower in Dollars on the Closing Date in an amount not to exceed such Lender’s Term Loan Commitment</w:t>
      </w:r>
      <w:r>
        <w:rPr>
          <w:rFonts w:ascii="Times New Roman;serif" w:hAnsi="Times New Roman;serif"/>
          <w:b w:val="false"/>
          <w:strike/>
          <w:color w:val="008000"/>
          <w:sz w:val="22"/>
        </w:rPr>
        <w:t xml:space="preserve">. Amounts repaid on the Term </w:t>
      </w:r>
      <w:r>
        <w:rPr>
          <w:rFonts w:ascii="Times New Roman;serif" w:hAnsi="Times New Roman;serif"/>
          <w:b w:val="false"/>
          <w:strike/>
          <w:color w:val="FF0000"/>
          <w:sz w:val="22"/>
        </w:rPr>
        <w:t xml:space="preserve">Loan </w:t>
      </w:r>
      <w:r>
        <w:rPr>
          <w:rFonts w:ascii="Times New Roman;serif" w:hAnsi="Times New Roman;serif"/>
          <w:b w:val="false"/>
          <w:strike/>
          <w:color w:val="008000"/>
          <w:sz w:val="22"/>
        </w:rPr>
        <w:t xml:space="preserve">may not be reborrowed. The Term </w:t>
      </w:r>
      <w:r>
        <w:rPr>
          <w:rFonts w:ascii="Times New Roman;serif" w:hAnsi="Times New Roman;serif"/>
          <w:b w:val="false"/>
          <w:strike/>
          <w:color w:val="FF0000"/>
          <w:sz w:val="22"/>
        </w:rPr>
        <w:t xml:space="preserve">Loan </w:t>
      </w:r>
      <w:r>
        <w:rPr>
          <w:rFonts w:ascii="Times New Roman;serif" w:hAnsi="Times New Roman;serif"/>
          <w:b w:val="false"/>
          <w:strike/>
          <w:color w:val="008000"/>
          <w:sz w:val="22"/>
        </w:rPr>
        <w:t xml:space="preserve">may consist of Base Rate Loans or Term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strike/>
          <w:color w:val="008000"/>
          <w:sz w:val="22"/>
        </w:rPr>
        <w:t>SOFR Loans, or a combination thereof, as further provided herein</w:t>
      </w:r>
      <w:r>
        <w:rPr>
          <w:rFonts w:ascii="Times New Roman;serif" w:hAnsi="Times New Roman;serif"/>
          <w:b w:val="false"/>
          <w:strike/>
          <w:color w:val="FF0000"/>
          <w:sz w:val="22"/>
        </w:rPr>
        <w:t>; provided, however, all Borrowings made on the Closing Date shall be made as Base Rate Loans unless the Administrative Agent shall have received an acceptable funding indemnity letter with respect to a Borrowing of Term SOFR Loans.</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strike/>
          <w:color w:val="FF0000"/>
          <w:sz w:val="22"/>
        </w:rPr>
        <w:t>(ii)</w:t>
      </w:r>
      <w:r>
        <w:rPr>
          <w:color w:val="000000"/>
        </w:rPr>
        <w:t xml:space="preserve"> </w:t>
      </w:r>
      <w:r>
        <w:rPr>
          <w:rFonts w:ascii="Times New Roman;serif" w:hAnsi="Times New Roman;serif"/>
          <w:b w:val="false"/>
          <w:strike/>
          <w:color w:val="FF0000"/>
          <w:sz w:val="22"/>
          <w:u w:val="single"/>
        </w:rPr>
        <w:t>Incremental Delayed Draw Term Loan Commitment</w:t>
      </w:r>
      <w:r>
        <w:rPr>
          <w:rFonts w:ascii="Times New Roman;serif" w:hAnsi="Times New Roman;serif"/>
          <w:b w:val="false"/>
          <w:strike/>
          <w:color w:val="FF0000"/>
          <w:sz w:val="22"/>
        </w:rPr>
        <w:t>. Subject to the terms and conditions set forth herein, each Lender with an Incremental Delayed Draw Term Loan Commitment severally agrees to make its portion of a term loan (the “</w:t>
      </w:r>
      <w:r>
        <w:rPr>
          <w:rFonts w:ascii="Times New Roman;serif" w:hAnsi="Times New Roman;serif"/>
          <w:b w:val="false"/>
          <w:strike/>
          <w:color w:val="FF0000"/>
          <w:sz w:val="22"/>
          <w:u w:val="single"/>
        </w:rPr>
        <w:t>Incremental Delayed Draw Term Loan</w:t>
      </w:r>
      <w:r>
        <w:rPr>
          <w:strike/>
          <w:color w:val="FF0000"/>
        </w:rPr>
        <w:t>”</w:t>
      </w:r>
      <w:r>
        <w:rPr>
          <w:rFonts w:ascii="Times New Roman;serif" w:hAnsi="Times New Roman;serif"/>
          <w:b w:val="false"/>
          <w:strike/>
          <w:color w:val="FF0000"/>
          <w:sz w:val="22"/>
        </w:rPr>
        <w:t>) to the Borrower from time to time in no more than two draws on any Business Day during the Incremental DDTL Availability Period in a principal amount not to exceed such Lender’s Incremental Delayed Draw Term Loan Commitment. Amounts repaid on the Incremental Delayed Draw Term Loan may not be reborrowed. The Incremental Delayed Draw Term Loan may consist of Base Rate Loans or Term SOFR Loans, or a combination thereof, as further provided herein.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Incremental Facilities</w:t>
      </w:r>
      <w:r>
        <w:rPr>
          <w:rFonts w:ascii="Times New Roman;serif" w:hAnsi="Times New Roman;serif"/>
          <w:b w:val="false"/>
          <w:color w:val="000000"/>
          <w:sz w:val="22"/>
        </w:rPr>
        <w:t>. The Borrower may from time to time after the Closing Date</w:t>
      </w:r>
      <w:r>
        <w:rPr>
          <w:color w:val="000000"/>
          <w:u w:val="single"/>
        </w:rPr>
        <w:t xml:space="preserve"> </w:t>
      </w:r>
      <w:r>
        <w:rPr>
          <w:rFonts w:ascii="Times New Roman;serif" w:hAnsi="Times New Roman;serif"/>
          <w:b w:val="false"/>
          <w:color w:val="000000"/>
          <w:sz w:val="22"/>
          <w:u w:val="single"/>
        </w:rPr>
        <w:t>and prior to the</w:t>
      </w:r>
      <w:r>
        <w:rPr>
          <w:color w:val="0000FF"/>
          <w:u w:val="single"/>
        </w:rPr>
        <w:t xml:space="preserve"> </w:t>
      </w:r>
      <w:r>
        <w:rPr>
          <w:rFonts w:ascii="Times New Roman;serif" w:hAnsi="Times New Roman;serif"/>
          <w:b w:val="false"/>
          <w:color w:val="000000"/>
          <w:sz w:val="22"/>
        </w:rPr>
        <w:t xml:space="preserve">the </w:t>
      </w:r>
      <w:r>
        <w:rPr>
          <w:rFonts w:ascii="Times New Roman;serif" w:hAnsi="Times New Roman;serif"/>
          <w:b w:val="false"/>
          <w:strike/>
          <w:color w:val="FF0000"/>
          <w:sz w:val="22"/>
        </w:rPr>
        <w:t>Fifth</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u w:val="single"/>
        </w:rPr>
        <w:t>Amendment Effective Date</w:t>
      </w:r>
      <w:r>
        <w:rPr>
          <w:rFonts w:ascii="Times New Roman;serif" w:hAnsi="Times New Roman;serif"/>
          <w:b w:val="false"/>
          <w:color w:val="000000"/>
          <w:sz w:val="22"/>
        </w:rPr>
        <w:t>, establish one or more tranches of term loans or increase an outstanding tranche of term loans (each an “</w:t>
      </w:r>
      <w:r>
        <w:rPr>
          <w:rFonts w:ascii="Times New Roman;serif" w:hAnsi="Times New Roman;serif"/>
          <w:b w:val="false"/>
          <w:color w:val="000000"/>
          <w:sz w:val="22"/>
          <w:u w:val="single"/>
        </w:rPr>
        <w:t>Incremental Term Facility</w:t>
      </w:r>
      <w:r>
        <w:rPr>
          <w:color w:val="000000"/>
        </w:rPr>
        <w:t>”</w:t>
      </w:r>
      <w:r>
        <w:rPr>
          <w:rFonts w:ascii="Times New Roman;serif" w:hAnsi="Times New Roman;serif"/>
          <w:b w:val="false"/>
          <w:color w:val="000000"/>
          <w:sz w:val="22"/>
        </w:rPr>
        <w:t>), and/or increase the Aggregate Revolving Commitments (each such increase, an “</w:t>
      </w:r>
      <w:r>
        <w:rPr>
          <w:rFonts w:ascii="Times New Roman;serif" w:hAnsi="Times New Roman;serif"/>
          <w:b w:val="false"/>
          <w:color w:val="000000"/>
          <w:sz w:val="22"/>
          <w:u w:val="single"/>
        </w:rPr>
        <w:t>Incremental Revolving Increase</w:t>
      </w:r>
      <w:r>
        <w:rPr>
          <w:color w:val="000000"/>
        </w:rPr>
        <w:t>”</w:t>
      </w:r>
      <w:r>
        <w:rPr>
          <w:rFonts w:ascii="Times New Roman;serif" w:hAnsi="Times New Roman;serif"/>
          <w:b w:val="false"/>
          <w:color w:val="000000"/>
          <w:sz w:val="22"/>
        </w:rPr>
        <w:t>; each Incremental Term Facility and each Incremental Revolving Increase are collectively referred to as “</w:t>
      </w:r>
      <w:r>
        <w:rPr>
          <w:rFonts w:ascii="Times New Roman;serif" w:hAnsi="Times New Roman;serif"/>
          <w:b w:val="false"/>
          <w:color w:val="000000"/>
          <w:sz w:val="22"/>
          <w:u w:val="single"/>
        </w:rPr>
        <w:t>Incremental Facilities</w:t>
      </w:r>
      <w:r>
        <w:rPr>
          <w:color w:val="000000"/>
        </w:rPr>
        <w:t>”</w:t>
      </w:r>
      <w:r>
        <w:rPr>
          <w:rFonts w:ascii="Times New Roman;serif" w:hAnsi="Times New Roman;serif"/>
          <w:b w:val="false"/>
          <w:color w:val="000000"/>
          <w:sz w:val="22"/>
        </w:rPr>
        <w:t>) to this Agreement at the option of the Borrower by an agreement in writing entered into by the Borrower, the Administrative Agent and each Person (including any existing Lender) that agrees to provide a portion of such Incremental Facility (each an “</w:t>
      </w:r>
      <w:r>
        <w:rPr>
          <w:rFonts w:ascii="Times New Roman;serif" w:hAnsi="Times New Roman;serif"/>
          <w:b w:val="false"/>
          <w:color w:val="000000"/>
          <w:sz w:val="22"/>
          <w:u w:val="single"/>
        </w:rPr>
        <w:t>Incremental Facility Amendment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the principal amount of such Incremental Facility shall not exceed the greater of:</w:t>
      </w:r>
    </w:p>
    <w:p>
      <w:pPr>
        <w:pStyle w:val="TextBody"/>
        <w:bidi w:val="0"/>
        <w:spacing w:before="0" w:after="0"/>
        <w:jc w:val="left"/>
        <w:rPr/>
      </w:pPr>
      <w:r>
        <w:rPr/>
      </w:r>
    </w:p>
    <w:p>
      <w:pPr>
        <w:pStyle w:val="TextBody"/>
        <w:bidi w:val="0"/>
        <w:spacing w:lineRule="auto" w:line="268" w:before="0" w:after="0"/>
        <w:ind w:left="0" w:right="0" w:firstLine="2160"/>
        <w:jc w:val="both"/>
        <w:rPr/>
      </w:pPr>
      <w:r>
        <w:rPr>
          <w:rFonts w:ascii="Times New Roman;serif" w:hAnsi="Times New Roman;serif"/>
          <w:b w:val="false"/>
          <w:color w:val="000000"/>
          <w:sz w:val="22"/>
        </w:rPr>
        <w:t>(A) $</w:t>
      </w:r>
      <w:r>
        <w:rPr>
          <w:rFonts w:ascii="Times New Roman;serif" w:hAnsi="Times New Roman;serif"/>
          <w:b w:val="false"/>
          <w:strike/>
          <w:color w:val="FF0000"/>
          <w:sz w:val="22"/>
        </w:rPr>
        <w:t>250,000,000</w:t>
      </w:r>
      <w:r>
        <w:rPr>
          <w:rFonts w:ascii="Times New Roman;serif" w:hAnsi="Times New Roman;serif"/>
          <w:b w:val="false"/>
          <w:color w:val="0000FF"/>
          <w:sz w:val="22"/>
          <w:u w:val="single"/>
        </w:rPr>
        <w:t>150,000,000</w:t>
      </w:r>
      <w:r>
        <w:rPr>
          <w:color w:val="000000"/>
        </w:rPr>
        <w:t xml:space="preserve"> </w:t>
      </w:r>
      <w:r>
        <w:rPr>
          <w:rFonts w:ascii="Times New Roman;serif" w:hAnsi="Times New Roman;serif"/>
          <w:b w:val="false"/>
          <w:color w:val="000000"/>
          <w:sz w:val="22"/>
        </w:rPr>
        <w:t xml:space="preserve">minus the aggregate initial principal amount of all previously incurred Incremental Facilities; and </w:t>
      </w:r>
    </w:p>
    <w:p>
      <w:pPr>
        <w:pStyle w:val="TextBody"/>
        <w:bidi w:val="0"/>
        <w:spacing w:before="0" w:after="0"/>
        <w:jc w:val="left"/>
        <w:rPr/>
      </w:pPr>
      <w:r>
        <w:rPr/>
      </w:r>
    </w:p>
    <w:p>
      <w:pPr>
        <w:pStyle w:val="TextBody"/>
        <w:bidi w:val="0"/>
        <w:spacing w:lineRule="auto" w:line="268" w:before="0" w:after="0"/>
        <w:ind w:left="0" w:right="0" w:firstLine="2160"/>
        <w:jc w:val="both"/>
        <w:rPr/>
      </w:pPr>
      <w:r>
        <w:rPr>
          <w:rFonts w:ascii="Times New Roman;serif" w:hAnsi="Times New Roman;serif"/>
          <w:b w:val="false"/>
          <w:color w:val="000000"/>
          <w:sz w:val="22"/>
        </w:rPr>
        <w:t xml:space="preserve">(B) the maximum amount that, after giving effect to such Incremental Facility on a Pro Forma Basis, would not cause the Consolidated Senior Secured Leverage Ratio to exceed </w:t>
      </w:r>
      <w:r>
        <w:rPr>
          <w:rFonts w:ascii="Times New Roman;serif" w:hAnsi="Times New Roman;serif"/>
          <w:b w:val="false"/>
          <w:strike/>
          <w:color w:val="FF0000"/>
          <w:sz w:val="22"/>
        </w:rPr>
        <w:t>3.00</w:t>
      </w:r>
      <w:r>
        <w:rPr>
          <w:rFonts w:ascii="Times New Roman;serif" w:hAnsi="Times New Roman;serif"/>
          <w:b w:val="false"/>
          <w:color w:val="0000FF"/>
          <w:sz w:val="22"/>
          <w:u w:val="single"/>
        </w:rPr>
        <w:t>2.00</w:t>
      </w:r>
      <w:r>
        <w:rPr>
          <w:rFonts w:ascii="Times New Roman;serif" w:hAnsi="Times New Roman;serif"/>
          <w:b w:val="false"/>
          <w:color w:val="000000"/>
          <w:sz w:val="22"/>
        </w:rPr>
        <w:t>:1.00 assuming the full amount of such Incremental Facility is fully drawn and excluding the proceeds of such Incremental Facility from the cash netting in Consolidated Net Indebtedness for purposes of such calculation of the Consolidated Senior Secured Leverage Ratio.</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no Default shall have occurred and be continuing, and no Default would exist after giving effect to any Incremental Facility, both on the date on which such Incremental Facility is requested and on the date on which such Incremental Facility is to become effective;</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each Incremental Facility shall be in a minimum amount of $10,000,000 and in integral multiples of $1,000,000 in excess thereof (or such lesser amounts as the Administrative Agent may agree);</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(iv) no existing Lender shall be under any obligation to provide any Incremental Facility Commitment and any such decision whether to provide an Incremental Facility Commitment shall be in such Lender’s sole and absolute discretion; </w:t>
      </w:r>
    </w:p>
    <w:p>
      <w:pPr>
        <w:pStyle w:val="TextBody"/>
        <w:bidi w:val="0"/>
        <w:spacing w:before="0" w:after="0"/>
        <w:jc w:val="left"/>
        <w:rPr/>
      </w:pPr>
      <w:r>
        <w:rPr/>
      </w:r>
    </w:p>
    <w:p>
      <w:pPr>
        <w:pStyle w:val="TextBody"/>
        <w:bidi w:val="0"/>
        <w:spacing w:lineRule="auto" w:line="276"/>
        <w:ind w:left="0" w:right="0" w:firstLine="1440"/>
        <w:jc w:val="both"/>
        <w:rPr/>
      </w:pPr>
      <w:r>
        <w:rPr>
          <w:rFonts w:ascii="Times New Roman;serif" w:hAnsi="Times New Roman;serif"/>
          <w:b w:val="false"/>
          <w:color w:val="000000"/>
          <w:sz w:val="22"/>
        </w:rPr>
        <w:t xml:space="preserve">(v) the borrower and guarantors for each Incremental Facility shall be the same as for the Revolving Facility and Term </w:t>
      </w:r>
      <w:r>
        <w:rPr>
          <w:rFonts w:ascii="Times New Roman;serif" w:hAnsi="Times New Roman;serif"/>
          <w:b w:val="false"/>
          <w:strike/>
          <w:color w:val="FF0000"/>
          <w:sz w:val="22"/>
        </w:rPr>
        <w:t xml:space="preserve">Facility </w:t>
      </w:r>
      <w:r>
        <w:rPr>
          <w:rFonts w:ascii="Times New Roman;serif" w:hAnsi="Times New Roman;serif"/>
          <w:b w:val="false"/>
          <w:color w:val="0000FF"/>
          <w:sz w:val="22"/>
          <w:u w:val="single"/>
        </w:rPr>
        <w:t>Loans</w:t>
      </w:r>
      <w:r>
        <w:rPr>
          <w:rFonts w:ascii="Times New Roman;serif" w:hAnsi="Times New Roman;serif"/>
          <w:b w:val="false"/>
          <w:color w:val="000000"/>
          <w:sz w:val="22"/>
        </w:rPr>
        <w:t xml:space="preserve">, each Incremental Facility shall be secured by Liens in the Collateral that are parity with the Liens in the Collateral securing the Obligations and each Incremental Facility shall rank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in right of payment with the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(vi) each Incremental Facility shall be effective only upon receipt by the Administrative Agent of (A) additional commitments in respect of such requested Incremental Facility (each an “</w:t>
      </w:r>
      <w:r>
        <w:rPr>
          <w:rFonts w:ascii="Times New Roman;serif" w:hAnsi="Times New Roman;serif"/>
          <w:b w:val="false"/>
          <w:color w:val="000000"/>
          <w:sz w:val="22"/>
          <w:u w:val="single"/>
        </w:rPr>
        <w:t>Incremental Facility Commitment</w:t>
      </w:r>
      <w:r>
        <w:rPr>
          <w:color w:val="000000"/>
        </w:rPr>
        <w:t>”</w:t>
      </w:r>
      <w:r>
        <w:rPr>
          <w:rFonts w:ascii="Times New Roman;serif" w:hAnsi="Times New Roman;serif"/>
          <w:b w:val="false"/>
          <w:color w:val="000000"/>
          <w:sz w:val="22"/>
        </w:rPr>
        <w:t xml:space="preserve">) from either existing Lenders and/or one or more other institutions that qualify as Eligible Assignees and (B) documentation from each Person providing an Incremental Facility Commitment evidencing its Incremental Facility Commitment and its obligations under this Agreement in form and substance acceptable to the Administrative Agent;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 the Administrative Agent shall have received: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a certificate of the Borrower dated as of the effective date of such Incremental Facility signed by a Responsible Officer of the Borrower (1) certifying and attaching resolutions adopted by the board of directors or equivalent governing body of the Borrower approving such Incremental Facility (which may be the same resolutions as those delivered pursuant to </w:t>
      </w:r>
      <w:r>
        <w:rPr>
          <w:rFonts w:ascii="Times New Roman;serif" w:hAnsi="Times New Roman;serif"/>
          <w:b w:val="false"/>
          <w:color w:val="000000"/>
          <w:sz w:val="22"/>
          <w:u w:val="single"/>
        </w:rPr>
        <w:t>Section 4.01(c)(ii)</w:t>
      </w:r>
      <w:r>
        <w:rPr>
          <w:rFonts w:ascii="Times New Roman;serif" w:hAnsi="Times New Roman;serif"/>
          <w:b w:val="false"/>
          <w:color w:val="000000"/>
          <w:sz w:val="22"/>
        </w:rPr>
        <w:t xml:space="preserve">, if such resolutions are deemed appropriate by the Administrative Agent for purposes of approving the Incremental Facility and authorizing the necessary actions incident thereto), and (2) certifying that, before and after giving effect to such Incremental Facility, (x) the representations and warranties contained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or any other Loan Document, or which are contained in any document furnished at any time under or in connection herewith or therewith, are true and correct in all material respects (or, in the case of any such representations and warranties that are qualified by materiality or Material Adverse Effect, in all respects as drafted) on and as of the date of such Incremental Facility, except to the extent that such representations and warranties specifically refer to an earlier date, in which case they shall be true and correct in all material respects (or, in the case of any such representations and warranties that are qualified by materiality or Material Adverse Effect, in all respects as drafted) as of such earlier date, and (y) no Default exists;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 xml:space="preserve">(B)    a Pro Forma Compliance Certificate demonstrating that after giving effect to the incurrence of such Incremental Facility (and (1) assuming that the entire amount of such Incremental Facility is funded and (2) excluding the proceeds of such Incremental Facility from the cash netting in Consolidated Net Indebtedness for purposes of calculation of the Consolidated Senior Secured Leverage Ratio and the Consolidated Total Leverage Ratio) the Borrower is in compliance with the financial covenants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on a Pro Forma Basis;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such amendments to the Collateral Documents as the Administrative Agent reasonably requests to cause the Collateral Documents to secure the Obligations after giving effect to such Incremental Facility;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to the extent requested by the Administrative Agent, customary opinions of legal counsel to the Borrower, addressed to the Administrative Agent and each Lender (including each Person providing an Incremental Facility Commitment), dated as of the effective date of such Incremental Facility; and</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such other documents and certificates it may reasonably request relating to the necessary authority for such Incremental Facility and the validity of such Incremental Facility, and any other matters relevant thereto, all in form and substance reasonably satisfactory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(viii) in the case of an Incremental Revolving Increase: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terms and conditions of such Incremental Revolving Increase (other than upfront fees payable to the Lenders providing such Incremental Revolving Increase and arrangement, structuring, underwriting and similar fees not paid generally to all Lenders providing such Incremental Revolving Increase) shall be the same as the terms applicable to the Aggregate Revolving Commitments hereunder; and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on the effective date of such Incremental Revolving Increase, the existing Lenders with Revolving Commitments shall make such assignments (which assignments shall not be subject to the requirements set forth in </w:t>
      </w:r>
      <w:r>
        <w:rPr>
          <w:rFonts w:ascii="Times New Roman;serif" w:hAnsi="Times New Roman;serif"/>
          <w:b w:val="false"/>
          <w:color w:val="000000"/>
          <w:sz w:val="22"/>
          <w:u w:val="single"/>
        </w:rPr>
        <w:t>Section 10.06(b)</w:t>
      </w:r>
      <w:r>
        <w:rPr>
          <w:rFonts w:ascii="Times New Roman;serif" w:hAnsi="Times New Roman;serif"/>
          <w:b w:val="false"/>
          <w:color w:val="000000"/>
          <w:sz w:val="22"/>
        </w:rPr>
        <w:t>) of the outstanding Revolving Loans and participation interests in Letters of Credit and Swing Line Loans to the Lenders providing such Incremental Revolving Increase, and the Administrative Agent may make such adjustments to the Register as are necessary, so that after giving effect to such Incremental Revolving Increase and such assignments and adjustments, each Lender (including the Lenders providing such Incremental Revolving Increase) will hold its pro rata share (based on its Applicable Percentage of the increased Aggregate Revolving Commitments) of outstanding Revolving Loans and participation interests in Letters of Credit and Swing Line Loans;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(ix) in the case of an Incremental Term Facility structured as a separate term loan: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the interest rate, interest rate margins, interest rate floors, fees, original issue discount, prepayment premiums, amortization, mandatory prepayments, “most favored nation” pricing protection and final maturity date for such Incremental Term Facility shall be as agreed by the Borrower and the Lenders providing such Incremental Term Facility;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2"/>
        </w:rPr>
        <w:t xml:space="preserve">(1) the final maturity of such Incremental Term Facility shall not be earlier than the </w:t>
      </w:r>
      <w:r>
        <w:rPr>
          <w:rFonts w:ascii="Times New Roman;serif" w:hAnsi="Times New Roman;serif"/>
          <w:b w:val="false"/>
          <w:color w:val="0000FF"/>
          <w:sz w:val="22"/>
          <w:u w:val="single"/>
        </w:rPr>
        <w:t xml:space="preserve">latest </w:t>
      </w:r>
      <w:r>
        <w:rPr>
          <w:rFonts w:ascii="Times New Roman;serif" w:hAnsi="Times New Roman;serif"/>
          <w:b w:val="false"/>
          <w:color w:val="000000"/>
          <w:sz w:val="22"/>
        </w:rPr>
        <w:t xml:space="preserve">Maturity Date then applicable to the Term </w:t>
      </w:r>
      <w:r>
        <w:rPr>
          <w:rFonts w:ascii="Times New Roman;serif" w:hAnsi="Times New Roman;serif"/>
          <w:b w:val="false"/>
          <w:strike/>
          <w:color w:val="FF0000"/>
          <w:sz w:val="22"/>
        </w:rPr>
        <w:t>Loan</w:t>
      </w:r>
      <w:r>
        <w:rPr>
          <w:rFonts w:ascii="Times New Roman;serif" w:hAnsi="Times New Roman;serif"/>
          <w:b w:val="false"/>
          <w:color w:val="0000FF"/>
          <w:sz w:val="22"/>
          <w:u w:val="single"/>
        </w:rPr>
        <w:t>Loans;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 </w:t>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(2) the </w:t>
      </w:r>
      <w:r>
        <w:rPr>
          <w:rFonts w:ascii="Times New Roman;serif" w:hAnsi="Times New Roman;serif"/>
          <w:b w:val="false"/>
          <w:color w:val="000000"/>
          <w:sz w:val="24"/>
        </w:rPr>
        <w:t xml:space="preserve">Average Life of such Incremental Term Facility shall not be shorter than the then remaining Weighted Average Life of the Term </w:t>
      </w:r>
      <w:r>
        <w:rPr>
          <w:rFonts w:ascii="Times New Roman;serif" w:hAnsi="Times New Roman;serif"/>
          <w:b w:val="false"/>
          <w:strike/>
          <w:color w:val="FF0000"/>
          <w:sz w:val="24"/>
        </w:rPr>
        <w:t>Loan</w:t>
      </w:r>
      <w:r>
        <w:rPr>
          <w:rFonts w:ascii="Times New Roman;serif" w:hAnsi="Times New Roman;serif"/>
          <w:b w:val="false"/>
          <w:color w:val="0000FF"/>
          <w:sz w:val="24"/>
          <w:u w:val="single"/>
        </w:rPr>
        <w:t>Loans</w:t>
      </w:r>
      <w:r>
        <w:rPr>
          <w:rFonts w:ascii="Times New Roman;serif" w:hAnsi="Times New Roman;serif"/>
          <w:b w:val="false"/>
          <w:color w:val="000000"/>
          <w:sz w:val="24"/>
        </w:rPr>
        <w:t>; and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 prepayment requirements of such Incremental Term Facility shall be customary for such type of term loan facilities (as determined by the Administrative Agent in its discretion);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(B) all other terms and conditions applicable to such Incremental Term Facility shall be the same as the terms and conditions applicable to the Term </w:t>
      </w:r>
      <w:r>
        <w:rPr>
          <w:rFonts w:ascii="Times New Roman;serif" w:hAnsi="Times New Roman;serif"/>
          <w:b w:val="false"/>
          <w:strike/>
          <w:color w:val="FF0000"/>
          <w:sz w:val="24"/>
        </w:rPr>
        <w:t>Loan or</w:t>
      </w:r>
      <w:r>
        <w:rPr>
          <w:rFonts w:ascii="Times New Roman;serif" w:hAnsi="Times New Roman;serif"/>
          <w:b w:val="false"/>
          <w:color w:val="0000FF"/>
          <w:sz w:val="24"/>
          <w:u w:val="single"/>
        </w:rPr>
        <w:t>Loans</w:t>
      </w:r>
      <w:r>
        <w:rPr>
          <w:color w:val="000000"/>
        </w:rPr>
        <w:t xml:space="preserve"> </w:t>
      </w:r>
      <w:r>
        <w:rPr>
          <w:rFonts w:ascii="Times New Roman;serif" w:hAnsi="Times New Roman;serif"/>
          <w:b w:val="false"/>
          <w:color w:val="000000"/>
          <w:sz w:val="24"/>
        </w:rPr>
        <w:t>shall be customary for tranche A term loans or a tranche B term loans, as applicable, as determined by the Administrative Agent in its discretion or shall otherwise be acceptable to the Administrative Agent in its discretion;</w:t>
      </w:r>
    </w:p>
    <w:p>
      <w:pPr>
        <w:pStyle w:val="TextBody"/>
        <w:bidi w:val="0"/>
        <w:spacing w:before="0" w:after="0"/>
        <w:jc w:val="left"/>
        <w:rPr/>
      </w:pPr>
      <w:r>
        <w:rPr/>
      </w:r>
    </w:p>
    <w:p>
      <w:pPr>
        <w:pStyle w:val="TextBody"/>
        <w:bidi w:val="0"/>
        <w:spacing w:lineRule="auto" w:line="26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proceeds of such Incremental Term Facility shall be used for the purposes described in the definitive documentation for such Incremental Term Facility; and</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(D) each Incremental Term Facility that is structured as a separate term loan shall share ratably in any prepayments of the Term </w:t>
      </w:r>
      <w:r>
        <w:rPr>
          <w:rFonts w:ascii="Times New Roman;serif" w:hAnsi="Times New Roman;serif"/>
          <w:b w:val="false"/>
          <w:strike/>
          <w:color w:val="FF0000"/>
          <w:sz w:val="24"/>
        </w:rPr>
        <w:t>Loan</w:t>
      </w:r>
      <w:r>
        <w:rPr>
          <w:rFonts w:ascii="Times New Roman;serif" w:hAnsi="Times New Roman;serif"/>
          <w:b w:val="false"/>
          <w:color w:val="0000FF"/>
          <w:sz w:val="24"/>
          <w:u w:val="single"/>
        </w:rPr>
        <w:t>Loans</w:t>
      </w:r>
      <w:r>
        <w:rPr>
          <w:color w:val="000000"/>
        </w:rPr>
        <w:t xml:space="preserve"> </w:t>
      </w:r>
      <w:r>
        <w:rPr>
          <w:rFonts w:ascii="Times New Roman;serif" w:hAnsi="Times New Roman;serif"/>
          <w:b w:val="false"/>
          <w:color w:val="000000"/>
          <w:sz w:val="24"/>
        </w:rPr>
        <w:t xml:space="preserve">and any other Incremental Term Facilities pursuant to </w:t>
      </w:r>
      <w:r>
        <w:rPr>
          <w:rFonts w:ascii="Times New Roman;serif" w:hAnsi="Times New Roman;serif"/>
          <w:b w:val="false"/>
          <w:color w:val="000000"/>
          <w:sz w:val="24"/>
          <w:u w:val="single"/>
        </w:rPr>
        <w:t>Section 2.05</w:t>
      </w:r>
      <w:r>
        <w:rPr>
          <w:color w:val="000000"/>
        </w:rPr>
        <w:t xml:space="preserve"> </w:t>
      </w:r>
      <w:r>
        <w:rPr>
          <w:rFonts w:ascii="Times New Roman;serif" w:hAnsi="Times New Roman;serif"/>
          <w:b w:val="false"/>
          <w:color w:val="000000"/>
          <w:sz w:val="24"/>
        </w:rPr>
        <w:t xml:space="preserve">(or otherwise provide for more favorable prepayment treatment for the then outstanding Term </w:t>
      </w:r>
      <w:r>
        <w:rPr>
          <w:rFonts w:ascii="Times New Roman;serif" w:hAnsi="Times New Roman;serif"/>
          <w:b w:val="false"/>
          <w:strike/>
          <w:color w:val="FF0000"/>
          <w:sz w:val="24"/>
        </w:rPr>
        <w:t>Loan</w:t>
      </w:r>
      <w:r>
        <w:rPr>
          <w:rFonts w:ascii="Times New Roman;serif" w:hAnsi="Times New Roman;serif"/>
          <w:b w:val="false"/>
          <w:color w:val="0000FF"/>
          <w:sz w:val="24"/>
          <w:u w:val="single"/>
        </w:rPr>
        <w:t>Loans</w:t>
      </w:r>
      <w:r>
        <w:rPr>
          <w:color w:val="000000"/>
        </w:rPr>
        <w:t xml:space="preserve"> </w:t>
      </w:r>
      <w:r>
        <w:rPr>
          <w:rFonts w:ascii="Times New Roman;serif" w:hAnsi="Times New Roman;serif"/>
          <w:b w:val="false"/>
          <w:color w:val="000000"/>
          <w:sz w:val="24"/>
        </w:rPr>
        <w:t xml:space="preserve">and any other Incremental Term Facilities) and shall have ratable voting rights with the Term </w:t>
      </w:r>
      <w:r>
        <w:rPr>
          <w:rFonts w:ascii="Times New Roman;serif" w:hAnsi="Times New Roman;serif"/>
          <w:b w:val="false"/>
          <w:strike/>
          <w:color w:val="FF0000"/>
          <w:sz w:val="24"/>
        </w:rPr>
        <w:t>Loan</w:t>
      </w:r>
      <w:r>
        <w:rPr>
          <w:rFonts w:ascii="Times New Roman;serif" w:hAnsi="Times New Roman;serif"/>
          <w:b w:val="false"/>
          <w:color w:val="0000FF"/>
          <w:sz w:val="24"/>
          <w:u w:val="single"/>
        </w:rPr>
        <w:t>Loans</w:t>
      </w:r>
      <w:r>
        <w:rPr>
          <w:color w:val="000000"/>
        </w:rPr>
        <w:t xml:space="preserve"> </w:t>
      </w:r>
      <w:r>
        <w:rPr>
          <w:rFonts w:ascii="Times New Roman;serif" w:hAnsi="Times New Roman;serif"/>
          <w:b w:val="false"/>
          <w:color w:val="000000"/>
          <w:sz w:val="24"/>
        </w:rPr>
        <w:t xml:space="preserve">and any other Incremental Term Facilities (or otherwise provide for more favorable voting rights for the then outstanding Term </w:t>
      </w:r>
      <w:r>
        <w:rPr>
          <w:rFonts w:ascii="Times New Roman;serif" w:hAnsi="Times New Roman;serif"/>
          <w:b w:val="false"/>
          <w:strike/>
          <w:color w:val="FF0000"/>
          <w:sz w:val="24"/>
        </w:rPr>
        <w:t>Loan</w:t>
      </w:r>
      <w:r>
        <w:rPr>
          <w:rFonts w:ascii="Times New Roman;serif" w:hAnsi="Times New Roman;serif"/>
          <w:b w:val="false"/>
          <w:color w:val="0000FF"/>
          <w:sz w:val="24"/>
          <w:u w:val="single"/>
        </w:rPr>
        <w:t>Loans</w:t>
      </w:r>
      <w:r>
        <w:rPr>
          <w:color w:val="000000"/>
        </w:rPr>
        <w:t xml:space="preserve"> </w:t>
      </w:r>
      <w:r>
        <w:rPr>
          <w:rFonts w:ascii="Times New Roman;serif" w:hAnsi="Times New Roman;serif"/>
          <w:b w:val="false"/>
          <w:color w:val="000000"/>
          <w:sz w:val="24"/>
        </w:rPr>
        <w:t>and any other Incremental Term Facilities).</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(x) in the case </w:t>
      </w:r>
      <w:r>
        <w:rPr>
          <w:rFonts w:ascii="Times New Roman;serif" w:hAnsi="Times New Roman;serif"/>
          <w:b w:val="false"/>
          <w:color w:val="000000"/>
          <w:sz w:val="24"/>
        </w:rPr>
        <w:t xml:space="preserve">of an Incremental Term Facility that is structured as an increase to an existing term loan tranche, the terms and conditions of such Incremental Term Facility (other than upfront fees payable to the Lenders providing such Incremental Term Facility and arrangement, structuring, underwriting and similar fees not paid generally to all Lenders providing such Incremental Term Facility) shall be the same as the terms applicable to </w:t>
      </w:r>
      <w:r>
        <w:rPr>
          <w:rFonts w:ascii="Times New Roman;serif" w:hAnsi="Times New Roman;serif"/>
          <w:b w:val="false"/>
          <w:strike/>
          <w:color w:val="FF0000"/>
          <w:sz w:val="24"/>
        </w:rPr>
        <w:t>the</w:t>
      </w:r>
      <w:r>
        <w:rPr>
          <w:rFonts w:ascii="Times New Roman;serif" w:hAnsi="Times New Roman;serif"/>
          <w:b w:val="false"/>
          <w:color w:val="0000FF"/>
          <w:sz w:val="24"/>
          <w:u w:val="single"/>
        </w:rPr>
        <w:t>applicable</w:t>
      </w:r>
      <w:r>
        <w:rPr>
          <w:color w:val="000000"/>
        </w:rPr>
        <w:t xml:space="preserve"> </w:t>
      </w:r>
      <w:r>
        <w:rPr>
          <w:rFonts w:ascii="Times New Roman;serif" w:hAnsi="Times New Roman;serif"/>
          <w:b w:val="false"/>
          <w:color w:val="000000"/>
          <w:sz w:val="24"/>
        </w:rPr>
        <w:t>Term Loan hereunder.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The Incremental Facility Commitments and credit extensions thereunder shall constitute Commitments and Credit Extensions under, and shall be entitled to all the benefits afforded by, this Agreement and the other Loan Documents, and shall, without limiting the foregoing, benefit equally and ratably from the security interests created by the Collateral Documents and any guarantees provided with respect to the Obligations. The Lenders hereby authorize the Administrative Agent to enter into, and the Lenders agree that this Agreement and the other Loan Documents shall be amended by, such Incremental Facility Amendments to the extent (and only to the extent) the Administrative Agent deems necessary in order to establish Incremental Facilities on terms consistent with and/or to effect the provisions of this </w:t>
      </w:r>
      <w:r>
        <w:rPr>
          <w:rFonts w:ascii="Times New Roman;serif" w:hAnsi="Times New Roman;serif"/>
          <w:b w:val="false"/>
          <w:color w:val="000000"/>
          <w:sz w:val="22"/>
          <w:u w:val="single"/>
        </w:rPr>
        <w:t>Section 2.01(c)</w:t>
      </w:r>
      <w:r>
        <w:rPr>
          <w:rFonts w:ascii="Times New Roman;serif" w:hAnsi="Times New Roman;serif"/>
          <w:b w:val="false"/>
          <w:color w:val="000000"/>
          <w:sz w:val="22"/>
        </w:rPr>
        <w:t>. The Administrative Agent shall promptly notify each Lender as to the effectiveness of each Incremental Facility Amendment.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2.02 </w:t>
      </w:r>
      <w:r>
        <w:rPr>
          <w:rFonts w:ascii="Times New Roman;serif" w:hAnsi="Times New Roman;serif"/>
          <w:b w:val="false"/>
          <w:color w:val="000000"/>
          <w:sz w:val="22"/>
          <w:u w:val="single"/>
        </w:rPr>
        <w:t>Borrowings, Conversions and Continuations of Loans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 Each Borrowing, each conversion of Loans from one Type to the other, and each continuation of Term SOFR Loans shall be made upon the Borrower’s irrevocable notice to the Administrative Agent, which may be given by (A) telephone or (B) a Loan Notice; </w:t>
      </w:r>
      <w:r>
        <w:rPr>
          <w:rFonts w:ascii="Times New Roman;serif" w:hAnsi="Times New Roman;serif"/>
          <w:b w:val="false"/>
          <w:i/>
          <w:color w:val="000000"/>
          <w:sz w:val="22"/>
          <w:u w:val="single"/>
        </w:rPr>
        <w:t>provided</w:t>
      </w:r>
      <w:r>
        <w:rPr>
          <w:color w:val="000000"/>
        </w:rPr>
        <w:t xml:space="preserve"> </w:t>
      </w:r>
      <w:r>
        <w:rPr>
          <w:rFonts w:ascii="Times New Roman;serif" w:hAnsi="Times New Roman;serif"/>
          <w:b w:val="false"/>
          <w:color w:val="000000"/>
          <w:sz w:val="22"/>
        </w:rPr>
        <w:t xml:space="preserve">that any telephonic notice must be confirmed immediately by delivery to the Administrative Agent of a Loan Notice. Each such Loan Notice must be received by the Administrative Agent not later than 11:00 a.m. (i) two Business Days prior to the requested date of any Borrowing of, conversion to or continuation of Term SOFR Loans or of any conversion of Term SOFR Loans to Base Rate Loans, and (ii) on the requested date of any Borrowing of Base Rate Loans. Each Borrowing of, conversion to or continuation of Term SOFR Loans shall be in a principal amount of $1,000,000 or a whole multiple of $100,000 in excess thereof. Except as provided in </w:t>
      </w:r>
      <w:r>
        <w:rPr>
          <w:rFonts w:ascii="Times New Roman;serif" w:hAnsi="Times New Roman;serif"/>
          <w:b w:val="false"/>
          <w:color w:val="000000"/>
          <w:sz w:val="22"/>
          <w:u w:val="single"/>
        </w:rPr>
        <w:t>Sections 2.03(c)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2.04(c)</w:t>
      </w:r>
      <w:r>
        <w:rPr>
          <w:rFonts w:ascii="Times New Roman;serif" w:hAnsi="Times New Roman;serif"/>
          <w:b w:val="false"/>
          <w:color w:val="000000"/>
          <w:sz w:val="22"/>
        </w:rPr>
        <w:t xml:space="preserve">, each Borrowing of or conversion to Base Rate Loans shall be in a principal amount of $1,000,000 or a whole multiple of $100,000 in excess thereof. Each Loan Notice shall specify (i) whether the Borrower is requesting a Borrowing, a conversion of Loans from one Type to the other, or a continuation of Term SOFR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a Loan in a Loan Notice or if the Borrower fails to give a timely notice requesting a conversion or continuation, then the applicable Loans shall be made as, or converted to, Base Rate Loans. Any such automatic conversion to Base Rate Loans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effective as of the last day of the Interest Period then in effect with respect to the applicable Term SOFR Loans. If the Borrower requests a Borrowing of, conversion to, or continuation of Term SOFR Loans in any Loan Notice, but fails to specify an Interest Period, it will be deemed to have specified an Interest Period of one month.</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Following receipt of a Loan Notice,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Base Rate Loans described in the preceding subsection. In the case of a Borrowing, each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(and, if such Borrowing is the initial Credit Extension, </w:t>
      </w:r>
      <w:r>
        <w:rPr>
          <w:rFonts w:ascii="Times New Roman;serif" w:hAnsi="Times New Roman;serif"/>
          <w:b w:val="false"/>
          <w:color w:val="000000"/>
          <w:sz w:val="22"/>
          <w:u w:val="single"/>
        </w:rPr>
        <w:t>Section 4.01</w:t>
      </w:r>
      <w:r>
        <w:rPr>
          <w:rFonts w:ascii="Times New Roman;serif" w:hAnsi="Times New Roman;serif"/>
          <w:b w:val="false"/>
          <w:color w:val="000000"/>
          <w:sz w:val="22"/>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on the date the Loan Notice with respect to a Borrowing of Revolving Loans is given by the Borrower, there are L/C Borrowings outstanding, then the proceeds of such Borrowing,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shall be applied to the payment in full of any such L/C Borrowings, and </w:t>
      </w:r>
      <w:r>
        <w:rPr>
          <w:rFonts w:ascii="Times New Roman;serif" w:hAnsi="Times New Roman;serif"/>
          <w:b w:val="false"/>
          <w:color w:val="000000"/>
          <w:sz w:val="22"/>
          <w:u w:val="single"/>
        </w:rPr>
        <w:t>second</w:t>
      </w:r>
      <w:r>
        <w:rPr>
          <w:rFonts w:ascii="Times New Roman;serif" w:hAnsi="Times New Roman;serif"/>
          <w:b w:val="false"/>
          <w:color w:val="000000"/>
          <w:sz w:val="22"/>
        </w:rPr>
        <w:t>, shall be made available to the Borrower as provided above.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Except as otherwise provided herein, a Term SOFR Loan may be continued or converted only on the last day of an Interest Period for such Term SOFR Loan. During the existence of a Default, no Loans may be requested as, converted to or continued as Term SOFR Loans without the consent of the Required Lenders.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The Administrative Agent shall promptly notify the Borrower and the Lenders of the interest rate applicable to any Interest Period for Term SOFR Loans upon determination of such interest rate.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(e) After </w:t>
      </w:r>
      <w:r>
        <w:rPr>
          <w:rFonts w:ascii="Times New Roman;serif" w:hAnsi="Times New Roman;serif"/>
          <w:b w:val="false"/>
          <w:color w:val="000000"/>
          <w:sz w:val="24"/>
        </w:rPr>
        <w:t xml:space="preserve">giving effect to all Borrowings, all conversions of Loans from one Type to the other, and all continuations of Loans as the same Type, there shall not be more than five (5) Interest Periods (or such greater number approved by the Administrative Agent) in effect with respect to </w:t>
      </w:r>
      <w:r>
        <w:rPr>
          <w:rFonts w:ascii="Times New Roman;serif" w:hAnsi="Times New Roman;serif"/>
          <w:b w:val="false"/>
          <w:strike/>
          <w:color w:val="FF0000"/>
          <w:sz w:val="24"/>
        </w:rPr>
        <w:t xml:space="preserve">Revolving Loans and not be more than two (2) Interest Periods (or such greater number </w:t>
      </w:r>
      <w:r>
        <w:rPr>
          <w:rFonts w:ascii="Times New Roman;serif" w:hAnsi="Times New Roman;serif"/>
          <w:b w:val="false"/>
          <w:strike/>
          <w:color w:val="008000"/>
          <w:sz w:val="24"/>
        </w:rPr>
        <w:t>approved by the Administrative Agent</w:t>
      </w:r>
      <w:r>
        <w:rPr>
          <w:rFonts w:ascii="Times New Roman;serif" w:hAnsi="Times New Roman;serif"/>
          <w:b w:val="false"/>
          <w:strike/>
          <w:color w:val="FF0000"/>
          <w:sz w:val="24"/>
        </w:rPr>
        <w:t>) in effect with respect to the Term Loan</w:t>
      </w:r>
      <w:r>
        <w:rPr>
          <w:rFonts w:ascii="Times New Roman;serif" w:hAnsi="Times New Roman;serif"/>
          <w:b w:val="false"/>
          <w:color w:val="0000FF"/>
          <w:sz w:val="24"/>
          <w:u w:val="single"/>
        </w:rPr>
        <w:t>all Loans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(f) This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shall not apply to Swing Line Loans.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Notwithstanding anything to the contrary in this Agreement, any Lender may exchange, continue or rollover all of the portion of its Loans in connection with any repricing, refinancing, extension, amendment and restatement, loan modification or similar transaction permitted by the terms of this Agreement, pursuant to a cashless settlement mechanism approved by the Borrower, the Administrative Agent, and such Lender.</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(h) 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Document; provided 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2.03 </w:t>
      </w:r>
      <w:r>
        <w:rPr>
          <w:rFonts w:ascii="Times New Roman;serif" w:hAnsi="Times New Roman;serif"/>
          <w:b w:val="false"/>
          <w:color w:val="000000"/>
          <w:sz w:val="22"/>
          <w:u w:val="single"/>
        </w:rPr>
        <w:t>Letters of Credit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The Letter of Credit Commitment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Subject to the terms and conditions set forth herein, (A) the L/C Issuer agrees, in reliance upon the agreements of the Lenders set forth in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xml:space="preserve">, (1) from time to time on any Business Day during the period from the Closing Date until the Letter of Credit Expiration Date, to issue Letters of Credit in Dollars for the account of the Borrower or any Subsidiary, and to amend or extend Letters of Credit previously issued by it, in accordance with subsection (b) below, and (2) to honor drawings under the Letters of Credit; and (B) the Lenders severally agree to participate in Letters of Credit issued for the account of the Borrower or any Subsidiary and any drawings thereunder;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after giving effect to any L/C Credit Extension with respect to any Letter of Credit, (x) the Total Revolving Outstandings shall not exceed the Borrowing Availability, (y) the Revolving Credit Exposure of any Lender shall not exceed such Lender’s Revolving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The L/C Issuer shall not issue any Letter of Credit if:</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(A) subject to </w:t>
      </w:r>
      <w:r>
        <w:rPr>
          <w:rFonts w:ascii="Times New Roman;serif" w:hAnsi="Times New Roman;serif"/>
          <w:b w:val="false"/>
          <w:color w:val="000000"/>
          <w:sz w:val="22"/>
          <w:u w:val="single"/>
        </w:rPr>
        <w:t>Section 2.03(b)(iii)</w:t>
      </w:r>
      <w:r>
        <w:rPr>
          <w:rFonts w:ascii="Times New Roman;serif" w:hAnsi="Times New Roman;serif"/>
          <w:b w:val="false"/>
          <w:color w:val="000000"/>
          <w:sz w:val="22"/>
        </w:rPr>
        <w:t>, the expiry date of the requested Letter of Credit would occur more than twelve months after the date of issuance or last extension, unless the Required Revolving Lenders have approved such expiry date; or</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(B) the expiry date of such requested Letter of Credit would occur after the Letter of Credit Expiration Date, unless all the Lenders that have Revolving Commitments have approved such expiry date.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The L/C Issuer shall not be under any obligation to issue any Letter of Credit if:</w:t>
      </w:r>
    </w:p>
    <w:p>
      <w:pPr>
        <w:pStyle w:val="TextBody"/>
        <w:bidi w:val="0"/>
        <w:spacing w:before="0" w:after="0"/>
        <w:jc w:val="left"/>
        <w:rPr/>
      </w:pPr>
      <w:r>
        <w:rPr/>
      </w:r>
    </w:p>
    <w:p>
      <w:pPr>
        <w:pStyle w:val="TextBody"/>
        <w:bidi w:val="0"/>
        <w:spacing w:lineRule="auto" w:line="288"/>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(A) 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(B) the issuance of such Letter of Credit would violate one or more policies of the L/C Issuer applicable to letters of credit generally;</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(C) [reserved]; </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(D) such Letter of Credit is to be denominated in a currency other than Dollars;</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(E) any Lender is at that time a Defaulting Lender, unless the L/C Issuer has entered into arrangements, including the delivery of Cash Collateral, satisfactory to the L/C Issuer (in its sole discretion) with the Borrower or such Defaulting Lender to eliminate the L/C Issuer’s actual or potential Fronting Exposure (after giving effect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 with respect to the Defaulting Lender arising from either the Letter of Credit then proposed to be issued or that Letter of Credit and all other L/C Obligations as to which the L/C Issuer has actual or potential Fronting Exposure, as it may elect in its sole discretion (</w:t>
      </w:r>
      <w:r>
        <w:rPr>
          <w:rFonts w:ascii="Times New Roman;serif" w:hAnsi="Times New Roman;serif"/>
          <w:b w:val="false"/>
          <w:color w:val="000000"/>
          <w:sz w:val="22"/>
          <w:u w:val="single"/>
        </w:rPr>
        <w:t>provide</w:t>
      </w:r>
      <w:r>
        <w:rPr>
          <w:rFonts w:ascii="Times New Roman;serif" w:hAnsi="Times New Roman;serif"/>
          <w:b w:val="false"/>
          <w:color w:val="000000"/>
          <w:sz w:val="22"/>
        </w:rPr>
        <w:t>d that it is agreed that the delivery by Borrower to the Administrative Agent of Cash Collateral in an amount equal to the L/C Issuer’s actual or potential Fronting Exposure (either arising from the Letter of Credit then proposed to be issued or that Letter of Credit and all other L/C Obligations as to which the L/C Issuer has actual or potential Fronting Exposure, as the L/C Issuer requires) shall constitute an arrangement satisfactory to the L/C Issuer as contemplated by this paragraph (E)); or</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(F) such Letter of Credit contains any provisions for automatic reinstatement of the stated amount after any drawing thereunder.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The L/C Issuer shall not amend any Letter of Credit if the L/C Issuer would not be permitted at such time to issue such Letter of Credit in its amended form under the terms hereof.</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The L/C Issuer shall not be under any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(vi) The L/C Issuer shall act on behalf of the Lenders with respect to any Letters of Credit issued by it and the documents associated therewith, and the L/C Issuer shall have all of the benefits and immunities (A) provided to the Administrative Agent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included the L/C Issuer with respect to such acts or omissions, and (B) as additionally provided herein with respect to the L/C Issuer.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Procedures for Issuance and Amendment of Letters of Credit; Auto-Extension Letters of Credit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L/C Issuer, by personal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delivery or by any other means acceptable to the L/C Issuer. Such Letter of Credit Application must be received by the L/C Issuer and the Administrative Agent not later than 11:00 a.m.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reasonably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require.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Lender, the Administrative Agent or the Borrower, at least one Business Day prior to the requested date of issuance or amendment of the applicable Letter of Credit, that one or more applicable conditions contained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shall not then be satisfied,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Lender with a Revolving Commitment shall be deemed to, and hereby irrevocably and unconditionally agrees to, purchase from the L/C Issuer a risk participation in such Letter of Credit in an amount equal to the product of such Lender’s Applicable Percentage (with respect to the Revolving Facility)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the amount of such Letter of Credit.</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(iii) If the Borrower so requests in any applicable Letter of Credit Application, the L/C Issuer may, in its sole discretion, agree to issue a Letter of Credit that has automatic extension provisions (each, an “</w:t>
      </w:r>
      <w:r>
        <w:rPr>
          <w:rFonts w:ascii="Times New Roman;serif" w:hAnsi="Times New Roman;serif"/>
          <w:b w:val="false"/>
          <w:color w:val="000000"/>
          <w:sz w:val="22"/>
          <w:u w:val="single"/>
        </w:rPr>
        <w:t>Auto-Extension Letter of Credit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serif" w:hAnsi="Times New Roman;serif"/>
          <w:b w:val="false"/>
          <w:color w:val="000000"/>
          <w:sz w:val="22"/>
          <w:u w:val="single"/>
        </w:rPr>
        <w:t>Non-Extension Notice Date</w:t>
      </w:r>
      <w:r>
        <w:rPr>
          <w:color w:val="000000"/>
        </w:rPr>
        <w:t>”</w:t>
      </w:r>
      <w:r>
        <w:rPr>
          <w:rFonts w:ascii="Times New Roman;serif" w:hAnsi="Times New Roman;serif"/>
          <w:b w:val="false"/>
          <w:color w:val="000000"/>
          <w:sz w:val="22"/>
        </w:rPr>
        <w:t xml:space="preserve">) in each such twelve-month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L/C Issuer shall not permit any such extension if (A) the L/C Issuer has determined that it would not be permitted at such time to issue such Letter of Credit in its revised form (as extended) under the terms hereof (by reason of the provisions of clause (ii) of </w:t>
      </w:r>
      <w:r>
        <w:rPr>
          <w:rFonts w:ascii="Times New Roman;serif" w:hAnsi="Times New Roman;serif"/>
          <w:b w:val="false"/>
          <w:color w:val="000000"/>
          <w:sz w:val="22"/>
          <w:u w:val="single"/>
        </w:rPr>
        <w:t>Section 2.03(a)</w:t>
      </w:r>
      <w:r>
        <w:rPr>
          <w:color w:val="000000"/>
        </w:rPr>
        <w:t xml:space="preserve"> </w:t>
      </w:r>
      <w:r>
        <w:rPr>
          <w:rFonts w:ascii="Times New Roman;serif" w:hAnsi="Times New Roman;serif"/>
          <w:b w:val="false"/>
          <w:color w:val="000000"/>
          <w:sz w:val="22"/>
        </w:rPr>
        <w:t xml:space="preserve">or otherwise) and shall not have any obligation to permit such extension if the L/C Issuer has determined that it would have no obligation at such time to issue such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Letter of Credit in its revised form (as extended) under the terms hereof (by reason of the provisions of clause (iii) of </w:t>
      </w:r>
      <w:r>
        <w:rPr>
          <w:rFonts w:ascii="Times New Roman;serif" w:hAnsi="Times New Roman;serif"/>
          <w:b w:val="false"/>
          <w:color w:val="000000"/>
          <w:sz w:val="22"/>
          <w:u w:val="single"/>
        </w:rPr>
        <w:t>Section 2.03(a)</w:t>
      </w:r>
      <w:r>
        <w:rPr>
          <w:color w:val="000000"/>
        </w:rPr>
        <w:t xml:space="preserve"> </w:t>
      </w:r>
      <w:r>
        <w:rPr>
          <w:rFonts w:ascii="Times New Roman;serif" w:hAnsi="Times New Roman;serif"/>
          <w:b w:val="false"/>
          <w:color w:val="000000"/>
          <w:sz w:val="22"/>
        </w:rPr>
        <w:t xml:space="preserve">or otherwise), or (B) it has received notice (which may be by telephone or in writing) on or before the day that is seven Business Days before the Non-Extension Notice Date (1) from the Administrative Agent that the Required Revolving Lenders have elected not to permit such extension or (2) from the Administrative Agent, any Lender or the Borrower that one or more of the applicable conditions specified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is not then satisfied, and in each case directing the L/C Issuer not to permit such extension.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(iv) If the Borrower so requests in any applicable Letter of Credit Application, the L/C Issuer may, in its sole discretion, agree to issue a Letter of Credit that permits the automatic reinstatement of all or a portion of the stated amount thereof after any drawing thereunder (each, an “</w:t>
      </w:r>
      <w:r>
        <w:rPr>
          <w:rFonts w:ascii="Times New Roman;serif" w:hAnsi="Times New Roman;serif"/>
          <w:b w:val="false"/>
          <w:color w:val="000000"/>
          <w:sz w:val="22"/>
          <w:u w:val="single"/>
        </w:rPr>
        <w:t>Auto-Reinstatement Letter of Credit</w:t>
      </w:r>
      <w:r>
        <w:rPr>
          <w:color w:val="000000"/>
        </w:rPr>
        <w:t>”</w:t>
      </w:r>
      <w:r>
        <w:rPr>
          <w:rFonts w:ascii="Times New Roman;serif" w:hAnsi="Times New Roman;serif"/>
          <w:b w:val="false"/>
          <w:color w:val="000000"/>
          <w:sz w:val="22"/>
        </w:rPr>
        <w:t>). Unless otherwise directed by the L/C Issuer, the Borrower shall not be required to make a specific request to the L/C Issuer to permit such reinstatement. Once an Auto-Reinstatement Letter of Credit has been issued, except as provided in the following sentence, the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Times New Roman;serif" w:hAnsi="Times New Roman;serif"/>
          <w:b w:val="false"/>
          <w:color w:val="000000"/>
          <w:sz w:val="22"/>
          <w:u w:val="single"/>
        </w:rPr>
        <w:t>Non-Reinstatement Deadline</w:t>
      </w:r>
      <w:r>
        <w:rPr>
          <w:color w:val="000000"/>
        </w:rPr>
        <w:t>”</w:t>
      </w:r>
      <w:r>
        <w:rPr>
          <w:rFonts w:ascii="Times New Roman;serif" w:hAnsi="Times New Roman;serif"/>
          <w:b w:val="false"/>
          <w:color w:val="000000"/>
          <w:sz w:val="22"/>
        </w:rPr>
        <w:t xml:space="preserve">), the L/C Issuer shall not permit such reinstatement if it has received a notice (which may be by telephone or in writing) on or before the day that is seven Business Days before the Non-Reinstatement Deadline (A) from the Administrative Agent that the Required Revolving Lenders have elected not to permit such reinstatement or (B) from the Administrative Agent, any Lender or the Borrower that one or more of the applicable conditions specified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is not then satisfied (treating such reinstatement as an L/C Credit Extension for purposes of this clause) and, in each case, directing the L/C Issuer not to permit such reinstatement.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Drawings and Reimbursements; Funding of Participations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(i) Upon receipt from the beneficiary of any Letter of Credit of any notice of drawing under such Letter of Credit, the L/C Issuer shall notify the Borrower and the Administrative Agent thereof. Not later than 11:00 a.m. on the date of any payment by the L/C Issuer under a Letter of Credit (each such date, an “</w:t>
      </w:r>
      <w:r>
        <w:rPr>
          <w:rFonts w:ascii="Times New Roman;serif" w:hAnsi="Times New Roman;serif"/>
          <w:b w:val="false"/>
          <w:color w:val="000000"/>
          <w:sz w:val="22"/>
          <w:u w:val="single"/>
        </w:rPr>
        <w:t>Honor Date</w:t>
      </w:r>
      <w:r>
        <w:rPr>
          <w:color w:val="000000"/>
        </w:rPr>
        <w:t>”</w:t>
      </w:r>
      <w:r>
        <w:rPr>
          <w:rFonts w:ascii="Times New Roman;serif" w:hAnsi="Times New Roman;serif"/>
          <w:b w:val="false"/>
          <w:color w:val="000000"/>
          <w:sz w:val="22"/>
        </w:rPr>
        <w:t>), the Borrower shall reimburse the L/C Issuer through the Administrative Agent in an amount equal to the amount of such drawing. If the Borrower fails to so reimburse the L/C Issuer by such time, the Administrative Agent shall promptly notify each Lender with a Revolving Commitment of the Honor Date, the amount of the unreimbursed drawing (the “</w:t>
      </w:r>
      <w:r>
        <w:rPr>
          <w:rFonts w:ascii="Times New Roman;serif" w:hAnsi="Times New Roman;serif"/>
          <w:b w:val="false"/>
          <w:color w:val="000000"/>
          <w:sz w:val="22"/>
          <w:u w:val="single"/>
        </w:rPr>
        <w:t>Unreimbursed Amount</w:t>
      </w:r>
      <w:r>
        <w:rPr>
          <w:color w:val="000000"/>
        </w:rPr>
        <w:t>”</w:t>
      </w:r>
      <w:r>
        <w:rPr>
          <w:rFonts w:ascii="Times New Roman;serif" w:hAnsi="Times New Roman;serif"/>
          <w:b w:val="false"/>
          <w:color w:val="000000"/>
          <w:sz w:val="22"/>
        </w:rPr>
        <w:t xml:space="preserve">), and the amount of such Lender’s Applicable Percentage (with respect to the Revolving Facility) thereof. In such event, the Borrower shall be deemed to have requested a Borrowing of Base Rate Loans to be disbursed on the Honor Date in an amount equal to the Unreimbursed Amount, without regard to the minimum and multiples specified in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for the principal amount of Base Rate Loans, but subject to the unutilized portion of the Aggregate Revolving Commitments and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(other than the delivery of a Loan Notice). Any notice given by the L/C Issuer or the Administrative Agent pursuant to this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may be given by telephone if immediately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confirmed in writing;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lack of such an immediate confirmation shall not affect the conclusiveness or binding effect of such notice.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Each Lender with a Revolving Commitment shall upon any notice pursuant to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make funds available (and the Administrative Agent may apply Cash Collateral provided for this purpose) for the account of the L/C Issuer at the Administrative Agent’s Office in an amount equal to its Applicable Percentage (with respect to the Revolving Facility) of the Unreimbursed Amount not later than 1:00 p.m. on the Business Day specified in such notice by the Administrative Agent, whereupon, subject to the provisions of </w:t>
      </w:r>
      <w:r>
        <w:rPr>
          <w:rFonts w:ascii="Times New Roman;serif" w:hAnsi="Times New Roman;serif"/>
          <w:b w:val="false"/>
          <w:color w:val="000000"/>
          <w:sz w:val="22"/>
          <w:u w:val="single"/>
        </w:rPr>
        <w:t>Section 2.03(c)(iii)</w:t>
      </w:r>
      <w:r>
        <w:rPr>
          <w:rFonts w:ascii="Times New Roman;serif" w:hAnsi="Times New Roman;serif"/>
          <w:b w:val="false"/>
          <w:color w:val="000000"/>
          <w:sz w:val="22"/>
        </w:rPr>
        <w:t>, each Lender that so makes funds available shall be deemed to have made a Revolving Loan that is a Base Rate Loan to the Borrower in such amount. The Administrative Agent shall promptly remit the funds so received to the L/C Issuer.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(iii) With respect to any Unreimbursed Amount that is not fully refinanced by a Borrowing of Base Rate Loans because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Times New Roman;serif" w:hAnsi="Times New Roman;serif"/>
          <w:b w:val="false"/>
          <w:color w:val="000000"/>
          <w:sz w:val="22"/>
          <w:u w:val="single"/>
        </w:rPr>
        <w:t>Section 2.03(c)(ii)</w:t>
      </w:r>
      <w:r>
        <w:rPr>
          <w:color w:val="000000"/>
        </w:rPr>
        <w:t xml:space="preserve"> </w:t>
      </w:r>
      <w:r>
        <w:rPr>
          <w:rFonts w:ascii="Times New Roman;serif" w:hAnsi="Times New Roman;serif"/>
          <w:b w:val="false"/>
          <w:color w:val="000000"/>
          <w:sz w:val="22"/>
        </w:rPr>
        <w:t xml:space="preserve">shall be deemed payment in respect of its participation in such L/C Borrowing and shall constitute an L/C Advance from such Lender in satisfaction of its participation obligation under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(iv) Until each Lender funds its Revolving Loan or L/C Advance pursuant to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to reimburse the L/C Issuer for any amount drawn under any Letter of Credit, interest in respect of such Lender’s Applicable Percentage (with respect to the Revolving Facility) of such amount shall be solely for the account of the L/C Issuer.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(v) Each Lender’s obligation to make Revolving Loans or L/C Advances to reimburse the L/C Issuer for amounts drawn under Letters of Credit, as contemplated by this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shall be absolute and unconditional and shall not be affected by any circumstance, including (A) any setoff, counterclaim, recoupment, defense or other right which such Lender may have against the L/C Issuer, the Borrower, any Subsidiary or any other Person for any reason whatsoever; (B) the occurrence or continuance of a Default; or (C) any other occurrence, event or condition, whether or not similar to any of the foregoing;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each Lender’s obligation to make Revolving Loans pursuant to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 xml:space="preserve">is subject to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(other than delivery by the Borrower of a Loan Notice). No such making of an L/C Advance shall relieve or otherwise impair the obligation of the Borrower to reimburse the L/C Issuer for the amount of any payment made by the L/C Issuer under any Letter of Credit, together with interest as provided herein.</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(vi) If any Lender fails to make available to the Administrative Agent for the account of the L/C Issuer any amount required to be paid by such Lender pursuant to the foregoing provisions of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 xml:space="preserve">by the time specified in </w:t>
      </w:r>
      <w:r>
        <w:rPr>
          <w:rFonts w:ascii="Times New Roman;serif" w:hAnsi="Times New Roman;serif"/>
          <w:b w:val="false"/>
          <w:color w:val="000000"/>
          <w:sz w:val="22"/>
          <w:u w:val="single"/>
        </w:rPr>
        <w:t>Section 2.03(c)(ii)</w:t>
      </w:r>
      <w:r>
        <w:rPr>
          <w:rFonts w:ascii="Times New Roman;serif" w:hAnsi="Times New Roman;serif"/>
          <w:b w:val="false"/>
          <w:color w:val="000000"/>
          <w:sz w:val="22"/>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Revolving Loan included in the relevant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Repayment of Participations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At any time after the L/C Issuer has made a payment under any Letter of Credit and has received from any Lender such Lender’s L/C Advance in respect of such payment in accordance with </w:t>
      </w:r>
      <w:r>
        <w:rPr>
          <w:rFonts w:ascii="Times New Roman;serif" w:hAnsi="Times New Roman;serif"/>
          <w:b w:val="false"/>
          <w:color w:val="000000"/>
          <w:sz w:val="22"/>
          <w:u w:val="single"/>
        </w:rPr>
        <w:t>Section 2.03(c)</w:t>
      </w:r>
      <w:r>
        <w:rPr>
          <w:rFonts w:ascii="Times New Roman;serif" w:hAnsi="Times New Roman;serif"/>
          <w:b w:val="false"/>
          <w:color w:val="000000"/>
          <w:sz w:val="22"/>
        </w:rPr>
        <w:t>,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(with respect to the Revolving Facility) thereof in the same funds as those received by the Administrative Agent.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If any payment received by the Administrative Agent for the account of the L/C Issuer pursuant to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is required to be returned under any of the circumstances described in </w:t>
      </w:r>
      <w:r>
        <w:rPr>
          <w:rFonts w:ascii="Times New Roman;serif" w:hAnsi="Times New Roman;serif"/>
          <w:b w:val="false"/>
          <w:color w:val="000000"/>
          <w:sz w:val="22"/>
          <w:u w:val="single"/>
        </w:rPr>
        <w:t>Section 10.05</w:t>
      </w:r>
      <w:r>
        <w:rPr>
          <w:color w:val="000000"/>
        </w:rPr>
        <w:t xml:space="preserve"> </w:t>
      </w:r>
      <w:r>
        <w:rPr>
          <w:rFonts w:ascii="Times New Roman;serif" w:hAnsi="Times New Roman;serif"/>
          <w:b w:val="false"/>
          <w:color w:val="000000"/>
          <w:sz w:val="22"/>
        </w:rPr>
        <w:t>(including pursuant to any settlement entered into by the L/C Issuer in its discretion), each Lender shall pay to the Administrative Agent for the account of the L/C Issuer its Applicable Percentage (with respect to the Revolving Facility)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Obligations Absolute</w:t>
      </w:r>
      <w:r>
        <w:rPr>
          <w:rFonts w:ascii="Times New Roman;serif" w:hAnsi="Times New Roman;serif"/>
          <w:b w:val="false"/>
          <w:color w:val="000000"/>
          <w:sz w:val="22"/>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any lack of validity or enforceability of such Letter of Credit, this Agreement or any other Loan Document;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waiver by the L/C Issuer of any requirement that exists for the L/C Issuer’s protection and not the protection of the Borrower or any waiver by the L/C Issuer which does not in fact materially prejudice the Borrower;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honor of a demand for payment presented electronically even if such Letter of Credit requires that demand be in the form of a draft;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 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 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(viii) any other circumstance or happening whatsoever, whether or not similar to any of the foregoing, including any other circumstance that might otherwise constitute a defense available to, or a discharge of, the Borrower or any Subsidiary.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Role of L/C Issuer</w:t>
      </w:r>
      <w:r>
        <w:rPr>
          <w:rFonts w:ascii="Times New Roman;serif" w:hAnsi="Times New Roman;serif"/>
          <w:b w:val="false"/>
          <w:color w:val="000000"/>
          <w:sz w:val="22"/>
        </w:rPr>
        <w:t xml:space="preserve">. Each Lender and the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Revolving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this assumption is not intended to, and shall not, preclude the Borrower from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(viii) of </w:t>
      </w:r>
      <w:r>
        <w:rPr>
          <w:rFonts w:ascii="Times New Roman;serif" w:hAnsi="Times New Roman;serif"/>
          <w:b w:val="false"/>
          <w:color w:val="000000"/>
          <w:sz w:val="22"/>
          <w:u w:val="single"/>
        </w:rPr>
        <w:t>Section 2.03(e)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Times New Roman;serif" w:hAnsi="Times New Roman;serif"/>
          <w:b w:val="false"/>
          <w:color w:val="000000"/>
          <w:sz w:val="22"/>
          <w:u w:val="single"/>
        </w:rPr>
        <w:t>SWIFT</w:t>
      </w:r>
      <w:r>
        <w:rPr>
          <w:color w:val="000000"/>
        </w:rPr>
        <w:t>”</w:t>
      </w:r>
      <w:r>
        <w:rPr>
          <w:rFonts w:ascii="Times New Roman;serif" w:hAnsi="Times New Roman;serif"/>
          <w:b w:val="false"/>
          <w:color w:val="000000"/>
          <w:sz w:val="22"/>
        </w:rPr>
        <w:t>) message or overnight courier, or any other commercially reasonable means of communicating with a beneficiary.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(g) </w:t>
      </w:r>
      <w:r>
        <w:rPr>
          <w:rFonts w:ascii="Times New Roman;serif" w:hAnsi="Times New Roman;serif"/>
          <w:b w:val="false"/>
          <w:color w:val="000000"/>
          <w:sz w:val="22"/>
          <w:u w:val="single"/>
        </w:rPr>
        <w:t>Applicability of ISP and UCP; Limitation of Liability</w:t>
      </w:r>
      <w:r>
        <w:rPr>
          <w:rFonts w:ascii="Times New Roman;serif" w:hAnsi="Times New Roman;serif"/>
          <w:b w:val="false"/>
          <w:color w:val="000000"/>
          <w:sz w:val="22"/>
        </w:rPr>
        <w:t>. Unless otherwise expressly agreed by the L/C Issuer and the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(h) </w:t>
      </w:r>
      <w:r>
        <w:rPr>
          <w:rFonts w:ascii="Times New Roman;serif" w:hAnsi="Times New Roman;serif"/>
          <w:b w:val="false"/>
          <w:color w:val="000000"/>
          <w:sz w:val="22"/>
          <w:u w:val="single"/>
        </w:rPr>
        <w:t>Letter of Credit Fees</w:t>
      </w:r>
      <w:r>
        <w:rPr>
          <w:rFonts w:ascii="Times New Roman;serif" w:hAnsi="Times New Roman;serif"/>
          <w:b w:val="false"/>
          <w:color w:val="000000"/>
          <w:sz w:val="22"/>
        </w:rPr>
        <w:t xml:space="preserve">. The Borrower shall pay to the Administrative Agent for the account of each Lender in accordance, subject to </w:t>
      </w:r>
      <w:r>
        <w:rPr>
          <w:rFonts w:ascii="Times New Roman;serif" w:hAnsi="Times New Roman;serif"/>
          <w:b w:val="false"/>
          <w:color w:val="000000"/>
          <w:sz w:val="22"/>
          <w:u w:val="single"/>
        </w:rPr>
        <w:t>Section 2.15</w:t>
      </w:r>
      <w:r>
        <w:rPr>
          <w:rFonts w:ascii="Times New Roman;serif" w:hAnsi="Times New Roman;serif"/>
          <w:b w:val="false"/>
          <w:color w:val="000000"/>
          <w:sz w:val="22"/>
        </w:rPr>
        <w:t>, with its Applicable Percentage (with respect to the Revolving Facility) a Letter of Credit fee (the “</w:t>
      </w:r>
      <w:r>
        <w:rPr>
          <w:rFonts w:ascii="Times New Roman;serif" w:hAnsi="Times New Roman;serif"/>
          <w:b w:val="false"/>
          <w:color w:val="000000"/>
          <w:sz w:val="22"/>
          <w:u w:val="single"/>
        </w:rPr>
        <w:t>Letter of Credit Fee</w:t>
      </w:r>
      <w:r>
        <w:rPr>
          <w:color w:val="000000"/>
        </w:rPr>
        <w:t>”</w:t>
      </w:r>
      <w:r>
        <w:rPr>
          <w:rFonts w:ascii="Times New Roman;serif" w:hAnsi="Times New Roman;serif"/>
          <w:b w:val="false"/>
          <w:color w:val="000000"/>
          <w:sz w:val="22"/>
        </w:rPr>
        <w:t xml:space="preserve">) for each Letter of Credit equal to the Applicable Rate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 xml:space="preserve">the daily amount available to be drawn under such Letter of Credit. For purposes of computing the daily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all Letter of Credit Fees shall accrue at the Default Rate during any period when the Default Rate is in effect pursuant to </w:t>
      </w:r>
      <w:r>
        <w:rPr>
          <w:rFonts w:ascii="Times New Roman;serif" w:hAnsi="Times New Roman;serif"/>
          <w:b w:val="false"/>
          <w:color w:val="000000"/>
          <w:sz w:val="22"/>
          <w:u w:val="single"/>
        </w:rPr>
        <w:t>Section 2.08(b)(iii)</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Fronting Fees and Documentary and Processing Charges Payable to L/C Issuer</w:t>
      </w:r>
      <w:r>
        <w:rPr>
          <w:rFonts w:ascii="Times New Roman;serif" w:hAnsi="Times New Roman;serif"/>
          <w:b w:val="false"/>
          <w:color w:val="000000"/>
          <w:sz w:val="22"/>
        </w:rPr>
        <w:t xml:space="preserve">. The Borrower shall pay directly to the L/C Issuer for its own account a fronting fee (i) with respect to each commercial Letter of Credit issued by Bank of America, at the rate specified in the Fee Letter, computed on the amount of such Letter of Credit and payable upon the issuance thereof, (ii) with respect to each commercial Letter of Credit issued by U.S. Bank, at the rate and payable on the dates separately agreed by the Borrower and U.S. Bank, (iii) with respect to any amendment of a commercial Letter of Credit increasing the amount of such Letter of Credit, at a rate separately agreed between the Borrower and the L/C Issuer, computed on the amount of such increase, and payable upon the effectiveness of such amendment, (iv) with respect to each standby Letter of Credit issued by Bank of America, at the rate per annum specified in the Fee Letter, computed on the daily amount available to be drawn under such Letter of Credit on a quarterly basis in arrears, and payable on the tenth Business Day after the end of each March, June, September and December in respect of the most recently-ended quarterly period (or portion thereof, in the case of the first payment), commencing with the first such date to occur after the issuance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of such Letter of Credit, on the Letter of Credit Expiration Date and thereafter on demand and (v) with respect to each standby Letter of Credit issued by U.S. Bank, at the rate and payable on the dates separately agreed by the Borrower and U.S. Bank. For purposes of computing the daily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(j) </w:t>
      </w:r>
      <w:r>
        <w:rPr>
          <w:rFonts w:ascii="Times New Roman;serif" w:hAnsi="Times New Roman;serif"/>
          <w:b w:val="false"/>
          <w:color w:val="000000"/>
          <w:sz w:val="22"/>
          <w:u w:val="single"/>
        </w:rPr>
        <w:t>Conflict with Issuer Documents</w:t>
      </w:r>
      <w:r>
        <w:rPr>
          <w:rFonts w:ascii="Times New Roman;serif" w:hAnsi="Times New Roman;serif"/>
          <w:b w:val="false"/>
          <w:color w:val="000000"/>
          <w:sz w:val="22"/>
        </w:rPr>
        <w:t>. In the event of any conflict between the terms hereof and the terms of any Issuer Document, the terms hereof shall control.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(k) </w:t>
      </w:r>
      <w:r>
        <w:rPr>
          <w:rFonts w:ascii="Times New Roman;serif" w:hAnsi="Times New Roman;serif"/>
          <w:b w:val="false"/>
          <w:color w:val="000000"/>
          <w:sz w:val="22"/>
          <w:u w:val="single"/>
        </w:rPr>
        <w:t>Letters of Credit Issued for Subsidiaries</w:t>
      </w:r>
      <w:r>
        <w:rPr>
          <w:rFonts w:ascii="Times New Roman;serif" w:hAnsi="Times New Roman;serif"/>
          <w:b w:val="false"/>
          <w:color w:val="000000"/>
          <w:sz w:val="22"/>
        </w:rPr>
        <w:t>. Notwithstanding that a Letter of Credit issued or outstanding hereunder is in support of any obligations of, or is for the account of, a Subsidiary, the Borrower shall be obligated to reimburse the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(l) </w:t>
      </w:r>
      <w:r>
        <w:rPr>
          <w:rFonts w:ascii="Times New Roman;serif" w:hAnsi="Times New Roman;serif"/>
          <w:b w:val="false"/>
          <w:color w:val="000000"/>
          <w:sz w:val="22"/>
          <w:u w:val="single"/>
        </w:rPr>
        <w:t>L/C Issuer Reports to the Administrative Agent</w:t>
      </w:r>
      <w:r>
        <w:rPr>
          <w:rFonts w:ascii="Times New Roman;serif" w:hAnsi="Times New Roman;serif"/>
          <w:b w:val="false"/>
          <w:color w:val="000000"/>
          <w:sz w:val="22"/>
        </w:rPr>
        <w:t xml:space="preserve">. Unless otherwise agreed by the Administrative Agent, the L/C Issuer (other than Bank of America) shall, in addition to its notification obligations set forth elsewhere in this Section, provide the Administrative Agent a Letter of Credit Report (in the form of </w:t>
      </w:r>
      <w:r>
        <w:rPr>
          <w:rFonts w:ascii="Times New Roman;serif" w:hAnsi="Times New Roman;serif"/>
          <w:b w:val="false"/>
          <w:color w:val="000000"/>
          <w:sz w:val="22"/>
          <w:u w:val="single"/>
        </w:rPr>
        <w:t>Exhibit J</w:t>
      </w:r>
      <w:r>
        <w:rPr>
          <w:rFonts w:ascii="Times New Roman;serif" w:hAnsi="Times New Roman;serif"/>
          <w:b w:val="false"/>
          <w:color w:val="000000"/>
          <w:sz w:val="22"/>
        </w:rPr>
        <w:t xml:space="preserve">), as set forth below: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reasonably prior to the time that the L/C Issuer issues, amends, renews, increases or extends a Letter of Credit, the date of such issuance, amendment, renewal, increase or extension and the stated amount of the applicable Letters of Credit after giving effect to such issuance, amendment, renewal, increase or extension (and whether the amounts thereof shall have changed);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on each Business Day on which the L/C Issuer makes a payment pursuant to a Letter of Credit, the date and amount of such payment;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on any Business Day on which the Borrower fails to reimburse a payment made pursuant to a Letter of Credit required to be reimbursed to the L/C Issuer on such day, the date of such failure and the amount of such payment;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on any other Business Day, such other information as the Administrative Agent shall reasonably request as to the Letters of Credit issued by the L/C Issuer; and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(v) for so long as any Letter of Credit issued by the L/C Issuer is outstanding, the L/C Issuer shall deliver to the Administrative Agent (A) on the last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the L/C Issuer</w:t>
      </w:r>
      <w:r>
        <w:rPr>
          <w:rFonts w:ascii="Times New Roman;serif" w:hAnsi="Times New Roman;serif"/>
          <w:b/>
          <w:color w:val="000000"/>
          <w:sz w:val="22"/>
        </w:rPr>
        <w:t>.</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2.03 </w:t>
      </w:r>
      <w:r>
        <w:rPr>
          <w:rFonts w:ascii="Times New Roman;serif" w:hAnsi="Times New Roman;serif"/>
          <w:b w:val="false"/>
          <w:color w:val="000000"/>
          <w:sz w:val="22"/>
          <w:u w:val="single"/>
        </w:rPr>
        <w:t>Letters of Credit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The Letter of Credit Commitment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Subject to the terms and conditions set forth herein, (A) the L/C Issuer agrees, in reliance upon the agreements of the Lenders set forth in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xml:space="preserve">, (1) from time to time on any Business Day during the period from the Closing Date until the Letter of Credit Expiration Date, to issue Letters of Credit in Dollars for the account of the Borrower or any Subsidiary, and to amend or extend Letters of Credit previously issued by it, in accordance with subsection (b) below, and (2) to honor drawings under the Letters of Credit; and (B) the Lenders severally agree to participate in Letters of Credit issued for the account of the Borrower or any Subsidiary and any drawings thereunder;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after giving effect to any L/C Credit Extension with respect to any Letter of Credit, (x) the Total Revolving Outstandings shall not exceed the Borrowing Availability, (y) the Revolving Credit Exposure of any Lender shall not exceed such Lender’s Revolving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The L/C Issuer shall not issue any Letter of Credit if:</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(A) subject to </w:t>
      </w:r>
      <w:r>
        <w:rPr>
          <w:rFonts w:ascii="Times New Roman;serif" w:hAnsi="Times New Roman;serif"/>
          <w:b w:val="false"/>
          <w:color w:val="000000"/>
          <w:sz w:val="22"/>
          <w:u w:val="single"/>
        </w:rPr>
        <w:t>Section 2.03(b)(iii)</w:t>
      </w:r>
      <w:r>
        <w:rPr>
          <w:rFonts w:ascii="Times New Roman;serif" w:hAnsi="Times New Roman;serif"/>
          <w:b w:val="false"/>
          <w:color w:val="000000"/>
          <w:sz w:val="22"/>
        </w:rPr>
        <w:t>, the expiry date of the requested Letter of Credit would occur more than twelve months after the date of issuance or last extension, unless the Required Revolving Lenders have approved such expiry date; or</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(B) the expiry date of such requested Letter of Credit would occur after the Letter of Credit Expiration Date, unless all the Lenders that have Revolving Commitments have approved such expiry date.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The L/C Issuer shall not be under any obligation to issue any Letter of Credit if:</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(A) 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(B) the issuance of such Letter of Credit would violate one or more policies of the L/C Issuer applicable to letters of credit generally;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(C) [reserved]; </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(D) such Letter of Credit is to be denominated in a currency other than Dollars;</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(E) any Lender is at that time a Defaulting Lender, unless the L/C Issuer has entered into arrangements, including the delivery of Cash Collateral, satisfactory to the L/C Issuer (in its sole discretion) with the Borrower or such Defaulting Lender to eliminate the L/C Issuer’s actual or potential Fronting Exposure (after giving effect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 with respect to the Defaulting Lender arising from either the Letter of Credit then proposed to be issued or that Letter of Credit and all other L/C Obligations as to which the L/C Issuer has actual or potential Fronting Exposure, as it may elect in its sole discretion (</w:t>
      </w:r>
      <w:r>
        <w:rPr>
          <w:rFonts w:ascii="Times New Roman;serif" w:hAnsi="Times New Roman;serif"/>
          <w:b w:val="false"/>
          <w:color w:val="000000"/>
          <w:sz w:val="22"/>
          <w:u w:val="single"/>
        </w:rPr>
        <w:t>provide</w:t>
      </w:r>
      <w:r>
        <w:rPr>
          <w:rFonts w:ascii="Times New Roman;serif" w:hAnsi="Times New Roman;serif"/>
          <w:b w:val="false"/>
          <w:color w:val="000000"/>
          <w:sz w:val="22"/>
        </w:rPr>
        <w:t>d that it is agreed that the delivery by Borrower to the Administrative Agent of Cash Collateral in an amount equal to the L/C Issuer’s actual or potential Fronting Exposure (either arising from the Letter of Credit then proposed to be issued or that Letter of Credit and all other L/C Obligations as to which the L/C Issuer has actual or potential Fronting Exposure, as the L/C Issuer requires) shall constitute an arrangement satisfactory to the L/C Issuer as contemplated by this paragraph (E)); or</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(F) such Letter of Credit contains any provisions for automatic reinstatement of the stated amount after any drawing thereunder.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The L/C Issuer shall not amend any Letter of Credit if the L/C Issuer would not be permitted at such time to issue such Letter of Credit in its amended form under the terms hereof.</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The L/C Issuer shall not be under any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(vi) The L/C Issuer shall act on behalf of the Lenders with respect to any Letters of Credit issued by it and the documents associated therewith, and the L/C Issuer shall have all of the benefits and immunities (A) provided to the Administrative Agent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included the L/C Issuer with respect to such acts or omissions, and (B) as additionally provided herein with respect to the L/C Issuer.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Procedures for Issuance and Amendment of Letters of Credit; Auto-Extension Letters of Credit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11:00 a.m. at least two Business Days (or such later date and time as the Administrative Agent and the L/C Issuer may agree in a particular instance in their sole discretion) prior to the proposed issuance date or date of amendment, as the case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reasonably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require.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Lender, the Administrative Agent or the Borrower, at least one Business Day prior to the requested date of issuance or amendment of the applicable Letter of Credit, that one or more applicable conditions contained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shall not then be satisfied,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Lender with a Revolving Commitment shall be deemed to, and hereby irrevocably and unconditionally agrees to, purchase from the L/C Issuer a risk participation in such Letter of Credit in an amount equal to the product of such Lender’s Applicable Percentage (with respect to the Revolving Facility)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the amount of such Letter of Credit.</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(iii) If the Borrower so requests in any applicable Letter of Credit Application, the L/C Issuer may, in its sole discretion, agree to issue a Letter of Credit that has automatic extension provisions (each, an “</w:t>
      </w:r>
      <w:r>
        <w:rPr>
          <w:rFonts w:ascii="Times New Roman;serif" w:hAnsi="Times New Roman;serif"/>
          <w:b w:val="false"/>
          <w:color w:val="000000"/>
          <w:sz w:val="22"/>
          <w:u w:val="single"/>
        </w:rPr>
        <w:t>Auto-Extension Letter of Credit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serif" w:hAnsi="Times New Roman;serif"/>
          <w:b w:val="false"/>
          <w:color w:val="000000"/>
          <w:sz w:val="22"/>
          <w:u w:val="single"/>
        </w:rPr>
        <w:t>Non-Extension Notice Date</w:t>
      </w:r>
      <w:r>
        <w:rPr>
          <w:color w:val="000000"/>
        </w:rPr>
        <w:t>”</w:t>
      </w:r>
      <w:r>
        <w:rPr>
          <w:rFonts w:ascii="Times New Roman;serif" w:hAnsi="Times New Roman;serif"/>
          <w:b w:val="false"/>
          <w:color w:val="000000"/>
          <w:sz w:val="22"/>
        </w:rPr>
        <w:t xml:space="preserve">) in each such twelve-month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L/C Issuer shall not permit any such extension if (A) the L/C Issuer has determined that it would not be permitted at such time to issue such Letter of Credit in its revised form (as extended) under the terms hereof (by reason of the provisions of clause (ii) of </w:t>
      </w:r>
      <w:r>
        <w:rPr>
          <w:rFonts w:ascii="Times New Roman;serif" w:hAnsi="Times New Roman;serif"/>
          <w:b w:val="false"/>
          <w:color w:val="000000"/>
          <w:sz w:val="22"/>
          <w:u w:val="single"/>
        </w:rPr>
        <w:t>Section 2.03(a)</w:t>
      </w:r>
      <w:r>
        <w:rPr>
          <w:color w:val="000000"/>
        </w:rPr>
        <w:t xml:space="preserve"> </w:t>
      </w:r>
      <w:r>
        <w:rPr>
          <w:rFonts w:ascii="Times New Roman;serif" w:hAnsi="Times New Roman;serif"/>
          <w:b w:val="false"/>
          <w:color w:val="000000"/>
          <w:sz w:val="22"/>
        </w:rPr>
        <w:t xml:space="preserve">or otherwise) and shall not have any obligation to permit such extension if the L/C Issuer has determined that it would have no obligation at such time to issue such Letter of Credit in its revised form (as extended) under the terms hereof (by reason of the provisions of clause (iii) of </w:t>
      </w:r>
      <w:r>
        <w:rPr>
          <w:rFonts w:ascii="Times New Roman;serif" w:hAnsi="Times New Roman;serif"/>
          <w:b w:val="false"/>
          <w:color w:val="000000"/>
          <w:sz w:val="22"/>
          <w:u w:val="single"/>
        </w:rPr>
        <w:t>Section 2.03(a)</w:t>
      </w:r>
      <w:r>
        <w:rPr>
          <w:color w:val="000000"/>
        </w:rPr>
        <w:t xml:space="preserve"> </w:t>
      </w:r>
      <w:r>
        <w:rPr>
          <w:rFonts w:ascii="Times New Roman;serif" w:hAnsi="Times New Roman;serif"/>
          <w:b w:val="false"/>
          <w:color w:val="000000"/>
          <w:sz w:val="22"/>
        </w:rPr>
        <w:t xml:space="preserve">or otherwise), or (B) it has received notice (which may be by telephone or in writing) on or before the day that is seven Business Days before the Non-Extension Notice Date (1) from the Administrative Agent that the Required Revolving Lenders have elected not to permit such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extension or (2) from the Administrative Agent, any Lender or the Borrower that one or more of the applicable conditions specified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is not then satisfied, and in each case directing the L/C Issuer not to permit such extension.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(iv) If the Borrower so requests in any applicable Letter of Credit Application, the L/C Issuer may, in its sole discretion, agree to issue a Letter of Credit that permits the automatic reinstatement of all or a portion of the stated amount thereof after any drawing thereunder (each, an “</w:t>
      </w:r>
      <w:r>
        <w:rPr>
          <w:rFonts w:ascii="Times New Roman;serif" w:hAnsi="Times New Roman;serif"/>
          <w:b w:val="false"/>
          <w:color w:val="000000"/>
          <w:sz w:val="22"/>
          <w:u w:val="single"/>
        </w:rPr>
        <w:t>Auto-Reinstatement Letter of Credit</w:t>
      </w:r>
      <w:r>
        <w:rPr>
          <w:color w:val="000000"/>
        </w:rPr>
        <w:t>”</w:t>
      </w:r>
      <w:r>
        <w:rPr>
          <w:rFonts w:ascii="Times New Roman;serif" w:hAnsi="Times New Roman;serif"/>
          <w:b w:val="false"/>
          <w:color w:val="000000"/>
          <w:sz w:val="22"/>
        </w:rPr>
        <w:t>). Unless otherwise directed by the L/C Issuer, the Borrower shall not be required to make a specific request to the L/C Issuer to permit such reinstatement. Once an Auto-Reinstatement Letter of Credit has been issued, except as provided in the following sentence, the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Times New Roman;serif" w:hAnsi="Times New Roman;serif"/>
          <w:b w:val="false"/>
          <w:color w:val="000000"/>
          <w:sz w:val="22"/>
          <w:u w:val="single"/>
        </w:rPr>
        <w:t>Non-Reinstatement Deadline</w:t>
      </w:r>
      <w:r>
        <w:rPr>
          <w:color w:val="000000"/>
        </w:rPr>
        <w:t>”</w:t>
      </w:r>
      <w:r>
        <w:rPr>
          <w:rFonts w:ascii="Times New Roman;serif" w:hAnsi="Times New Roman;serif"/>
          <w:b w:val="false"/>
          <w:color w:val="000000"/>
          <w:sz w:val="22"/>
        </w:rPr>
        <w:t xml:space="preserve">), the L/C Issuer shall not permit such reinstatement if it has received a notice (which may be by telephone or in writing) on or before the day that is seven Business Days before the Non-Reinstatement Deadline (A) from the Administrative Agent that the Required Revolving Lenders have elected not to permit such reinstatement or (B) from the Administrative Agent, any Lender or the Borrower that one or more of the applicable conditions specified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is not then satisfied (treating such reinstatement as an L/C Credit Extension for purposes of this clause) and, in each case, directing the L/C Issuer not to permit such reinstatement.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Drawings and Reimbursements; Funding of Participations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(i) Upon receipt from the beneficiary of any Letter of Credit of any notice of drawing under such Letter of Credit, the L/C Issuer shall notify the Borrower and the Administrative Agent thereof. Not later than 11:00 a.m. on the date of any payment by the L/C Issuer under a Letter of Credit (each such date, an “</w:t>
      </w:r>
      <w:r>
        <w:rPr>
          <w:rFonts w:ascii="Times New Roman;serif" w:hAnsi="Times New Roman;serif"/>
          <w:b w:val="false"/>
          <w:color w:val="000000"/>
          <w:sz w:val="22"/>
          <w:u w:val="single"/>
        </w:rPr>
        <w:t>Honor Date</w:t>
      </w:r>
      <w:r>
        <w:rPr>
          <w:color w:val="000000"/>
        </w:rPr>
        <w:t>”</w:t>
      </w:r>
      <w:r>
        <w:rPr>
          <w:rFonts w:ascii="Times New Roman;serif" w:hAnsi="Times New Roman;serif"/>
          <w:b w:val="false"/>
          <w:color w:val="000000"/>
          <w:sz w:val="22"/>
        </w:rPr>
        <w:t>), the Borrower shall reimburse the L/C Issuer through the Administrative Agent in an amount equal to the amount of such drawing. If the Borrower fails to so reimburse the L/C Issuer by such time, the Administrative Agent shall promptly notify each Lender with a Revolving Commitment of the Honor Date, the amount of the unreimbursed drawing (the “</w:t>
      </w:r>
      <w:r>
        <w:rPr>
          <w:rFonts w:ascii="Times New Roman;serif" w:hAnsi="Times New Roman;serif"/>
          <w:b w:val="false"/>
          <w:color w:val="000000"/>
          <w:sz w:val="22"/>
          <w:u w:val="single"/>
        </w:rPr>
        <w:t>Unreimbursed Amount</w:t>
      </w:r>
      <w:r>
        <w:rPr>
          <w:color w:val="000000"/>
        </w:rPr>
        <w:t>”</w:t>
      </w:r>
      <w:r>
        <w:rPr>
          <w:rFonts w:ascii="Times New Roman;serif" w:hAnsi="Times New Roman;serif"/>
          <w:b w:val="false"/>
          <w:color w:val="000000"/>
          <w:sz w:val="22"/>
        </w:rPr>
        <w:t xml:space="preserve">), and the amount of such Lender’s Applicable Percentage (with respect to the Revolving Facility) thereof. In such event, the Borrower shall be deemed to have requested a Borrowing of Base Rate Loans to be disbursed on the Honor Date in an amount equal to the Unreimbursed Amount, without regard to the minimum and multiples specified in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for the principal amount of Base Rate Loans, but subject to the unutilized portion of the Aggregate Revolving Commitments and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(other than the delivery of a Loan Notice). Any notice given by the L/C Issuer or the Administrative Agent pursuant to this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may be given by telephone if immediately confirmed in writing;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lack of such an immediate confirmation shall not affect the conclusiveness or binding effect of such notice.</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(ii) Each Lender with a Revolving Commitment shall upon any notice pursuant to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make funds available (and the Administrative Agent may apply Cash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provided for this purpose) for the account of the L/C Issuer at the Administrative Agent’s Office in an amount equal to its Applicable Percentage (with respect to the Revolving Facility) of the Unreimbursed Amount not later than 1:00 p.m. on the Business Day specified in such notice by the Administrative Agent, whereupon, subject to the provisions of </w:t>
      </w:r>
      <w:r>
        <w:rPr>
          <w:rFonts w:ascii="Times New Roman;serif" w:hAnsi="Times New Roman;serif"/>
          <w:b w:val="false"/>
          <w:color w:val="000000"/>
          <w:sz w:val="22"/>
          <w:u w:val="single"/>
        </w:rPr>
        <w:t>Section 2.03(c)(iii)</w:t>
      </w:r>
      <w:r>
        <w:rPr>
          <w:rFonts w:ascii="Times New Roman;serif" w:hAnsi="Times New Roman;serif"/>
          <w:b w:val="false"/>
          <w:color w:val="000000"/>
          <w:sz w:val="22"/>
        </w:rPr>
        <w:t>, each Lender that so makes funds available shall be deemed to have made a Revolving Loan that is a Base Rate Loan to the Borrower in such amount. The Administrative Agent shall promptly remit the funds so received to the L/C Issuer.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(iii) With respect to any Unreimbursed Amount that is not fully refinanced by a Borrowing of Base Rate Loans because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Times New Roman;serif" w:hAnsi="Times New Roman;serif"/>
          <w:b w:val="false"/>
          <w:color w:val="000000"/>
          <w:sz w:val="22"/>
          <w:u w:val="single"/>
        </w:rPr>
        <w:t>Section 2.03(c)(ii)</w:t>
      </w:r>
      <w:r>
        <w:rPr>
          <w:color w:val="000000"/>
        </w:rPr>
        <w:t xml:space="preserve"> </w:t>
      </w:r>
      <w:r>
        <w:rPr>
          <w:rFonts w:ascii="Times New Roman;serif" w:hAnsi="Times New Roman;serif"/>
          <w:b w:val="false"/>
          <w:color w:val="000000"/>
          <w:sz w:val="22"/>
        </w:rPr>
        <w:t xml:space="preserve">shall be deemed payment in respect of its participation in such L/C Borrowing and shall constitute an L/C Advance from such Lender in satisfaction of its participation obligation under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(iv) Until each Lender funds its Revolving Loan or L/C Advance pursuant to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to reimburse the L/C Issuer for any amount drawn under any Letter of Credit, interest in respect of such Lender’s Applicable Percentage (with respect to the Revolving Facility) of such amount shall be solely for the account of the L/C Issuer.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(v) Each Lender’s obligation to make Revolving Loans or L/C Advances to reimburse the L/C Issuer for amounts drawn under Letters of Credit, as contemplated by this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shall be absolute and unconditional and shall not be affected by any circumstance, including (A) any setoff, counterclaim, recoupment, defense or other right which such Lender may have against the L/C Issuer, the Borrower, any Subsidiary or any other Person for any reason whatsoever; (B) the occurrence or continuance of a Default; or (C) any other occurrence, event or condition, whether or not similar to any of the foregoing;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each Lender’s obligation to make Revolving Loans pursuant to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 xml:space="preserve">is subject to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(other than delivery by the Borrower of a Loan Notice). No such making of an L/C Advance shall relieve or otherwise impair the obligation of the Borrower to reimburse the L/C Issuer for the amount of any payment made by the L/C Issuer under any Letter of Credit, together with interest as provided herein.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(vi) If any Lender fails to make available to the Administrative Agent for the account of the L/C Issuer any amount required to be paid by such Lender pursuant to the foregoing provisions of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 xml:space="preserve">by the time specified in </w:t>
      </w:r>
      <w:r>
        <w:rPr>
          <w:rFonts w:ascii="Times New Roman;serif" w:hAnsi="Times New Roman;serif"/>
          <w:b w:val="false"/>
          <w:color w:val="000000"/>
          <w:sz w:val="22"/>
          <w:u w:val="single"/>
        </w:rPr>
        <w:t>Section 2.03(c)(ii)</w:t>
      </w:r>
      <w:r>
        <w:rPr>
          <w:rFonts w:ascii="Times New Roman;serif" w:hAnsi="Times New Roman;serif"/>
          <w:b w:val="false"/>
          <w:color w:val="000000"/>
          <w:sz w:val="22"/>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Repayment of Participations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At any time after the L/C Issuer has made a payment under any Letter of Credit and has received from any Lender such Lender’s L/C Advance in respect of such payment in accordance with </w:t>
      </w:r>
      <w:r>
        <w:rPr>
          <w:rFonts w:ascii="Times New Roman;serif" w:hAnsi="Times New Roman;serif"/>
          <w:b w:val="false"/>
          <w:color w:val="000000"/>
          <w:sz w:val="22"/>
          <w:u w:val="single"/>
        </w:rPr>
        <w:t>Section 2.03(c)</w:t>
      </w:r>
      <w:r>
        <w:rPr>
          <w:rFonts w:ascii="Times New Roman;serif" w:hAnsi="Times New Roman;serif"/>
          <w:b w:val="false"/>
          <w:color w:val="000000"/>
          <w:sz w:val="22"/>
        </w:rPr>
        <w:t>,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(with respect to the Revolving Facility) thereof in the same funds as those received by the Administrative Agent.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If any payment received by the Administrative Agent for the account of the L/C Issuer pursuant to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is required to be returned under any of the circumstances described in </w:t>
      </w:r>
      <w:r>
        <w:rPr>
          <w:rFonts w:ascii="Times New Roman;serif" w:hAnsi="Times New Roman;serif"/>
          <w:b w:val="false"/>
          <w:color w:val="000000"/>
          <w:sz w:val="22"/>
          <w:u w:val="single"/>
        </w:rPr>
        <w:t>Section 10.05</w:t>
      </w:r>
      <w:r>
        <w:rPr>
          <w:color w:val="000000"/>
        </w:rPr>
        <w:t xml:space="preserve"> </w:t>
      </w:r>
      <w:r>
        <w:rPr>
          <w:rFonts w:ascii="Times New Roman;serif" w:hAnsi="Times New Roman;serif"/>
          <w:b w:val="false"/>
          <w:color w:val="000000"/>
          <w:sz w:val="22"/>
        </w:rPr>
        <w:t>(including pursuant to any settlement entered into by the L/C Issuer in its discretion), each Lender shall pay to the Administrative Agent for the account of the L/C Issuer its Applicable Percentage (with respect to the Revolving Facility)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Obligations Absolute</w:t>
      </w:r>
      <w:r>
        <w:rPr>
          <w:rFonts w:ascii="Times New Roman;serif" w:hAnsi="Times New Roman;serif"/>
          <w:b w:val="false"/>
          <w:color w:val="000000"/>
          <w:sz w:val="22"/>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any lack of validity or enforceability of such Letter of Credit, this Agreement or any other Loan Document;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waiver by the L/C Issuer of any requirement that exists for the L/C Issuer’s protection and not the protection of the Borrower or any waiver by the L/C Issuer which does not in fact materially prejudice the Borrower;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honor of a demand for payment presented electronically even if such Letter of Credit requires that demand be in the form of a draft;</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 any payment made by the L/C Issuer in respect of an otherwise complying item presented after the date specified as the expiration date of, or the date by which documents must be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received under such Letter of Credit if presentation after such date is authorized by the UCC, the ISP or the UCP, as applicable;</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 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(viii) any other circumstance or happening whatsoever, whether or not similar to any of the foregoing, including any other circumstance that might otherwise constitute a defense available to, or a discharge of, the Borrower or any Subsidiary.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Role of L/C Issuer</w:t>
      </w:r>
      <w:r>
        <w:rPr>
          <w:rFonts w:ascii="Times New Roman;serif" w:hAnsi="Times New Roman;serif"/>
          <w:b w:val="false"/>
          <w:color w:val="000000"/>
          <w:sz w:val="22"/>
        </w:rPr>
        <w:t xml:space="preserve">. Each Lender and the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Revolving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this assumption is not intended to, and shall not, preclude the Borrower from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(viii) of </w:t>
      </w:r>
      <w:r>
        <w:rPr>
          <w:rFonts w:ascii="Times New Roman;serif" w:hAnsi="Times New Roman;serif"/>
          <w:b w:val="false"/>
          <w:color w:val="000000"/>
          <w:sz w:val="22"/>
          <w:u w:val="single"/>
        </w:rPr>
        <w:t>Section 2.03(e)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w:t>
      </w:r>
      <w:r>
        <w:rPr>
          <w:rFonts w:ascii="Times New Roman;serif" w:hAnsi="Times New Roman;serif"/>
          <w:b w:val="false"/>
          <w:color w:val="000000"/>
          <w:sz w:val="22"/>
          <w:u w:val="single"/>
        </w:rPr>
        <w:t>SWIFT</w:t>
      </w:r>
      <w:r>
        <w:rPr>
          <w:color w:val="000000"/>
        </w:rPr>
        <w:t>”</w:t>
      </w:r>
      <w:r>
        <w:rPr>
          <w:rFonts w:ascii="Times New Roman;serif" w:hAnsi="Times New Roman;serif"/>
          <w:b w:val="false"/>
          <w:color w:val="000000"/>
          <w:sz w:val="22"/>
        </w:rPr>
        <w:t>) message or overnight courier, or any other commercially reasonable means of communicating with a beneficiary.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(g) </w:t>
      </w:r>
      <w:r>
        <w:rPr>
          <w:rFonts w:ascii="Times New Roman;serif" w:hAnsi="Times New Roman;serif"/>
          <w:b w:val="false"/>
          <w:color w:val="000000"/>
          <w:sz w:val="22"/>
          <w:u w:val="single"/>
        </w:rPr>
        <w:t>Applicability of ISP and UCP; Limitation of Liability</w:t>
      </w:r>
      <w:r>
        <w:rPr>
          <w:rFonts w:ascii="Times New Roman;serif" w:hAnsi="Times New Roman;serif"/>
          <w:b w:val="false"/>
          <w:color w:val="000000"/>
          <w:sz w:val="22"/>
        </w:rPr>
        <w:t>. Unless otherwise expressly agreed by the L/C Issuer and the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(h) </w:t>
      </w:r>
      <w:r>
        <w:rPr>
          <w:rFonts w:ascii="Times New Roman;serif" w:hAnsi="Times New Roman;serif"/>
          <w:b w:val="false"/>
          <w:color w:val="000000"/>
          <w:sz w:val="22"/>
          <w:u w:val="single"/>
        </w:rPr>
        <w:t>Letter of Credit Fees</w:t>
      </w:r>
      <w:r>
        <w:rPr>
          <w:rFonts w:ascii="Times New Roman;serif" w:hAnsi="Times New Roman;serif"/>
          <w:b w:val="false"/>
          <w:color w:val="000000"/>
          <w:sz w:val="22"/>
        </w:rPr>
        <w:t xml:space="preserve">. The Borrower shall pay to the Administrative Agent for the account of each Lender in accordance, subject to </w:t>
      </w:r>
      <w:r>
        <w:rPr>
          <w:rFonts w:ascii="Times New Roman;serif" w:hAnsi="Times New Roman;serif"/>
          <w:b w:val="false"/>
          <w:color w:val="000000"/>
          <w:sz w:val="22"/>
          <w:u w:val="single"/>
        </w:rPr>
        <w:t>Section 2.15</w:t>
      </w:r>
      <w:r>
        <w:rPr>
          <w:rFonts w:ascii="Times New Roman;serif" w:hAnsi="Times New Roman;serif"/>
          <w:b w:val="false"/>
          <w:color w:val="000000"/>
          <w:sz w:val="22"/>
        </w:rPr>
        <w:t>, with its Applicable Percentage (with respect to the Revolving Facility) a Letter of Credit fee (the “</w:t>
      </w:r>
      <w:r>
        <w:rPr>
          <w:rFonts w:ascii="Times New Roman;serif" w:hAnsi="Times New Roman;serif"/>
          <w:b w:val="false"/>
          <w:color w:val="000000"/>
          <w:sz w:val="22"/>
          <w:u w:val="single"/>
        </w:rPr>
        <w:t>Letter of Credit Fee</w:t>
      </w:r>
      <w:r>
        <w:rPr>
          <w:color w:val="000000"/>
        </w:rPr>
        <w:t>”</w:t>
      </w:r>
      <w:r>
        <w:rPr>
          <w:rFonts w:ascii="Times New Roman;serif" w:hAnsi="Times New Roman;serif"/>
          <w:b w:val="false"/>
          <w:color w:val="000000"/>
          <w:sz w:val="22"/>
        </w:rPr>
        <w:t xml:space="preserve">) for each Letter of Credit equal to the Applicable Rate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 xml:space="preserve">the daily amount available to be drawn under such Letter of Credit. For purposes of computing the daily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all Letter of Credit Fees shall accrue at the Default Rate during any period when the Default Rate is in effect pursuant to </w:t>
      </w:r>
      <w:r>
        <w:rPr>
          <w:rFonts w:ascii="Times New Roman;serif" w:hAnsi="Times New Roman;serif"/>
          <w:b w:val="false"/>
          <w:color w:val="000000"/>
          <w:sz w:val="22"/>
          <w:u w:val="single"/>
        </w:rPr>
        <w:t>Section 2.08(b)(iii)</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Fronting Fees and Documentary and Processing Charges Payable to L/C Issuer</w:t>
      </w:r>
      <w:r>
        <w:rPr>
          <w:rFonts w:ascii="Times New Roman;serif" w:hAnsi="Times New Roman;serif"/>
          <w:b w:val="false"/>
          <w:color w:val="000000"/>
          <w:sz w:val="22"/>
        </w:rPr>
        <w:t xml:space="preserve">. The Borrower shall pay directly to the L/C Issuer for its own account a fronting fee (i) with respect to each commercial Letter of Credit issued by Bank of America, at the rate specified in the Fee Letter, computed on the amount of such Letter of Credit and payable upon the issuance thereof, (ii) with respect to each commercial Letter of Credit issued by U.S. Bank, at the rate and payable on the dates separately agreed by the Borrower and U.S. Bank, (iii) with respect to any amendment of a commercial Letter of Credit increasing the amount of such Letter of Credit, at a rate separately agreed between the Borrower and the L/C Issuer, computed on the amount of such increase, and payable upon the effectiveness of such amendment, (iv) with respect to each standby Letter of Credit issued by Bank of America, at the rate per annum specified in the Fee Letter, computed on the daily amount available to be drawn under such Letter of Credit on a quarterly basis in arrears,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and (v) with respect to each standby Letter of Credit issued by U.S. Bank, at the rate and payable on the dates separately agreed by the Borrower and U.S. Bank. For purposes of computing the daily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In addition, the Borrower shall pay directly to the L/C Issuer for its own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(j) </w:t>
      </w:r>
      <w:r>
        <w:rPr>
          <w:rFonts w:ascii="Times New Roman;serif" w:hAnsi="Times New Roman;serif"/>
          <w:b w:val="false"/>
          <w:color w:val="000000"/>
          <w:sz w:val="22"/>
          <w:u w:val="single"/>
        </w:rPr>
        <w:t>Conflict with Issuer Documents</w:t>
      </w:r>
      <w:r>
        <w:rPr>
          <w:rFonts w:ascii="Times New Roman;serif" w:hAnsi="Times New Roman;serif"/>
          <w:b w:val="false"/>
          <w:color w:val="000000"/>
          <w:sz w:val="22"/>
        </w:rPr>
        <w:t>. In the event of any conflict between the terms hereof and the terms of any Issuer Document, the terms hereof shall control.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(k) </w:t>
      </w:r>
      <w:r>
        <w:rPr>
          <w:rFonts w:ascii="Times New Roman;serif" w:hAnsi="Times New Roman;serif"/>
          <w:b w:val="false"/>
          <w:color w:val="000000"/>
          <w:sz w:val="22"/>
          <w:u w:val="single"/>
        </w:rPr>
        <w:t>Letters of Credit Issued for Subsidiaries</w:t>
      </w:r>
      <w:r>
        <w:rPr>
          <w:rFonts w:ascii="Times New Roman;serif" w:hAnsi="Times New Roman;serif"/>
          <w:b w:val="false"/>
          <w:color w:val="000000"/>
          <w:sz w:val="22"/>
        </w:rPr>
        <w:t>. Notwithstanding that a Letter of Credit issued or outstanding hereunder is in support of any obligations of, or is for the account of, a Subsidiary, the Borrower shall be obligated to reimburse the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(l) </w:t>
      </w:r>
      <w:r>
        <w:rPr>
          <w:rFonts w:ascii="Times New Roman;serif" w:hAnsi="Times New Roman;serif"/>
          <w:b w:val="false"/>
          <w:color w:val="000000"/>
          <w:sz w:val="22"/>
          <w:u w:val="single"/>
        </w:rPr>
        <w:t>L/C Issuer Reports to the Administrative Agent</w:t>
      </w:r>
      <w:r>
        <w:rPr>
          <w:rFonts w:ascii="Times New Roman;serif" w:hAnsi="Times New Roman;serif"/>
          <w:b w:val="false"/>
          <w:color w:val="000000"/>
          <w:sz w:val="22"/>
        </w:rPr>
        <w:t xml:space="preserve">. Unless otherwise agreed by the Administrative Agent, the L/C Issuer (other than Bank of America) shall, in addition to its notification obligations set forth elsewhere in this Section, provide the Administrative Agent a Letter of Credit Report (in the form of </w:t>
      </w:r>
      <w:r>
        <w:rPr>
          <w:rFonts w:ascii="Times New Roman;serif" w:hAnsi="Times New Roman;serif"/>
          <w:b w:val="false"/>
          <w:color w:val="000000"/>
          <w:sz w:val="22"/>
          <w:u w:val="single"/>
        </w:rPr>
        <w:t>Exhibit J</w:t>
      </w:r>
      <w:r>
        <w:rPr>
          <w:rFonts w:ascii="Times New Roman;serif" w:hAnsi="Times New Roman;serif"/>
          <w:b w:val="false"/>
          <w:color w:val="000000"/>
          <w:sz w:val="22"/>
        </w:rPr>
        <w:t xml:space="preserve">), as set forth below: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reasonably prior to the time that the L/C Issuer issues, amends, renews, increases or extends a Letter of Credit, the date of such issuance, amendment, renewal, increase or extension and the stated amount of the applicable Letters of Credit after giving effect to such issuance, amendment, renewal, increase or extension (and whether the amounts thereof shall have changed);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on each Business Day on which the L/C Issuer makes a payment pursuant to a Letter of Credit, the date and amount of such payment;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on any Business Day on which the Borrower fails to reimburse a payment made pursuant to a Letter of Credit required to be reimbursed to the L/C Issuer on such day, the date of such failure and the amount of such payment;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on any other Business Day, such other information as the Administrative Agent shall reasonably request as to the Letters of Credit issued by the L/C Issuer; and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(v) for so long as any Letter of Credit issued by the L/C Issuer is outstanding, the L/C Issuer shall deliver to the Administrative Agent (A) on the last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the L/C Issuer</w:t>
      </w:r>
      <w:r>
        <w:rPr>
          <w:rFonts w:ascii="Times New Roman;serif" w:hAnsi="Times New Roman;serif"/>
          <w:b/>
          <w:color w:val="000000"/>
          <w:sz w:val="22"/>
        </w:rPr>
        <w:t>.</w:t>
      </w:r>
    </w:p>
    <w:p>
      <w:pPr>
        <w:pStyle w:val="TextBody"/>
        <w:bidi w:val="0"/>
        <w:spacing w:lineRule="auto" w:line="288" w:before="240" w:after="283"/>
        <w:jc w:val="both"/>
        <w:rPr/>
      </w:pPr>
      <w:r>
        <w:rPr>
          <w:rFonts w:ascii="Times New Roman;serif" w:hAnsi="Times New Roman;serif"/>
          <w:b w:val="false"/>
          <w:color w:val="000000"/>
          <w:sz w:val="22"/>
        </w:rPr>
        <w:t>2.04    </w:t>
      </w:r>
      <w:r>
        <w:rPr>
          <w:rFonts w:ascii="Times New Roman;serif" w:hAnsi="Times New Roman;serif"/>
          <w:b w:val="false"/>
          <w:color w:val="000000"/>
          <w:sz w:val="22"/>
          <w:u w:val="single"/>
        </w:rPr>
        <w:t>Swing Line Loans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Swing Line Facility</w:t>
      </w:r>
      <w:r>
        <w:rPr>
          <w:rFonts w:ascii="Times New Roman;serif" w:hAnsi="Times New Roman;serif"/>
          <w:b w:val="false"/>
          <w:color w:val="000000"/>
          <w:sz w:val="22"/>
        </w:rPr>
        <w:t xml:space="preserve">. Subject to the terms and conditions set forth herein, the Swing Line Lender, in reliance upon the agreements of the other Lenders set forth in this </w:t>
      </w:r>
      <w:r>
        <w:rPr>
          <w:rFonts w:ascii="Times New Roman;serif" w:hAnsi="Times New Roman;serif"/>
          <w:b w:val="false"/>
          <w:color w:val="000000"/>
          <w:sz w:val="22"/>
          <w:u w:val="single"/>
        </w:rPr>
        <w:t>Section 2.04</w:t>
      </w:r>
      <w:r>
        <w:rPr>
          <w:rFonts w:ascii="Times New Roman;serif" w:hAnsi="Times New Roman;serif"/>
          <w:b w:val="false"/>
          <w:color w:val="000000"/>
          <w:sz w:val="22"/>
        </w:rPr>
        <w:t>, may in its sole discretion, subject to the terms of any Auto Borrow Agreement then in effect, make loans (each such loan, a “</w:t>
      </w:r>
      <w:r>
        <w:rPr>
          <w:rFonts w:ascii="Times New Roman;serif" w:hAnsi="Times New Roman;serif"/>
          <w:b w:val="false"/>
          <w:color w:val="000000"/>
          <w:sz w:val="22"/>
          <w:u w:val="single"/>
        </w:rPr>
        <w:t>Swing Line Loan</w:t>
      </w:r>
      <w:r>
        <w:rPr>
          <w:color w:val="000000"/>
        </w:rPr>
        <w:t>”</w:t>
      </w:r>
      <w:r>
        <w:rPr>
          <w:rFonts w:ascii="Times New Roman;serif" w:hAnsi="Times New Roman;serif"/>
          <w:b w:val="false"/>
          <w:color w:val="000000"/>
          <w:sz w:val="22"/>
        </w:rPr>
        <w:t xml:space="preserve">) to the Borrower in Dollars from time to time on any Business Day during the Availability Period in an aggregate amount not to exceed at any time outstanding the amount of the Swing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Line Sublimit, notwithstanding the fact that such Swing Line Loans, when aggregated with the Applicable Percentage (with respect to the Revolving Facility) of the Outstanding Amount of Revolving Loans and L/C Obligations of the Lender acting as Swing Line Lender, may exceed the amount of such Lender’s Revolving Commitment;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 after giving effect to any Swing Line Loan, (A) the Total Revolving Outstandings shall not exceed the Borrowing Availability and (B) the Revolving Credit Exposure of any Lender shall not exceed such Lender’s Revolving Commitment, (ii) the Borrower shall not use the proceeds of any Swing Line Loan to refinance any outstanding Swing Line Loan and (iii)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Times New Roman;serif" w:hAnsi="Times New Roman;serif"/>
          <w:b w:val="false"/>
          <w:color w:val="000000"/>
          <w:sz w:val="22"/>
          <w:u w:val="single"/>
        </w:rPr>
        <w:t>Section 2.04</w:t>
      </w:r>
      <w:r>
        <w:rPr>
          <w:rFonts w:ascii="Times New Roman;serif" w:hAnsi="Times New Roman;serif"/>
          <w:b w:val="false"/>
          <w:color w:val="000000"/>
          <w:sz w:val="22"/>
        </w:rPr>
        <w:t xml:space="preserve">, prepay under </w:t>
      </w:r>
      <w:r>
        <w:rPr>
          <w:rFonts w:ascii="Times New Roman;serif" w:hAnsi="Times New Roman;serif"/>
          <w:b w:val="false"/>
          <w:color w:val="000000"/>
          <w:sz w:val="22"/>
          <w:u w:val="single"/>
        </w:rPr>
        <w:t>Section 2.05</w:t>
      </w:r>
      <w:r>
        <w:rPr>
          <w:rFonts w:ascii="Times New Roman;serif" w:hAnsi="Times New Roman;serif"/>
          <w:b w:val="false"/>
          <w:color w:val="000000"/>
          <w:sz w:val="22"/>
        </w:rPr>
        <w:t xml:space="preserve">, and reborrow under this </w:t>
      </w:r>
      <w:r>
        <w:rPr>
          <w:rFonts w:ascii="Times New Roman;serif" w:hAnsi="Times New Roman;serif"/>
          <w:b w:val="false"/>
          <w:color w:val="000000"/>
          <w:sz w:val="22"/>
          <w:u w:val="single"/>
        </w:rPr>
        <w:t>Section 2.04</w:t>
      </w:r>
      <w:r>
        <w:rPr>
          <w:rFonts w:ascii="Times New Roman;serif" w:hAnsi="Times New Roman;serif"/>
          <w:b w:val="false"/>
          <w:color w:val="000000"/>
          <w:sz w:val="22"/>
        </w:rPr>
        <w:t xml:space="preserve">. Each Swing Line Loan shall be a Base Rate Loan;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an Auto Borrow Agreement is in effect, the Swing Line Lender may, at its discretion, provide for an alternate rate of interest on Swing Line Loans under the Auto Borrow Agreement with respect to any Swing Line Loans for which the Swing Line Lender has not requested that the Lenders fund Revolving Loans to refinance, or to purchase and fund risk participations in, such Swing Line Loans pursuant to </w:t>
      </w:r>
      <w:r>
        <w:rPr>
          <w:rFonts w:ascii="Times New Roman;serif" w:hAnsi="Times New Roman;serif"/>
          <w:b w:val="false"/>
          <w:color w:val="000000"/>
          <w:sz w:val="22"/>
          <w:u w:val="single"/>
        </w:rPr>
        <w:t>Section 2.04(c)</w:t>
      </w:r>
      <w:r>
        <w:rPr>
          <w:rFonts w:ascii="Times New Roman;serif" w:hAnsi="Times New Roman;serif"/>
          <w:b w:val="false"/>
          <w:color w:val="000000"/>
          <w:sz w:val="22"/>
        </w:rPr>
        <w:t xml:space="preserve">. Immediately upon the making of a Swing Line Loan, each Lender with a Revolving Commitment shall be deemed to, and hereby irrevocably and unconditionally agrees to, purchase from the Swing Line Lender a risk participation in such Swing Line Loan in an amount equal to the product of such Lender’s Applicable Percentage (with respect to the Revolving Facility)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the amount of such Swing Line Loan.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Borrowing Procedures</w:t>
      </w:r>
      <w:r>
        <w:rPr>
          <w:rFonts w:ascii="Times New Roman;serif" w:hAnsi="Times New Roman;serif"/>
          <w:b w:val="false"/>
          <w:color w:val="000000"/>
          <w:sz w:val="22"/>
        </w:rPr>
        <w:t xml:space="preserve">. At any time an Auto Borrow Agreement is not in effect, each Borrowing of Swing Line Loans shall be made upon the Borrower’s irrevocable notice to the Swing Line Lender and the Administrative Agent, which may be given by (A) telephone or (B) a Swing Line Loan Notice;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telephonic notice must be confirmed promptly by delivery to the Swing Line Lender and the Administrative Agent of a Swing Line Loan Notice. Each such Swing Line Loan Notice must be received by the Swing Line Lender and the Administrative Agent not later than 1:00 p.m. on the requested borrowing date, and shall specify (i) the amount to be borrowed, which shall be a minimum principal amount of $100,000 and integral multiples of $100,000 in excess thereof, and (ii)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Borrowing of Swing Line Loans (A) directing the Swing Line Lender not to make such Swing Line Loan as a result of the limitations set forth in the proviso to the first sentence of </w:t>
      </w:r>
      <w:r>
        <w:rPr>
          <w:rFonts w:ascii="Times New Roman;serif" w:hAnsi="Times New Roman;serif"/>
          <w:b w:val="false"/>
          <w:color w:val="000000"/>
          <w:sz w:val="22"/>
          <w:u w:val="single"/>
        </w:rPr>
        <w:t>Section 2.04(a)</w:t>
      </w:r>
      <w:r>
        <w:rPr>
          <w:rFonts w:ascii="Times New Roman;serif" w:hAnsi="Times New Roman;serif"/>
          <w:b w:val="false"/>
          <w:color w:val="000000"/>
          <w:sz w:val="22"/>
        </w:rPr>
        <w:t xml:space="preserve">, or (B) that one or more of the applicable conditions specified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is not then satisfied, then, subject to the terms and conditions hereof, the Swing Line Lender will, not later than 3:00 p.m. on the borrowing date specified in such Swing Line Loan Notice, make the amount of its Swing Line Loan available to the Borrower.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Refinancing of Swing Line Loans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The Swing Line Lender at any time in its sole discretion may request, on behalf of the Borrower (which hereby irrevocably authorizes the Swing Line Lender to so request on its behalf), that each Lender with a Revolving Commitment make a Base Rate Loan in an amount equal to such Lender’s Applicable Percentage (with respect to the Revolving Facility) of the amount of Swing Line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Loans then outstanding. Such request shall be made in writing (which written request shall be deemed to be a Loan Notice for purposes hereof) and in accordance with the requirements of </w:t>
      </w:r>
      <w:r>
        <w:rPr>
          <w:rFonts w:ascii="Times New Roman;serif" w:hAnsi="Times New Roman;serif"/>
          <w:b w:val="false"/>
          <w:color w:val="000000"/>
          <w:sz w:val="22"/>
          <w:u w:val="single"/>
        </w:rPr>
        <w:t>Section 2.02</w:t>
      </w:r>
      <w:r>
        <w:rPr>
          <w:rFonts w:ascii="Times New Roman;serif" w:hAnsi="Times New Roman;serif"/>
          <w:b w:val="false"/>
          <w:color w:val="000000"/>
          <w:sz w:val="22"/>
        </w:rPr>
        <w:t xml:space="preserve">, without regard to the minimum and multiples specified therein for the principal amount of Base Rate Loans, but subject to the unutilized portion of the Aggregate Revolving Commitments and the conditions set forth in </w:t>
      </w:r>
      <w:r>
        <w:rPr>
          <w:rFonts w:ascii="Times New Roman;serif" w:hAnsi="Times New Roman;serif"/>
          <w:b w:val="false"/>
          <w:color w:val="000000"/>
          <w:sz w:val="22"/>
          <w:u w:val="single"/>
        </w:rPr>
        <w:t>Section 4.02</w:t>
      </w:r>
      <w:r>
        <w:rPr>
          <w:rFonts w:ascii="Times New Roman;serif" w:hAnsi="Times New Roman;serif"/>
          <w:b w:val="false"/>
          <w:color w:val="000000"/>
          <w:sz w:val="22"/>
        </w:rPr>
        <w:t xml:space="preserve">. The Swing Line Lender shall furnish the Borrower with a copy of the applicable Loan Notice promptly after delivering such notice to the Administrative Agent. Each Lender with a Revolving Commitment shall make an amount equal to its Applicable Percentage (with respect to the Revolving Facility) of the amount specified in such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on the day specified in such Loan Notice, whereupon, subject to </w:t>
      </w:r>
      <w:r>
        <w:rPr>
          <w:rFonts w:ascii="Times New Roman;serif" w:hAnsi="Times New Roman;serif"/>
          <w:b w:val="false"/>
          <w:color w:val="000000"/>
          <w:sz w:val="22"/>
          <w:u w:val="single"/>
        </w:rPr>
        <w:t>Section 2.04(c)(ii)</w:t>
      </w:r>
      <w:r>
        <w:rPr>
          <w:rFonts w:ascii="Times New Roman;serif" w:hAnsi="Times New Roman;serif"/>
          <w:b w:val="false"/>
          <w:color w:val="000000"/>
          <w:sz w:val="22"/>
        </w:rPr>
        <w:t>, each Lender that so makes funds available shall be deemed to have made a Revolving Loan that is a Base Rate Loan to the Borrower in such amount. The Administrative Agent shall remit the funds so received to the Swing Line Lender.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If for any reason any Swing Line Loan cannot be refinanced by such a Borrowing of Revolving Loans in accordance with </w:t>
      </w:r>
      <w:r>
        <w:rPr>
          <w:rFonts w:ascii="Times New Roman;serif" w:hAnsi="Times New Roman;serif"/>
          <w:b w:val="false"/>
          <w:color w:val="000000"/>
          <w:sz w:val="22"/>
          <w:u w:val="single"/>
        </w:rPr>
        <w:t>Section 2.04(c)(i)</w:t>
      </w:r>
      <w:r>
        <w:rPr>
          <w:rFonts w:ascii="Times New Roman;serif" w:hAnsi="Times New Roman;serif"/>
          <w:b w:val="false"/>
          <w:color w:val="000000"/>
          <w:sz w:val="22"/>
        </w:rPr>
        <w:t xml:space="preserve">, the request for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Times New Roman;serif" w:hAnsi="Times New Roman;serif"/>
          <w:b w:val="false"/>
          <w:color w:val="000000"/>
          <w:sz w:val="22"/>
          <w:u w:val="single"/>
        </w:rPr>
        <w:t>Section 2.04(c)(i)</w:t>
      </w:r>
      <w:r>
        <w:rPr>
          <w:color w:val="000000"/>
        </w:rPr>
        <w:t xml:space="preserve"> </w:t>
      </w:r>
      <w:r>
        <w:rPr>
          <w:rFonts w:ascii="Times New Roman;serif" w:hAnsi="Times New Roman;serif"/>
          <w:b w:val="false"/>
          <w:color w:val="000000"/>
          <w:sz w:val="22"/>
        </w:rPr>
        <w:t>shall be deemed payment in respect of such participation.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(iii) If any Lender fails to make available to the Administrative Agent for the account of the Swing Line Lender any amount required to be paid by such Lender pursuant to the foregoing provisions of this </w:t>
      </w:r>
      <w:r>
        <w:rPr>
          <w:rFonts w:ascii="Times New Roman;serif" w:hAnsi="Times New Roman;serif"/>
          <w:b w:val="false"/>
          <w:color w:val="000000"/>
          <w:sz w:val="22"/>
          <w:u w:val="single"/>
        </w:rPr>
        <w:t>Section 2.04(c)</w:t>
      </w:r>
      <w:r>
        <w:rPr>
          <w:color w:val="000000"/>
        </w:rPr>
        <w:t xml:space="preserve"> </w:t>
      </w:r>
      <w:r>
        <w:rPr>
          <w:rFonts w:ascii="Times New Roman;serif" w:hAnsi="Times New Roman;serif"/>
          <w:b w:val="false"/>
          <w:color w:val="000000"/>
          <w:sz w:val="22"/>
        </w:rPr>
        <w:t xml:space="preserve">by the time specified in </w:t>
      </w:r>
      <w:r>
        <w:rPr>
          <w:rFonts w:ascii="Times New Roman;serif" w:hAnsi="Times New Roman;serif"/>
          <w:b w:val="false"/>
          <w:color w:val="000000"/>
          <w:sz w:val="22"/>
          <w:u w:val="single"/>
        </w:rPr>
        <w:t>Section 2.04(c)(i)</w:t>
      </w:r>
      <w:r>
        <w:rPr>
          <w:rFonts w:ascii="Times New Roman;serif" w:hAnsi="Times New Roman;serif"/>
          <w:b w:val="false"/>
          <w:color w:val="000000"/>
          <w:sz w:val="22"/>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Revolving Loan included in the relevant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(iv) Each Lender’s obligation to make Revolving Loans or to purchase and fund risk participations in Swing Line Loans pursuant to this </w:t>
      </w:r>
      <w:r>
        <w:rPr>
          <w:rFonts w:ascii="Times New Roman;serif" w:hAnsi="Times New Roman;serif"/>
          <w:b w:val="false"/>
          <w:color w:val="000000"/>
          <w:sz w:val="22"/>
          <w:u w:val="single"/>
        </w:rPr>
        <w:t>Section 2.04(c)</w:t>
      </w:r>
      <w:r>
        <w:rPr>
          <w:color w:val="000000"/>
        </w:rPr>
        <w:t xml:space="preserve"> </w:t>
      </w:r>
      <w:r>
        <w:rPr>
          <w:rFonts w:ascii="Times New Roman;serif" w:hAnsi="Times New Roman;serif"/>
          <w:b w:val="false"/>
          <w:color w:val="000000"/>
          <w:sz w:val="22"/>
        </w:rPr>
        <w:t xml:space="preserve">shall be absolute and unconditional and shall not be affected by any circumstance, including (A) any setoff, counterclaim, recoupment, defense or other right that such Lender may have against the Swing Line Lender, the Borrower, any Subsidiary or any other Person for any reason whatsoever, (B) the occurrence or continuance of a Default, or (C) any other occurrence, event or condition, whether or not similar to any of the foregoing;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each Lender’s obligation to make Revolving Loans pursuant to this </w:t>
      </w:r>
      <w:r>
        <w:rPr>
          <w:rFonts w:ascii="Times New Roman;serif" w:hAnsi="Times New Roman;serif"/>
          <w:b w:val="false"/>
          <w:color w:val="000000"/>
          <w:sz w:val="22"/>
          <w:u w:val="single"/>
        </w:rPr>
        <w:t>Section 2.04(c)</w:t>
      </w:r>
      <w:r>
        <w:rPr>
          <w:color w:val="000000"/>
        </w:rPr>
        <w:t xml:space="preserve"> </w:t>
      </w:r>
      <w:r>
        <w:rPr>
          <w:rFonts w:ascii="Times New Roman;serif" w:hAnsi="Times New Roman;serif"/>
          <w:b w:val="false"/>
          <w:color w:val="000000"/>
          <w:sz w:val="22"/>
        </w:rPr>
        <w:t xml:space="preserve">is subject to the conditions set forth in </w:t>
      </w:r>
      <w:r>
        <w:rPr>
          <w:rFonts w:ascii="Times New Roman;serif" w:hAnsi="Times New Roman;serif"/>
          <w:b w:val="false"/>
          <w:color w:val="000000"/>
          <w:sz w:val="22"/>
          <w:u w:val="single"/>
        </w:rPr>
        <w:t>Section 4.02</w:t>
      </w:r>
      <w:r>
        <w:rPr>
          <w:rFonts w:ascii="Times New Roman;serif" w:hAnsi="Times New Roman;serif"/>
          <w:b w:val="false"/>
          <w:color w:val="000000"/>
          <w:sz w:val="22"/>
        </w:rPr>
        <w:t>. No such funding of risk participations shall relieve or otherwise impair the obligation of the Borrower to repay Swing Line Loans, together with interest as provided herein.</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Repayment of Participations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At any time after any Lender has purchased and funded a risk participation in a Swing Line Loan, if the Swing Line Lender receives any payment on account of such Swing Line Loan, the Swing Line Lender will distribute to such Lender its Applicable Percentage (with respect to the Revolving Facility) thereof in the same funds as those received by the Swing Line Lender.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If any payment received by the Swing Line Lender in respect of principal or interest on any Swing Line Loan is required to be returned by the Swing Line Lender under any of the circumstances described in </w:t>
      </w:r>
      <w:r>
        <w:rPr>
          <w:rFonts w:ascii="Times New Roman;serif" w:hAnsi="Times New Roman;serif"/>
          <w:b w:val="false"/>
          <w:color w:val="000000"/>
          <w:sz w:val="22"/>
          <w:u w:val="single"/>
        </w:rPr>
        <w:t>Section 10.05</w:t>
      </w:r>
      <w:r>
        <w:rPr>
          <w:color w:val="000000"/>
        </w:rPr>
        <w:t xml:space="preserve"> </w:t>
      </w:r>
      <w:r>
        <w:rPr>
          <w:rFonts w:ascii="Times New Roman;serif" w:hAnsi="Times New Roman;serif"/>
          <w:b w:val="false"/>
          <w:color w:val="000000"/>
          <w:sz w:val="22"/>
        </w:rPr>
        <w:t>(including pursuant to any settlement entered into by the Swing Line Lender in its discretion), each Lender shall pay to the Swing Line Lender its Applicable Percentage (with respect to the Revolving Facility)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Interest for Account of Swing Line Lender</w:t>
      </w:r>
      <w:r>
        <w:rPr>
          <w:rFonts w:ascii="Times New Roman;serif" w:hAnsi="Times New Roman;serif"/>
          <w:b w:val="false"/>
          <w:color w:val="000000"/>
          <w:sz w:val="22"/>
        </w:rPr>
        <w:t xml:space="preserve">. The Swing Line Lender shall be responsible for invoicing the Borrower for interest on the Swing Line Loans. Until each Lender funds its Revolving Loans that are Base Rate Loans or risk participation pursuant to this </w:t>
      </w:r>
      <w:r>
        <w:rPr>
          <w:rFonts w:ascii="Times New Roman;serif" w:hAnsi="Times New Roman;serif"/>
          <w:b w:val="false"/>
          <w:color w:val="000000"/>
          <w:sz w:val="22"/>
          <w:u w:val="single"/>
        </w:rPr>
        <w:t>Section 2.04</w:t>
      </w:r>
      <w:r>
        <w:rPr>
          <w:color w:val="000000"/>
        </w:rPr>
        <w:t xml:space="preserve"> </w:t>
      </w:r>
      <w:r>
        <w:rPr>
          <w:rFonts w:ascii="Times New Roman;serif" w:hAnsi="Times New Roman;serif"/>
          <w:b w:val="false"/>
          <w:color w:val="000000"/>
          <w:sz w:val="22"/>
        </w:rPr>
        <w:t>to refinance such Lender’s Applicable Percentage of any Swing Line Loan, interest in respect of such Applicable Percentage shall be solely for the account of the Swing Line Lender.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Payments Directly to Swing Line Lender</w:t>
      </w:r>
      <w:r>
        <w:rPr>
          <w:rFonts w:ascii="Times New Roman;serif" w:hAnsi="Times New Roman;serif"/>
          <w:b w:val="false"/>
          <w:color w:val="000000"/>
          <w:sz w:val="22"/>
        </w:rPr>
        <w:t>. The Borrower shall make all payments of principal and interest in respect of the Swing Line Loans directly to the Swing Line Lender.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(g) </w:t>
      </w:r>
      <w:r>
        <w:rPr>
          <w:rFonts w:ascii="Times New Roman;serif" w:hAnsi="Times New Roman;serif"/>
          <w:b w:val="false"/>
          <w:color w:val="000000"/>
          <w:sz w:val="22"/>
          <w:u w:val="single"/>
        </w:rPr>
        <w:t>Auto Borrow Arrangement</w:t>
      </w:r>
      <w:r>
        <w:rPr>
          <w:rFonts w:ascii="Times New Roman;serif" w:hAnsi="Times New Roman;serif"/>
          <w:b w:val="false"/>
          <w:color w:val="000000"/>
          <w:sz w:val="22"/>
        </w:rPr>
        <w:t>. In order to facilitate the borrowing of Swing Line Loans, the Borrower and the Swing Line Lender may mutually agree to, and are hereby authorized to, enter into an auto borrow agreement in form and substance satisfactory to the Swing Line Lender and the Administrative Agent (the “</w:t>
      </w:r>
      <w:r>
        <w:rPr>
          <w:rFonts w:ascii="Times New Roman;serif" w:hAnsi="Times New Roman;serif"/>
          <w:b w:val="false"/>
          <w:color w:val="000000"/>
          <w:sz w:val="22"/>
          <w:u w:val="single"/>
        </w:rPr>
        <w:t>Auto Borrow Agreement</w:t>
      </w:r>
      <w:r>
        <w:rPr>
          <w:color w:val="000000"/>
        </w:rPr>
        <w:t>”</w:t>
      </w:r>
      <w:r>
        <w:rPr>
          <w:rFonts w:ascii="Times New Roman;serif" w:hAnsi="Times New Roman;serif"/>
          <w:b w:val="false"/>
          <w:color w:val="000000"/>
          <w:sz w:val="22"/>
        </w:rPr>
        <w:t>) providing for the automatic advance by the Swing Line Lender of Swing Line Loans under the conditions set forth in the Auto Borrow Agreement, subject to the conditions set forth herein. At any time an Auto Borrow Agreement is in effect, advances under the Auto Borrow Agreement shall be deemed Swing Line Loans for all purposes hereof, except that Borrowings of Swing Line Loans under the Auto Borrow Agreement shall be made in accordance with the Auto Borrow Agreement. For purposes of determining the Total Revolving Outstandings at any time during which an Auto Borrow Agreement is in effect, the Outstanding Amount of all Swing Line Loans shall be deemed to be the sum of the Outstanding Amount of Swing Line Loans at such time plus the maximum amount available to be borrowed under such Auto Borrow Agreement at such time. For purposes of any borrowing of Swing Line Loans pursuant to the Auto Borrow Agreement, all references to Bank of America shall be deemed to be a reference to Bank of America, in its capacity as Swing Line Lender hereunder.</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2.05    </w:t>
      </w:r>
      <w:r>
        <w:rPr>
          <w:rFonts w:ascii="Times New Roman;serif" w:hAnsi="Times New Roman;serif"/>
          <w:b w:val="false"/>
          <w:color w:val="000000"/>
          <w:sz w:val="22"/>
          <w:u w:val="single"/>
        </w:rPr>
        <w:t>Prepayments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Voluntary Prepayments of Loans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ind w:left="0" w:right="0" w:firstLine="144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 xml:space="preserve">Revolving Loans </w:t>
      </w:r>
      <w:r>
        <w:rPr>
          <w:rFonts w:ascii="Times New Roman;serif" w:hAnsi="Times New Roman;serif"/>
          <w:b w:val="false"/>
          <w:color w:val="000000"/>
          <w:sz w:val="24"/>
          <w:u w:val="single"/>
        </w:rPr>
        <w:t xml:space="preserve">and Term </w:t>
      </w:r>
      <w:r>
        <w:rPr>
          <w:rFonts w:ascii="Times New Roman;serif" w:hAnsi="Times New Roman;serif"/>
          <w:b w:val="false"/>
          <w:strike/>
          <w:color w:val="FF0000"/>
          <w:sz w:val="24"/>
          <w:u w:val="single"/>
        </w:rPr>
        <w:t>Loan</w:t>
      </w:r>
      <w:r>
        <w:rPr>
          <w:rFonts w:ascii="Times New Roman;serif" w:hAnsi="Times New Roman;serif"/>
          <w:b w:val="false"/>
          <w:color w:val="0000FF"/>
          <w:sz w:val="24"/>
          <w:u w:val="single"/>
        </w:rPr>
        <w:t>Loans</w:t>
      </w:r>
      <w:r>
        <w:rPr>
          <w:rFonts w:ascii="Times New Roman;serif" w:hAnsi="Times New Roman;serif"/>
          <w:b w:val="false"/>
          <w:color w:val="000000"/>
          <w:sz w:val="24"/>
        </w:rPr>
        <w:t xml:space="preserve">. The Borrower may, upon delivery of a Notice of Loan Prepayment to the Administrative Agent, at any time or from time to time voluntarily prepay Revolving Loans and the Term </w:t>
      </w:r>
      <w:r>
        <w:rPr>
          <w:rFonts w:ascii="Times New Roman;serif" w:hAnsi="Times New Roman;serif"/>
          <w:b w:val="false"/>
          <w:strike/>
          <w:color w:val="FF0000"/>
          <w:sz w:val="24"/>
        </w:rPr>
        <w:t>Loan</w:t>
      </w:r>
      <w:r>
        <w:rPr>
          <w:rFonts w:ascii="Times New Roman;serif" w:hAnsi="Times New Roman;serif"/>
          <w:b w:val="false"/>
          <w:color w:val="0000FF"/>
          <w:sz w:val="24"/>
          <w:u w:val="single"/>
        </w:rPr>
        <w:t>Loans</w:t>
      </w:r>
      <w:r>
        <w:rPr>
          <w:color w:val="000000"/>
        </w:rPr>
        <w:t xml:space="preserve"> </w:t>
      </w:r>
      <w:r>
        <w:rPr>
          <w:rFonts w:ascii="Times New Roman;serif" w:hAnsi="Times New Roman;serif"/>
          <w:b w:val="false"/>
          <w:color w:val="000000"/>
          <w:sz w:val="24"/>
        </w:rPr>
        <w:t xml:space="preserve">in whole or in part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premium or penalty;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(A) such notice must be in a form acceptable to the Administrative Agent and be received by the Administrative Agent not later than 11:00 a.m. (1) two Business Days prior to any date of prepayment of Term SOFR Loans and (2) on the date of prepayment of Base Rate Loans; (B) any such prepayment of Term SOFR Loans shall be in a principal amount of $1,000,000 or a whole multiple of $500,000</w:t>
      </w:r>
      <w:r>
        <w:rPr>
          <w:color w:val="000000"/>
        </w:rPr>
        <w:t xml:space="preserve"> </w:t>
      </w:r>
      <w:r>
        <w:rPr>
          <w:rFonts w:ascii="Times New Roman;serif" w:hAnsi="Times New Roman;serif"/>
          <w:b w:val="false"/>
          <w:color w:val="000000"/>
          <w:sz w:val="24"/>
        </w:rPr>
        <w:t xml:space="preserve">in excess thereof (or, if less, the entire principal amount thereof then outstanding); (C) any such prepayment of Base Rate Loans shall be in a principal amount of $1,000,000 or a whole multiple of $500,000 in excess thereof (or, if less, the entire principal amount thereof then outstanding) and (D) any such prepayment of </w:t>
      </w:r>
      <w:r>
        <w:rPr>
          <w:rFonts w:ascii="Times New Roman;serif" w:hAnsi="Times New Roman;serif"/>
          <w:b w:val="false"/>
          <w:strike/>
          <w:color w:val="FF0000"/>
          <w:sz w:val="24"/>
        </w:rPr>
        <w:t>the</w:t>
      </w:r>
      <w:r>
        <w:rPr>
          <w:rFonts w:ascii="Times New Roman;serif" w:hAnsi="Times New Roman;serif"/>
          <w:b w:val="false"/>
          <w:color w:val="0000FF"/>
          <w:sz w:val="24"/>
          <w:u w:val="single"/>
        </w:rPr>
        <w:t>a</w:t>
      </w:r>
      <w:r>
        <w:rPr>
          <w:color w:val="000000"/>
        </w:rPr>
        <w:t xml:space="preserve"> </w:t>
      </w:r>
      <w:r>
        <w:rPr>
          <w:rFonts w:ascii="Times New Roman;serif" w:hAnsi="Times New Roman;serif"/>
          <w:b w:val="false"/>
          <w:color w:val="000000"/>
          <w:sz w:val="24"/>
        </w:rPr>
        <w:t xml:space="preserve">Term Loan shall be applied to the remaining principal amortization payments </w:t>
      </w:r>
      <w:r>
        <w:rPr>
          <w:rFonts w:ascii="Times New Roman;serif" w:hAnsi="Times New Roman;serif"/>
          <w:b w:val="false"/>
          <w:color w:val="0000FF"/>
          <w:sz w:val="24"/>
          <w:u w:val="single"/>
        </w:rPr>
        <w:t xml:space="preserve">of the applicable Term Loan </w:t>
      </w:r>
      <w:r>
        <w:rPr>
          <w:rFonts w:ascii="Times New Roman;serif" w:hAnsi="Times New Roman;serif"/>
          <w:b w:val="false"/>
          <w:color w:val="000000"/>
          <w:sz w:val="24"/>
        </w:rPr>
        <w:t xml:space="preserve">in the order directed by the Borrower or in the absence of such direction in direct order of maturity.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any Term SOFR Loan shall be accompanied by all accrued interest on the amount prepaid, together with any additional amounts required pursuant to </w:t>
      </w:r>
      <w:r>
        <w:rPr>
          <w:rFonts w:ascii="Times New Roman;serif" w:hAnsi="Times New Roman;serif"/>
          <w:b w:val="false"/>
          <w:color w:val="000000"/>
          <w:sz w:val="24"/>
          <w:u w:val="single"/>
        </w:rPr>
        <w:t>Section 3.05</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2.15</w:t>
      </w:r>
      <w:r>
        <w:rPr>
          <w:rFonts w:ascii="Times New Roman;serif" w:hAnsi="Times New Roman;serif"/>
          <w:b w:val="false"/>
          <w:color w:val="000000"/>
          <w:sz w:val="24"/>
        </w:rPr>
        <w:t>, each such prepayment shall be applied to the Loans of the Lenders in accordance with their respective Applicable Percentages.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w:t>
      </w:r>
      <w:r>
        <w:rPr>
          <w:rFonts w:ascii="Times New Roman;serif" w:hAnsi="Times New Roman;serif"/>
          <w:b w:val="false"/>
          <w:color w:val="000000"/>
          <w:sz w:val="22"/>
          <w:u w:val="single"/>
        </w:rPr>
        <w:t>Swing Line Loans</w:t>
      </w:r>
      <w:r>
        <w:rPr>
          <w:rFonts w:ascii="Times New Roman;serif" w:hAnsi="Times New Roman;serif"/>
          <w:b w:val="false"/>
          <w:color w:val="000000"/>
          <w:sz w:val="22"/>
        </w:rPr>
        <w:t xml:space="preserve">. At any time an Auto Borrow Agreement is not in effect, the Borrower may, upon notice to the Swing Line Lender (with a copy to the Administrative Agent), at any time or from time to time, voluntarily prepay Swing Line Loans in whole or in part without premium or penalty;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such notice must be in a form acceptable to the Swing Line Lender and the Administrative Agent and be received by the Swing Line Lender and the Administrative Agent not later than 1:00 p.m. on the date of the prepayment, and (B) any such prepayment shall be in a minimum principal amount of $100,000 or a whole multiple of $100,000 in excess thereof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Mandatory Prepayments of Loans</w:t>
      </w:r>
      <w:r>
        <w:rPr>
          <w:rFonts w:ascii="Times New Roman;serif" w:hAnsi="Times New Roman;serif"/>
          <w:b w:val="false"/>
          <w:color w:val="000000"/>
          <w:sz w:val="22"/>
        </w:rPr>
        <w:t xml:space="preserve">.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Revolving Commitments</w:t>
      </w:r>
      <w:r>
        <w:rPr>
          <w:rFonts w:ascii="Times New Roman;serif" w:hAnsi="Times New Roman;serif"/>
          <w:b w:val="false"/>
          <w:color w:val="000000"/>
          <w:sz w:val="22"/>
        </w:rPr>
        <w:t xml:space="preserve">. If for any reason the Total Revolving Outstandings at any time exceed the Borrowing Availability at such time, the Borrower shall immediately prepay Revolving Loans and/or Swing Line Loans and/or Cash Collateralize the L/C Obligations in an aggregate amount equal to such excess;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Borrower shall not be required to Cash Collateralize the L/C Obligations pursuant to this </w:t>
      </w:r>
      <w:r>
        <w:rPr>
          <w:rFonts w:ascii="Times New Roman;serif" w:hAnsi="Times New Roman;serif"/>
          <w:b w:val="false"/>
          <w:color w:val="000000"/>
          <w:sz w:val="22"/>
          <w:u w:val="single"/>
        </w:rPr>
        <w:t>Section 2.05(b)(i)</w:t>
      </w:r>
      <w:r>
        <w:rPr>
          <w:color w:val="000000"/>
        </w:rPr>
        <w:t xml:space="preserve"> </w:t>
      </w:r>
      <w:r>
        <w:rPr>
          <w:rFonts w:ascii="Times New Roman;serif" w:hAnsi="Times New Roman;serif"/>
          <w:b w:val="false"/>
          <w:color w:val="000000"/>
          <w:sz w:val="22"/>
        </w:rPr>
        <w:t>unless after the prepayment in full of the Revolving Loans and Swing Line Loans the Total Revolving Outstandings exceed the Borrowing Availability at such time.</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val="false"/>
          <w:color w:val="000000"/>
          <w:sz w:val="22"/>
        </w:rPr>
        <w:t xml:space="preserve">(ii) </w:t>
      </w:r>
      <w:r>
        <w:rPr>
          <w:rFonts w:ascii="Times New Roman;serif" w:hAnsi="Times New Roman;serif"/>
          <w:b w:val="false"/>
          <w:color w:val="000000"/>
          <w:sz w:val="22"/>
          <w:u w:val="single"/>
        </w:rPr>
        <w:t>Dispositions and Recovery Events</w:t>
      </w:r>
      <w:r>
        <w:rPr>
          <w:rFonts w:ascii="Times New Roman;serif" w:hAnsi="Times New Roman;serif"/>
          <w:b w:val="false"/>
          <w:color w:val="000000"/>
          <w:sz w:val="22"/>
        </w:rPr>
        <w:t xml:space="preserve">. The Borrower </w:t>
      </w:r>
      <w:r>
        <w:rPr>
          <w:rFonts w:ascii="Times New Roman;serif" w:hAnsi="Times New Roman;serif"/>
          <w:b w:val="false"/>
          <w:color w:val="000000"/>
          <w:sz w:val="24"/>
        </w:rPr>
        <w:t xml:space="preserve">shall prepay the Term Loans as hereafter provided in an aggregate amount equal to 100% of the Net Cash Proceeds received by the Borrower or its Subsidiaries (excluding the Lugano Entities) in respect of any Disposition </w:t>
      </w:r>
      <w:r>
        <w:rPr>
          <w:rFonts w:ascii="Times New Roman;serif" w:hAnsi="Times New Roman;serif"/>
          <w:b w:val="false"/>
          <w:color w:val="0000FF"/>
          <w:sz w:val="24"/>
          <w:u w:val="single"/>
        </w:rPr>
        <w:t xml:space="preserve">(including, for the avoidance of doubt, any Sale and Leaseback Transaction) </w:t>
      </w:r>
      <w:r>
        <w:rPr>
          <w:rFonts w:ascii="Times New Roman;serif" w:hAnsi="Times New Roman;serif"/>
          <w:b w:val="false"/>
          <w:color w:val="000000"/>
          <w:sz w:val="24"/>
        </w:rPr>
        <w:t xml:space="preserve">or Recovery Event. Prepayments made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to this </w:t>
      </w:r>
      <w:r>
        <w:rPr>
          <w:rFonts w:ascii="Times New Roman;serif" w:hAnsi="Times New Roman;serif"/>
          <w:b w:val="false"/>
          <w:color w:val="000000"/>
          <w:sz w:val="24"/>
          <w:u w:val="single"/>
        </w:rPr>
        <w:t>Section 2.05(b)(ii)</w:t>
      </w:r>
      <w:r>
        <w:rPr>
          <w:color w:val="000000"/>
        </w:rPr>
        <w:t xml:space="preserve"> </w:t>
      </w:r>
      <w:r>
        <w:rPr>
          <w:rFonts w:ascii="Times New Roman;serif" w:hAnsi="Times New Roman;serif"/>
          <w:b w:val="false"/>
          <w:color w:val="000000"/>
          <w:sz w:val="24"/>
        </w:rPr>
        <w:t xml:space="preserve">shall be made promptly, and in any event no later than three (3) Business Days after receipt by the Borrower or Subsidiary, as applicable, of such Net Cash Proceeds. The amount of any such prepayment shall be certified by the Borrower to the Administrative Agent on the applicable payment date in a form reasonably acceptable to the Administrative Agent.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Lugano Bankruptcy Recovery Events. The Borrower shall prepay the Term Loans as hereafter provided in an aggregate amount equal to 100% of all amounts received by the Borrower in connection with the Lugano Bankruptcy</w:t>
      </w:r>
      <w:r>
        <w:rPr>
          <w:rFonts w:ascii="Times New Roman;serif" w:hAnsi="Times New Roman;serif"/>
          <w:b w:val="false"/>
          <w:strike/>
          <w:color w:val="FF0000"/>
          <w:sz w:val="22"/>
        </w:rPr>
        <w:t xml:space="preserve">, the Lugano DIP Loan Documents </w:t>
      </w:r>
      <w:r>
        <w:rPr>
          <w:rFonts w:ascii="Times New Roman;serif" w:hAnsi="Times New Roman;serif"/>
          <w:b w:val="false"/>
          <w:color w:val="000000"/>
          <w:sz w:val="22"/>
        </w:rPr>
        <w:t xml:space="preserve">or any other Indebtedness issued by the Borrower to any Lugano Entity (including, without limitation, any Net Cash Proceeds received by the Borrower in connection with any Disposition or Recovery Event in respect of the assets of any Lugano Entity). Prepayments made pursuant to this </w:t>
      </w:r>
      <w:r>
        <w:rPr>
          <w:rFonts w:ascii="Times New Roman;serif" w:hAnsi="Times New Roman;serif"/>
          <w:b w:val="false"/>
          <w:color w:val="000000"/>
          <w:sz w:val="22"/>
          <w:u w:val="single"/>
        </w:rPr>
        <w:t>Section 2.05(b)(iii)</w:t>
      </w:r>
      <w:r>
        <w:rPr>
          <w:color w:val="000000"/>
        </w:rPr>
        <w:t xml:space="preserve"> </w:t>
      </w:r>
      <w:r>
        <w:rPr>
          <w:rFonts w:ascii="Times New Roman;serif" w:hAnsi="Times New Roman;serif"/>
          <w:b w:val="false"/>
          <w:color w:val="000000"/>
          <w:sz w:val="22"/>
        </w:rPr>
        <w:t>shall be made promptly, and in any event no later than three (3) Business Days after receipt by the Borrower amounts. The amount of any such prepayment shall be certified by the Borrower to the Administrative Agent on the applicable payment date in a form reasonably acceptable to the Administrative Agent.</w:t>
      </w:r>
    </w:p>
    <w:p>
      <w:pPr>
        <w:pStyle w:val="TextBody"/>
        <w:bidi w:val="0"/>
        <w:spacing w:lineRule="auto" w:line="268" w:before="0" w:after="0"/>
        <w:jc w:val="both"/>
        <w:rPr/>
      </w:pPr>
      <w:r>
        <w:rPr>
          <w:rFonts w:ascii="Times New Roman;serif" w:hAnsi="Times New Roman;serif"/>
          <w:b w:val="false"/>
          <w:color w:val="000000"/>
          <w:sz w:val="22"/>
        </w:rPr>
        <w:t xml:space="preserve">(iv) </w:t>
      </w:r>
      <w:r>
        <w:rPr>
          <w:rFonts w:ascii="Times New Roman;serif" w:hAnsi="Times New Roman;serif"/>
          <w:b w:val="false"/>
          <w:color w:val="000000"/>
          <w:sz w:val="22"/>
          <w:u w:val="single"/>
        </w:rPr>
        <w:t>Application of Mandatory Prepayments</w:t>
      </w:r>
      <w:r>
        <w:rPr>
          <w:rFonts w:ascii="Times New Roman;serif" w:hAnsi="Times New Roman;serif"/>
          <w:b w:val="false"/>
          <w:color w:val="000000"/>
          <w:sz w:val="22"/>
        </w:rPr>
        <w:t xml:space="preserve">. All amounts required to be paid pursuant to clauses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rFonts w:ascii="Times New Roman;serif" w:hAnsi="Times New Roman;serif"/>
          <w:b w:val="false"/>
          <w:strike/>
          <w:color w:val="FF0000"/>
          <w:sz w:val="22"/>
        </w:rPr>
        <w:t>,</w:t>
      </w:r>
      <w:r>
        <w:rPr>
          <w:color w:val="000000"/>
        </w:rPr>
        <w:t xml:space="preserve"> </w:t>
      </w:r>
      <w:r>
        <w:rPr>
          <w:rFonts w:ascii="Times New Roman;serif" w:hAnsi="Times New Roman;serif"/>
          <w:b w:val="false"/>
          <w:color w:val="0000FF"/>
          <w:sz w:val="22"/>
          <w:u w:val="single"/>
        </w:rPr>
        <w:t>and</w:t>
      </w:r>
      <w:r>
        <w:rPr>
          <w:color w:val="000000"/>
        </w:rPr>
        <w:t xml:space="preserve">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strike/>
          <w:color w:val="FF0000"/>
          <w:sz w:val="22"/>
        </w:rPr>
        <w:t xml:space="preserve">and (vi)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2.05(b)</w:t>
      </w:r>
      <w:r>
        <w:rPr>
          <w:color w:val="000000"/>
        </w:rPr>
        <w:t xml:space="preserve"> </w:t>
      </w:r>
      <w:r>
        <w:rPr>
          <w:rFonts w:ascii="Times New Roman;serif" w:hAnsi="Times New Roman;serif"/>
          <w:b w:val="false"/>
          <w:color w:val="000000"/>
          <w:sz w:val="22"/>
        </w:rPr>
        <w:t xml:space="preserve">shall be applied as follows: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(A) with respect to all amounts prepaid pursuant to </w:t>
      </w:r>
      <w:r>
        <w:rPr>
          <w:rFonts w:ascii="Times New Roman;serif" w:hAnsi="Times New Roman;serif"/>
          <w:b w:val="false"/>
          <w:color w:val="000000"/>
          <w:sz w:val="22"/>
          <w:u w:val="single"/>
        </w:rPr>
        <w:t>Section 2.05(b)(i)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ratably to the L/C Borrowings and the Swing Line Loans,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the outstanding Revolving Loans, and, </w:t>
      </w:r>
      <w:r>
        <w:rPr>
          <w:rFonts w:ascii="Times New Roman;serif" w:hAnsi="Times New Roman;serif"/>
          <w:b w:val="false"/>
          <w:color w:val="000000"/>
          <w:sz w:val="22"/>
          <w:u w:val="single"/>
        </w:rPr>
        <w:t>third</w:t>
      </w:r>
      <w:r>
        <w:rPr>
          <w:rFonts w:ascii="Times New Roman;serif" w:hAnsi="Times New Roman;serif"/>
          <w:b w:val="false"/>
          <w:color w:val="000000"/>
          <w:sz w:val="22"/>
        </w:rPr>
        <w:t>, to Cash Collateralize the remaining L/C Obligations; and</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(B) with respect to all amounts prepaid pursuant to </w:t>
      </w:r>
      <w:r>
        <w:rPr>
          <w:rFonts w:ascii="Times New Roman;serif" w:hAnsi="Times New Roman;serif"/>
          <w:b w:val="false"/>
          <w:color w:val="000000"/>
          <w:sz w:val="22"/>
          <w:u w:val="single"/>
        </w:rPr>
        <w:t>Sections 2.05(b)(ii)</w:t>
      </w:r>
      <w:r>
        <w:rPr>
          <w:rFonts w:ascii="Times New Roman;serif" w:hAnsi="Times New Roman;serif"/>
          <w:b w:val="false"/>
          <w:strike/>
          <w:color w:val="FF0000"/>
          <w:sz w:val="22"/>
        </w:rPr>
        <w:t>,</w:t>
      </w:r>
      <w:r>
        <w:rPr>
          <w:color w:val="000000"/>
        </w:rPr>
        <w:t xml:space="preserve"> </w:t>
      </w:r>
      <w:r>
        <w:rPr>
          <w:rFonts w:ascii="Times New Roman;serif" w:hAnsi="Times New Roman;serif"/>
          <w:b w:val="false"/>
          <w:color w:val="0000FF"/>
          <w:sz w:val="22"/>
          <w:u w:val="single"/>
        </w:rPr>
        <w:t>and</w:t>
      </w:r>
      <w:r>
        <w:rPr>
          <w:color w:val="000000"/>
        </w:rPr>
        <w:t xml:space="preserve"> </w:t>
      </w:r>
      <w:r>
        <w:rPr>
          <w:rFonts w:ascii="Times New Roman;serif" w:hAnsi="Times New Roman;serif"/>
          <w:b w:val="false"/>
          <w:color w:val="000000"/>
          <w:sz w:val="22"/>
          <w:u w:val="single"/>
        </w:rPr>
        <w:t>2.05(b)(iii)</w:t>
      </w:r>
      <w:r>
        <w:rPr>
          <w:strike/>
          <w:color w:val="FF0000"/>
        </w:rPr>
        <w:t xml:space="preserve"> </w:t>
      </w:r>
      <w:r>
        <w:rPr>
          <w:rFonts w:ascii="Times New Roman;serif" w:hAnsi="Times New Roman;serif"/>
          <w:b w:val="false"/>
          <w:strike/>
          <w:color w:val="FF0000"/>
          <w:sz w:val="22"/>
        </w:rPr>
        <w:t xml:space="preserve">and </w:t>
      </w:r>
      <w:r>
        <w:rPr>
          <w:rFonts w:ascii="Times New Roman;serif" w:hAnsi="Times New Roman;serif"/>
          <w:b w:val="false"/>
          <w:strike/>
          <w:color w:val="FF0000"/>
          <w:sz w:val="22"/>
          <w:u w:val="single"/>
        </w:rPr>
        <w:t>2.05(b)(vi)</w:t>
      </w:r>
      <w:r>
        <w:rPr>
          <w:rFonts w:ascii="Times New Roman;serif" w:hAnsi="Times New Roman;serif"/>
          <w:b w:val="false"/>
          <w:color w:val="0000FF"/>
          <w:sz w:val="22"/>
          <w:u w:val="single"/>
        </w:rPr>
        <w:t>,</w:t>
      </w:r>
      <w:r>
        <w:rPr>
          <w:color w:val="000000"/>
        </w:rPr>
        <w:t xml:space="preserve"> </w:t>
      </w:r>
      <w:r>
        <w:rPr>
          <w:rFonts w:ascii="Times New Roman;serif" w:hAnsi="Times New Roman;serif"/>
          <w:b w:val="false"/>
          <w:color w:val="000000"/>
          <w:sz w:val="22"/>
        </w:rPr>
        <w:t xml:space="preserve">to the remaining principal </w:t>
      </w:r>
      <w:r>
        <w:rPr>
          <w:rFonts w:ascii="Times New Roman;serif" w:hAnsi="Times New Roman;serif"/>
          <w:b w:val="false"/>
          <w:strike/>
          <w:color w:val="FF0000"/>
          <w:sz w:val="22"/>
        </w:rPr>
        <w:t xml:space="preserve">balance </w:t>
      </w:r>
      <w:r>
        <w:rPr>
          <w:rFonts w:ascii="Times New Roman;serif" w:hAnsi="Times New Roman;serif"/>
          <w:b w:val="false"/>
          <w:color w:val="0000FF"/>
          <w:sz w:val="22"/>
          <w:u w:val="single"/>
        </w:rPr>
        <w:t>installments</w:t>
      </w:r>
      <w:r>
        <w:rPr>
          <w:color w:val="000000"/>
        </w:rPr>
        <w:t xml:space="preserve"> </w:t>
      </w:r>
      <w:r>
        <w:rPr>
          <w:rFonts w:ascii="Times New Roman;serif" w:hAnsi="Times New Roman;serif"/>
          <w:b w:val="false"/>
          <w:color w:val="000000"/>
          <w:sz w:val="22"/>
        </w:rPr>
        <w:t>of the Term Loan in the inverse order of maturity.</w:t>
      </w:r>
    </w:p>
    <w:p>
      <w:pPr>
        <w:pStyle w:val="TextBody"/>
        <w:bidi w:val="0"/>
        <w:spacing w:lineRule="auto" w:line="288" w:before="300" w:after="283"/>
        <w:jc w:val="both"/>
        <w:rPr/>
      </w:pPr>
      <w:r>
        <w:rPr>
          <w:rFonts w:ascii="Times New Roman;serif" w:hAnsi="Times New Roman;serif"/>
          <w:b w:val="false"/>
          <w:color w:val="000000"/>
          <w:sz w:val="22"/>
        </w:rPr>
        <w:t>Within the parame</w:t>
      </w:r>
      <w:r>
        <w:rPr>
          <w:rFonts w:ascii="Times New Roman;serif" w:hAnsi="Times New Roman;serif"/>
          <w:b w:val="false"/>
          <w:color w:val="000000"/>
          <w:sz w:val="24"/>
        </w:rPr>
        <w:t xml:space="preserve">ters of the applications set forth above, prepayments shall be applied first to Base Rate Loans and then to Term SOFR Loans in direct order of Interest Period maturities. All prepayments under this </w:t>
      </w:r>
      <w:r>
        <w:rPr>
          <w:rFonts w:ascii="Times New Roman;serif" w:hAnsi="Times New Roman;serif"/>
          <w:b w:val="false"/>
          <w:color w:val="000000"/>
          <w:sz w:val="24"/>
          <w:u w:val="single"/>
        </w:rPr>
        <w:t>Section 2.05(b)</w:t>
      </w:r>
      <w:r>
        <w:rPr>
          <w:color w:val="000000"/>
        </w:rPr>
        <w:t xml:space="preserve"> </w:t>
      </w:r>
      <w:r>
        <w:rPr>
          <w:rFonts w:ascii="Times New Roman;serif" w:hAnsi="Times New Roman;serif"/>
          <w:b w:val="false"/>
          <w:color w:val="000000"/>
          <w:sz w:val="24"/>
        </w:rPr>
        <w:t xml:space="preserve">shall be subject to </w:t>
      </w:r>
      <w:r>
        <w:rPr>
          <w:rFonts w:ascii="Times New Roman;serif" w:hAnsi="Times New Roman;serif"/>
          <w:b w:val="false"/>
          <w:color w:val="000000"/>
          <w:sz w:val="24"/>
          <w:u w:val="single"/>
        </w:rPr>
        <w:t>Section 3.05</w:t>
      </w:r>
      <w:r>
        <w:rPr>
          <w:rFonts w:ascii="Times New Roman;serif" w:hAnsi="Times New Roman;serif"/>
          <w:b w:val="false"/>
          <w:color w:val="000000"/>
          <w:sz w:val="24"/>
        </w:rPr>
        <w:t xml:space="preserve">, but otherwise without premium or penalty, and shall be accompanied by interest on the principal amount prepaid through the date of </w:t>
      </w:r>
      <w:r>
        <w:rPr>
          <w:rFonts w:ascii="Times New Roman;serif" w:hAnsi="Times New Roman;serif"/>
          <w:b w:val="false"/>
          <w:color w:val="000000"/>
          <w:sz w:val="22"/>
        </w:rPr>
        <w:t>prepayment.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(v) </w:t>
      </w:r>
      <w:r>
        <w:rPr>
          <w:rFonts w:ascii="Times New Roman;serif" w:hAnsi="Times New Roman;serif"/>
          <w:b w:val="false"/>
          <w:color w:val="000000"/>
          <w:sz w:val="24"/>
          <w:u w:val="single"/>
        </w:rPr>
        <w:t>Anti-Cash Hoarding</w:t>
      </w:r>
      <w:r>
        <w:rPr>
          <w:rFonts w:ascii="Times New Roman;serif" w:hAnsi="Times New Roman;serif"/>
          <w:b w:val="false"/>
          <w:color w:val="000000"/>
          <w:sz w:val="24"/>
        </w:rPr>
        <w:t>. If at any time Cash-on-Hand exceeds $10,000,000 as of the last Business Day of any week, the Borrower shall pay to the Administrative Agent, for the account of the Lenders, an amount equal to the amount by which (x) Cash-on-Hand exceeds (y) $10,000,000 as of the close of business on such Business Day. These payments shall be made on the first Business Day of the following week</w:t>
      </w:r>
      <w:r>
        <w:rPr>
          <w:rFonts w:ascii="Times New Roman;serif" w:hAnsi="Times New Roman;serif"/>
          <w:b w:val="false"/>
          <w:strike/>
          <w:color w:val="FF0000"/>
          <w:sz w:val="24"/>
        </w:rPr>
        <w:t xml:space="preserve">, </w:t>
      </w:r>
      <w:r>
        <w:rPr>
          <w:rFonts w:ascii="Times New Roman;serif" w:hAnsi="Times New Roman;serif"/>
          <w:b w:val="false"/>
          <w:color w:val="000000"/>
          <w:sz w:val="24"/>
        </w:rPr>
        <w:t>and shall be applied to the outstanding Revolving Loans without any corresponding reduction in the Revolving Commitments of the Lenders. The amount of any such payment shall be certified by the Borrower to the Administrative Agent on the applicable payment date in a form reasonably acceptable to the Administrative Agent. For purposes hereof, “</w:t>
      </w:r>
      <w:r>
        <w:rPr>
          <w:rFonts w:ascii="Times New Roman;serif" w:hAnsi="Times New Roman;serif"/>
          <w:b w:val="false"/>
          <w:color w:val="000000"/>
          <w:sz w:val="24"/>
          <w:u w:val="single"/>
        </w:rPr>
        <w:t>Cash-on-Hand</w:t>
      </w:r>
      <w:r>
        <w:rPr>
          <w:color w:val="000000"/>
        </w:rPr>
        <w:t xml:space="preserve">” </w:t>
      </w:r>
      <w:r>
        <w:rPr>
          <w:rFonts w:ascii="Times New Roman;serif" w:hAnsi="Times New Roman;serif"/>
          <w:b w:val="false"/>
          <w:color w:val="000000"/>
          <w:sz w:val="24"/>
        </w:rPr>
        <w:t>means, as of any day, the sum of the amount of all cash and Cash Equivalents of the Borrower, less the amount of any payments which have been issued by the Borrower, but which have not yet cleared its accounts.</w:t>
      </w:r>
    </w:p>
    <w:p>
      <w:pPr>
        <w:pStyle w:val="TextBody"/>
        <w:bidi w:val="0"/>
        <w:spacing w:before="18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440"/>
        <w:jc w:val="both"/>
        <w:rPr/>
      </w:pPr>
      <w:r>
        <w:rPr>
          <w:rFonts w:ascii="Times New Roman;serif" w:hAnsi="Times New Roman;serif"/>
          <w:b w:val="false"/>
          <w:strike/>
          <w:color w:val="FF0000"/>
          <w:sz w:val="22"/>
        </w:rPr>
        <w:t>(vi)</w:t>
      </w:r>
      <w:r>
        <w:rPr>
          <w:color w:val="000000"/>
        </w:rPr>
        <w:t xml:space="preserve"> </w:t>
      </w:r>
      <w:r>
        <w:rPr>
          <w:rFonts w:ascii="Times New Roman;serif" w:hAnsi="Times New Roman;serif"/>
          <w:b w:val="false"/>
          <w:strike/>
          <w:color w:val="FF0000"/>
          <w:sz w:val="22"/>
          <w:u w:val="single"/>
        </w:rPr>
        <w:t>Fifth Amendment Transactions</w:t>
      </w:r>
      <w:r>
        <w:rPr>
          <w:rFonts w:ascii="Times New Roman;serif" w:hAnsi="Times New Roman;serif"/>
          <w:b w:val="false"/>
          <w:strike/>
          <w:color w:val="FF0000"/>
          <w:sz w:val="22"/>
        </w:rPr>
        <w:t xml:space="preserve">. The Borrower shall prepay the Term Loans as provided above in an aggregate amount equal to 100% of the Net Cash Proceeds received by the Borrower or its Subsidiaries (excluding the Lugano Entities) in respect of any transaction permitted under the Fifth Amendment Transaction Letter. Prepayments made pursuant to this </w:t>
      </w:r>
      <w:r>
        <w:rPr>
          <w:rFonts w:ascii="Times New Roman;serif" w:hAnsi="Times New Roman;serif"/>
          <w:b w:val="false"/>
          <w:strike/>
          <w:color w:val="FF0000"/>
          <w:sz w:val="22"/>
          <w:u w:val="single"/>
        </w:rPr>
        <w:t>Section 2.05(b)(vi)</w:t>
      </w:r>
      <w:r>
        <w:rPr>
          <w:strike/>
          <w:color w:val="FF0000"/>
        </w:rPr>
        <w:t xml:space="preserve"> </w:t>
      </w:r>
      <w:r>
        <w:rPr>
          <w:rFonts w:ascii="Times New Roman;serif" w:hAnsi="Times New Roman;serif"/>
          <w:b w:val="false"/>
          <w:strike/>
          <w:color w:val="FF0000"/>
          <w:sz w:val="22"/>
        </w:rPr>
        <w:t>shall be made promptly, and in any event no later than three (3) Business Days after receipt by the Borrower or Subsidiary, as applicable, of such Net Cash Proceeds. The amount of any such prepayment shall be certified by the Borrower to the Administrative Agent on the applicable payment date in a form reasonably acceptable to the Administrative Agent.</w:t>
      </w:r>
    </w:p>
    <w:p>
      <w:pPr>
        <w:pStyle w:val="TextBody"/>
        <w:bidi w:val="0"/>
        <w:spacing w:lineRule="auto" w:line="288" w:before="240" w:after="283"/>
        <w:jc w:val="both"/>
        <w:rPr/>
      </w:pPr>
      <w:r>
        <w:rPr>
          <w:rFonts w:ascii="Times New Roman;serif" w:hAnsi="Times New Roman;serif"/>
          <w:b w:val="false"/>
          <w:color w:val="000000"/>
          <w:sz w:val="22"/>
        </w:rPr>
        <w:t>2.06    </w:t>
      </w:r>
      <w:r>
        <w:rPr>
          <w:rFonts w:ascii="Times New Roman;serif" w:hAnsi="Times New Roman;serif"/>
          <w:b w:val="false"/>
          <w:color w:val="000000"/>
          <w:sz w:val="22"/>
          <w:u w:val="single"/>
        </w:rPr>
        <w:t>Termination or Reduction of Commitments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strike/>
          <w:color w:val="FF0000"/>
          <w:sz w:val="22"/>
        </w:rPr>
        <w:t>(a)</w:t>
      </w:r>
      <w:r>
        <w:rPr>
          <w:color w:val="000000"/>
        </w:rPr>
        <w:t xml:space="preserve"> </w:t>
      </w:r>
      <w:r>
        <w:rPr>
          <w:rFonts w:ascii="Times New Roman;serif" w:hAnsi="Times New Roman;serif"/>
          <w:b w:val="false"/>
          <w:color w:val="000000"/>
          <w:sz w:val="22"/>
        </w:rPr>
        <w:t>The Borrower may, upon notice to the Administrative Agent, terminate the Aggregate Revolving Commitments, or from time to time permanently reduce the Aggregate Revolving Commitments; provided that (</w:t>
      </w:r>
      <w:r>
        <w:rPr>
          <w:rFonts w:ascii="Times New Roman;serif" w:hAnsi="Times New Roman;serif"/>
          <w:b w:val="false"/>
          <w:color w:val="000000"/>
          <w:sz w:val="24"/>
        </w:rPr>
        <w:t>i</w:t>
      </w:r>
      <w:r>
        <w:rPr>
          <w:rFonts w:ascii="Times New Roman;serif" w:hAnsi="Times New Roman;serif"/>
          <w:b w:val="false"/>
          <w:color w:val="000000"/>
          <w:sz w:val="22"/>
        </w:rPr>
        <w:t>) any such notice shall be received by the Administrative Agent not later than 11:00 a.m. five (5) Business Days prior to the date of termination or reduction, (</w:t>
      </w:r>
      <w:r>
        <w:rPr>
          <w:rFonts w:ascii="Times New Roman;serif" w:hAnsi="Times New Roman;serif"/>
          <w:b w:val="false"/>
          <w:color w:val="000000"/>
          <w:sz w:val="24"/>
        </w:rPr>
        <w:t>ii</w:t>
      </w:r>
      <w:r>
        <w:rPr>
          <w:rFonts w:ascii="Times New Roman;serif" w:hAnsi="Times New Roman;serif"/>
          <w:b w:val="false"/>
          <w:color w:val="000000"/>
          <w:sz w:val="22"/>
        </w:rPr>
        <w:t>) any such partial reduction shall be in an aggregate amount of $1,000,000 or any whole multiple of $500,000 in excess thereof, (</w:t>
      </w:r>
      <w:r>
        <w:rPr>
          <w:rFonts w:ascii="Times New Roman;serif" w:hAnsi="Times New Roman;serif"/>
          <w:b w:val="false"/>
          <w:color w:val="000000"/>
          <w:sz w:val="24"/>
        </w:rPr>
        <w:t>iii</w:t>
      </w:r>
      <w:r>
        <w:rPr>
          <w:rFonts w:ascii="Times New Roman;serif" w:hAnsi="Times New Roman;serif"/>
          <w:b w:val="false"/>
          <w:color w:val="000000"/>
          <w:sz w:val="22"/>
        </w:rPr>
        <w:t>) the Borrower shall not terminate or reduce the Aggregate Revolving Commitments if, after giving effect thereto and to any concurrent prepayments hereunder, the Total Revolving Outstandings would exceed the Aggregate Revolving Commitments and (</w:t>
      </w:r>
      <w:r>
        <w:rPr>
          <w:rFonts w:ascii="Times New Roman;serif" w:hAnsi="Times New Roman;serif"/>
          <w:b w:val="false"/>
          <w:color w:val="000000"/>
          <w:sz w:val="24"/>
        </w:rPr>
        <w:t>iv</w:t>
      </w:r>
      <w:r>
        <w:rPr>
          <w:rFonts w:ascii="Times New Roman;serif" w:hAnsi="Times New Roman;serif"/>
          <w:b w:val="false"/>
          <w:color w:val="000000"/>
          <w:sz w:val="22"/>
        </w:rPr>
        <w:t>) if, after giving effect to any reduction of the Aggregate Revolving Commitments, the Letter of Credit Sublimit or the Swing Line Sublimit exceeds the amount of the Aggregate Revolving Commitments, such sublimit shall be automatically reduced by the amount of such excess.</w:t>
      </w:r>
      <w:r>
        <w:rPr>
          <w:color w:val="000000"/>
        </w:rPr>
        <w:t xml:space="preserve"> </w:t>
      </w:r>
      <w:r>
        <w:rPr>
          <w:rFonts w:ascii="Times New Roman;serif" w:hAnsi="Times New Roman;serif"/>
          <w:b w:val="false"/>
          <w:color w:val="000000"/>
          <w:sz w:val="22"/>
        </w:rPr>
        <w:t>The Administrative Agent will promptly notify the Lenders of any such notice of termination or reduction of the Aggregate Revolving Commitments.</w:t>
      </w:r>
      <w:r>
        <w:rPr>
          <w:color w:val="000000"/>
        </w:rPr>
        <w:t xml:space="preserve"> </w:t>
      </w:r>
      <w:r>
        <w:rPr>
          <w:rFonts w:ascii="Times New Roman;serif" w:hAnsi="Times New Roman;serif"/>
          <w:b w:val="false"/>
          <w:color w:val="000000"/>
          <w:sz w:val="22"/>
        </w:rPr>
        <w:t xml:space="preserve">Any reduction of the Aggregate Revolving Commitments shall be applied to the Revolving Commitment of each Lender according to its Applicable Percentage </w:t>
      </w:r>
      <w:r>
        <w:rPr>
          <w:rFonts w:ascii="Times New Roman;serif" w:hAnsi="Times New Roman;serif"/>
          <w:b w:val="false"/>
          <w:color w:val="000000"/>
          <w:sz w:val="24"/>
        </w:rPr>
        <w:t>(with respect to the Revolving Facility)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All fees and interest accrued until the effective date of any termination of the Aggregate Revolving Commitments shall be paid on the effective date of such termination.</w:t>
      </w:r>
    </w:p>
    <w:p>
      <w:pPr>
        <w:pStyle w:val="TextBody"/>
        <w:bidi w:val="0"/>
        <w:spacing w:before="0" w:after="0"/>
        <w:ind w:left="0" w:right="0" w:firstLine="1440"/>
        <w:jc w:val="both"/>
        <w:rPr/>
      </w:pPr>
      <w:r>
        <w:rPr/>
      </w:r>
    </w:p>
    <w:p>
      <w:pPr>
        <w:pStyle w:val="TextBody"/>
        <w:bidi w:val="0"/>
        <w:spacing w:lineRule="auto" w:line="268" w:before="0" w:after="0"/>
        <w:jc w:val="both"/>
        <w:rPr/>
      </w:pPr>
      <w:r>
        <w:rPr>
          <w:rFonts w:ascii="Times New Roman;serif" w:hAnsi="Times New Roman;serif"/>
          <w:b w:val="false"/>
          <w:strike/>
          <w:color w:val="FF0000"/>
          <w:sz w:val="22"/>
        </w:rPr>
        <w:t>(b)</w:t>
      </w:r>
      <w:r>
        <w:rPr>
          <w:color w:val="000000"/>
        </w:rPr>
        <w:t xml:space="preserve"> </w:t>
      </w:r>
      <w:r>
        <w:rPr>
          <w:rFonts w:ascii="Times New Roman;serif" w:hAnsi="Times New Roman;serif"/>
          <w:b w:val="false"/>
          <w:strike/>
          <w:color w:val="FF0000"/>
          <w:sz w:val="22"/>
        </w:rPr>
        <w:t>The aggregate Term Loan Commitments shall be automatically and permanently reduced to zero on the date of the Borrowing of the Term Loan.</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erif" w:hAnsi="Times New Roman;serif"/>
          <w:b w:val="false"/>
          <w:strike/>
          <w:color w:val="FF0000"/>
          <w:sz w:val="22"/>
        </w:rPr>
        <w:t>(c)</w:t>
      </w:r>
      <w:r>
        <w:rPr>
          <w:color w:val="000000"/>
        </w:rPr>
        <w:t xml:space="preserve"> </w:t>
      </w:r>
      <w:r>
        <w:rPr>
          <w:rFonts w:ascii="Times New Roman;serif" w:hAnsi="Times New Roman;serif"/>
          <w:b w:val="false"/>
          <w:strike/>
          <w:color w:val="FF0000"/>
          <w:sz w:val="22"/>
        </w:rPr>
        <w:t>The Borrower may, upon notice to the Administrative Agent, terminate the Incremental Delayed Draw Term Loan Commitments, or from time to time permanently reduce the Incremental Delayed Draw Term Loan Commitments; provided that (i) any such notice shall be received by the Administrative Agent not later than 11:00 a.m. five (5) Business Days prior to the date of termination or reduction and (ii) any such partial reduction shall be in an aggregate amount of $1,000,000 or any whole multiple of $500,000 in excess thereof. The Administrative Agent will promptly notify the Lenders of any such notice of termination or reduction of the Incremental Delayed Draw Term Loan Commitments. Any reduction of the Incremental Delayed Draw Term Loan Commitments shall be applied to the Incremental Delayed Draw Term Loan Commitments of each Lender according to its Applicable Percentage. All fees and interest accrued until the effective date of any termination of the Incremental Delayed Draw Term Loan Commitments shall be paid on the effective date of such termination.</w:t>
      </w:r>
      <w:r>
        <w:rPr>
          <w:color w:val="000000"/>
        </w:rPr>
        <w:t xml:space="preserve"> </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erif" w:hAnsi="Times New Roman;serif"/>
          <w:b w:val="false"/>
          <w:color w:val="000000"/>
          <w:sz w:val="22"/>
        </w:rPr>
        <w:t>2.07    </w:t>
      </w:r>
      <w:r>
        <w:rPr>
          <w:rFonts w:ascii="Times New Roman;serif" w:hAnsi="Times New Roman;serif"/>
          <w:b w:val="false"/>
          <w:color w:val="000000"/>
          <w:sz w:val="22"/>
          <w:u w:val="single"/>
        </w:rPr>
        <w:t>Repayment of Loans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Revolving Loans</w:t>
      </w:r>
      <w:r>
        <w:rPr>
          <w:rFonts w:ascii="Times New Roman;serif" w:hAnsi="Times New Roman;serif"/>
          <w:b w:val="false"/>
          <w:color w:val="000000"/>
          <w:sz w:val="22"/>
        </w:rPr>
        <w:t xml:space="preserve">. The Borrower shall repay to the Lenders on the Maturity Date </w:t>
      </w:r>
      <w:r>
        <w:rPr>
          <w:rFonts w:ascii="Times New Roman;serif" w:hAnsi="Times New Roman;serif"/>
          <w:b w:val="false"/>
          <w:color w:val="0000FF"/>
          <w:sz w:val="22"/>
          <w:u w:val="single"/>
        </w:rPr>
        <w:t xml:space="preserve">for the Aggregate Revolving Commitments </w:t>
      </w:r>
      <w:r>
        <w:rPr>
          <w:rFonts w:ascii="Times New Roman;serif" w:hAnsi="Times New Roman;serif"/>
          <w:b w:val="false"/>
          <w:color w:val="000000"/>
          <w:sz w:val="22"/>
        </w:rPr>
        <w:t xml:space="preserve">the aggregate principal amount of all Revolving Loans outstanding on such date.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Swing Line Loans</w:t>
      </w:r>
      <w:r>
        <w:rPr>
          <w:rFonts w:ascii="Times New Roman;serif" w:hAnsi="Times New Roman;serif"/>
          <w:b w:val="false"/>
          <w:color w:val="000000"/>
          <w:sz w:val="22"/>
        </w:rPr>
        <w:t xml:space="preserve">. At any </w:t>
      </w:r>
      <w:r>
        <w:rPr>
          <w:rFonts w:ascii="Times New Roman;serif" w:hAnsi="Times New Roman;serif"/>
          <w:b w:val="false"/>
          <w:color w:val="000000"/>
          <w:sz w:val="24"/>
        </w:rPr>
        <w:t>time an Auto Borrow Agreement is in effect, the Swing Line Loans shall be repaid in accordance with the terms of the Auto Borrow Agreement. At any time an Auto Borrow Agreement is not in effect, the Borrower shall repay each Swing Line Loan on the earlier to occur of (i) the date ten (10) Business Days after such Swing Line Loan is made and (ii) the Maturity Date</w:t>
      </w:r>
      <w:r>
        <w:rPr>
          <w:color w:val="0000FF"/>
          <w:u w:val="single"/>
        </w:rPr>
        <w:t xml:space="preserve"> </w:t>
      </w:r>
      <w:r>
        <w:rPr>
          <w:rFonts w:ascii="Times New Roman;serif" w:hAnsi="Times New Roman;serif"/>
          <w:b w:val="false"/>
          <w:color w:val="0000FF"/>
          <w:sz w:val="24"/>
          <w:u w:val="single"/>
        </w:rPr>
        <w:t>for the Aggregate Revolving Commitments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4"/>
          <w:u w:val="single"/>
        </w:rPr>
        <w:t xml:space="preserve">Term </w:t>
      </w:r>
      <w:r>
        <w:rPr>
          <w:rFonts w:ascii="Times New Roman;serif" w:hAnsi="Times New Roman;serif"/>
          <w:b w:val="false"/>
          <w:strike/>
          <w:color w:val="FF0000"/>
          <w:sz w:val="24"/>
          <w:u w:val="single"/>
        </w:rPr>
        <w:t>Loans</w:t>
      </w:r>
      <w:r>
        <w:rPr>
          <w:rFonts w:ascii="Times New Roman;serif" w:hAnsi="Times New Roman;serif"/>
          <w:b w:val="false"/>
          <w:color w:val="0000FF"/>
          <w:sz w:val="24"/>
          <w:u w:val="single"/>
        </w:rPr>
        <w:t>Loan</w:t>
      </w:r>
      <w:r>
        <w:rPr>
          <w:rFonts w:ascii="Times New Roman;serif" w:hAnsi="Times New Roman;serif"/>
          <w:b w:val="false"/>
          <w:color w:val="000000"/>
          <w:sz w:val="24"/>
        </w:rPr>
        <w:t xml:space="preserve">. </w:t>
      </w:r>
      <w:r>
        <w:rPr>
          <w:rFonts w:ascii="Times New Roman;serif" w:hAnsi="Times New Roman;serif"/>
          <w:b w:val="false"/>
          <w:strike/>
          <w:color w:val="FF0000"/>
          <w:sz w:val="24"/>
        </w:rPr>
        <w:t>(i)</w:t>
      </w:r>
      <w:r>
        <w:rPr>
          <w:color w:val="000000"/>
        </w:rPr>
        <w:t xml:space="preserve"> </w:t>
      </w:r>
      <w:r>
        <w:rPr>
          <w:rFonts w:ascii="Times New Roman;serif" w:hAnsi="Times New Roman;serif"/>
          <w:b w:val="false"/>
          <w:color w:val="000000"/>
          <w:sz w:val="24"/>
        </w:rPr>
        <w:t xml:space="preserve">The Borrower shall repay to the Lenders the aggregate principal amount of the Term Loan on the following dates in the respective amounts set forth opposite such dates (which amounts shall be reduced as a result of the application of prepayments in accordance with the order of priority set forth in </w:t>
      </w:r>
      <w:r>
        <w:rPr>
          <w:rFonts w:ascii="Times New Roman;serif" w:hAnsi="Times New Roman;serif"/>
          <w:b w:val="false"/>
          <w:color w:val="000000"/>
          <w:sz w:val="24"/>
          <w:u w:val="single"/>
        </w:rPr>
        <w:t>Section 2.05</w:t>
      </w:r>
      <w:r>
        <w:rPr>
          <w:rFonts w:ascii="Times New Roman;serif" w:hAnsi="Times New Roman;serif"/>
          <w:b w:val="false"/>
          <w:color w:val="000000"/>
          <w:sz w:val="24"/>
        </w:rPr>
        <w:t xml:space="preserve">), unless accelerated sooner pursuant to </w:t>
      </w:r>
      <w:r>
        <w:rPr>
          <w:rFonts w:ascii="Times New Roman;serif" w:hAnsi="Times New Roman;serif"/>
          <w:b w:val="false"/>
          <w:color w:val="000000"/>
          <w:sz w:val="24"/>
          <w:u w:val="single"/>
        </w:rPr>
        <w:t>Section 8.02</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5999" w:type="dxa"/>
        <w:jc w:val="left"/>
        <w:tblInd w:w="0" w:type="dxa"/>
        <w:tblLayout w:type="fixed"/>
        <w:tblCellMar>
          <w:top w:w="28" w:type="dxa"/>
          <w:left w:w="28" w:type="dxa"/>
          <w:bottom w:w="28" w:type="dxa"/>
          <w:right w:w="28" w:type="dxa"/>
        </w:tblCellMar>
      </w:tblPr>
      <w:tblGrid>
        <w:gridCol w:w="923"/>
        <w:gridCol w:w="812"/>
        <w:gridCol w:w="815"/>
        <w:gridCol w:w="1009"/>
        <w:gridCol w:w="1009"/>
        <w:gridCol w:w="1431"/>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left w:val="single" w:sz="8" w:space="0" w:color="000000"/>
            </w:tcBorders>
            <w:shd w:fill="F2F2F2"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Payment Dates</w:t>
            </w:r>
          </w:p>
        </w:tc>
        <w:tc>
          <w:tcPr>
            <w:tcW w:w="3449" w:type="dxa"/>
            <w:gridSpan w:val="3"/>
            <w:tcBorders>
              <w:top w:val="single" w:sz="8" w:space="0" w:color="000000"/>
              <w:left w:val="single" w:sz="8" w:space="0" w:color="000000"/>
              <w:right w:val="single" w:sz="8" w:space="0" w:color="000000"/>
            </w:tcBorders>
            <w:shd w:fill="F2F2F2" w:val="clear"/>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Principal Repayment Installments</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 xml:space="preserve">September 30, </w:t>
            </w:r>
            <w:r>
              <w:rPr>
                <w:rFonts w:ascii="Times New Roman;serif" w:hAnsi="Times New Roman;serif"/>
                <w:b w:val="false"/>
                <w:strike/>
                <w:color w:val="EE2724"/>
                <w:sz w:val="22"/>
              </w:rPr>
              <w:t>2022</w:t>
            </w:r>
            <w:r>
              <w:rPr>
                <w:color w:val="000000"/>
              </w:rPr>
              <w:t xml:space="preserve"> </w:t>
            </w:r>
            <w:r>
              <w:rPr>
                <w:rFonts w:ascii="Times New Roman;serif" w:hAnsi="Times New Roman;serif"/>
                <w:b w:val="false"/>
                <w:color w:val="3051F2"/>
                <w:sz w:val="22"/>
              </w:rPr>
              <w:t>2026</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w:t>
            </w:r>
            <w:r>
              <w:rPr>
                <w:rFonts w:ascii="Times New Roman;serif" w:hAnsi="Times New Roman;serif"/>
                <w:b w:val="false"/>
                <w:strike/>
                <w:color w:val="EE2724"/>
                <w:sz w:val="22"/>
              </w:rPr>
              <w:t xml:space="preserve">2,500,000.00 </w:t>
            </w:r>
            <w:r>
              <w:rPr>
                <w:rFonts w:ascii="Times New Roman;serif" w:hAnsi="Times New Roman;serif"/>
                <w:b w:val="false"/>
                <w:color w:val="3051F2"/>
                <w:sz w:val="22"/>
              </w:rPr>
              <w:t>11,250,000.00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December 31,</w:t>
            </w:r>
            <w:r>
              <w:rPr>
                <w:strike/>
                <w:color w:val="EE2724"/>
              </w:rPr>
              <w:t xml:space="preserve"> </w:t>
            </w:r>
            <w:r>
              <w:rPr>
                <w:rFonts w:ascii="Times New Roman;serif" w:hAnsi="Times New Roman;serif"/>
                <w:b w:val="false"/>
                <w:strike/>
                <w:color w:val="EE2724"/>
                <w:sz w:val="22"/>
              </w:rPr>
              <w:t>2022</w:t>
            </w:r>
            <w:r>
              <w:rPr>
                <w:color w:val="3051F2"/>
              </w:rPr>
              <w:t xml:space="preserve"> </w:t>
            </w:r>
            <w:r>
              <w:rPr>
                <w:rFonts w:ascii="Times New Roman;serif" w:hAnsi="Times New Roman;serif"/>
                <w:b w:val="false"/>
                <w:color w:val="3051F2"/>
                <w:sz w:val="22"/>
              </w:rPr>
              <w:t>2026</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w:t>
            </w:r>
            <w:r>
              <w:rPr>
                <w:rFonts w:ascii="Times New Roman;serif" w:hAnsi="Times New Roman;serif"/>
                <w:b w:val="false"/>
                <w:strike/>
                <w:color w:val="EE2724"/>
                <w:sz w:val="22"/>
              </w:rPr>
              <w:t>2,500,000.00</w:t>
            </w:r>
            <w:r>
              <w:rPr>
                <w:color w:val="3051F2"/>
              </w:rPr>
              <w:t xml:space="preserve"> </w:t>
            </w:r>
            <w:r>
              <w:rPr>
                <w:rFonts w:ascii="Times New Roman;serif" w:hAnsi="Times New Roman;serif"/>
                <w:b w:val="false"/>
                <w:color w:val="3051F2"/>
                <w:sz w:val="22"/>
              </w:rPr>
              <w:t>11,250,000.00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 xml:space="preserve">March 31, </w:t>
            </w:r>
            <w:r>
              <w:rPr>
                <w:rFonts w:ascii="Times New Roman;serif" w:hAnsi="Times New Roman;serif"/>
                <w:b w:val="false"/>
                <w:strike/>
                <w:color w:val="EE2724"/>
                <w:sz w:val="22"/>
              </w:rPr>
              <w:t>2023</w:t>
            </w:r>
            <w:r>
              <w:rPr>
                <w:color w:val="3051F2"/>
              </w:rPr>
              <w:t xml:space="preserve"> </w:t>
            </w:r>
            <w:r>
              <w:rPr>
                <w:rFonts w:ascii="Times New Roman;serif" w:hAnsi="Times New Roman;serif"/>
                <w:b w:val="false"/>
                <w:color w:val="3051F2"/>
                <w:sz w:val="22"/>
              </w:rPr>
              <w:t>2026</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w:t>
            </w:r>
            <w:r>
              <w:rPr>
                <w:rFonts w:ascii="Times New Roman;serif" w:hAnsi="Times New Roman;serif"/>
                <w:b w:val="false"/>
                <w:strike/>
                <w:color w:val="EE2724"/>
                <w:sz w:val="22"/>
              </w:rPr>
              <w:t>2</w:t>
            </w:r>
            <w:r>
              <w:rPr>
                <w:rFonts w:ascii="Times New Roman;serif" w:hAnsi="Times New Roman;serif"/>
                <w:b w:val="false"/>
                <w:strike/>
                <w:color w:val="EE2724"/>
                <w:sz w:val="22"/>
                <w:shd w:fill="FFFFFF" w:val="clear"/>
              </w:rPr>
              <w:t>,500,000.00</w:t>
            </w:r>
            <w:r>
              <w:rPr>
                <w:color w:val="000000"/>
              </w:rPr>
              <w:t xml:space="preserve"> </w:t>
            </w:r>
            <w:r>
              <w:rPr>
                <w:rFonts w:ascii="Times New Roman;serif" w:hAnsi="Times New Roman;serif"/>
                <w:b w:val="false"/>
                <w:color w:val="3051F2"/>
                <w:sz w:val="22"/>
              </w:rPr>
              <w:t>11,250,000.00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 xml:space="preserve">June 30, </w:t>
            </w:r>
            <w:r>
              <w:rPr>
                <w:rFonts w:ascii="Times New Roman;serif" w:hAnsi="Times New Roman;serif"/>
                <w:b w:val="false"/>
                <w:strike/>
                <w:color w:val="EE2724"/>
                <w:sz w:val="22"/>
              </w:rPr>
              <w:t>2023</w:t>
            </w:r>
            <w:r>
              <w:rPr>
                <w:color w:val="3051F2"/>
              </w:rPr>
              <w:t xml:space="preserve"> </w:t>
            </w:r>
            <w:r>
              <w:rPr>
                <w:rFonts w:ascii="Times New Roman;serif" w:hAnsi="Times New Roman;serif"/>
                <w:b w:val="false"/>
                <w:color w:val="3051F2"/>
                <w:sz w:val="22"/>
              </w:rPr>
              <w:t>2026</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w:t>
            </w:r>
            <w:r>
              <w:rPr>
                <w:rFonts w:ascii="Times New Roman;serif" w:hAnsi="Times New Roman;serif"/>
                <w:b w:val="false"/>
                <w:strike/>
                <w:color w:val="EE2724"/>
                <w:sz w:val="22"/>
              </w:rPr>
              <w:t>2,500,000.00</w:t>
            </w:r>
            <w:r>
              <w:rPr>
                <w:color w:val="000000"/>
              </w:rPr>
              <w:t xml:space="preserve"> </w:t>
            </w:r>
            <w:r>
              <w:rPr>
                <w:rFonts w:ascii="Times New Roman;serif" w:hAnsi="Times New Roman;serif"/>
                <w:b w:val="false"/>
                <w:color w:val="3051F2"/>
                <w:sz w:val="22"/>
              </w:rPr>
              <w:t>11,250,000.00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strike/>
                <w:color w:val="EE2724"/>
                <w:sz w:val="22"/>
              </w:rPr>
            </w:pPr>
            <w:r>
              <w:rPr>
                <w:rFonts w:ascii="Times New Roman;serif" w:hAnsi="Times New Roman;serif"/>
                <w:b w:val="false"/>
                <w:strike/>
                <w:color w:val="EE2724"/>
                <w:sz w:val="22"/>
              </w:rPr>
              <w:t>September 30, 2023</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$2,500,000.00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December 31, 2023</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$2,500,000.00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March 31, 2024</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$2,500,000.00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June 30, 2024</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$2,500,000.00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September 30, 2024</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$2,500,000.00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December 31, 2024</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$2,500,000.00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March 31, 2025</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$3,750,000.00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strike/>
                <w:color w:val="EE2724"/>
                <w:sz w:val="22"/>
              </w:rPr>
            </w:pPr>
            <w:r>
              <w:rPr>
                <w:rFonts w:ascii="Times New Roman;serif" w:hAnsi="Times New Roman;serif"/>
                <w:b w:val="false"/>
                <w:strike/>
                <w:color w:val="EE2724"/>
                <w:sz w:val="22"/>
              </w:rPr>
              <w:t>June 30, 2025</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$3,750,000.00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September 30, 2025</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$7,500,000.00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December 31, 2025</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$7,500,000.00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March 31, 2026</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$7,500,000.00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June 30, 2026</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$7,500,000.00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 xml:space="preserve">September 30, </w:t>
            </w:r>
            <w:r>
              <w:rPr>
                <w:rFonts w:ascii="Times New Roman;serif" w:hAnsi="Times New Roman;serif"/>
                <w:b w:val="false"/>
                <w:strike/>
                <w:color w:val="EE2724"/>
                <w:sz w:val="22"/>
              </w:rPr>
              <w:t>2026</w:t>
            </w:r>
            <w:r>
              <w:rPr>
                <w:color w:val="000000"/>
              </w:rPr>
              <w:t xml:space="preserve"> </w:t>
            </w:r>
            <w:r>
              <w:rPr>
                <w:rFonts w:ascii="Times New Roman;serif" w:hAnsi="Times New Roman;serif"/>
                <w:b w:val="false"/>
                <w:color w:val="3051F2"/>
                <w:sz w:val="22"/>
              </w:rPr>
              <w:t>2027</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$11,250,000.00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December 31, 2027</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strike/>
                <w:color w:val="EE2724"/>
                <w:sz w:val="22"/>
              </w:rPr>
            </w:pPr>
            <w:r>
              <w:rPr>
                <w:rFonts w:ascii="Times New Roman;serif" w:hAnsi="Times New Roman;serif"/>
                <w:b w:val="false"/>
                <w:strike/>
                <w:color w:val="EE2724"/>
                <w:sz w:val="22"/>
              </w:rPr>
              <w:t>$11,250,000.00</w:t>
            </w:r>
          </w:p>
        </w:tc>
      </w:tr>
      <w:tr>
        <w:trPr/>
        <w:tc>
          <w:tcPr>
            <w:tcW w:w="25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2"/>
              </w:rPr>
              <w:t>December 31,</w:t>
            </w:r>
            <w:r>
              <w:rPr>
                <w:strike/>
                <w:color w:val="EE2724"/>
              </w:rPr>
              <w:t xml:space="preserve"> </w:t>
            </w:r>
            <w:r>
              <w:rPr>
                <w:rFonts w:ascii="Times New Roman;serif" w:hAnsi="Times New Roman;serif"/>
                <w:b w:val="false"/>
                <w:strike/>
                <w:color w:val="EE2724"/>
                <w:sz w:val="22"/>
              </w:rPr>
              <w:t>2026</w:t>
            </w:r>
            <w:r>
              <w:rPr>
                <w:color w:val="3051F2"/>
              </w:rPr>
              <w:t xml:space="preserve"> </w:t>
            </w:r>
            <w:r>
              <w:rPr>
                <w:rFonts w:ascii="Times New Roman;serif" w:hAnsi="Times New Roman;serif"/>
                <w:b w:val="false"/>
                <w:color w:val="3051F2"/>
                <w:sz w:val="22"/>
              </w:rPr>
              <w:t>2027</w:t>
            </w:r>
          </w:p>
        </w:tc>
        <w:tc>
          <w:tcPr>
            <w:tcW w:w="344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$11,250,000.00</w:t>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(i) the final principal repayment installment of the Term Loan shall be repaid on the Maturity Date </w:t>
      </w:r>
      <w:r>
        <w:rPr>
          <w:rFonts w:ascii="Times New Roman;serif" w:hAnsi="Times New Roman;serif"/>
          <w:b w:val="false"/>
          <w:color w:val="0000FF"/>
          <w:sz w:val="24"/>
          <w:u w:val="single"/>
        </w:rPr>
        <w:t xml:space="preserve">for the Term Loan </w:t>
      </w:r>
      <w:r>
        <w:rPr>
          <w:rFonts w:ascii="Times New Roman;serif" w:hAnsi="Times New Roman;serif"/>
          <w:b w:val="false"/>
          <w:color w:val="000000"/>
          <w:sz w:val="22"/>
        </w:rPr>
        <w:t>and in any event shall be in an amount equal to the aggregate principal amount of the Term Loan outstanding on such date, (ii) if any principal repayment installment to be made by the Borrower (other than principal repayment installments on Term SOFR Loans) shall come due on a day other than a Business Day, such principal repayment installment shall be due on the next succeeding Business Day, and such extension of time shall be reflected in computing interest or fees, as the case may be and (iii) if any principal repayment installment to be made by the Borrower on a Term SOFR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strike/>
          <w:color w:val="FF0000"/>
          <w:sz w:val="24"/>
        </w:rPr>
        <w:t>(ii)</w:t>
      </w:r>
      <w:r>
        <w:rPr>
          <w:color w:val="000000"/>
        </w:rPr>
        <w:t xml:space="preserve"> </w:t>
      </w:r>
      <w:r>
        <w:rPr>
          <w:rFonts w:ascii="Times New Roman;serif" w:hAnsi="Times New Roman;serif"/>
          <w:b w:val="false"/>
          <w:strike/>
          <w:color w:val="FF0000"/>
          <w:sz w:val="24"/>
        </w:rPr>
        <w:t xml:space="preserve">Commencing on the first fiscal quarter ending after the earlier of (A) the date Incremental Delayed Draw Term Loan is fully drawn and (B) the end of the Incremental DDTL Availability Period, the Borrower shall repay to the Lenders on the following dates the percentage amount of the drawn Incremental Delayed Draw Term Loan set forth opposite such dates (which amounts shall be reduced as a result of the application of prepayments in accordance with the order of priority set forth in </w:t>
      </w:r>
      <w:r>
        <w:rPr>
          <w:rFonts w:ascii="Times New Roman;serif" w:hAnsi="Times New Roman;serif"/>
          <w:b w:val="false"/>
          <w:strike/>
          <w:color w:val="FF0000"/>
          <w:sz w:val="24"/>
          <w:u w:val="single"/>
        </w:rPr>
        <w:t>Section 2.05</w:t>
      </w:r>
      <w:r>
        <w:rPr>
          <w:rFonts w:ascii="Times New Roman;serif" w:hAnsi="Times New Roman;serif"/>
          <w:b w:val="false"/>
          <w:strike/>
          <w:color w:val="FF0000"/>
          <w:sz w:val="24"/>
        </w:rPr>
        <w:t xml:space="preserve">), unless accelerated sooner pursuant to </w:t>
      </w:r>
      <w:r>
        <w:rPr>
          <w:rFonts w:ascii="Times New Roman;serif" w:hAnsi="Times New Roman;serif"/>
          <w:b w:val="false"/>
          <w:strike/>
          <w:color w:val="FF0000"/>
          <w:sz w:val="24"/>
          <w:u w:val="single"/>
        </w:rPr>
        <w:t>Section 8.02</w:t>
      </w:r>
      <w:r>
        <w:rPr>
          <w:rFonts w:ascii="Times New Roman;serif" w:hAnsi="Times New Roman;serif"/>
          <w:b w:val="false"/>
          <w:strike/>
          <w:color w:val="FF0000"/>
          <w:sz w:val="24"/>
        </w:rPr>
        <w:t>;</w:t>
      </w:r>
    </w:p>
    <w:tbl>
      <w:tblPr>
        <w:tblW w:w="6808" w:type="dxa"/>
        <w:jc w:val="center"/>
        <w:tblInd w:w="0" w:type="dxa"/>
        <w:tblLayout w:type="fixed"/>
        <w:tblCellMar>
          <w:top w:w="28" w:type="dxa"/>
          <w:left w:w="28" w:type="dxa"/>
          <w:bottom w:w="28" w:type="dxa"/>
          <w:right w:w="28" w:type="dxa"/>
        </w:tblCellMar>
      </w:tblPr>
      <w:tblGrid>
        <w:gridCol w:w="988"/>
        <w:gridCol w:w="869"/>
        <w:gridCol w:w="872"/>
        <w:gridCol w:w="1194"/>
        <w:gridCol w:w="1194"/>
        <w:gridCol w:w="1691"/>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shd w:fill="F2F2F2" w:val="clear"/>
            <w:tcMar>
              <w:top w:w="30" w:type="dxa"/>
              <w:bottom w:w="0" w:type="dxa"/>
              <w:right w:w="0" w:type="dxa"/>
            </w:tcMar>
            <w:vAlign w:val="center"/>
          </w:tcPr>
          <w:p>
            <w:pPr>
              <w:pStyle w:val="TableContents"/>
              <w:bidi w:val="0"/>
              <w:spacing w:lineRule="auto" w:line="268" w:before="0" w:after="0"/>
              <w:ind w:left="0" w:right="0" w:firstLine="720"/>
              <w:jc w:val="both"/>
              <w:rPr>
                <w:rFonts w:ascii="Times New Roman;serif" w:hAnsi="Times New Roman;serif"/>
                <w:b/>
                <w:strike/>
                <w:color w:val="EE2724"/>
                <w:sz w:val="22"/>
              </w:rPr>
            </w:pPr>
            <w:r>
              <w:rPr>
                <w:rFonts w:ascii="Times New Roman;serif" w:hAnsi="Times New Roman;serif"/>
                <w:b/>
                <w:strike/>
                <w:color w:val="EE2724"/>
                <w:sz w:val="22"/>
              </w:rPr>
              <w:t>Payment Dates</w:t>
            </w:r>
          </w:p>
        </w:tc>
        <w:tc>
          <w:tcPr>
            <w:tcW w:w="4079" w:type="dxa"/>
            <w:gridSpan w:val="3"/>
            <w:tcBorders>
              <w:top w:val="single" w:sz="8" w:space="0" w:color="000000"/>
              <w:left w:val="single" w:sz="8" w:space="0" w:color="000000"/>
              <w:right w:val="single" w:sz="8" w:space="0" w:color="000000"/>
            </w:tcBorders>
            <w:shd w:fill="F2F2F2" w:val="clear"/>
            <w:tcMar>
              <w:top w:w="30" w:type="dxa"/>
              <w:bottom w:w="0" w:type="dxa"/>
            </w:tcMar>
            <w:vAlign w:val="center"/>
          </w:tcPr>
          <w:p>
            <w:pPr>
              <w:pStyle w:val="TableContents"/>
              <w:bidi w:val="0"/>
              <w:spacing w:lineRule="auto" w:line="268" w:before="0" w:after="283"/>
              <w:ind w:left="0" w:right="0" w:firstLine="720"/>
              <w:jc w:val="both"/>
              <w:rPr>
                <w:rFonts w:ascii="Times New Roman;serif" w:hAnsi="Times New Roman;serif"/>
                <w:b/>
                <w:strike/>
                <w:color w:val="EE2724"/>
                <w:sz w:val="22"/>
              </w:rPr>
            </w:pPr>
            <w:r>
              <w:rPr>
                <w:rFonts w:ascii="Times New Roman;serif" w:hAnsi="Times New Roman;serif"/>
                <w:b/>
                <w:strike/>
                <w:color w:val="EE2724"/>
                <w:sz w:val="22"/>
              </w:rPr>
              <w:t>Principal Repayment Percentage</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3/31/2025</w:t>
            </w:r>
          </w:p>
        </w:tc>
        <w:tc>
          <w:tcPr>
            <w:tcW w:w="40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0.625%</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June 30, 2025</w:t>
            </w:r>
          </w:p>
        </w:tc>
        <w:tc>
          <w:tcPr>
            <w:tcW w:w="40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0.625%</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September 30, 2025</w:t>
            </w:r>
          </w:p>
        </w:tc>
        <w:tc>
          <w:tcPr>
            <w:tcW w:w="40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1.250%</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December 31, 2025</w:t>
            </w:r>
          </w:p>
        </w:tc>
        <w:tc>
          <w:tcPr>
            <w:tcW w:w="40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1.250%</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March 31, 2026</w:t>
            </w:r>
          </w:p>
        </w:tc>
        <w:tc>
          <w:tcPr>
            <w:tcW w:w="40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1.250%</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June 30, 2026</w:t>
            </w:r>
          </w:p>
        </w:tc>
        <w:tc>
          <w:tcPr>
            <w:tcW w:w="40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1.250%</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September 30, 2026</w:t>
            </w:r>
          </w:p>
        </w:tc>
        <w:tc>
          <w:tcPr>
            <w:tcW w:w="40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1.875%</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December 31, 2026</w:t>
            </w:r>
          </w:p>
        </w:tc>
        <w:tc>
          <w:tcPr>
            <w:tcW w:w="40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1.875%</w:t>
            </w:r>
          </w:p>
        </w:tc>
      </w:tr>
      <w:tr>
        <w:trPr/>
        <w:tc>
          <w:tcPr>
            <w:tcW w:w="27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720"/>
              <w:jc w:val="both"/>
              <w:rPr>
                <w:rFonts w:ascii="Times New Roman;serif" w:hAnsi="Times New Roman;serif"/>
                <w:b w:val="false"/>
                <w:strike/>
                <w:color w:val="EE2724"/>
                <w:sz w:val="22"/>
              </w:rPr>
            </w:pPr>
            <w:r>
              <w:rPr>
                <w:rFonts w:ascii="Times New Roman;serif" w:hAnsi="Times New Roman;serif"/>
                <w:b w:val="false"/>
                <w:strike/>
                <w:color w:val="EE2724"/>
                <w:sz w:val="22"/>
              </w:rPr>
              <w:t>March 31, 2027</w:t>
            </w:r>
          </w:p>
        </w:tc>
        <w:tc>
          <w:tcPr>
            <w:tcW w:w="40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both"/>
              <w:rPr>
                <w:rFonts w:ascii="Times New Roman;serif" w:hAnsi="Times New Roman;serif"/>
                <w:b w:val="false"/>
                <w:strike/>
                <w:color w:val="EE2724"/>
                <w:sz w:val="22"/>
              </w:rPr>
            </w:pPr>
            <w:r>
              <w:rPr>
                <w:rFonts w:ascii="Times New Roman;serif" w:hAnsi="Times New Roman;serif"/>
                <w:b w:val="false"/>
                <w:strike/>
                <w:color w:val="EE2724"/>
                <w:sz w:val="22"/>
              </w:rPr>
              <w:t>1.875%</w:t>
            </w:r>
          </w:p>
        </w:tc>
      </w:tr>
    </w:tbl>
    <w:p>
      <w:pPr>
        <w:pStyle w:val="TextBody"/>
        <w:bidi w:val="0"/>
        <w:spacing w:lineRule="auto" w:line="288" w:before="240" w:after="283"/>
        <w:ind w:left="0" w:right="0" w:firstLine="720"/>
        <w:jc w:val="both"/>
        <w:rPr/>
      </w:pPr>
      <w:r>
        <w:rPr>
          <w:rFonts w:ascii="Times New Roman;serif" w:hAnsi="Times New Roman;serif"/>
          <w:b w:val="false"/>
          <w:i/>
          <w:strike/>
          <w:color w:val="FF0000"/>
          <w:sz w:val="22"/>
        </w:rPr>
        <w:t>provided</w:t>
      </w:r>
      <w:r>
        <w:rPr>
          <w:rFonts w:ascii="Times New Roman;serif" w:hAnsi="Times New Roman;serif"/>
          <w:b w:val="false"/>
          <w:strike/>
          <w:color w:val="FF0000"/>
          <w:sz w:val="22"/>
        </w:rPr>
        <w:t xml:space="preserve">, </w:t>
      </w:r>
      <w:r>
        <w:rPr>
          <w:rFonts w:ascii="Times New Roman;serif" w:hAnsi="Times New Roman;serif"/>
          <w:b w:val="false"/>
          <w:i/>
          <w:strike/>
          <w:color w:val="FF0000"/>
          <w:sz w:val="22"/>
        </w:rPr>
        <w:t>however</w:t>
      </w:r>
      <w:r>
        <w:rPr>
          <w:rFonts w:ascii="Times New Roman;serif" w:hAnsi="Times New Roman;serif"/>
          <w:b w:val="false"/>
          <w:strike/>
          <w:color w:val="FF0000"/>
          <w:sz w:val="22"/>
        </w:rPr>
        <w:t>, that (i) the final principal repayment installment of the Incremental Delayed Draw Term Loan shall be repaid on the Maturity Date and in any event shall be in an amount equal to the aggregate principal amount of the Incremental Delayed Draw Term Loan outstanding on such date, (ii) if any principal repayment installment to be made by the Borrower (other than principal repayment installments on Term SOFR Loans) shall come due on a day other than a Business Day, such principal repayment installment shall be due on the next succeeding Business Day, and such extension of time shall be reflected in computing interest or fees, as the case may be and (iii) if any principal repayment installment to be made by the Borrower on a Term SOFR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2.08    </w:t>
      </w:r>
      <w:r>
        <w:rPr>
          <w:rFonts w:ascii="Times New Roman;serif" w:hAnsi="Times New Roman;serif"/>
          <w:b w:val="false"/>
          <w:color w:val="000000"/>
          <w:sz w:val="22"/>
          <w:u w:val="single"/>
        </w:rPr>
        <w:t>Interest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Subject to the provisions of subsection (b) below, (i) each Term SOFR Loan shall bear interest on the outstanding principal amount thereof for each Interest Period at a rate per annum equal to Term SOFR for such Interest Period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Rate; (ii) each Base Rate Loan shall bear interest on the outstanding principal amount thereof from the applicable borrowing date at a rate per annum equal to the Base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Rate; and (iii) each Swing Line Loan shall bear interest on the outstanding principal amount thereof from the applicable borrowing date at a rate per annum equal to the Base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Applicable Rate (or with respect to any Swing Line Loan advanced pursuant to an Auto Borrow Agreement, such other rate as separately agreed in writing between the Borrower and the Swing Line Lender).</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(i) If any amount of principal of any Loan is not paid when due (without regard to any applicable grace periods), whether at stated maturity, by acceleration or otherwise, such amount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thereafter bear interest at a fluctuating interest rate per annum at all times equal to the Default Rate to the fullest extent permitted by applicable Laws.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 While any Event of Default exists, the Borrower shall (upon request of the Required Lenders except in the case of an Event of Default arising from the failure to pay Loan principal when due) pay interest on the principal amount of all outstanding Obligations hereunder at a fluctuating interest rate per annum at all times equal to the Default Rate to the fullest extent permitted by applicable Laws.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Accrued and unpaid interest on past due amounts (including interest on past due interest) shall be due and payable upon demand.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2.09    </w:t>
      </w:r>
      <w:r>
        <w:rPr>
          <w:rFonts w:ascii="Times New Roman;serif" w:hAnsi="Times New Roman;serif"/>
          <w:b w:val="false"/>
          <w:color w:val="000000"/>
          <w:sz w:val="22"/>
          <w:u w:val="single"/>
        </w:rPr>
        <w:t>Fees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In addition to certain fees described in subsections (h) and (i) of </w:t>
      </w:r>
      <w:r>
        <w:rPr>
          <w:rFonts w:ascii="Times New Roman;serif" w:hAnsi="Times New Roman;serif"/>
          <w:b w:val="false"/>
          <w:color w:val="000000"/>
          <w:sz w:val="22"/>
          <w:u w:val="single"/>
        </w:rPr>
        <w:t>Section 2.03</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Commitment Fee</w:t>
      </w:r>
      <w:r>
        <w:rPr>
          <w:rFonts w:ascii="Times New Roman;serif" w:hAnsi="Times New Roman;serif"/>
          <w:b w:val="false"/>
          <w:color w:val="000000"/>
          <w:sz w:val="22"/>
        </w:rPr>
        <w:t>. The Borrower shall pay to the Administrative Agent, for the account of each Lender in accordance with its Applicable Percentage (with respect to the Revolving Facility), a commitment fee (the “</w:t>
      </w:r>
      <w:r>
        <w:rPr>
          <w:rFonts w:ascii="Times New Roman;serif" w:hAnsi="Times New Roman;serif"/>
          <w:b w:val="false"/>
          <w:color w:val="000000"/>
          <w:sz w:val="22"/>
          <w:u w:val="single"/>
        </w:rPr>
        <w:t>Commitment Fee</w:t>
      </w:r>
      <w:r>
        <w:rPr>
          <w:color w:val="000000"/>
        </w:rPr>
        <w:t>”</w:t>
      </w:r>
      <w:r>
        <w:rPr>
          <w:rFonts w:ascii="Times New Roman;serif" w:hAnsi="Times New Roman;serif"/>
          <w:b w:val="false"/>
          <w:color w:val="000000"/>
          <w:sz w:val="22"/>
        </w:rPr>
        <w:t xml:space="preserve">) equal to the product of (i) the Applicable Rate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 xml:space="preserve">(ii) the actual daily amount by which the Aggregate Revolving Commitments exceed the sum of (A) the Outstanding Amount of Revolving Loans and (B) the Outstanding Amount of L/C Obligations, subject to adjustment as provided in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For the avoidance of doubt, the Outstanding Amount of Swing Line Loans shall not be counted towards or considered usage of the Aggregate Revolving Commitments for purposes of determining the Commitment Fee. The Commitment Fee shall accrue at all times during the Availability Period, including at any time during which one or more of the conditions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pStyle w:val="TextBody"/>
        <w:bidi w:val="0"/>
        <w:spacing w:before="0" w:after="0"/>
        <w:jc w:val="left"/>
        <w:rPr/>
      </w:pPr>
      <w:r>
        <w:rPr/>
      </w:r>
    </w:p>
    <w:p>
      <w:pPr>
        <w:pStyle w:val="TextBody"/>
        <w:bidi w:val="0"/>
        <w:spacing w:lineRule="auto" w:line="268"/>
        <w:ind w:left="0" w:right="0" w:firstLine="1440"/>
        <w:jc w:val="both"/>
        <w:rPr/>
      </w:pPr>
      <w:r>
        <w:rPr>
          <w:rFonts w:ascii="Times New Roman;serif" w:hAnsi="Times New Roman;serif"/>
          <w:b w:val="false"/>
          <w:color w:val="3051F2"/>
          <w:sz w:val="22"/>
        </w:rPr>
        <w:t>(b)</w:t>
      </w:r>
      <w:r>
        <w:rPr>
          <w:color w:val="000000"/>
        </w:rPr>
        <w:t xml:space="preserve">      </w:t>
      </w:r>
      <w:r>
        <w:rPr>
          <w:rFonts w:ascii="Times New Roman;serif" w:hAnsi="Times New Roman;serif"/>
          <w:b w:val="false"/>
          <w:color w:val="0000FF"/>
          <w:sz w:val="22"/>
          <w:u w:val="single"/>
        </w:rPr>
        <w:t xml:space="preserve">Milestone Fee. In the event the Borrower has not repaid the Term Loans in full on or prior to December 31, 2026 (the “Milestone Fee Date”), then the </w:t>
      </w:r>
      <w:r>
        <w:rPr>
          <w:rFonts w:ascii="Times New Roman;serif" w:hAnsi="Times New Roman;serif"/>
          <w:b w:val="false"/>
          <w:color w:val="008000"/>
          <w:sz w:val="22"/>
          <w:u w:val="single"/>
        </w:rPr>
        <w:t>Borrower shall pay to the Administrative Agent, for the account of each Lender</w:t>
      </w:r>
      <w:r>
        <w:rPr>
          <w:rFonts w:ascii="Times New Roman;serif" w:hAnsi="Times New Roman;serif"/>
          <w:b w:val="false"/>
          <w:color w:val="0000FF"/>
          <w:sz w:val="22"/>
          <w:u w:val="single"/>
        </w:rPr>
        <w:t xml:space="preserve">, </w:t>
      </w:r>
      <w:r>
        <w:rPr>
          <w:rFonts w:ascii="Times New Roman;serif" w:hAnsi="Times New Roman;serif"/>
          <w:b w:val="false"/>
          <w:color w:val="008000"/>
          <w:sz w:val="22"/>
          <w:u w:val="single"/>
        </w:rPr>
        <w:t xml:space="preserve">in accordance with its Applicable Percentage, a </w:t>
      </w:r>
      <w:r>
        <w:rPr>
          <w:rFonts w:ascii="Times New Roman;serif" w:hAnsi="Times New Roman;serif"/>
          <w:b w:val="false"/>
          <w:color w:val="0000FF"/>
          <w:sz w:val="22"/>
          <w:u w:val="single"/>
        </w:rPr>
        <w:t xml:space="preserve">milestone fee in an amount equal to $4 million. Such fee shall be due and payable on the Milestone Fee Date. The Administrative Agent may, in its sole discretion, extend the Milestone Fee Date one time by up to twenty (20) days if the Administrative Agent has received evidence satisfactory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FF"/>
          <w:sz w:val="22"/>
          <w:u w:val="single"/>
        </w:rPr>
        <w:t xml:space="preserve">Administrative Agent in its sole discretion that a Deleveraging Transaction (as defined </w:t>
      </w:r>
      <w:r>
        <w:rPr>
          <w:rFonts w:ascii="Times New Roman;serif" w:hAnsi="Times New Roman;serif"/>
          <w:b w:val="false"/>
          <w:color w:val="008000"/>
          <w:sz w:val="22"/>
          <w:u w:val="single"/>
        </w:rPr>
        <w:t>in the Fifth Amendment Transaction Letter</w:t>
      </w:r>
      <w:r>
        <w:rPr>
          <w:rFonts w:ascii="Times New Roman;serif" w:hAnsi="Times New Roman;serif"/>
          <w:b w:val="false"/>
          <w:color w:val="0000FF"/>
          <w:sz w:val="22"/>
          <w:u w:val="single"/>
        </w:rPr>
        <w:t xml:space="preserve">) is in process and such Deleveraging Transaction if consummated would result in the repayment in full of the Term Loans. Such fee </w:t>
      </w:r>
      <w:r>
        <w:rPr>
          <w:rFonts w:ascii="Times New Roman;serif" w:hAnsi="Times New Roman;serif"/>
          <w:b w:val="false"/>
          <w:color w:val="008000"/>
          <w:sz w:val="22"/>
          <w:u w:val="single"/>
        </w:rPr>
        <w:t>shall be fully earned when paid and shall not be refundable for any reason whatsoever.</w:t>
      </w:r>
    </w:p>
    <w:p>
      <w:pPr>
        <w:pStyle w:val="TextBody"/>
        <w:bidi w:val="0"/>
        <w:spacing w:lineRule="auto" w:line="288" w:before="0" w:after="0"/>
        <w:ind w:left="0" w:right="0" w:firstLine="1440"/>
        <w:jc w:val="both"/>
        <w:rPr/>
      </w:pPr>
      <w:r>
        <w:rPr>
          <w:rFonts w:ascii="Times New Roman;serif" w:hAnsi="Times New Roman;serif"/>
          <w:b w:val="false"/>
          <w:color w:val="000000"/>
          <w:sz w:val="22"/>
        </w:rPr>
        <w:t>(</w:t>
      </w:r>
      <w:r>
        <w:rPr>
          <w:rFonts w:ascii="Times New Roman;serif" w:hAnsi="Times New Roman;serif"/>
          <w:b w:val="false"/>
          <w:strike/>
          <w:color w:val="EE2724"/>
          <w:sz w:val="22"/>
        </w:rPr>
        <w:t>b</w:t>
      </w:r>
      <w:r>
        <w:rPr>
          <w:rFonts w:ascii="Times New Roman;serif" w:hAnsi="Times New Roman;serif"/>
          <w:b w:val="false"/>
          <w:color w:val="000000"/>
          <w:sz w:val="22"/>
        </w:rPr>
        <w:t>c)    </w:t>
      </w:r>
      <w:r>
        <w:rPr>
          <w:rFonts w:ascii="Times New Roman;serif" w:hAnsi="Times New Roman;serif"/>
          <w:b w:val="false"/>
          <w:color w:val="000000"/>
          <w:sz w:val="22"/>
          <w:u w:val="single"/>
        </w:rPr>
        <w:t>Other Fees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The Borrower shall pay to the Arrangers and the Administrative Agent for their own respective accounts fees in the amounts and at the times specified in the Fee Letter and as otherwise separately agreed upon in writing in the amounts and at the times so specified. Such fees shall be fully earned when paid and shall not be refundable for any reason whatsoever.</w:t>
      </w:r>
    </w:p>
    <w:p>
      <w:pPr>
        <w:pStyle w:val="TextBody"/>
        <w:bidi w:val="0"/>
        <w:spacing w:before="0" w:after="0"/>
        <w:jc w:val="left"/>
        <w:rPr/>
      </w:pPr>
      <w:r>
        <w:rPr/>
      </w:r>
    </w:p>
    <w:p>
      <w:pPr>
        <w:pStyle w:val="TextBody"/>
        <w:bidi w:val="0"/>
        <w:spacing w:lineRule="auto" w:line="268" w:before="0" w:after="0"/>
        <w:ind w:left="0" w:right="0" w:firstLine="2160"/>
        <w:jc w:val="both"/>
        <w:rPr/>
      </w:pPr>
      <w:r>
        <w:rPr>
          <w:rFonts w:ascii="Times New Roman;serif" w:hAnsi="Times New Roman;serif"/>
          <w:b w:val="false"/>
          <w:strike/>
          <w:color w:val="FF0000"/>
          <w:sz w:val="22"/>
        </w:rPr>
        <w:t>(ii)</w:t>
      </w:r>
      <w:r>
        <w:rPr>
          <w:color w:val="000000"/>
        </w:rPr>
        <w:t xml:space="preserve"> </w:t>
      </w:r>
      <w:r>
        <w:rPr>
          <w:rFonts w:ascii="Times New Roman;serif" w:hAnsi="Times New Roman;serif"/>
          <w:b w:val="false"/>
          <w:strike/>
          <w:color w:val="FF0000"/>
          <w:sz w:val="22"/>
        </w:rPr>
        <w:t xml:space="preserve">The </w:t>
      </w:r>
      <w:r>
        <w:rPr>
          <w:rFonts w:ascii="Times New Roman;serif" w:hAnsi="Times New Roman;serif"/>
          <w:b w:val="false"/>
          <w:strike/>
          <w:color w:val="008000"/>
          <w:sz w:val="22"/>
        </w:rPr>
        <w:t xml:space="preserve">Borrower shall pay to the </w:t>
      </w:r>
      <w:r>
        <w:rPr>
          <w:rFonts w:ascii="Times New Roman;serif" w:hAnsi="Times New Roman;serif"/>
          <w:b w:val="false"/>
          <w:strike/>
          <w:color w:val="FF0000"/>
          <w:sz w:val="22"/>
        </w:rPr>
        <w:t xml:space="preserve">Lenders the fees set forth </w:t>
      </w:r>
      <w:r>
        <w:rPr>
          <w:rFonts w:ascii="Times New Roman;serif" w:hAnsi="Times New Roman;serif"/>
          <w:b w:val="false"/>
          <w:strike/>
          <w:color w:val="008000"/>
          <w:sz w:val="22"/>
        </w:rPr>
        <w:t xml:space="preserve">in the Fifth Amendment Transaction Letter </w:t>
      </w:r>
      <w:r>
        <w:rPr>
          <w:rFonts w:ascii="Times New Roman;serif" w:hAnsi="Times New Roman;serif"/>
          <w:b w:val="false"/>
          <w:strike/>
          <w:color w:val="FF0000"/>
          <w:sz w:val="22"/>
        </w:rPr>
        <w:t xml:space="preserve">and any other fees as shall have been separately agreed upon in writing in the amounts and at the times so specified. Except as otherwise agreed by the Borrower and the Lenders, such fees </w:t>
      </w:r>
      <w:r>
        <w:rPr>
          <w:rFonts w:ascii="Times New Roman;serif" w:hAnsi="Times New Roman;serif"/>
          <w:b w:val="false"/>
          <w:strike/>
          <w:color w:val="008000"/>
          <w:sz w:val="22"/>
        </w:rPr>
        <w:t>shall be fully earned when paid and shall not be refundable for any reason whatsoever.</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strike/>
          <w:color w:val="FF0000"/>
          <w:sz w:val="22"/>
        </w:rPr>
        <w:t>(c)</w:t>
      </w:r>
      <w:r>
        <w:rPr>
          <w:color w:val="000000"/>
        </w:rPr>
        <w:t xml:space="preserve"> </w:t>
      </w:r>
      <w:r>
        <w:rPr>
          <w:rFonts w:ascii="Times New Roman;serif" w:hAnsi="Times New Roman;serif"/>
          <w:b w:val="false"/>
          <w:strike/>
          <w:color w:val="FF0000"/>
          <w:sz w:val="22"/>
          <w:u w:val="single"/>
        </w:rPr>
        <w:t>Incremental DDTL Commitment Fee</w:t>
      </w:r>
      <w:r>
        <w:rPr>
          <w:rFonts w:ascii="Times New Roman;serif" w:hAnsi="Times New Roman;serif"/>
          <w:b w:val="false"/>
          <w:strike/>
          <w:color w:val="FF0000"/>
          <w:sz w:val="22"/>
        </w:rPr>
        <w:t xml:space="preserve">. The Borrower shall pay to the </w:t>
      </w:r>
      <w:r>
        <w:rPr>
          <w:rFonts w:ascii="Times New Roman;serif" w:hAnsi="Times New Roman;serif"/>
          <w:b w:val="false"/>
          <w:strike/>
          <w:color w:val="008000"/>
          <w:sz w:val="22"/>
        </w:rPr>
        <w:t xml:space="preserve">Administrative Agent, for the account of each Lender in accordance with its Applicable Percentage, a </w:t>
      </w:r>
      <w:r>
        <w:rPr>
          <w:rFonts w:ascii="Times New Roman;serif" w:hAnsi="Times New Roman;serif"/>
          <w:b w:val="false"/>
          <w:strike/>
          <w:color w:val="FF0000"/>
          <w:sz w:val="22"/>
        </w:rPr>
        <w:t>commitment fee (the “</w:t>
      </w:r>
      <w:r>
        <w:rPr>
          <w:rFonts w:ascii="Times New Roman;serif" w:hAnsi="Times New Roman;serif"/>
          <w:b w:val="false"/>
          <w:strike/>
          <w:color w:val="FF0000"/>
          <w:sz w:val="22"/>
          <w:u w:val="single"/>
        </w:rPr>
        <w:t>Incremental DDTL Commitment Fee</w:t>
      </w:r>
      <w:r>
        <w:rPr>
          <w:strike/>
          <w:color w:val="FF0000"/>
        </w:rPr>
        <w:t>”</w:t>
      </w:r>
      <w:r>
        <w:rPr>
          <w:rFonts w:ascii="Times New Roman;serif" w:hAnsi="Times New Roman;serif"/>
          <w:b w:val="false"/>
          <w:strike/>
          <w:color w:val="FF0000"/>
          <w:sz w:val="22"/>
        </w:rPr>
        <w:t xml:space="preserve">) equal to the product of (i) the Applicable Rate </w:t>
      </w:r>
      <w:r>
        <w:rPr>
          <w:rFonts w:ascii="Times New Roman;serif" w:hAnsi="Times New Roman;serif"/>
          <w:b w:val="false"/>
          <w:strike/>
          <w:color w:val="FF0000"/>
          <w:sz w:val="22"/>
          <w:u w:val="single"/>
        </w:rPr>
        <w:t>times</w:t>
      </w:r>
      <w:r>
        <w:rPr>
          <w:strike/>
          <w:color w:val="FF0000"/>
        </w:rPr>
        <w:t xml:space="preserve"> </w:t>
      </w:r>
      <w:r>
        <w:rPr>
          <w:rFonts w:ascii="Times New Roman;serif" w:hAnsi="Times New Roman;serif"/>
          <w:b w:val="false"/>
          <w:strike/>
          <w:color w:val="FF0000"/>
          <w:sz w:val="22"/>
        </w:rPr>
        <w:t xml:space="preserve">(ii) the actual daily amount by which the Incremental Delayed Draw Term Loan Commitments exceed the Incremental Delayed Draw Term Loans, subject to adjustment as provided in </w:t>
      </w:r>
      <w:r>
        <w:rPr>
          <w:rFonts w:ascii="Times New Roman;serif" w:hAnsi="Times New Roman;serif"/>
          <w:b w:val="false"/>
          <w:strike/>
          <w:color w:val="FF0000"/>
          <w:sz w:val="22"/>
          <w:u w:val="single"/>
        </w:rPr>
        <w:t>Section 2.15</w:t>
      </w:r>
      <w:r>
        <w:rPr>
          <w:rFonts w:ascii="Times New Roman;serif" w:hAnsi="Times New Roman;serif"/>
          <w:b w:val="false"/>
          <w:strike/>
          <w:color w:val="FF0000"/>
          <w:sz w:val="22"/>
        </w:rPr>
        <w:t xml:space="preserve">. The Incremental DDTL Commitment Fee shall accrue at all times during the Incremental DDTL Availability Period, and shall be due and payable quarterly in arrears on the last Business Day of each March, June, September and December, commencing with March 31, 2025, and </w:t>
      </w:r>
      <w:r>
        <w:rPr>
          <w:rFonts w:ascii="Times New Roman;serif" w:hAnsi="Times New Roman;serif"/>
          <w:b w:val="false"/>
          <w:strike/>
          <w:color w:val="008000"/>
          <w:sz w:val="22"/>
        </w:rPr>
        <w:t xml:space="preserve">on the last day of the </w:t>
      </w:r>
      <w:r>
        <w:rPr>
          <w:rFonts w:ascii="Times New Roman;serif" w:hAnsi="Times New Roman;serif"/>
          <w:b w:val="false"/>
          <w:strike/>
          <w:color w:val="FF0000"/>
          <w:sz w:val="22"/>
        </w:rPr>
        <w:t xml:space="preserve">Incremental DDTL Availability Period. The Incremental DDTL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2.10    </w:t>
      </w:r>
      <w:r>
        <w:rPr>
          <w:rFonts w:ascii="Times New Roman;serif" w:hAnsi="Times New Roman;serif"/>
          <w:b w:val="false"/>
          <w:color w:val="000000"/>
          <w:sz w:val="22"/>
          <w:u w:val="single"/>
        </w:rPr>
        <w:t>Computation of Interest and Fees; Retroactive Adjustments of Applicable Rate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Loan that is repaid on the same day on which it is made shall, subject to </w:t>
      </w:r>
      <w:r>
        <w:rPr>
          <w:rFonts w:ascii="Times New Roman;serif" w:hAnsi="Times New Roman;serif"/>
          <w:b w:val="false"/>
          <w:color w:val="000000"/>
          <w:sz w:val="22"/>
          <w:u w:val="single"/>
        </w:rPr>
        <w:t>Section 2.12(a)</w:t>
      </w:r>
      <w:r>
        <w:rPr>
          <w:rFonts w:ascii="Times New Roman;serif" w:hAnsi="Times New Roman;serif"/>
          <w:b w:val="false"/>
          <w:color w:val="000000"/>
          <w:sz w:val="22"/>
        </w:rPr>
        <w:t>, bear interest for one day. Each determination by the Administrative Agent of an interest rate or fee hereunder shall be conclusive and binding for all purposes, absent manifest error.</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If, as a result of any restatement of or other adjustment to the financial statements of the Borrower or for any other reason, the Borrower or the Lenders determine that (i) the Consolidated Total Leverage Ratio as calculated by the Borrower as of any applicable date was inaccurate and (ii) a proper calculation of the Consolidated Total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this Agreement. The Borrower’s obligations under this paragraph shall survive the termination of the Aggregate Revolving Commitments and the repayment of all other Obligations hereunder.</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2.11    </w:t>
      </w:r>
      <w:r>
        <w:rPr>
          <w:rFonts w:ascii="Times New Roman;serif" w:hAnsi="Times New Roman;serif"/>
          <w:b w:val="false"/>
          <w:color w:val="000000"/>
          <w:sz w:val="22"/>
          <w:u w:val="single"/>
        </w:rPr>
        <w:t>Evidence of Debt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promissory note, which shall evidence such Lender’s Loans in addition to such accounts or records. Each such promissory note shall be in the form of </w:t>
      </w:r>
      <w:r>
        <w:rPr>
          <w:rFonts w:ascii="Times New Roman;serif" w:hAnsi="Times New Roman;serif"/>
          <w:b w:val="false"/>
          <w:color w:val="000000"/>
          <w:sz w:val="22"/>
          <w:u w:val="single"/>
        </w:rPr>
        <w:t>Exhibit D</w:t>
      </w:r>
      <w:r>
        <w:rPr>
          <w:color w:val="000000"/>
        </w:rPr>
        <w:t xml:space="preserve"> </w:t>
      </w:r>
      <w:r>
        <w:rPr>
          <w:rFonts w:ascii="Times New Roman;serif" w:hAnsi="Times New Roman;serif"/>
          <w:b w:val="false"/>
          <w:color w:val="000000"/>
          <w:sz w:val="22"/>
        </w:rPr>
        <w:t>(a “</w:t>
      </w:r>
      <w:r>
        <w:rPr>
          <w:rFonts w:ascii="Times New Roman;serif" w:hAnsi="Times New Roman;serif"/>
          <w:b w:val="false"/>
          <w:color w:val="000000"/>
          <w:sz w:val="22"/>
          <w:u w:val="single"/>
        </w:rPr>
        <w:t>Note</w:t>
      </w:r>
      <w:r>
        <w:rPr>
          <w:color w:val="000000"/>
        </w:rPr>
        <w:t>”</w:t>
      </w:r>
      <w:r>
        <w:rPr>
          <w:rFonts w:ascii="Times New Roman;serif" w:hAnsi="Times New Roman;serif"/>
          <w:b w:val="false"/>
          <w:color w:val="000000"/>
          <w:sz w:val="22"/>
        </w:rPr>
        <w:t>). Each Lender may attach schedules to its Note and endorse thereon the date, Type (if applicable), amount and maturity of its Loans and payments with respect thereto.</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In addition to the accounts and records referred to in subsection (a) above,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2.12    </w:t>
      </w:r>
      <w:r>
        <w:rPr>
          <w:rFonts w:ascii="Times New Roman;serif" w:hAnsi="Times New Roman;serif"/>
          <w:b w:val="false"/>
          <w:color w:val="000000"/>
          <w:sz w:val="22"/>
          <w:u w:val="single"/>
        </w:rPr>
        <w:t>Payments Generally; Administrative Agent’s Clawback</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General</w:t>
      </w:r>
      <w:r>
        <w:rPr>
          <w:rFonts w:ascii="Times New Roman;serif" w:hAnsi="Times New Roman;serif"/>
          <w:b w:val="false"/>
          <w:color w:val="000000"/>
          <w:sz w:val="22"/>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(b) (i) </w:t>
      </w:r>
      <w:r>
        <w:rPr>
          <w:rFonts w:ascii="Times New Roman;serif" w:hAnsi="Times New Roman;serif"/>
          <w:b w:val="false"/>
          <w:color w:val="000000"/>
          <w:sz w:val="22"/>
          <w:u w:val="single"/>
        </w:rPr>
        <w:t>Funding by Lenders; Presumption by Administrative Agent</w:t>
      </w:r>
      <w:r>
        <w:rPr>
          <w:rFonts w:ascii="Times New Roman;serif" w:hAnsi="Times New Roman;serif"/>
          <w:b w:val="false"/>
          <w:color w:val="000000"/>
          <w:sz w:val="22"/>
        </w:rPr>
        <w:t xml:space="preserve">. Unless the Administrative Agent shall have received notice from a Lender prior to the proposed date of any Borrowing of Term SOFR Loans (or, in the case of any Borrowing of Base Rate Loans, prior to 12:00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(or, in the case of a Borrowing of Base Rate Loans, that such Lender has made such share available in accordance with and at the time required by </w:t>
      </w:r>
      <w:r>
        <w:rPr>
          <w:rFonts w:ascii="Times New Roman;serif" w:hAnsi="Times New Roman;serif"/>
          <w:b w:val="false"/>
          <w:color w:val="000000"/>
          <w:sz w:val="22"/>
          <w:u w:val="single"/>
        </w:rPr>
        <w:t>Section 2.02</w:t>
      </w:r>
      <w:r>
        <w:rPr>
          <w:rFonts w:ascii="Times New Roman;serif" w:hAnsi="Times New Roman;serif"/>
          <w:b w:val="false"/>
          <w:color w:val="000000"/>
          <w:sz w:val="22"/>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w:t>
      </w:r>
      <w:r>
        <w:rPr>
          <w:rFonts w:ascii="Times New Roman;serif" w:hAnsi="Times New Roman;serif"/>
          <w:b w:val="false"/>
          <w:color w:val="000000"/>
          <w:sz w:val="22"/>
          <w:u w:val="single"/>
        </w:rPr>
        <w:t>Payments by Borrower; Presumptions by Administrative Agent</w:t>
      </w:r>
      <w:r>
        <w:rPr>
          <w:rFonts w:ascii="Times New Roman;serif" w:hAnsi="Times New Roman;serif"/>
          <w:b w:val="false"/>
          <w:color w:val="000000"/>
          <w:sz w:val="22"/>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applicable Lenders or L/C Issuer, as the case may be, the amount due. With respect to</w:t>
      </w:r>
      <w:r>
        <w:rPr>
          <w:color w:val="000000"/>
        </w:rPr>
        <w:t xml:space="preserve"> </w:t>
      </w:r>
      <w:r>
        <w:rPr>
          <w:rFonts w:ascii="Times New Roman;serif" w:hAnsi="Times New Roman;serif"/>
          <w:b w:val="false"/>
          <w:color w:val="000000"/>
          <w:sz w:val="22"/>
        </w:rPr>
        <w:t>any payment that</w:t>
      </w:r>
      <w:r>
        <w:rPr>
          <w:color w:val="000000"/>
        </w:rPr>
        <w:t xml:space="preserve"> </w:t>
      </w:r>
      <w:r>
        <w:rPr>
          <w:rFonts w:ascii="Times New Roman;serif" w:hAnsi="Times New Roman;serif"/>
          <w:b w:val="false"/>
          <w:color w:val="000000"/>
          <w:sz w:val="22"/>
        </w:rPr>
        <w:t>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serif" w:hAnsi="Times New Roman;serif"/>
          <w:b w:val="false"/>
          <w:color w:val="000000"/>
          <w:sz w:val="22"/>
          <w:u w:val="single"/>
        </w:rPr>
        <w:t>Rescindable Amount</w:t>
      </w:r>
      <w:r>
        <w:rPr>
          <w:color w:val="000000"/>
        </w:rPr>
        <w:t>”</w:t>
      </w:r>
      <w:r>
        <w:rPr>
          <w:rFonts w:ascii="Times New Roman;serif" w:hAnsi="Times New Roman;serif"/>
          <w:b w:val="false"/>
          <w:color w:val="000000"/>
          <w:sz w:val="22"/>
        </w:rPr>
        <w:t>): (A) the Borrower has not in fact made such payment; (B) the Administrative Agent has made a payment in excess of the amount so paid by the Borrower (whether or not then owed); or (C) the Administrative Agent has for any reason otherwise erroneously made such payment, then each applicable Lender or L/C Issuer, as the case may be, severally agrees to repay to the Administrative Agent forthwith on demand the amount so distributed to such Lender or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notice of the Administrative Agent to any Lender or L/C Issuer or to the Borrower with respect to any amount owing under this subsection (b) shall be conclusive, absent manifest error.</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Failure to Satisfy Conditions Precedent</w:t>
      </w:r>
      <w:r>
        <w:rPr>
          <w:rFonts w:ascii="Times New Roman;serif" w:hAnsi="Times New Roman;serif"/>
          <w:b w:val="false"/>
          <w:color w:val="000000"/>
          <w:sz w:val="22"/>
        </w:rPr>
        <w:t xml:space="preserve">. If any Lender makes available to the Administrative Agent funds for any Loan to be made by such Lender as provided in the foregoing provisions of this </w:t>
      </w:r>
      <w:r>
        <w:rPr>
          <w:rFonts w:ascii="Times New Roman;serif" w:hAnsi="Times New Roman;serif"/>
          <w:b w:val="false"/>
          <w:color w:val="000000"/>
          <w:sz w:val="22"/>
          <w:u w:val="single"/>
        </w:rPr>
        <w:t>Article II</w:t>
      </w:r>
      <w:r>
        <w:rPr>
          <w:rFonts w:ascii="Times New Roman;serif" w:hAnsi="Times New Roman;serif"/>
          <w:b w:val="false"/>
          <w:color w:val="000000"/>
          <w:sz w:val="22"/>
        </w:rPr>
        <w:t xml:space="preserve">, and such funds are not made available to the Borrower by the Administrative Agent because the conditions to the applicable Credit Extension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are not satisfied or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waived in accordance with the terms hereof, the Administrative Agent shall return such funds (in like funds as received from such Lender) to such Lender, without interest.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Obligations of Lenders Several</w:t>
      </w:r>
      <w:r>
        <w:rPr>
          <w:rFonts w:ascii="Times New Roman;serif" w:hAnsi="Times New Roman;serif"/>
          <w:b w:val="false"/>
          <w:color w:val="000000"/>
          <w:sz w:val="22"/>
        </w:rPr>
        <w:t xml:space="preserve">. The obligations of the Lenders hereunder to make Loans, to fund participations in Letters of Credit and Swing Line Loans and to make payments pursuant to </w:t>
      </w:r>
      <w:r>
        <w:rPr>
          <w:rFonts w:ascii="Times New Roman;serif" w:hAnsi="Times New Roman;serif"/>
          <w:b w:val="false"/>
          <w:color w:val="000000"/>
          <w:sz w:val="22"/>
          <w:u w:val="single"/>
        </w:rPr>
        <w:t>Section 10.04(c)</w:t>
      </w:r>
      <w:r>
        <w:rPr>
          <w:color w:val="000000"/>
        </w:rPr>
        <w:t xml:space="preserve"> </w:t>
      </w:r>
      <w:r>
        <w:rPr>
          <w:rFonts w:ascii="Times New Roman;serif" w:hAnsi="Times New Roman;serif"/>
          <w:b w:val="false"/>
          <w:color w:val="000000"/>
          <w:sz w:val="22"/>
        </w:rPr>
        <w:t xml:space="preserve">are several and not joint. The failure of any Lender to make any Loan, to fund any such participation or to make any payment under </w:t>
      </w:r>
      <w:r>
        <w:rPr>
          <w:rFonts w:ascii="Times New Roman;serif" w:hAnsi="Times New Roman;serif"/>
          <w:b w:val="false"/>
          <w:color w:val="000000"/>
          <w:sz w:val="22"/>
          <w:u w:val="single"/>
        </w:rPr>
        <w:t>Section 10.04(c)</w:t>
      </w:r>
      <w:r>
        <w:rPr>
          <w:color w:val="000000"/>
        </w:rPr>
        <w:t xml:space="preserve"> </w:t>
      </w:r>
      <w:r>
        <w:rPr>
          <w:rFonts w:ascii="Times New Roman;serif" w:hAnsi="Times New Roman;serif"/>
          <w:b w:val="false"/>
          <w:color w:val="000000"/>
          <w:sz w:val="22"/>
        </w:rPr>
        <w:t xml:space="preserve">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serif" w:hAnsi="Times New Roman;serif"/>
          <w:b w:val="false"/>
          <w:color w:val="000000"/>
          <w:sz w:val="22"/>
          <w:u w:val="single"/>
        </w:rPr>
        <w:t>Section 10.04(c)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Funding Source</w:t>
      </w:r>
      <w:r>
        <w:rPr>
          <w:rFonts w:ascii="Times New Roman;serif" w:hAnsi="Times New Roman;serif"/>
          <w:b w:val="false"/>
          <w:color w:val="000000"/>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2.13    </w:t>
      </w:r>
      <w:r>
        <w:rPr>
          <w:rFonts w:ascii="Times New Roman;serif" w:hAnsi="Times New Roman;serif"/>
          <w:b w:val="false"/>
          <w:color w:val="000000"/>
          <w:sz w:val="22"/>
          <w:u w:val="single"/>
        </w:rPr>
        <w:t>Sharing of Payments by Lenders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If any Lender shall, by exercising any right of setoff or counterclaim or otherwise, obtain 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w:t>
      </w:r>
      <w:r>
        <w:rPr>
          <w:rFonts w:ascii="Times New Roman;serif" w:hAnsi="Times New Roman;serif"/>
          <w:b w:val="false"/>
          <w:color w:val="000000"/>
          <w:sz w:val="22"/>
          <w:u w:val="single"/>
        </w:rPr>
        <w:t>pro</w:t>
      </w:r>
      <w:r>
        <w:rPr>
          <w:color w:val="000000"/>
        </w:rPr>
        <w:t xml:space="preserve"> </w:t>
      </w:r>
      <w:r>
        <w:rPr>
          <w:rFonts w:ascii="Times New Roman;serif" w:hAnsi="Times New Roman;serif"/>
          <w:b w:val="false"/>
          <w:color w:val="000000"/>
          <w:sz w:val="22"/>
          <w:u w:val="single"/>
        </w:rPr>
        <w:t>rata</w:t>
      </w:r>
      <w:r>
        <w:rPr>
          <w:color w:val="000000"/>
        </w:rPr>
        <w:t xml:space="preserve"> </w:t>
      </w:r>
      <w:r>
        <w:rPr>
          <w:rFonts w:ascii="Times New Roman;serif" w:hAnsi="Times New Roman;serif"/>
          <w:b w:val="false"/>
          <w:color w:val="000000"/>
          <w:sz w:val="22"/>
        </w:rPr>
        <w:t xml:space="preserve">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the provisions of this Section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or (C) any payment obtained by a Lender as consideration for the assignment of or sale of a participation in any of its Loans or subparticipations in L/C Obligations or Swing Line Loans to any assignee or participant, other than an assignment to the Borrower or any Subsidiary (as to which the provisions of this Section shall apply).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2.14    </w:t>
      </w:r>
      <w:r>
        <w:rPr>
          <w:rFonts w:ascii="Times New Roman;serif" w:hAnsi="Times New Roman;serif"/>
          <w:b w:val="false"/>
          <w:color w:val="000000"/>
          <w:sz w:val="22"/>
          <w:u w:val="single"/>
        </w:rPr>
        <w:t>Cash Collateral</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Certain Credit Support Events</w:t>
      </w:r>
      <w:r>
        <w:rPr>
          <w:rFonts w:ascii="Times New Roman;serif" w:hAnsi="Times New Roman;serif"/>
          <w:b w:val="false"/>
          <w:color w:val="000000"/>
          <w:sz w:val="22"/>
        </w:rPr>
        <w:t xml:space="preserve">. If (i) the L/C Issuer has honored any full or partial drawing request under any Letter of Credit and such drawing has resulted in an L/C Borrowing, (ii) as of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the Letter of Credit Expiration Date, any L/C Obligation for any reason remains outstanding, (iii) the Borrower shall be required to provide Cash Collateral pursuant to </w:t>
      </w:r>
      <w:r>
        <w:rPr>
          <w:rFonts w:ascii="Times New Roman;serif" w:hAnsi="Times New Roman;serif"/>
          <w:b w:val="false"/>
          <w:color w:val="000000"/>
          <w:sz w:val="22"/>
          <w:u w:val="single"/>
        </w:rPr>
        <w:t>Section 8.02(c)</w:t>
      </w:r>
      <w:r>
        <w:rPr>
          <w:color w:val="000000"/>
        </w:rPr>
        <w:t xml:space="preserve"> </w:t>
      </w:r>
      <w:r>
        <w:rPr>
          <w:rFonts w:ascii="Times New Roman;serif" w:hAnsi="Times New Roman;serif"/>
          <w:b w:val="false"/>
          <w:color w:val="000000"/>
          <w:sz w:val="22"/>
        </w:rPr>
        <w:t xml:space="preserve">or (iv) there shall exist a Defaulting Lender, the Borrower shall immediately (in the case of </w:t>
      </w:r>
      <w:r>
        <w:rPr>
          <w:rFonts w:ascii="Times New Roman;serif" w:hAnsi="Times New Roman;serif"/>
          <w:b w:val="false"/>
          <w:color w:val="000000"/>
          <w:sz w:val="22"/>
          <w:u w:val="single"/>
        </w:rPr>
        <w:t>clause (iii)</w:t>
      </w:r>
      <w:r>
        <w:rPr>
          <w:color w:val="000000"/>
        </w:rPr>
        <w:t xml:space="preserve"> </w:t>
      </w:r>
      <w:r>
        <w:rPr>
          <w:rFonts w:ascii="Times New Roman;serif" w:hAnsi="Times New Roman;serif"/>
          <w:b w:val="false"/>
          <w:color w:val="000000"/>
          <w:sz w:val="22"/>
        </w:rPr>
        <w:t xml:space="preserve">above) or within one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Times New Roman;serif" w:hAnsi="Times New Roman;serif"/>
          <w:b w:val="false"/>
          <w:color w:val="000000"/>
          <w:sz w:val="22"/>
          <w:u w:val="single"/>
        </w:rPr>
        <w:t>clause (iv)</w:t>
      </w:r>
      <w:r>
        <w:rPr>
          <w:color w:val="000000"/>
        </w:rPr>
        <w:t xml:space="preserve"> </w:t>
      </w:r>
      <w:r>
        <w:rPr>
          <w:rFonts w:ascii="Times New Roman;serif" w:hAnsi="Times New Roman;serif"/>
          <w:b w:val="false"/>
          <w:color w:val="000000"/>
          <w:sz w:val="22"/>
        </w:rPr>
        <w:t xml:space="preserve">above, after giving effect to </w:t>
      </w:r>
      <w:r>
        <w:rPr>
          <w:rFonts w:ascii="Times New Roman;serif" w:hAnsi="Times New Roman;serif"/>
          <w:b w:val="false"/>
          <w:color w:val="000000"/>
          <w:sz w:val="22"/>
          <w:u w:val="single"/>
        </w:rPr>
        <w:t>Section 2.15(b)</w:t>
      </w:r>
      <w:r>
        <w:rPr>
          <w:color w:val="000000"/>
        </w:rPr>
        <w:t xml:space="preserve"> </w:t>
      </w:r>
      <w:r>
        <w:rPr>
          <w:rFonts w:ascii="Times New Roman;serif" w:hAnsi="Times New Roman;serif"/>
          <w:b w:val="false"/>
          <w:color w:val="000000"/>
          <w:sz w:val="22"/>
        </w:rPr>
        <w:t>and any Cash Collateral provided by the Defaulting Lender).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Grant of Security Interest</w:t>
      </w:r>
      <w:r>
        <w:rPr>
          <w:rFonts w:ascii="Times New Roman;serif" w:hAnsi="Times New Roman;serif"/>
          <w:b w:val="false"/>
          <w:color w:val="000000"/>
          <w:sz w:val="22"/>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serif" w:hAnsi="Times New Roman;serif"/>
          <w:b w:val="false"/>
          <w:color w:val="000000"/>
          <w:sz w:val="22"/>
          <w:u w:val="single"/>
        </w:rPr>
        <w:t>Section 2.14(c)</w:t>
      </w:r>
      <w:r>
        <w:rPr>
          <w:rFonts w:ascii="Times New Roman;serif" w:hAnsi="Times New Roman;serif"/>
          <w:b w:val="false"/>
          <w:color w:val="000000"/>
          <w:sz w:val="22"/>
        </w:rPr>
        <w:t xml:space="preserve">. If at any time the Administrative Agent determines that Cash Collateral is subject to any right or claim of any Person other than the Administrative Agent or the L/C Issuer as herein provided (other than Liens permitted under </w:t>
      </w:r>
      <w:r>
        <w:rPr>
          <w:rFonts w:ascii="Times New Roman;serif" w:hAnsi="Times New Roman;serif"/>
          <w:b w:val="false"/>
          <w:color w:val="000000"/>
          <w:sz w:val="22"/>
          <w:u w:val="single"/>
        </w:rPr>
        <w:t>Section 7.01(m)</w:t>
      </w:r>
      <w:r>
        <w:rPr>
          <w:rFonts w:ascii="Times New Roman;serif" w:hAnsi="Times New Roman;serif"/>
          <w:b w:val="false"/>
          <w:color w:val="000000"/>
          <w:sz w:val="22"/>
        </w:rPr>
        <w:t>),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Application</w:t>
      </w:r>
      <w:r>
        <w:rPr>
          <w:rFonts w:ascii="Times New Roman;serif" w:hAnsi="Times New Roman;serif"/>
          <w:b w:val="false"/>
          <w:color w:val="000000"/>
          <w:sz w:val="22"/>
        </w:rPr>
        <w:t xml:space="preserve">. Notwithstanding anything to the contrary contained in this Agreement, Cash Collateral provided under any of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Sections 2.03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8.02</w:t>
      </w:r>
      <w:r>
        <w:rPr>
          <w:color w:val="000000"/>
        </w:rPr>
        <w:t xml:space="preserve"> </w:t>
      </w:r>
      <w:r>
        <w:rPr>
          <w:rFonts w:ascii="Times New Roman;serif" w:hAnsi="Times New Roman;serif"/>
          <w:b w:val="false"/>
          <w:color w:val="000000"/>
          <w:sz w:val="22"/>
        </w:rPr>
        <w:t>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Release</w:t>
      </w:r>
      <w:r>
        <w:rPr>
          <w:rFonts w:ascii="Times New Roman;serif" w:hAnsi="Times New Roman;serif"/>
          <w:b w:val="false"/>
          <w:color w:val="000000"/>
          <w:sz w:val="22"/>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serif" w:hAnsi="Times New Roman;serif"/>
          <w:b w:val="false"/>
          <w:color w:val="000000"/>
          <w:sz w:val="22"/>
          <w:u w:val="single"/>
        </w:rPr>
        <w:t>Section 10.06(b)(vi)</w:t>
      </w:r>
      <w:r>
        <w:rPr>
          <w:rFonts w:ascii="Times New Roman;serif" w:hAnsi="Times New Roman;serif"/>
          <w:b w:val="false"/>
          <w:color w:val="000000"/>
          <w:sz w:val="22"/>
        </w:rPr>
        <w:t xml:space="preserve">)) or (ii) the determination by the Administrative Agent and the L/C Issuer that there exists excess Cash Collateral; </w:t>
      </w:r>
      <w:r>
        <w:rPr>
          <w:rFonts w:ascii="Times New Roman;serif" w:hAnsi="Times New Roman;serif"/>
          <w:b w:val="false"/>
          <w:color w:val="000000"/>
          <w:sz w:val="22"/>
          <w:u w:val="single"/>
        </w:rPr>
        <w:t>provided</w:t>
      </w:r>
      <w:r>
        <w:rPr>
          <w:rFonts w:ascii="Times New Roman;serif" w:hAnsi="Times New Roman;serif"/>
          <w:b w:val="false"/>
          <w:color w:val="000000"/>
          <w:sz w:val="22"/>
        </w:rPr>
        <w:t>, however,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2.15    </w:t>
      </w:r>
      <w:r>
        <w:rPr>
          <w:rFonts w:ascii="Times New Roman;serif" w:hAnsi="Times New Roman;serif"/>
          <w:b w:val="false"/>
          <w:color w:val="000000"/>
          <w:sz w:val="22"/>
          <w:u w:val="single"/>
        </w:rPr>
        <w:t>Defaulting Lenders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Adjustments</w:t>
      </w:r>
      <w:r>
        <w:rPr>
          <w:rFonts w:ascii="Times New Roman;serif" w:hAnsi="Times New Roman;serif"/>
          <w:b w:val="false"/>
          <w:color w:val="000000"/>
          <w:sz w:val="22"/>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Waivers and Amendments</w:t>
      </w:r>
      <w:r>
        <w:rPr>
          <w:rFonts w:ascii="Times New Roman;serif" w:hAnsi="Times New Roman;serif"/>
          <w:b w:val="false"/>
          <w:color w:val="000000"/>
          <w:sz w:val="22"/>
        </w:rPr>
        <w:t xml:space="preserve">. Such Defaulting Lender’s right to approve or disapprove any amendment, waiver or consent with respect to this Agreement shall be restricted as set forth in the definition of “Required Lenders” and </w:t>
      </w:r>
      <w:r>
        <w:rPr>
          <w:rFonts w:ascii="Times New Roman;serif" w:hAnsi="Times New Roman;serif"/>
          <w:b w:val="false"/>
          <w:color w:val="000000"/>
          <w:sz w:val="22"/>
          <w:u w:val="single"/>
        </w:rPr>
        <w:t>Section 10.01</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w:t>
      </w:r>
      <w:r>
        <w:rPr>
          <w:rFonts w:ascii="Times New Roman;serif" w:hAnsi="Times New Roman;serif"/>
          <w:b w:val="false"/>
          <w:color w:val="000000"/>
          <w:sz w:val="22"/>
          <w:u w:val="single"/>
        </w:rPr>
        <w:t>Defaulting Lender Waterfall</w:t>
      </w:r>
      <w:r>
        <w:rPr>
          <w:rFonts w:ascii="Times New Roman;serif" w:hAnsi="Times New Roman;serif"/>
          <w:b w:val="false"/>
          <w:color w:val="000000"/>
          <w:sz w:val="22"/>
        </w:rPr>
        <w:t xml:space="preserve">. Any payment of principal, interest, fees or other amounts received by the Administrative Agent for the account of such Defaulting Lender (whether voluntary or mandatory, at maturity,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or otherwise) or received by the Administrative Agent from a Defaulting Lender pursuant to </w:t>
      </w:r>
      <w:r>
        <w:rPr>
          <w:rFonts w:ascii="Times New Roman;serif" w:hAnsi="Times New Roman;serif"/>
          <w:b w:val="false"/>
          <w:color w:val="000000"/>
          <w:sz w:val="22"/>
          <w:u w:val="single"/>
        </w:rPr>
        <w:t>Section 10.08</w:t>
      </w:r>
      <w:r>
        <w:rPr>
          <w:color w:val="000000"/>
        </w:rPr>
        <w:t xml:space="preserve"> </w:t>
      </w:r>
      <w:r>
        <w:rPr>
          <w:rFonts w:ascii="Times New Roman;serif" w:hAnsi="Times New Roman;serif"/>
          <w:b w:val="false"/>
          <w:color w:val="000000"/>
          <w:sz w:val="22"/>
        </w:rPr>
        <w:t xml:space="preserve">shall be applied at such time or times as may be determined by the Administrative Agent as follows: </w:t>
      </w:r>
      <w:r>
        <w:rPr>
          <w:rFonts w:ascii="Times New Roman;serif" w:hAnsi="Times New Roman;serif"/>
          <w:b w:val="false"/>
          <w:i/>
          <w:color w:val="000000"/>
          <w:sz w:val="22"/>
        </w:rPr>
        <w:t>first</w:t>
      </w:r>
      <w:r>
        <w:rPr>
          <w:rFonts w:ascii="Times New Roman;serif" w:hAnsi="Times New Roman;serif"/>
          <w:b w:val="false"/>
          <w:color w:val="000000"/>
          <w:sz w:val="22"/>
        </w:rPr>
        <w:t xml:space="preserve">, to the payment of any amounts owing by such Defaulting Lender to the Administrative Agent hereunder; </w:t>
      </w:r>
      <w:r>
        <w:rPr>
          <w:rFonts w:ascii="Times New Roman;serif" w:hAnsi="Times New Roman;serif"/>
          <w:b w:val="false"/>
          <w:i/>
          <w:color w:val="000000"/>
          <w:sz w:val="22"/>
        </w:rPr>
        <w:t>second</w:t>
      </w:r>
      <w:r>
        <w:rPr>
          <w:rFonts w:ascii="Times New Roman;serif" w:hAnsi="Times New Roman;serif"/>
          <w:b w:val="false"/>
          <w:color w:val="000000"/>
          <w:sz w:val="22"/>
        </w:rPr>
        <w:t xml:space="preserve">, to the payment on a pro rata basis of any amounts owing by such Defaulting Lender to the L/C Issuer or the Swing Line Lender hereunder; </w:t>
      </w:r>
      <w:r>
        <w:rPr>
          <w:rFonts w:ascii="Times New Roman;serif" w:hAnsi="Times New Roman;serif"/>
          <w:b w:val="false"/>
          <w:i/>
          <w:color w:val="000000"/>
          <w:sz w:val="22"/>
        </w:rPr>
        <w:t>third</w:t>
      </w:r>
      <w:r>
        <w:rPr>
          <w:rFonts w:ascii="Times New Roman;serif" w:hAnsi="Times New Roman;serif"/>
          <w:b w:val="false"/>
          <w:color w:val="000000"/>
          <w:sz w:val="22"/>
        </w:rPr>
        <w:t xml:space="preserve">, to Cash Collateralize the L/C Issuer’s Fronting Exposure with respect to such Defaulting Lender in accordance with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w:t>
      </w:r>
      <w:r>
        <w:rPr>
          <w:rFonts w:ascii="Times New Roman;serif" w:hAnsi="Times New Roman;serif"/>
          <w:b w:val="false"/>
          <w:i/>
          <w:color w:val="000000"/>
          <w:sz w:val="22"/>
        </w:rPr>
        <w:t>fourth</w:t>
      </w:r>
      <w:r>
        <w:rPr>
          <w:rFonts w:ascii="Times New Roman;serif" w:hAnsi="Times New Roman;serif"/>
          <w:b w:val="false"/>
          <w:color w:val="000000"/>
          <w:sz w:val="22"/>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Times New Roman;serif" w:hAnsi="Times New Roman;serif"/>
          <w:b w:val="false"/>
          <w:i/>
          <w:color w:val="000000"/>
          <w:sz w:val="22"/>
        </w:rPr>
        <w:t>fifth</w:t>
      </w:r>
      <w:r>
        <w:rPr>
          <w:rFonts w:ascii="Times New Roman;serif" w:hAnsi="Times New Roman;serif"/>
          <w:b w:val="false"/>
          <w:color w:val="000000"/>
          <w:sz w:val="22"/>
        </w:rPr>
        <w:t>, if so determined by the Administrative Agent and the Borrower, to be held in a deposit account and released pro rata</w:t>
      </w:r>
      <w:r>
        <w:rPr>
          <w:color w:val="008000"/>
        </w:rPr>
        <w:t xml:space="preserve"> </w:t>
      </w:r>
      <w:r>
        <w:rPr>
          <w:rFonts w:ascii="Times New Roman;serif" w:hAnsi="Times New Roman;serif"/>
          <w:b w:val="false"/>
          <w:color w:val="000000"/>
          <w:sz w:val="22"/>
        </w:rPr>
        <w:t xml:space="preserve">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w:t>
      </w:r>
      <w:r>
        <w:rPr>
          <w:rFonts w:ascii="Times New Roman;serif" w:hAnsi="Times New Roman;serif"/>
          <w:b w:val="false"/>
          <w:i/>
          <w:color w:val="000000"/>
          <w:sz w:val="22"/>
        </w:rPr>
        <w:t>sixth</w:t>
      </w:r>
      <w:r>
        <w:rPr>
          <w:rFonts w:ascii="Times New Roman;serif" w:hAnsi="Times New Roman;serif"/>
          <w:b w:val="false"/>
          <w:color w:val="000000"/>
          <w:sz w:val="22"/>
        </w:rPr>
        <w:t xml:space="preserve">, to the payment of any amounts owing to the Lenders, the L/C Issuer or the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Times New Roman;serif" w:hAnsi="Times New Roman;serif"/>
          <w:b w:val="false"/>
          <w:i/>
          <w:color w:val="000000"/>
          <w:sz w:val="22"/>
        </w:rPr>
        <w:t>seventh</w:t>
      </w:r>
      <w:r>
        <w:rPr>
          <w:rFonts w:ascii="Times New Roman;serif" w:hAnsi="Times New Roman;serif"/>
          <w:b w:val="false"/>
          <w:color w:val="000000"/>
          <w:sz w:val="22"/>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serif" w:hAnsi="Times New Roman;serif"/>
          <w:b w:val="false"/>
          <w:i/>
          <w:color w:val="000000"/>
          <w:sz w:val="22"/>
        </w:rPr>
        <w:t>eighth</w:t>
      </w:r>
      <w:r>
        <w:rPr>
          <w:rFonts w:ascii="Times New Roman;serif" w:hAnsi="Times New Roman;serif"/>
          <w:b w:val="false"/>
          <w:color w:val="000000"/>
          <w:sz w:val="22"/>
        </w:rPr>
        <w:t xml:space="preserve">, to such Defaulting Lender or as otherwise directed by a court of competent jurisdiction;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 xml:space="preserve">. Any payments, prepayments or other amounts paid or payable to a Defaulting Lender that are applied (or held) to pay amounts owed by a Defaulting Lender or to post Cash Collateral pursuant to this </w:t>
      </w:r>
      <w:r>
        <w:rPr>
          <w:rFonts w:ascii="Times New Roman;serif" w:hAnsi="Times New Roman;serif"/>
          <w:b w:val="false"/>
          <w:color w:val="000000"/>
          <w:sz w:val="22"/>
          <w:u w:val="single"/>
        </w:rPr>
        <w:t>Section 2.15(a)(ii)</w:t>
      </w:r>
      <w:r>
        <w:rPr>
          <w:color w:val="000000"/>
        </w:rPr>
        <w:t xml:space="preserve"> </w:t>
      </w:r>
      <w:r>
        <w:rPr>
          <w:rFonts w:ascii="Times New Roman;serif" w:hAnsi="Times New Roman;serif"/>
          <w:b w:val="false"/>
          <w:color w:val="000000"/>
          <w:sz w:val="22"/>
        </w:rPr>
        <w:t xml:space="preserve">shall be deemed paid to and redirected by such Defaulting Lender, and each Lender irrevocably consents hereto.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(iii) </w:t>
      </w:r>
      <w:r>
        <w:rPr>
          <w:rFonts w:ascii="Times New Roman;serif" w:hAnsi="Times New Roman;serif"/>
          <w:b w:val="false"/>
          <w:color w:val="000000"/>
          <w:sz w:val="22"/>
          <w:u w:val="single"/>
        </w:rPr>
        <w:t>Certain Fees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(A) No Defaulting Lender shall be entitled to receive any fee payable under </w:t>
      </w:r>
      <w:r>
        <w:rPr>
          <w:rFonts w:ascii="Times New Roman;serif" w:hAnsi="Times New Roman;serif"/>
          <w:b w:val="false"/>
          <w:color w:val="000000"/>
          <w:sz w:val="22"/>
          <w:u w:val="single"/>
        </w:rPr>
        <w:t>Section 2.09(a)</w:t>
      </w:r>
      <w:r>
        <w:rPr>
          <w:color w:val="000000"/>
        </w:rPr>
        <w:t xml:space="preserve"> </w:t>
      </w:r>
      <w:r>
        <w:rPr>
          <w:rFonts w:ascii="Times New Roman;serif" w:hAnsi="Times New Roman;serif"/>
          <w:b w:val="false"/>
          <w:color w:val="000000"/>
          <w:sz w:val="22"/>
        </w:rPr>
        <w:t>for any period during which that Lender is a Defaulting Lender (and the Borrower shall not be required to pay any such fee that otherwise would have been required to have been paid to that Defaulting Lender).</w:t>
      </w:r>
    </w:p>
    <w:p>
      <w:pPr>
        <w:pStyle w:val="TextBody"/>
        <w:bidi w:val="0"/>
        <w:spacing w:before="0" w:after="0"/>
        <w:jc w:val="left"/>
        <w:rPr/>
      </w:pPr>
      <w:r>
        <w:rPr/>
      </w:r>
    </w:p>
    <w:p>
      <w:pPr>
        <w:pStyle w:val="TextBody"/>
        <w:bidi w:val="0"/>
        <w:spacing w:lineRule="auto" w:line="288"/>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(B) Each Defaulting Lender shall be entitled to receive Letter of Credit Fees for any period during which that Lender is a Defaulting Lender only to the extent allocable to its </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Applicable Percentage (with respect to the Revolving Facility) of the stated amount of Letters of Credit for which it has provided Cash Collateral pursuant to </w:t>
      </w:r>
      <w:r>
        <w:rPr>
          <w:rFonts w:ascii="Times New Roman;serif" w:hAnsi="Times New Roman;serif"/>
          <w:b w:val="false"/>
          <w:color w:val="000000"/>
          <w:sz w:val="22"/>
          <w:u w:val="single"/>
        </w:rPr>
        <w:t>Section 2.14</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(C) With respect to any Letter of Credit Fee not required to be paid to any Defaulting Lender pursuant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serif" w:hAnsi="Times New Roman;serif"/>
          <w:b w:val="false"/>
          <w:color w:val="000000"/>
          <w:sz w:val="22"/>
          <w:u w:val="single"/>
        </w:rPr>
        <w:t>Section 2.15(b)</w:t>
      </w:r>
      <w:r>
        <w:rPr>
          <w:color w:val="000000"/>
        </w:rPr>
        <w:t xml:space="preserve"> </w:t>
      </w:r>
      <w:r>
        <w:rPr>
          <w:rFonts w:ascii="Times New Roman;serif" w:hAnsi="Times New Roman;serif"/>
          <w:b w:val="false"/>
          <w:color w:val="000000"/>
          <w:sz w:val="22"/>
        </w:rPr>
        <w:t>below, (y) pay to the L/C Issuer the amount of any such fee otherwise payable to such Defaulting Lender to the extent allocable to the L/C Issuer’s Fronting Exposure to such Defaulting Lender, and (z) not be required to pay the remaining amount of any such fee.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Reallocation of Applicable Percentages to Reduce Fronting Exposure</w:t>
      </w:r>
      <w:r>
        <w:rPr>
          <w:rFonts w:ascii="Times New Roman;serif" w:hAnsi="Times New Roman;serif"/>
          <w:b w:val="false"/>
          <w:color w:val="000000"/>
          <w:sz w:val="22"/>
        </w:rPr>
        <w:t xml:space="preserve">. All or any part of such Defaulting Lender’s participation in L/C Obligations and Swing Line Loans shall be reallocated among the Non-Defaulting Lenders in accordance with their respective Applicable Percentages with respect to the Revolving Facility (calculated without regard to such Defaulting Lender’s Revolving Commitment) but only to the extent that (x)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Revolving Commitment. Subject to </w:t>
      </w:r>
      <w:r>
        <w:rPr>
          <w:rFonts w:ascii="Times New Roman;serif" w:hAnsi="Times New Roman;serif"/>
          <w:b w:val="false"/>
          <w:color w:val="000000"/>
          <w:sz w:val="22"/>
          <w:u w:val="single"/>
        </w:rPr>
        <w:t>Section 10.19</w:t>
      </w:r>
      <w:r>
        <w:rPr>
          <w:rFonts w:ascii="Times New Roman;serif" w:hAnsi="Times New Roman;serif"/>
          <w:b w:val="false"/>
          <w:color w:val="000000"/>
          <w:sz w:val="22"/>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Cash Collateral, Repayment of Swing Line Loans</w:t>
      </w:r>
      <w:r>
        <w:rPr>
          <w:rFonts w:ascii="Times New Roman;serif" w:hAnsi="Times New Roman;serif"/>
          <w:b w:val="false"/>
          <w:color w:val="000000"/>
          <w:sz w:val="22"/>
        </w:rPr>
        <w:t xml:space="preserve">. If the reallocation described in </w:t>
      </w:r>
      <w:r>
        <w:rPr>
          <w:rFonts w:ascii="Times New Roman;serif" w:hAnsi="Times New Roman;serif"/>
          <w:b w:val="false"/>
          <w:color w:val="000000"/>
          <w:sz w:val="22"/>
          <w:u w:val="single"/>
        </w:rPr>
        <w:t>Section 2.15(b)</w:t>
      </w:r>
      <w:r>
        <w:rPr>
          <w:color w:val="000000"/>
        </w:rPr>
        <w:t xml:space="preserve"> </w:t>
      </w:r>
      <w:r>
        <w:rPr>
          <w:rFonts w:ascii="Times New Roman;serif" w:hAnsi="Times New Roman;serif"/>
          <w:b w:val="false"/>
          <w:color w:val="000000"/>
          <w:sz w:val="22"/>
        </w:rPr>
        <w:t xml:space="preserve">above cannot, or can only partially, be effected, the Borrower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Defaulting Lender Cure</w:t>
      </w:r>
      <w:r>
        <w:rPr>
          <w:rFonts w:ascii="Times New Roman;serif" w:hAnsi="Times New Roman;serif"/>
          <w:b w:val="false"/>
          <w:color w:val="000000"/>
          <w:sz w:val="22"/>
        </w:rPr>
        <w:t xml:space="preserve">. If the Borrower, the Administrative Agent, the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Applicable Percentages (without giving effect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 xml:space="preserve">), whereupon such Lender will cease to be a Defaulting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adjustments will be made retroactively with respect to fees accrued or payments made by or on behalf of the Borrower while that Lender was a Defaulting Lender;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2.16    </w:t>
      </w:r>
      <w:r>
        <w:rPr>
          <w:rFonts w:ascii="Times New Roman;serif" w:hAnsi="Times New Roman;serif"/>
          <w:b w:val="false"/>
          <w:color w:val="000000"/>
          <w:sz w:val="22"/>
          <w:u w:val="single"/>
        </w:rPr>
        <w:t>Refinancing Loans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720"/>
        <w:jc w:val="left"/>
        <w:rPr/>
      </w:pPr>
      <w:r>
        <w:rPr>
          <w:rFonts w:ascii="Times New Roman;serif" w:hAnsi="Times New Roman;serif"/>
          <w:b w:val="false"/>
          <w:color w:val="000000"/>
          <w:sz w:val="22"/>
        </w:rPr>
        <w:t>(a) The Borrower may from time to time add one or more new term loan facilities to this Agreement (“</w:t>
      </w:r>
      <w:r>
        <w:rPr>
          <w:rFonts w:ascii="Times New Roman;serif" w:hAnsi="Times New Roman;serif"/>
          <w:b w:val="false"/>
          <w:color w:val="000000"/>
          <w:sz w:val="22"/>
          <w:u w:val="single"/>
        </w:rPr>
        <w:t>Refinancing Loans</w:t>
      </w:r>
      <w:r>
        <w:rPr>
          <w:color w:val="000000"/>
        </w:rPr>
        <w:t>”</w:t>
      </w:r>
      <w:r>
        <w:rPr>
          <w:rFonts w:ascii="Times New Roman;serif" w:hAnsi="Times New Roman;serif"/>
          <w:b w:val="false"/>
          <w:color w:val="000000"/>
          <w:sz w:val="22"/>
        </w:rPr>
        <w:t xml:space="preserve">) pursuant to procedures specified by the Administrative Agent to refinance all or any portion of the outstanding Term </w:t>
      </w:r>
      <w:r>
        <w:rPr>
          <w:rFonts w:ascii="Times New Roman;serif" w:hAnsi="Times New Roman;serif"/>
          <w:b w:val="false"/>
          <w:strike/>
          <w:color w:val="FF0000"/>
          <w:sz w:val="22"/>
        </w:rPr>
        <w:t xml:space="preserve">Loan </w:t>
      </w:r>
      <w:r>
        <w:rPr>
          <w:rFonts w:ascii="Times New Roman;serif" w:hAnsi="Times New Roman;serif"/>
          <w:b w:val="false"/>
          <w:color w:val="0000FF"/>
          <w:sz w:val="22"/>
          <w:u w:val="single"/>
        </w:rPr>
        <w:t>Loans</w:t>
      </w:r>
      <w:r>
        <w:rPr>
          <w:color w:val="000000"/>
        </w:rPr>
        <w:t xml:space="preserve"> </w:t>
      </w:r>
      <w:r>
        <w:rPr>
          <w:rFonts w:ascii="Times New Roman;serif" w:hAnsi="Times New Roman;serif"/>
          <w:b w:val="false"/>
          <w:color w:val="000000"/>
          <w:sz w:val="22"/>
        </w:rPr>
        <w:t>or Incremental Term Facilities then in effect (the portion being refinanced, the “</w:t>
      </w:r>
      <w:r>
        <w:rPr>
          <w:rFonts w:ascii="Times New Roman;serif" w:hAnsi="Times New Roman;serif"/>
          <w:b w:val="false"/>
          <w:color w:val="000000"/>
          <w:sz w:val="22"/>
          <w:u w:val="single"/>
        </w:rPr>
        <w:t>Refinanced Loans</w:t>
      </w:r>
      <w:r>
        <w:rPr>
          <w:color w:val="000000"/>
        </w:rPr>
        <w:t>”</w:t>
      </w:r>
      <w:r>
        <w:rPr>
          <w:rFonts w:ascii="Times New Roman;serif" w:hAnsi="Times New Roman;serif"/>
          <w:b w:val="false"/>
          <w:color w:val="000000"/>
          <w:sz w:val="22"/>
        </w:rPr>
        <w:t xml:space="preserve">) pursuant to a Refinancing Amendment;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such Refinancing Loans shall not have a principal or commitment amount (or accreted value) greater than the Refinanced Loans (excluding accrued interest, fees, discounts, premiums or expenses);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no existing Lender shall be under any obligation to provide a commitment to such Refinancing Loans;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each Person providing a commitment to such Refinancing Loans must qualify as an Eligible Assignee;</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the Borrower shall deliver to the Administrative Agent:</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(A) a certificate of a Responsible Officer of the Borrower dated as of the date of the applicable Refinancing Amendment (1) certifying and attaching resolutions adopted by the board of directors or equivalent governing body of the Borrower approving such Refinancing Amendment and (2) certifying that, before and after giving effect to such Refinancing Amendment, each of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are satisfied;</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(B) such amendments to the Collateral Documents as the Administrative Agent may request to cause the Collateral Documents to secure the Obligations after giving effect to such Refinancing Amendment; and</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(C) such opinions of legal counsel to the Borrower as the Administrative Agent may request, addressed to the Administrative Agent and each Lender, dated as of the effective date of such Refinancing Amendment, in form and substance satisfactory to the Administrative Agent;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a fully-executed Refinancing Amendment with respect to such Refinancing Loans;</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(vi) such Refinancing Loans (A) shall rank pari passu in right of payment as the other Loans and Commitments; (B) shall not be Guaranteed by any Person</w:t>
      </w:r>
      <w:r>
        <w:rPr>
          <w:color w:val="0000FF"/>
          <w:u w:val="single"/>
        </w:rPr>
        <w:t xml:space="preserve"> </w:t>
      </w:r>
      <w:r>
        <w:rPr>
          <w:rFonts w:ascii="Times New Roman;serif" w:hAnsi="Times New Roman;serif"/>
          <w:b w:val="false"/>
          <w:color w:val="0000FF"/>
          <w:sz w:val="22"/>
          <w:u w:val="single"/>
        </w:rPr>
        <w:t>or secured by any property other than Collateral</w:t>
      </w:r>
      <w:r>
        <w:rPr>
          <w:rFonts w:ascii="Times New Roman;serif" w:hAnsi="Times New Roman;serif"/>
          <w:b w:val="false"/>
          <w:color w:val="000000"/>
          <w:sz w:val="22"/>
        </w:rPr>
        <w:t>; and (C) shall be secured by the Collateral on an equal and ratable basis with the Obligations;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(vii) such Refinancing Loans shall share ratably in any mandatory prepayments of the Term Loan and any Incremental Term Facilities pursuant to </w:t>
      </w:r>
      <w:r>
        <w:rPr>
          <w:rFonts w:ascii="Times New Roman;serif" w:hAnsi="Times New Roman;serif"/>
          <w:b w:val="false"/>
          <w:color w:val="000000"/>
          <w:sz w:val="22"/>
          <w:u w:val="single"/>
        </w:rPr>
        <w:t>Section 2.05</w:t>
      </w:r>
      <w:r>
        <w:rPr>
          <w:color w:val="000000"/>
        </w:rPr>
        <w:t xml:space="preserve"> </w:t>
      </w:r>
      <w:r>
        <w:rPr>
          <w:rFonts w:ascii="Times New Roman;serif" w:hAnsi="Times New Roman;serif"/>
          <w:b w:val="false"/>
          <w:color w:val="000000"/>
          <w:sz w:val="22"/>
        </w:rPr>
        <w:t>(or otherwise provide for more favorable prepayment treatment for the remaining then-outstanding Term Loan and Incremental Term Facilities) and shall have ratable voting rights with the Term Loan and any Incremental Term Facilities (or otherwise provide for more favorable voting rights for the remaining then-outstanding Term Loan and Incremental Term Facilities);</w:t>
      </w:r>
    </w:p>
    <w:p>
      <w:pPr>
        <w:pStyle w:val="TextBody"/>
        <w:bidi w:val="0"/>
        <w:spacing w:before="0" w:after="0"/>
        <w:jc w:val="left"/>
        <w:rPr/>
      </w:pPr>
      <w:r>
        <w:rPr/>
      </w:r>
    </w:p>
    <w:p>
      <w:pPr>
        <w:pStyle w:val="TextBody"/>
        <w:bidi w:val="0"/>
        <w:spacing w:lineRule="auto" w:line="26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(viii) such Refinancing Loans shall have such interest rates, interest rate margins, fees, discounts, prepayment premiums, amortization and a final maturity date as agreed by the Borrower and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 xml:space="preserve">the Lenders providing such Refinancing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Refinancing Loans shall not have a maturity date that is prior to the maturity date of, and shall not have a Weighted Average Life that is shorter than the Weighted Average Life of, the Refinanced Loans</w:t>
      </w:r>
      <w:r>
        <w:rPr>
          <w:color w:val="0000FF"/>
          <w:u w:val="single"/>
        </w:rPr>
        <w:t xml:space="preserve"> </w:t>
      </w:r>
      <w:r>
        <w:rPr>
          <w:rFonts w:ascii="Times New Roman;serif" w:hAnsi="Times New Roman;serif"/>
          <w:b w:val="false"/>
          <w:color w:val="0000FF"/>
          <w:sz w:val="22"/>
          <w:u w:val="single"/>
        </w:rPr>
        <w:t>(and in any event such Refinancing Loans shall not have a maturity date that is prior to the Maturity Date of the Term Loan and shall not have a Weighted Average Life that is shorter than the Weighted Average Life of the Term Loan)</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(ix) subject to clause (viii) above, such Refinancing Loans will have terms and conditions that are substantially identical to, or less favorable to the Lenders providing such Refinancing Loans than, the terms and conditions of the Refinanced Loans;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such Refinancing Loans may provide for any additional or different financial or other covenants or other provisions that are agreed among the Borrower and the Lenders providing such Refinancing Loans and applicable only during periods after the latest maturity of the Refinanced Loans; and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(x) substantially concurrently with the incurrence of such Refinancing Loans, (A) the Borrower shall apply the aggregate cash proceeds of such Refinancing Loans (net of reasonable direct costs incurred in connection therewith, including legal, accounting and investment banking fees and other professional fees, commissions and expenses) to the prepayment of the Refinanced Loans and (B) the Borrower shall pay any amount required pursuant to </w:t>
      </w:r>
      <w:r>
        <w:rPr>
          <w:rFonts w:ascii="Times New Roman;serif" w:hAnsi="Times New Roman;serif"/>
          <w:b w:val="false"/>
          <w:color w:val="000000"/>
          <w:sz w:val="22"/>
          <w:u w:val="single"/>
        </w:rPr>
        <w:t>Section 3.05</w:t>
      </w:r>
      <w:r>
        <w:rPr>
          <w:color w:val="000000"/>
        </w:rPr>
        <w:t xml:space="preserve"> </w:t>
      </w:r>
      <w:r>
        <w:rPr>
          <w:rFonts w:ascii="Times New Roman;serif" w:hAnsi="Times New Roman;serif"/>
          <w:b w:val="false"/>
          <w:color w:val="000000"/>
          <w:sz w:val="22"/>
        </w:rPr>
        <w:t>as a result of any such prepayment of the Refinanced Loans.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The Lenders hereby authorize the Administrative Agent to enter into, and the Lenders agree that this Agreement and the other Loan Documents shall be amended by, such Refinancing Amendments to the extent (and only to the extent) the Administrative Agent deems necessary in order to establish Refinancing Loans on terms consistent with and/or to effect the provisions of this </w:t>
      </w:r>
      <w:r>
        <w:rPr>
          <w:rFonts w:ascii="Times New Roman;serif" w:hAnsi="Times New Roman;serif"/>
          <w:b w:val="false"/>
          <w:color w:val="000000"/>
          <w:sz w:val="22"/>
          <w:u w:val="single"/>
        </w:rPr>
        <w:t>Section 2.16</w:t>
      </w:r>
      <w:r>
        <w:rPr>
          <w:rFonts w:ascii="Times New Roman;serif" w:hAnsi="Times New Roman;serif"/>
          <w:b w:val="false"/>
          <w:color w:val="000000"/>
          <w:sz w:val="22"/>
        </w:rPr>
        <w:t>. The Administrative Agent shall promptly notify each Lender as to the effectiveness of each Refinancing Amendment.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III </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TAXES, YIELD PROTECTION AND ILLEGALITY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2"/>
        </w:rPr>
        <w:t>3.01    </w:t>
      </w:r>
      <w:r>
        <w:rPr>
          <w:rFonts w:ascii="Times New Roman;serif" w:hAnsi="Times New Roman;serif"/>
          <w:b w:val="false"/>
          <w:color w:val="000000"/>
          <w:sz w:val="22"/>
          <w:u w:val="single"/>
        </w:rPr>
        <w:t>Taxes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Payments Free of Taxes; Obligation to Withhold; Payments on Account of Taxes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Any and all payments by or on account of any obligation of the Borrower under any Loan Document shall be made without deduction or withholding for any Taxes, except as required by applicable Laws. If any applicable Laws (as determined in the good faith discretion of the Administrative Agent or the Borrower, as applicable) require the deduction or withholding of any Tax from any such payment by the Administrative Agent or the Borrower, then the Administrative Agent or the Borrower shall be entitled to make such deduction or withholding, upon the basis of the information and documentation to be delivered pursuant to </w:t>
      </w:r>
      <w:r>
        <w:rPr>
          <w:rFonts w:ascii="Times New Roman;serif" w:hAnsi="Times New Roman;serif"/>
          <w:b w:val="false"/>
          <w:color w:val="000000"/>
          <w:sz w:val="22"/>
          <w:u w:val="single"/>
        </w:rPr>
        <w:t>subsection (e)</w:t>
      </w:r>
      <w:r>
        <w:rPr>
          <w:color w:val="000000"/>
        </w:rPr>
        <w:t xml:space="preserve"> </w:t>
      </w:r>
      <w:r>
        <w:rPr>
          <w:rFonts w:ascii="Times New Roman;serif" w:hAnsi="Times New Roman;serif"/>
          <w:b w:val="false"/>
          <w:color w:val="000000"/>
          <w:sz w:val="22"/>
        </w:rPr>
        <w:t>below.</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(ii) If the Borrower or the Administrative Agent shall be required by the Internal Revenue Code to withhold or</w:t>
      </w:r>
      <w:r>
        <w:rPr>
          <w:color w:val="000000"/>
        </w:rPr>
        <w:t xml:space="preserve"> </w:t>
      </w:r>
      <w:r>
        <w:rPr>
          <w:rFonts w:ascii="Times New Roman;serif" w:hAnsi="Times New Roman;serif"/>
          <w:b w:val="false"/>
          <w:color w:val="000000"/>
          <w:sz w:val="22"/>
        </w:rPr>
        <w:t xml:space="preserve">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serif" w:hAnsi="Times New Roman;serif"/>
          <w:b w:val="false"/>
          <w:color w:val="000000"/>
          <w:sz w:val="22"/>
          <w:u w:val="single"/>
        </w:rPr>
        <w:t>subsection (e)</w:t>
      </w:r>
      <w:r>
        <w:rPr>
          <w:color w:val="000000"/>
        </w:rPr>
        <w:t xml:space="preserve"> </w:t>
      </w:r>
      <w:r>
        <w:rPr>
          <w:rFonts w:ascii="Times New Roman;serif" w:hAnsi="Times New Roman;serif"/>
          <w:b w:val="false"/>
          <w:color w:val="000000"/>
          <w:sz w:val="22"/>
        </w:rPr>
        <w:t xml:space="preserve">below, (B) the Administrative Agent shall timely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pay the full amount withheld or deducted to the relevant Governmental Authority in accordance with the Internal Revenue Code,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applicable Recipient receives an amount equal to the sum it would have received had no such withholding or deduction been made.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(iii) If the Borrower or the Administrative Agent shall be required by any applicable Laws other than the Internal Revenue Code to withhold or</w:t>
      </w:r>
      <w:r>
        <w:rPr>
          <w:color w:val="000000"/>
        </w:rPr>
        <w:t xml:space="preserve"> </w:t>
      </w:r>
      <w:r>
        <w:rPr>
          <w:rFonts w:ascii="Times New Roman;serif" w:hAnsi="Times New Roman;serif"/>
          <w:b w:val="false"/>
          <w:color w:val="000000"/>
          <w:sz w:val="22"/>
        </w:rPr>
        <w:t xml:space="preserve">deduct any Taxes from any payment, then (A) the Borrower or the Administrative Agent, as required by such Laws, shall withhold or make such deductions as are determined by it to be required based upon the information and documentation it has received pursuant to </w:t>
      </w:r>
      <w:r>
        <w:rPr>
          <w:rFonts w:ascii="Times New Roman;serif" w:hAnsi="Times New Roman;serif"/>
          <w:b w:val="false"/>
          <w:color w:val="000000"/>
          <w:sz w:val="22"/>
          <w:u w:val="single"/>
        </w:rPr>
        <w:t>subsection (e)</w:t>
      </w:r>
      <w:r>
        <w:rPr>
          <w:color w:val="000000"/>
        </w:rPr>
        <w:t xml:space="preserve"> </w:t>
      </w:r>
      <w:r>
        <w:rPr>
          <w:rFonts w:ascii="Times New Roman;serif" w:hAnsi="Times New Roman;serif"/>
          <w:b w:val="false"/>
          <w:color w:val="000000"/>
          <w:sz w:val="22"/>
        </w:rPr>
        <w:t xml:space="preserve">below, (B) the Borrower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applicable Recipient receives an amount equal to the sum it would have received had no such withholding or deduction been made.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Payment of Other Taxes by the Borrower</w:t>
      </w:r>
      <w:r>
        <w:rPr>
          <w:rFonts w:ascii="Times New Roman;serif" w:hAnsi="Times New Roman;serif"/>
          <w:b w:val="false"/>
          <w:color w:val="000000"/>
          <w:sz w:val="22"/>
        </w:rPr>
        <w:t xml:space="preserve">. Without limiting the provisions of </w:t>
      </w:r>
      <w:r>
        <w:rPr>
          <w:rFonts w:ascii="Times New Roman;serif" w:hAnsi="Times New Roman;serif"/>
          <w:b w:val="false"/>
          <w:color w:val="000000"/>
          <w:sz w:val="22"/>
          <w:u w:val="single"/>
        </w:rPr>
        <w:t>subsection (a)</w:t>
      </w:r>
      <w:r>
        <w:rPr>
          <w:color w:val="000000"/>
        </w:rPr>
        <w:t xml:space="preserve"> </w:t>
      </w:r>
      <w:r>
        <w:rPr>
          <w:rFonts w:ascii="Times New Roman;serif" w:hAnsi="Times New Roman;serif"/>
          <w:b w:val="false"/>
          <w:color w:val="000000"/>
          <w:sz w:val="22"/>
        </w:rPr>
        <w:t>above, the Borrower shall timely pay to the relevant Governmental Authority in accordance with applicable Law, or at the option of the Administrative Agent timely reimburse it for the payment of, any Other Taxes.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Tax Indemnifications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The Borrower shall, and does hereby, indemnify each Recipient, and shall make payment in respect thereof within ten days after written demand therefor, for the full amount of any Indemnified Taxes (including Indemnified Taxes imposed or asserted on or attributable to amounts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 The Borrower shall, and does hereby, indemnify the Administrative Agent, and shall make payment in respect thereof within ten days after written demand therefor, for any amount which a Lender or the L/C Issuer for any reason fails to pay indefeasibly to the Administrative Agent as required pursuant to </w:t>
      </w:r>
      <w:r>
        <w:rPr>
          <w:rFonts w:ascii="Times New Roman;serif" w:hAnsi="Times New Roman;serif"/>
          <w:b w:val="false"/>
          <w:color w:val="000000"/>
          <w:sz w:val="22"/>
          <w:u w:val="single"/>
        </w:rPr>
        <w:t>Section 3.01(c)(ii)</w:t>
      </w:r>
      <w:r>
        <w:rPr>
          <w:color w:val="000000"/>
        </w:rPr>
        <w:t xml:space="preserve"> </w:t>
      </w:r>
      <w:r>
        <w:rPr>
          <w:rFonts w:ascii="Times New Roman;serif" w:hAnsi="Times New Roman;serif"/>
          <w:b w:val="false"/>
          <w:color w:val="000000"/>
          <w:sz w:val="22"/>
        </w:rPr>
        <w:t>below.</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(ii) Each Lender and the L/C Issuer shall, and does hereby, severally indemnify, and shall make payment in respect thereof within ten days after demand therefor, (A) the Administrative Agent against any Indemnified Taxes attributable to such Lender or the L/C Issuer (but only to the extent that the Borrower has not already indemnified the Administrative Agent for such Indemnified Taxes and without limiting the obligation of the Borrower to do so), (B) the Administrative Agent and the Borrower, as applicable, against any Taxes attributable to such Lender’s failure to comply with the provisions of </w:t>
      </w:r>
      <w:r>
        <w:rPr>
          <w:rFonts w:ascii="Times New Roman;serif" w:hAnsi="Times New Roman;serif"/>
          <w:b w:val="false"/>
          <w:color w:val="000000"/>
          <w:sz w:val="22"/>
          <w:u w:val="single"/>
        </w:rPr>
        <w:t>Section 10.06(d)</w:t>
      </w:r>
      <w:r>
        <w:rPr>
          <w:color w:val="000000"/>
        </w:rPr>
        <w:t xml:space="preserve"> </w:t>
      </w:r>
      <w:r>
        <w:rPr>
          <w:rFonts w:ascii="Times New Roman;serif" w:hAnsi="Times New Roman;serif"/>
          <w:b w:val="false"/>
          <w:color w:val="000000"/>
          <w:sz w:val="22"/>
        </w:rPr>
        <w:t xml:space="preserve">relating to the maintenance of a Participant Register and (C) the Administrative Agent and the Borrower, as applicable, against any Excluded Taxes attributable to such Lender or the L/C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Issuer, in each case,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Times New Roman;serif" w:hAnsi="Times New Roman;serif"/>
          <w:b w:val="false"/>
          <w:color w:val="000000"/>
          <w:sz w:val="22"/>
          <w:u w:val="single"/>
        </w:rPr>
        <w:t>clause (ii)</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Evidence of Payments</w:t>
      </w:r>
      <w:r>
        <w:rPr>
          <w:rFonts w:ascii="Times New Roman;serif" w:hAnsi="Times New Roman;serif"/>
          <w:b w:val="false"/>
          <w:color w:val="000000"/>
          <w:sz w:val="22"/>
        </w:rPr>
        <w:t xml:space="preserve">. Upon request by the Borrower or the Administrative Agent, as the case may be, after any payment of Taxes by the Borrower or by the Administrative Agent to a Governmental Authority as provided in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Status of Lenders; Tax Documentation</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2"/>
          <w:u w:val="single"/>
        </w:rPr>
        <w:t>Section 3.01(e)(ii)(A)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3.01(e)(ii)(B)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3.01(e)(ii)(D)</w:t>
      </w:r>
      <w:r>
        <w:rPr>
          <w:color w:val="000000"/>
        </w:rPr>
        <w:t xml:space="preserve"> </w:t>
      </w:r>
      <w:r>
        <w:rPr>
          <w:rFonts w:ascii="Times New Roman;serif" w:hAnsi="Times New Roman;serif"/>
          <w:b w:val="false"/>
          <w:color w:val="000000"/>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 Without limiting the generality of the foregoing, </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 </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(1) 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pStyle w:val="TextBody"/>
        <w:bidi w:val="0"/>
        <w:spacing w:before="0" w:after="0"/>
        <w:jc w:val="left"/>
        <w:rPr/>
      </w:pPr>
      <w:r>
        <w:rPr/>
      </w:r>
    </w:p>
    <w:p>
      <w:pPr>
        <w:pStyle w:val="TextBody"/>
        <w:bidi w:val="0"/>
        <w:spacing w:lineRule="auto" w:line="288" w:before="0" w:after="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(2) executed copies of IRS Form W-8ECI;</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2"/>
        </w:rPr>
        <w:t xml:space="preserve">(3) in the case of a Foreign Lender claiming the benefits of the exemption for portfolio interest under Section 881(c) of the Internal Revenue Code, (x) a certificate substantially in the form of </w:t>
      </w:r>
      <w:r>
        <w:rPr>
          <w:rFonts w:ascii="Times New Roman;serif" w:hAnsi="Times New Roman;serif"/>
          <w:b w:val="false"/>
          <w:color w:val="000000"/>
          <w:sz w:val="22"/>
          <w:u w:val="single"/>
        </w:rPr>
        <w:t>Exhibit G-1</w:t>
      </w:r>
      <w:r>
        <w:rPr>
          <w:color w:val="000000"/>
        </w:rPr>
        <w:t xml:space="preserve"> </w:t>
      </w:r>
      <w:r>
        <w:rPr>
          <w:rFonts w:ascii="Times New Roman;serif" w:hAnsi="Times New Roman;serif"/>
          <w:b w:val="false"/>
          <w:color w:val="000000"/>
          <w:sz w:val="22"/>
        </w:rPr>
        <w:t>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serif" w:hAnsi="Times New Roman;serif"/>
          <w:b w:val="false"/>
          <w:color w:val="000000"/>
          <w:sz w:val="22"/>
          <w:u w:val="single"/>
        </w:rPr>
        <w:t>U.S. Tax Compliance Certificate</w:t>
      </w:r>
      <w:r>
        <w:rPr>
          <w:color w:val="000000"/>
        </w:rPr>
        <w:t>”</w:t>
      </w:r>
      <w:r>
        <w:rPr>
          <w:rFonts w:ascii="Times New Roman;serif" w:hAnsi="Times New Roman;serif"/>
          <w:b w:val="false"/>
          <w:color w:val="000000"/>
          <w:sz w:val="22"/>
        </w:rPr>
        <w:t>) and (y) executed copies of IRS Form W-8BEN-E (or W-8BEN, as applicable); or</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2"/>
        </w:rPr>
        <w:t xml:space="preserve">(4) to the extent a Foreign Lender is not the beneficial owner, executed copies of IRS Form W-8IMY, accompanied by IRS Form W-8ECI, IRS Form W-8BEN-E (or W-8BEN, as applicable), a U.S. Tax Compliance Certificate substantially in the form of </w:t>
      </w:r>
      <w:r>
        <w:rPr>
          <w:rFonts w:ascii="Times New Roman;serif" w:hAnsi="Times New Roman;serif"/>
          <w:b w:val="false"/>
          <w:color w:val="000000"/>
          <w:sz w:val="22"/>
          <w:u w:val="single"/>
        </w:rPr>
        <w:t>Exhibit G-2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Exhibit G-3</w:t>
      </w:r>
      <w:r>
        <w:rPr>
          <w:rFonts w:ascii="Times New Roman;serif" w:hAnsi="Times New Roman;serif"/>
          <w:b w:val="false"/>
          <w:color w:val="000000"/>
          <w:sz w:val="22"/>
        </w:rPr>
        <w:t xml:space="preserve">, IRS Form W-9, and/or other certification documents from each beneficial owner, as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erif" w:hAnsi="Times New Roman;serif"/>
          <w:b w:val="false"/>
          <w:color w:val="000000"/>
          <w:sz w:val="22"/>
          <w:u w:val="single"/>
        </w:rPr>
        <w:t>Exhibit G-4</w:t>
      </w:r>
      <w:r>
        <w:rPr>
          <w:color w:val="000000"/>
        </w:rPr>
        <w:t xml:space="preserve"> </w:t>
      </w:r>
      <w:r>
        <w:rPr>
          <w:rFonts w:ascii="Times New Roman;serif" w:hAnsi="Times New Roman;serif"/>
          <w:b w:val="false"/>
          <w:color w:val="000000"/>
          <w:sz w:val="22"/>
        </w:rPr>
        <w:t>on behalf of each such direct and indirect partner;</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0"/>
        <w:jc w:val="left"/>
        <w:rPr/>
      </w:pPr>
      <w:r>
        <w:rPr/>
      </w:r>
    </w:p>
    <w:p>
      <w:pPr>
        <w:pStyle w:val="TextBody"/>
        <w:bidi w:val="0"/>
        <w:spacing w:lineRule="auto" w:line="288"/>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amount to deduct and withhold from such payment. Solely for purposes of this clause (D), “FATCA” shall include any amendments made to FATCA after the Closing Date.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(iii) Each Lender agrees that if any form or certification it previously delivered pursuant to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Treatment of Certain Refunds</w:t>
      </w:r>
      <w:r>
        <w:rPr>
          <w:rFonts w:ascii="Times New Roman;serif" w:hAnsi="Times New Roman;serif"/>
          <w:b w:val="false"/>
          <w:color w:val="000000"/>
          <w:sz w:val="22"/>
        </w:rPr>
        <w:t xml:space="preserve">. Unless required by applicable Laws, at no time shall the Administrative Agent have any obligation to file for or otherwise pursue on behalf of a Lender or the L/C Issuer, or have any obligation to pay to any Lender or L/C Issuer, any refund of Taxes withheld or deducted from funds paid for the account of such Lender or L/C Issuer, as the case may be. If any Recipient determines, in its sole discretion exercised in good faith, that it has received a refund of any Taxes as to which it has been indemnified by the Borrower or with respect to which the Borrower has paid additional amounts pursuant to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it shall pay to the Borrower an amount equal to such refund (but only to the extent of indemnity payments made, or additional amounts paid, by the Borrower under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upon the written request of the Recipient, agrees to repay the amount paid over to the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(g) </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Each party’s obligations under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shall survive the resignation or replacement of the Administrative Agent or any assignment of rights by, or the replacement of, a Lender or the L/C Issuer, the termination of the Aggregate Revolving Commitments and the repayment, satisfaction or discharge of all other Obligations.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3.02    </w:t>
      </w:r>
      <w:r>
        <w:rPr>
          <w:rFonts w:ascii="Times New Roman;serif" w:hAnsi="Times New Roman;serif"/>
          <w:b w:val="false"/>
          <w:color w:val="000000"/>
          <w:sz w:val="22"/>
          <w:u w:val="single"/>
        </w:rPr>
        <w:t>Illegality</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any Lender determines that any Law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(a) any obligation of such Lender to make or continue Term SOFR Loans or to convert Base Rate Loans to Term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(x) the Borrower shall, upon demand </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 to such day, or immediately, if such Lender may not lawfully continue to maintain such Term SOFR Loan and (y)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Each Lender at its option may make any Credit Extension to the Borrower by causing any domestic or foreign branch or Affiliate of such Lender to make such Credit Extension;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exercise of such option shall not affect the obligation of the Borrower to repay such Credit Extension in accordance with the terms of this Agreement.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3.03    </w:t>
      </w:r>
      <w:r>
        <w:rPr>
          <w:rFonts w:ascii="Times New Roman;serif" w:hAnsi="Times New Roman;serif"/>
          <w:b w:val="false"/>
          <w:color w:val="000000"/>
          <w:sz w:val="22"/>
          <w:u w:val="single"/>
        </w:rPr>
        <w:t>Inability to Determine Rates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If in connection with any request for a Term SOFR Loan or a conversion of Base Rate Loans to Term SOFR Loans or a continuation of any of such Loans, as applicable, (i) the Administrative Agent determines (which determination shall be conclusive absent manifest error) that (A) no Successor Rate has been determined in accordance with </w:t>
      </w:r>
      <w:r>
        <w:rPr>
          <w:rFonts w:ascii="Times New Roman;serif" w:hAnsi="Times New Roman;serif"/>
          <w:b w:val="false"/>
          <w:color w:val="000000"/>
          <w:sz w:val="22"/>
          <w:u w:val="single"/>
        </w:rPr>
        <w:t>Section 3.03(b),</w:t>
      </w:r>
      <w:r>
        <w:rPr>
          <w:color w:val="000000"/>
        </w:rPr>
        <w:t xml:space="preserve"> </w:t>
      </w:r>
      <w:r>
        <w:rPr>
          <w:rFonts w:ascii="Times New Roman;serif" w:hAnsi="Times New Roman;serif"/>
          <w:b w:val="false"/>
          <w:color w:val="000000"/>
          <w:sz w:val="22"/>
        </w:rPr>
        <w:t xml:space="preserve">and the circumstances under clause (i) of </w:t>
      </w:r>
      <w:r>
        <w:rPr>
          <w:rFonts w:ascii="Times New Roman;serif" w:hAnsi="Times New Roman;serif"/>
          <w:b w:val="false"/>
          <w:color w:val="000000"/>
          <w:sz w:val="22"/>
          <w:u w:val="single"/>
        </w:rPr>
        <w:t>Section 3.03(b)</w:t>
      </w:r>
      <w:r>
        <w:rPr>
          <w:color w:val="000000"/>
        </w:rPr>
        <w:t xml:space="preserve"> </w:t>
      </w:r>
      <w:r>
        <w:rPr>
          <w:rFonts w:ascii="Times New Roman;serif" w:hAnsi="Times New Roman;serif"/>
          <w:b w:val="false"/>
          <w:color w:val="000000"/>
          <w:sz w:val="22"/>
        </w:rPr>
        <w:t>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that Term SOFR for any requested Interest Period with respect to a proposed Term SOFR Loan does not adequately and fairly reflect the cost to such Lenders of funding such Term SOFR Loan, the Administrative Agent will promptly so notify the Borrower and each Lender.</w:t>
      </w:r>
    </w:p>
    <w:p>
      <w:pPr>
        <w:pStyle w:val="TextBody"/>
        <w:bidi w:val="0"/>
        <w:spacing w:lineRule="auto" w:line="288" w:before="180" w:after="283"/>
        <w:ind w:left="0" w:right="0" w:firstLine="720"/>
        <w:jc w:val="both"/>
        <w:rPr/>
      </w:pPr>
      <w:r>
        <w:rPr>
          <w:rFonts w:ascii="Times New Roman;serif" w:hAnsi="Times New Roman;serif"/>
          <w:b w:val="false"/>
          <w:color w:val="000000"/>
          <w:sz w:val="22"/>
        </w:rPr>
        <w:t xml:space="preserve">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serif" w:hAnsi="Times New Roman;serif"/>
          <w:b w:val="false"/>
          <w:color w:val="000000"/>
          <w:sz w:val="22"/>
          <w:u w:val="single"/>
        </w:rPr>
        <w:t>Section 3.03(a)</w:t>
      </w:r>
      <w:r>
        <w:rPr>
          <w:rFonts w:ascii="Times New Roman;serif" w:hAnsi="Times New Roman;serif"/>
          <w:b w:val="false"/>
          <w:color w:val="000000"/>
          <w:sz w:val="22"/>
        </w:rPr>
        <w:t>, until the Administrative Agent upon instruction of the Required Lenders) revokes such notice.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Replacement of Term SOFR or Successor Rate</w:t>
      </w:r>
      <w:r>
        <w:rPr>
          <w:rFonts w:ascii="Times New Roman;serif" w:hAnsi="Times New Roman;serif"/>
          <w:b w:val="false"/>
          <w:color w:val="000000"/>
          <w:sz w:val="22"/>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“Scheduled Unavailability Date”);</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then, on a date and time determined by the Administrative Agent (any such date, the “Term SOFR Replacement Date”),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plus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serif" w:hAnsi="Times New Roman;serif"/>
          <w:b w:val="false"/>
          <w:color w:val="000000"/>
          <w:sz w:val="22"/>
          <w:u w:val="single"/>
        </w:rPr>
        <w:t>Successor Rate</w:t>
      </w:r>
      <w:r>
        <w:rPr>
          <w:color w:val="000000"/>
        </w:rPr>
        <w:t>”</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the Successor Rate is Daily Simple SOFR plus the SOFR Adjustment, all interest payments will be payable on a quarterly basis.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serif" w:hAnsi="Times New Roman;serif"/>
          <w:b w:val="false"/>
          <w:color w:val="000000"/>
          <w:sz w:val="22"/>
          <w:u w:val="single"/>
        </w:rPr>
        <w:t>Section 3.03(b)(i)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serif" w:hAnsi="Times New Roman;serif"/>
          <w:b w:val="false"/>
          <w:color w:val="000000"/>
          <w:sz w:val="22"/>
          <w:u w:val="single"/>
        </w:rPr>
        <w:t>Section 3.03</w:t>
      </w:r>
      <w:r>
        <w:rPr>
          <w:color w:val="000000"/>
        </w:rPr>
        <w:t xml:space="preserve"> </w:t>
      </w:r>
      <w:r>
        <w:rPr>
          <w:rFonts w:ascii="Times New Roman;serif" w:hAnsi="Times New Roman;serif"/>
          <w:b w:val="false"/>
          <w:color w:val="000000"/>
          <w:sz w:val="22"/>
        </w:rPr>
        <w:t xml:space="preserve">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such proposed rate and adjustments, shall constitute a “</w:t>
      </w:r>
      <w:r>
        <w:rPr>
          <w:rFonts w:ascii="Times New Roman;serif" w:hAnsi="Times New Roman;serif"/>
          <w:b w:val="false"/>
          <w:color w:val="000000"/>
          <w:sz w:val="22"/>
          <w:u w:val="single"/>
        </w:rPr>
        <w:t>Successor Rate</w:t>
      </w:r>
      <w:r>
        <w:rPr>
          <w:color w:val="000000"/>
        </w:rPr>
        <w:t>”</w:t>
      </w:r>
      <w:r>
        <w:rPr>
          <w:rFonts w:ascii="Times New Roman;serif" w:hAnsi="Times New Roman;serif"/>
          <w:b w:val="false"/>
          <w:color w:val="000000"/>
          <w:sz w:val="22"/>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Administrative Agent will promptly (in one or more notices) notify the Borrower and each Lender of the implementation of any Successor Rate.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Any Successor Rate shall be applied in a manner consistent with market practice;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to the extent such market practice is not administratively feasible for the Administrative Agent, such Successor Rate shall be applied in a manner as otherwise reasonably determined by the Administrative Agent.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else herein, if at any time any Successor Rate as so determined would otherwise be less than zero%, the Successor Rate will be deemed to be zero% for the purposes of this Agreement and the other Loan Documents.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For purposes of this </w:t>
      </w:r>
      <w:r>
        <w:rPr>
          <w:rFonts w:ascii="Times New Roman;serif" w:hAnsi="Times New Roman;serif"/>
          <w:b w:val="false"/>
          <w:color w:val="000000"/>
          <w:sz w:val="22"/>
          <w:u w:val="single"/>
        </w:rPr>
        <w:t>Section 3.03</w:t>
      </w:r>
      <w:r>
        <w:rPr>
          <w:rFonts w:ascii="Times New Roman;serif" w:hAnsi="Times New Roman;serif"/>
          <w:b w:val="false"/>
          <w:color w:val="000000"/>
          <w:sz w:val="22"/>
        </w:rPr>
        <w:t>, those Lenders that either have not made, or do not have an obligation under this Agreement to make, the relevant Loans in Dollars shall be excluded from any determination of Required Lenders.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3.04    </w:t>
      </w:r>
      <w:r>
        <w:rPr>
          <w:rFonts w:ascii="Times New Roman;serif" w:hAnsi="Times New Roman;serif"/>
          <w:b w:val="false"/>
          <w:color w:val="000000"/>
          <w:sz w:val="22"/>
          <w:u w:val="single"/>
        </w:rPr>
        <w:t>Increased Costs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Increased Costs Generally</w:t>
      </w:r>
      <w:r>
        <w:rPr>
          <w:rFonts w:ascii="Times New Roman;serif" w:hAnsi="Times New Roman;serif"/>
          <w:b w:val="false"/>
          <w:color w:val="000000"/>
          <w:sz w:val="22"/>
        </w:rPr>
        <w:t>. If any Change in Law shall:</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impose, modify or deem applicable any reserve, special deposit, compulsory loan, insurance charge or similar requirement against assets of, deposits with or for the account of, or credit extended or participated in by, any Lender or the L/C Issuer;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impose on any Lender or the L/C Issuer or the London interbank market any other condition, cost or expense affecting this Agreement or Term SOFR Loans made by such Lender or any Letter of Credit or participation therein;</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and the result of any of the foregoing shall be to increase the cost to such Lender of making, converting to, continuing or maintaining any Loan the interest on which is determined by reference to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Term SOFR (or of maintaining its obligation to make any such Loan), or to increase the cost to such Lender or L/C Issuer of participating in, issuing or maintaining any Letter of Credit (or of maintaining its obligation to participate in or to issue any Letter of Credit), or to reduce the amount of any sum received or receivable by such Lender or L/C Issuer hereunder (whether of principal, interest or any other amount) then, upon the written request of such Lender or L/C Issuer, the Borrower will pay to such Lender or L/C Issuer, as the case may be, such additional amount or amounts as will compensate such Lender or L/C Issuer, as the case may be, for such additional costs incurred or reduction suffered.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Capital Requirements</w:t>
      </w:r>
      <w:r>
        <w:rPr>
          <w:rFonts w:ascii="Times New Roman;serif" w:hAnsi="Times New Roman;serif"/>
          <w:b w:val="false"/>
          <w:color w:val="000000"/>
          <w:sz w:val="22"/>
        </w:rPr>
        <w:t>. If any Lender or the L/C Issuer determines that any Change in Law affecting such Lender or L/C Issuer or any Lending Office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the Borrower will, upon the written request of such Lender or L/C Issuer, pay to such Lender or L/C Issuer, as the case may be, such additional amount or amounts as will compensate such Lender or L/C Issuer or such Lender’s or L/C Issuer’s holding company for any such reduction suffered.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Certificates for Reimbursement</w:t>
      </w:r>
      <w:r>
        <w:rPr>
          <w:rFonts w:ascii="Times New Roman;serif" w:hAnsi="Times New Roman;serif"/>
          <w:b w:val="false"/>
          <w:color w:val="000000"/>
          <w:sz w:val="22"/>
        </w:rPr>
        <w:t>. A certificate of a Lender or the L/C Issuer setting forth the amount or amounts necessary to compensate such Lender or L/C Issuer or its holding company, as the case may be, as specified in subsection (a) or (b) of this Section and delivered to the Borrower shall be conclusive absent manifest error. The Borrower shall pay such Lender or L/C Issuer, as the case may be, the amount shown as due on any such certificate within ten days after receipt thereof.</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Delay in Requests</w:t>
      </w:r>
      <w:r>
        <w:rPr>
          <w:rFonts w:ascii="Times New Roman;serif" w:hAnsi="Times New Roman;serif"/>
          <w:b w:val="false"/>
          <w:color w:val="000000"/>
          <w:sz w:val="22"/>
        </w:rPr>
        <w:t xml:space="preserve">. Failure or delay on the part of any Lender or the L/C Issuer to demand compensation pursuant to the foregoing provisions of this Section shall not constitute a waiver of such Lender’s or L/C Issuer’s right to demand such compensation,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shall not be required to compensate a Lender or the L/C Issuer pursuant to the foregoing provisions of this Section for any increased costs incurred or reductions suffered more than nine months prior to the date that such Lender or L/C Issuer, as the case may be, notifies the Borrower of the Change in Law giving rise to such increased costs or reductions and of such Lender’s or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3.05    </w:t>
      </w:r>
      <w:r>
        <w:rPr>
          <w:rFonts w:ascii="Times New Roman;serif" w:hAnsi="Times New Roman;serif"/>
          <w:b w:val="false"/>
          <w:color w:val="000000"/>
          <w:sz w:val="22"/>
          <w:u w:val="single"/>
        </w:rPr>
        <w:t>Compensation for Losses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written demand of any Lender (with a copy to the Administrative Agent) from time to time, the Borrower shall promptly compensate such Lender for and hold such Lender harmless from any loss, cost or expense incurred by it as a result of:</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any continuation, conversion, payment or prepayment of any Term SOFR Loan on a day other than the last day of the Interest Period for such Loan (whether voluntary, mandatory, automatic, by reason of acceleration, or otherwise);</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any failure by the Borrower (for a reason other than the failure of such Lender to make a Loan) to prepay, borrow, continue or convert any Term SOFR Loan on the date or in the amount notified by the Borrower; or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(c) any assignment of a Term SOFR Loan on a day other than the last day of the Interest Period therefor as a result of a request by the Borrower pursuant to </w:t>
      </w:r>
      <w:r>
        <w:rPr>
          <w:rFonts w:ascii="Times New Roman;serif" w:hAnsi="Times New Roman;serif"/>
          <w:b w:val="false"/>
          <w:color w:val="000000"/>
          <w:sz w:val="22"/>
          <w:u w:val="single"/>
        </w:rPr>
        <w:t>Section 10.13</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3.06    </w:t>
      </w:r>
      <w:r>
        <w:rPr>
          <w:rFonts w:ascii="Times New Roman;serif" w:hAnsi="Times New Roman;serif"/>
          <w:b w:val="false"/>
          <w:color w:val="000000"/>
          <w:sz w:val="22"/>
          <w:u w:val="single"/>
        </w:rPr>
        <w:t>Mitigation of Obligations; Replacement of Lenders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Designation of a Different Lending Office</w:t>
      </w:r>
      <w:r>
        <w:rPr>
          <w:rFonts w:ascii="Times New Roman;serif" w:hAnsi="Times New Roman;serif"/>
          <w:b w:val="false"/>
          <w:color w:val="000000"/>
          <w:sz w:val="22"/>
        </w:rPr>
        <w:t xml:space="preserve">. If any Lender requests compensation under </w:t>
      </w:r>
      <w:r>
        <w:rPr>
          <w:rFonts w:ascii="Times New Roman;serif" w:hAnsi="Times New Roman;serif"/>
          <w:b w:val="false"/>
          <w:color w:val="000000"/>
          <w:sz w:val="22"/>
          <w:u w:val="single"/>
        </w:rPr>
        <w:t>Section 3.04</w:t>
      </w:r>
      <w:r>
        <w:rPr>
          <w:rFonts w:ascii="Times New Roman;serif" w:hAnsi="Times New Roman;serif"/>
          <w:b w:val="false"/>
          <w:color w:val="000000"/>
          <w:sz w:val="22"/>
        </w:rPr>
        <w:t xml:space="preserve">, or requires the Borrower to pay any Indemnified Taxes or additional amounts to any Lender, the L/C Issuer, or any Governmental Authority for the account of any Lender or the L/C Issuer pursuant to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or if any Lender gives a notice pursuant to </w:t>
      </w:r>
      <w:r>
        <w:rPr>
          <w:rFonts w:ascii="Times New Roman;serif" w:hAnsi="Times New Roman;serif"/>
          <w:b w:val="false"/>
          <w:color w:val="000000"/>
          <w:sz w:val="22"/>
          <w:u w:val="single"/>
        </w:rPr>
        <w:t>Section 3.02</w:t>
      </w:r>
      <w:r>
        <w:rPr>
          <w:rFonts w:ascii="Times New Roman;serif" w:hAnsi="Times New Roman;serif"/>
          <w:b w:val="false"/>
          <w:color w:val="000000"/>
          <w:sz w:val="22"/>
        </w:rPr>
        <w:t xml:space="preserve">, then at the request of the Borrower such Lender or L/C Issuer, as applicable, shall use reasonable efforts to designate a different Lending Office for funding or booking its Loans hereunder or to assign its rights and obligations hereunder to another of its offices, branches or affiliates, if, in the judgment of such Lender or L/C Issuer, as applicable, such designation or assignment (i) would eliminate or reduce amounts payable pursuant to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as the case may be, in the future, or eliminate the need for the notice pursuant to </w:t>
      </w:r>
      <w:r>
        <w:rPr>
          <w:rFonts w:ascii="Times New Roman;serif" w:hAnsi="Times New Roman;serif"/>
          <w:b w:val="false"/>
          <w:color w:val="000000"/>
          <w:sz w:val="22"/>
          <w:u w:val="single"/>
        </w:rPr>
        <w:t>Section 3.02</w:t>
      </w:r>
      <w:r>
        <w:rPr>
          <w:rFonts w:ascii="Times New Roman;serif" w:hAnsi="Times New Roman;serif"/>
          <w:b w:val="false"/>
          <w:color w:val="000000"/>
          <w:sz w:val="22"/>
        </w:rPr>
        <w:t>, as applicable, and (ii) in each case, would not subject such Lender or L/C Issuer, as the case may be, to any unreimbursed cost or expense and would not otherwise be disadvantageous to such Lender or L/C Issuer, as the case may be. The Borrower hereby agrees to pay all reasonable costs and expenses incurred by any Lender or the L/C Issuer in connection with any such designation or assignment.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Replacement of Lenders</w:t>
      </w:r>
      <w:r>
        <w:rPr>
          <w:rFonts w:ascii="Times New Roman;serif" w:hAnsi="Times New Roman;serif"/>
          <w:b w:val="false"/>
          <w:color w:val="000000"/>
          <w:sz w:val="22"/>
        </w:rPr>
        <w:t xml:space="preserve">. If any Lender requests compensation under </w:t>
      </w:r>
      <w:r>
        <w:rPr>
          <w:rFonts w:ascii="Times New Roman;serif" w:hAnsi="Times New Roman;serif"/>
          <w:b w:val="false"/>
          <w:color w:val="000000"/>
          <w:sz w:val="22"/>
          <w:u w:val="single"/>
        </w:rPr>
        <w:t>Section 3.04</w:t>
      </w:r>
      <w:r>
        <w:rPr>
          <w:rFonts w:ascii="Times New Roman;serif" w:hAnsi="Times New Roman;serif"/>
          <w:b w:val="false"/>
          <w:color w:val="000000"/>
          <w:sz w:val="22"/>
        </w:rPr>
        <w:t xml:space="preserve">, or if the Borrower is required to pay any Indemnified Taxes or additional amounts to any Lender or any Governmental Authority for the account of any Lender pursuant to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and, in each case, such Lender has declined or is unable to designate a different lending office in accordance with </w:t>
      </w:r>
      <w:r>
        <w:rPr>
          <w:rFonts w:ascii="Times New Roman;serif" w:hAnsi="Times New Roman;serif"/>
          <w:b w:val="false"/>
          <w:color w:val="000000"/>
          <w:sz w:val="22"/>
          <w:u w:val="single"/>
        </w:rPr>
        <w:t>Section 3.06(a)</w:t>
      </w:r>
      <w:r>
        <w:rPr>
          <w:rFonts w:ascii="Times New Roman;serif" w:hAnsi="Times New Roman;serif"/>
          <w:b w:val="false"/>
          <w:color w:val="000000"/>
          <w:sz w:val="22"/>
        </w:rPr>
        <w:t xml:space="preserve">, the Borrower may, at its sole expense and effort, replace such Lender in accordance with </w:t>
      </w:r>
      <w:r>
        <w:rPr>
          <w:rFonts w:ascii="Times New Roman;serif" w:hAnsi="Times New Roman;serif"/>
          <w:b w:val="false"/>
          <w:color w:val="000000"/>
          <w:sz w:val="22"/>
          <w:u w:val="single"/>
        </w:rPr>
        <w:t>Section 10.13</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3.07    </w:t>
      </w:r>
      <w:r>
        <w:rPr>
          <w:rFonts w:ascii="Times New Roman;serif" w:hAnsi="Times New Roman;serif"/>
          <w:b w:val="false"/>
          <w:color w:val="000000"/>
          <w:sz w:val="22"/>
          <w:u w:val="single"/>
        </w:rPr>
        <w:t>Survival</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All of the Borrower’s obligations under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shall survive termination of the Aggregate Revolving Commitments, repayment of all other Obligations hereunder and resignation of the Administrative Agent.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IV </w:t>
      </w:r>
    </w:p>
    <w:p>
      <w:pPr>
        <w:pStyle w:val="TextBody"/>
        <w:bidi w:val="0"/>
        <w:spacing w:before="0" w:after="0"/>
        <w:jc w:val="center"/>
        <w:rPr/>
      </w:pPr>
      <w:r>
        <w:rPr/>
      </w:r>
    </w:p>
    <w:p>
      <w:pPr>
        <w:pStyle w:val="TextBody"/>
        <w:bidi w:val="0"/>
        <w:spacing w:lineRule="auto" w:line="276" w:before="0" w:after="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CONDITIONS PRECEDENT TO CREDIT EXTENSIONS</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4.01 </w:t>
      </w:r>
      <w:r>
        <w:rPr>
          <w:rFonts w:ascii="Times New Roman;serif" w:hAnsi="Times New Roman;serif"/>
          <w:b w:val="false"/>
          <w:color w:val="000000"/>
          <w:sz w:val="22"/>
          <w:u w:val="single"/>
        </w:rPr>
        <w:t>Conditions of Effectiveness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Agreement shall be effective upon satisfaction of the following conditions precedent in each case in a manner satisfactory to the Administrative Agent and each Lender: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Loan Documents</w:t>
      </w:r>
      <w:r>
        <w:rPr>
          <w:rFonts w:ascii="Times New Roman;serif" w:hAnsi="Times New Roman;serif"/>
          <w:b w:val="false"/>
          <w:color w:val="000000"/>
          <w:sz w:val="22"/>
        </w:rPr>
        <w:t>. Receipt by the Administrative Agent of executed counterparts of this Agreement and the other Loan Documents, each properly executed by a Responsible Officer of the Borrower and, in the case of this Agreement, by each Lender.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Opinions of Counsel</w:t>
      </w:r>
      <w:r>
        <w:rPr>
          <w:rFonts w:ascii="Times New Roman;serif" w:hAnsi="Times New Roman;serif"/>
          <w:b w:val="false"/>
          <w:color w:val="000000"/>
          <w:sz w:val="22"/>
        </w:rPr>
        <w:t>. Receipt by the Administrative Agent of favorable opinions of legal counsel to the Borrower, addressed to the Administrative Agent and each Lender, dated as of the Closing Date.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Organization Documents, Resolutions, Etc.</w:t>
      </w:r>
      <w:r>
        <w:rPr>
          <w:color w:val="000000"/>
        </w:rPr>
        <w:t xml:space="preserve"> </w:t>
      </w:r>
      <w:r>
        <w:rPr>
          <w:rFonts w:ascii="Times New Roman;serif" w:hAnsi="Times New Roman;serif"/>
          <w:b w:val="false"/>
          <w:color w:val="000000"/>
          <w:sz w:val="22"/>
        </w:rPr>
        <w:t>Receipt by the Administrative Agent of the following: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copies of the Organization Documents of the Borrower certified to be true, correct and complete as of a recent date by the appropriate Governmental Authority of the state of its incorporation or organization, where applicable, and certified by a secretary or assistant secretary of the Borrower to be true, correct and complete as of the Closing Date;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such certificates of resolutions or other action, incumbency certificates and/or other certificates of Responsible Officers of the Borrower as the Administrative Agent may require evidencing the identity, authority and capacity of each Responsible Officer thereof authorized to act as a Responsible Officer in connection with this Agreement and the other Loan Documents to which the Borrower is a party;</w:t>
      </w:r>
    </w:p>
    <w:p>
      <w:pPr>
        <w:pStyle w:val="TextBody"/>
        <w:bidi w:val="0"/>
        <w:spacing w:lineRule="auto" w:line="288"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such documents and certifications as the Administrative Agent may require to evidence that the Borrower is duly organized or formed, and is validly existing, in good standing and qualified to engage in business in its state of organization or formation; and</w:t>
      </w:r>
    </w:p>
    <w:p>
      <w:pPr>
        <w:pStyle w:val="TextBody"/>
        <w:bidi w:val="0"/>
        <w:spacing w:lineRule="auto" w:line="288" w:before="240" w:after="283"/>
        <w:ind w:left="0" w:right="0" w:firstLine="720"/>
        <w:jc w:val="both"/>
        <w:rPr/>
      </w:pPr>
      <w:r>
        <w:rPr>
          <w:rFonts w:ascii="Times New Roman;serif" w:hAnsi="Times New Roman;serif"/>
          <w:b w:val="false"/>
          <w:color w:val="000000"/>
          <w:sz w:val="22"/>
        </w:rPr>
        <w:t>(</w:t>
      </w:r>
      <w:r>
        <w:rPr>
          <w:rFonts w:ascii="Times New Roman;serif" w:hAnsi="Times New Roman;serif"/>
          <w:b w:val="false"/>
          <w:strike/>
          <w:color w:val="FF0000"/>
          <w:sz w:val="22"/>
        </w:rPr>
        <w:t>v</w:t>
      </w:r>
      <w:r>
        <w:rPr>
          <w:rFonts w:ascii="Times New Roman;serif" w:hAnsi="Times New Roman;serif"/>
          <w:b w:val="false"/>
          <w:color w:val="0000FF"/>
          <w:sz w:val="22"/>
          <w:u w:val="single"/>
        </w:rPr>
        <w:t>iv</w:t>
      </w:r>
      <w:r>
        <w:rPr>
          <w:rFonts w:ascii="Times New Roman;serif" w:hAnsi="Times New Roman;serif"/>
          <w:b w:val="false"/>
          <w:color w:val="000000"/>
          <w:sz w:val="22"/>
        </w:rPr>
        <w:t xml:space="preserve">) copies of the Organization Documents of each of (A) Advanced Circuits, (B) Ergo Baby, (C) Arnold Magnetics, (D) BOA, (E) Sterno, (F) Foam Fab, (G) 5.11, (H) Velocity, (I) Marucci, (J) Lugano </w:t>
      </w:r>
      <w:r>
        <w:rPr>
          <w:rFonts w:ascii="Times New Roman;serif" w:hAnsi="Times New Roman;serif"/>
          <w:b w:val="false"/>
          <w:color w:val="000000"/>
          <w:sz w:val="22"/>
          <w:u w:val="single"/>
        </w:rPr>
        <w:t xml:space="preserve">Buyer </w:t>
      </w:r>
      <w:r>
        <w:rPr>
          <w:rFonts w:ascii="Times New Roman;serif" w:hAnsi="Times New Roman;serif"/>
          <w:b w:val="false"/>
          <w:color w:val="000000"/>
          <w:sz w:val="22"/>
        </w:rPr>
        <w:t>and (K) PrimaLoft, in each case certified to be true, correct and complete as of a recent date by the appropriate Governmental Authority of the state of its incorporation or organization, where applicable; provided, however, that if copies of the Organization Documents for any such entities have previously been delivered to the Administrative Agent and no changes have occurred since the date of such delivery, only a certificate of a Responsible Officer of the Borrower certifying to the same shall be required.</w:t>
      </w:r>
    </w:p>
    <w:p>
      <w:pPr>
        <w:pStyle w:val="TextBody"/>
        <w:bidi w:val="0"/>
        <w:spacing w:lineRule="auto" w:line="288" w:before="180" w:after="283"/>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Personal Property Collateral</w:t>
      </w:r>
      <w:r>
        <w:rPr>
          <w:rFonts w:ascii="Times New Roman;serif" w:hAnsi="Times New Roman;serif"/>
          <w:b w:val="false"/>
          <w:color w:val="000000"/>
          <w:sz w:val="22"/>
        </w:rPr>
        <w:t xml:space="preserve">. Receipt by the Administrative Agent of the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searches of Uniform Commercial Code filings in the jurisdiction of formation of the Borrower and each other jurisdiction deemed appropriate by the Administrative Agent;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(ii) UCC financing statements for each appropriate jurisdiction as is necessary, in the Administrative Agent’s discretion, to perfect the Administrative Agent’s security interest in the Collateral;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all certificates evidencing any certificated Equity Interests pledged to the Administrative Agent pursuant to the Security Agreement, together with duly executed in blank, undated stock powers attached thereto (unless, with respect to the pledged Equity Interests of any Foreign Subsidiary, such stock powers are deemed unnecessary by the Administrative Agent in its discretion under the Law of the jurisdiction of organization of such Foreign Subsidiary);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searches of ownership of, and Liens on, United States registered intellectual property of the Borrower in the appropriate governmental offices; 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 duly executed notices of grant of security interest in the form required by the Security Agreement as are necessary, in the Administrative Agent’s discretion, to perfect the Administrative Agent’s security interest in the United States registered intellectual property of the Borrower.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Evidence of Insurance</w:t>
      </w:r>
      <w:r>
        <w:rPr>
          <w:rFonts w:ascii="Times New Roman;serif" w:hAnsi="Times New Roman;serif"/>
          <w:b w:val="false"/>
          <w:color w:val="000000"/>
          <w:sz w:val="22"/>
        </w:rPr>
        <w:t>. Receipt by the Administrative Agent of copies of insurance policies or certificates of insurance of the Borrower evidencing liability and casualty insurance meeting the requirements set forth in the Loan Documents, including naming the Administrative Agent and its successors and assigns as additional insured (in the case of liability insurance) or loss payee (in the case of property insurance) on behalf of the Lenders.</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Solvency Certificate</w:t>
      </w:r>
      <w:r>
        <w:rPr>
          <w:rFonts w:ascii="Times New Roman;serif" w:hAnsi="Times New Roman;serif"/>
          <w:b w:val="false"/>
          <w:color w:val="000000"/>
          <w:sz w:val="22"/>
        </w:rPr>
        <w:t xml:space="preserve">. Receipt by the Administrative Agent of a certificate from the chief financial officer of the Borrower, or such other Responsible Officer of the Borrower as is acceptable to the Administrative Agent, dated as of the Closing Date and certifying that the Borrower and its Subsidiaries on a consolidated basis are Solvent after giving effect to the Closing Date Acquisition and the advance of Loans on the Closing Date.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(g) </w:t>
      </w:r>
      <w:r>
        <w:rPr>
          <w:rFonts w:ascii="Times New Roman;serif" w:hAnsi="Times New Roman;serif"/>
          <w:b w:val="false"/>
          <w:color w:val="000000"/>
          <w:sz w:val="22"/>
          <w:u w:val="single"/>
        </w:rPr>
        <w:t>Related Agreements</w:t>
      </w:r>
      <w:r>
        <w:rPr>
          <w:rFonts w:ascii="Times New Roman;serif" w:hAnsi="Times New Roman;serif"/>
          <w:b w:val="false"/>
          <w:color w:val="000000"/>
          <w:sz w:val="22"/>
        </w:rPr>
        <w:t>. Receipt by the Administrative Agent of such Related Agreements as are existing on the Closing Date and are required by the Administrative Agent, certified by a secretary or assistant secretary of the Borrower (or such other Responsible Officer of the Borrower as is acceptable to the Administrative Agent) to be true, correct and complete as of the Closing Date.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(h) </w:t>
      </w:r>
      <w:r>
        <w:rPr>
          <w:rFonts w:ascii="Times New Roman;serif" w:hAnsi="Times New Roman;serif"/>
          <w:b w:val="false"/>
          <w:color w:val="000000"/>
          <w:sz w:val="22"/>
          <w:u w:val="single"/>
        </w:rPr>
        <w:t>Payment of Accrued Interest and Fees under the Existing Credit Agreement</w:t>
      </w:r>
      <w:r>
        <w:rPr>
          <w:rFonts w:ascii="Times New Roman;serif" w:hAnsi="Times New Roman;serif"/>
          <w:b w:val="false"/>
          <w:color w:val="000000"/>
          <w:sz w:val="22"/>
        </w:rPr>
        <w:t>. Borrower shall have paid in full all accrued interest and fees under the Existing Credit Agreement.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Closing Date Acquisition</w:t>
      </w:r>
      <w:r>
        <w:rPr>
          <w:rFonts w:ascii="Times New Roman;serif" w:hAnsi="Times New Roman;serif"/>
          <w:b w:val="false"/>
          <w:color w:val="000000"/>
          <w:sz w:val="22"/>
        </w:rPr>
        <w:t>. The Closing Date Acquisition shall be consummated substantially concurrently with the funding of the Loans on the Closing Date.</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(j) </w:t>
      </w:r>
      <w:r>
        <w:rPr>
          <w:rFonts w:ascii="Times New Roman;serif" w:hAnsi="Times New Roman;serif"/>
          <w:b w:val="false"/>
          <w:color w:val="000000"/>
          <w:sz w:val="22"/>
          <w:u w:val="single"/>
        </w:rPr>
        <w:t>Know Your Customer</w:t>
      </w:r>
      <w:r>
        <w:rPr>
          <w:rFonts w:ascii="Times New Roman;serif" w:hAnsi="Times New Roman;serif"/>
          <w:b w:val="false"/>
          <w:color w:val="000000"/>
          <w:sz w:val="22"/>
        </w:rPr>
        <w:t xml:space="preserve">. Upon the reasonable request of any Lender, the Borrower shall have provided to such Lender, and such Lender shall be reasonably satisfied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documentation and other information so requested in connection with applicable “know your customer” and anti-money-laundering rules and regulations, including, without limitation, the Patriot Act.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(k) </w:t>
      </w:r>
      <w:r>
        <w:rPr>
          <w:rFonts w:ascii="Times New Roman;serif" w:hAnsi="Times New Roman;serif"/>
          <w:b w:val="false"/>
          <w:color w:val="000000"/>
          <w:sz w:val="22"/>
          <w:u w:val="single"/>
        </w:rPr>
        <w:t>Fees</w:t>
      </w:r>
      <w:r>
        <w:rPr>
          <w:rFonts w:ascii="Times New Roman;serif" w:hAnsi="Times New Roman;serif"/>
          <w:b w:val="false"/>
          <w:color w:val="000000"/>
          <w:sz w:val="22"/>
        </w:rPr>
        <w:t>. Receipt by the Administrative Agent, the Arrangers and the Lenders of any fees required to be paid on or before the Closing Date.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(l) </w:t>
      </w:r>
      <w:r>
        <w:rPr>
          <w:rFonts w:ascii="Times New Roman;serif" w:hAnsi="Times New Roman;serif"/>
          <w:b w:val="false"/>
          <w:color w:val="000000"/>
          <w:sz w:val="22"/>
          <w:u w:val="single"/>
        </w:rPr>
        <w:t>Attorney Costs</w:t>
      </w:r>
      <w:r>
        <w:rPr>
          <w:rFonts w:ascii="Times New Roman;serif" w:hAnsi="Times New Roman;serif"/>
          <w:b w:val="false"/>
          <w:color w:val="000000"/>
          <w:sz w:val="22"/>
        </w:rPr>
        <w:t>. The Borrower shall have paid all fees, charges and disbursements of counsel to the Administrative Agent (directly to such counsel if requested by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 and the Administrative Agent) to the extent invoiced prior to or on the Closing Date.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Without limiting the generality of the provisions of the last paragraph of </w:t>
      </w:r>
      <w:r>
        <w:rPr>
          <w:rFonts w:ascii="Times New Roman;serif" w:hAnsi="Times New Roman;serif"/>
          <w:b w:val="false"/>
          <w:color w:val="000000"/>
          <w:sz w:val="22"/>
          <w:u w:val="single"/>
        </w:rPr>
        <w:t>Section 9.03</w:t>
      </w:r>
      <w:r>
        <w:rPr>
          <w:rFonts w:ascii="Times New Roman;serif" w:hAnsi="Times New Roman;serif"/>
          <w:b w:val="false"/>
          <w:color w:val="000000"/>
          <w:sz w:val="22"/>
        </w:rPr>
        <w:t xml:space="preserve">, for purposes of determining compliance with the conditions specified in this </w:t>
      </w:r>
      <w:r>
        <w:rPr>
          <w:rFonts w:ascii="Times New Roman;serif" w:hAnsi="Times New Roman;serif"/>
          <w:b w:val="false"/>
          <w:color w:val="000000"/>
          <w:sz w:val="22"/>
          <w:u w:val="single"/>
        </w:rPr>
        <w:t>Section 4.01</w:t>
      </w:r>
      <w:r>
        <w:rPr>
          <w:rFonts w:ascii="Times New Roman;serif" w:hAnsi="Times New Roman;serif"/>
          <w:b w:val="false"/>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Personal Property Collateral</w:t>
      </w:r>
      <w:r>
        <w:rPr>
          <w:rFonts w:ascii="Times New Roman;serif" w:hAnsi="Times New Roman;serif"/>
          <w:b w:val="false"/>
          <w:color w:val="000000"/>
          <w:sz w:val="22"/>
        </w:rPr>
        <w:t xml:space="preserve">. Receipt by the Administrative Agent of the following: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searches of Uniform Commercial Code filings in the jurisdiction of formation of the Borrower and each other jurisdiction deemed appropriate by the Administrative Agent;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(ii) UCC financing statements for each appropriate jurisdiction as is necessary, in the Administrative Agent’s discretion, to perfect the Administrative Agent’s security interest in the Collateral;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all certificates evidencing any certificated Equity Interests pledged to the Administrative Agent pursuant to the Security Agreement, together with duly executed in blank, undated stock powers attached thereto (unless, with respect to the pledged Equity Interests of any Foreign Subsidiary, such stock powers are deemed unnecessary by the Administrative Agent in its discretion under the Law of the jurisdiction of organization of such Foreign Subsidiary);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searches of ownership of, and Liens on, United States registered intellectual property of the Borrower in the appropriate governmental offices; 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 duly executed notices of grant of security interest in the form required by the Security Agreement as are necessary, in the Administrative Agent’s discretion, to perfect the Administrative Agent’s security interest in the United States registered intellectual property of the Borrower.</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Evidence of Insurance</w:t>
      </w:r>
      <w:r>
        <w:rPr>
          <w:rFonts w:ascii="Times New Roman;serif" w:hAnsi="Times New Roman;serif"/>
          <w:b w:val="false"/>
          <w:color w:val="000000"/>
          <w:sz w:val="22"/>
        </w:rPr>
        <w:t xml:space="preserve">. Receipt by the Administrative Agent of copies of insurance policies or certificates of insurance of the Borrower evidencing liability and casualty insurance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meeting the requirements set forth in the Loan Documents, including naming the Administrative Agent and its successors and assigns as additional insured (in the case of liability insurance) or loss payee (in the case of property insurance) on behalf of the Lenders.</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Solvency Certificate</w:t>
      </w:r>
      <w:r>
        <w:rPr>
          <w:rFonts w:ascii="Times New Roman;serif" w:hAnsi="Times New Roman;serif"/>
          <w:b w:val="false"/>
          <w:color w:val="000000"/>
          <w:sz w:val="22"/>
        </w:rPr>
        <w:t xml:space="preserve">. Receipt by the Administrative Agent of a certificate from the chief financial officer of the Borrower, or such other Responsible Officer of the Borrower as is acceptable to the Administrative Agent, dated as of the Closing Date and certifying that the Borrower and its Subsidiaries on a consolidated basis are Solvent after giving effect to the Closing Date Acquisition and the advance of Loans on the Closing Date.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(g) </w:t>
      </w:r>
      <w:r>
        <w:rPr>
          <w:rFonts w:ascii="Times New Roman;serif" w:hAnsi="Times New Roman;serif"/>
          <w:b w:val="false"/>
          <w:color w:val="000000"/>
          <w:sz w:val="22"/>
          <w:u w:val="single"/>
        </w:rPr>
        <w:t>Related Agreements</w:t>
      </w:r>
      <w:r>
        <w:rPr>
          <w:rFonts w:ascii="Times New Roman;serif" w:hAnsi="Times New Roman;serif"/>
          <w:b w:val="false"/>
          <w:color w:val="000000"/>
          <w:sz w:val="22"/>
        </w:rPr>
        <w:t>. Receipt by the Administrative Agent of such Related Agreements as are existing on the Closing Date and are required by the Administrative Agent, certified by a secretary or assistant secretary of the Borrower (or such other Responsible Officer of the Borrower as is acceptable to the Administrative Agent) to be true, correct and complete as of the Closing Date.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(h) </w:t>
      </w:r>
      <w:r>
        <w:rPr>
          <w:rFonts w:ascii="Times New Roman;serif" w:hAnsi="Times New Roman;serif"/>
          <w:b w:val="false"/>
          <w:color w:val="000000"/>
          <w:sz w:val="22"/>
          <w:u w:val="single"/>
        </w:rPr>
        <w:t>Payment of Accrued Interest and Fees under the Existing Credit Agreement</w:t>
      </w:r>
      <w:r>
        <w:rPr>
          <w:rFonts w:ascii="Times New Roman;serif" w:hAnsi="Times New Roman;serif"/>
          <w:b w:val="false"/>
          <w:color w:val="000000"/>
          <w:sz w:val="22"/>
        </w:rPr>
        <w:t>. Borrower shall have paid in full all accrued interest and fees under the Existing Credit Agreement.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Closing Date Acquisition</w:t>
      </w:r>
      <w:r>
        <w:rPr>
          <w:rFonts w:ascii="Times New Roman;serif" w:hAnsi="Times New Roman;serif"/>
          <w:b w:val="false"/>
          <w:color w:val="000000"/>
          <w:sz w:val="22"/>
        </w:rPr>
        <w:t>. The Closing Date Acquisition shall be consummated substantially concurrently with the funding of the Loans on the Closing Date.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(j) </w:t>
      </w:r>
      <w:r>
        <w:rPr>
          <w:rFonts w:ascii="Times New Roman;serif" w:hAnsi="Times New Roman;serif"/>
          <w:b w:val="false"/>
          <w:color w:val="000000"/>
          <w:sz w:val="22"/>
          <w:u w:val="single"/>
        </w:rPr>
        <w:t>Know Your Customer</w:t>
      </w:r>
      <w:r>
        <w:rPr>
          <w:rFonts w:ascii="Times New Roman;serif" w:hAnsi="Times New Roman;serif"/>
          <w:b w:val="false"/>
          <w:color w:val="000000"/>
          <w:sz w:val="22"/>
        </w:rPr>
        <w:t>. Upon the reasonable request of any Lender,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(k) </w:t>
      </w:r>
      <w:r>
        <w:rPr>
          <w:rFonts w:ascii="Times New Roman;serif" w:hAnsi="Times New Roman;serif"/>
          <w:b w:val="false"/>
          <w:color w:val="000000"/>
          <w:sz w:val="22"/>
          <w:u w:val="single"/>
        </w:rPr>
        <w:t>Fees</w:t>
      </w:r>
      <w:r>
        <w:rPr>
          <w:rFonts w:ascii="Times New Roman;serif" w:hAnsi="Times New Roman;serif"/>
          <w:b w:val="false"/>
          <w:color w:val="000000"/>
          <w:sz w:val="22"/>
        </w:rPr>
        <w:t>. Receipt by the Administrative Agent, the Arrangers and the Lenders of any fees required to be paid on or before the Closing Date.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(l) </w:t>
      </w:r>
      <w:r>
        <w:rPr>
          <w:rFonts w:ascii="Times New Roman;serif" w:hAnsi="Times New Roman;serif"/>
          <w:b w:val="false"/>
          <w:color w:val="000000"/>
          <w:sz w:val="22"/>
          <w:u w:val="single"/>
        </w:rPr>
        <w:t>Attorney Costs</w:t>
      </w:r>
      <w:r>
        <w:rPr>
          <w:rFonts w:ascii="Times New Roman;serif" w:hAnsi="Times New Roman;serif"/>
          <w:b w:val="false"/>
          <w:color w:val="000000"/>
          <w:sz w:val="22"/>
        </w:rPr>
        <w:t>. The Borrower shall have paid all fees, charges and disbursements of counsel to the Administrative Agent (directly to such counsel if requested by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 and the Administrative Agent) to the extent invoiced prior to or on the Closing Date.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Without limiting the generality of the provisions of the last paragraph of </w:t>
      </w:r>
      <w:r>
        <w:rPr>
          <w:rFonts w:ascii="Times New Roman;serif" w:hAnsi="Times New Roman;serif"/>
          <w:b w:val="false"/>
          <w:color w:val="000000"/>
          <w:sz w:val="22"/>
          <w:u w:val="single"/>
        </w:rPr>
        <w:t>Section 9.03</w:t>
      </w:r>
      <w:r>
        <w:rPr>
          <w:rFonts w:ascii="Times New Roman;serif" w:hAnsi="Times New Roman;serif"/>
          <w:b w:val="false"/>
          <w:color w:val="000000"/>
          <w:sz w:val="22"/>
        </w:rPr>
        <w:t xml:space="preserve">, for purposes of determining compliance with the conditions specified in this </w:t>
      </w:r>
      <w:r>
        <w:rPr>
          <w:rFonts w:ascii="Times New Roman;serif" w:hAnsi="Times New Roman;serif"/>
          <w:b w:val="false"/>
          <w:color w:val="000000"/>
          <w:sz w:val="22"/>
          <w:u w:val="single"/>
        </w:rPr>
        <w:t>Section 4.01</w:t>
      </w:r>
      <w:r>
        <w:rPr>
          <w:rFonts w:ascii="Times New Roman;serif" w:hAnsi="Times New Roman;serif"/>
          <w:b w:val="false"/>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4.02     </w:t>
      </w:r>
      <w:r>
        <w:rPr>
          <w:rFonts w:ascii="Times New Roman;serif" w:hAnsi="Times New Roman;serif"/>
          <w:b w:val="false"/>
          <w:color w:val="000000"/>
          <w:sz w:val="22"/>
          <w:u w:val="single"/>
        </w:rPr>
        <w:t>Conditions to all Credit Extensions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obligation of each Lender and the L/C Issuer to honor any Request for Credit Extension (including a Request for Credit Extension relating to an advance under an Incremental Facility but </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excluding a Loan Notice requesting only a conversion of Loans to the other Type or a continuation of Term SOFR Loans) is subject to the following conditions precedent: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The representations and warranties of the Borrower contained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or any other Loan Document, or which are contained in any document furnished at any time under or in connection herewith or therewith, shall be true and correct in all material respects (or, in the case of any such representations and warranties qualified by materiality or Material Adverse Effect, in all respects as drafted) on and as of the date of such Credit Extension, except to the extent that such representations and warranties specifically refer to an earlier date, in which case such representations and warranties shall be true and correct in all material respects (or, in the case of any such representations and warranties qualified by materiality or Material Adverse Effect, in all respects as drafted) as of such earlier date.</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No Default shall exist or would result from such proposed Credit Extension or from the application of the proceeds thereof.</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If the proceeds of such Credit Extension will fund an Acquisition or Restricted Payment by the Borrower or a Portfolio Company, the Administrative Agent shall have received certification from the chief executive officer, chief financial officer, treasurer or controller of the Borrower demonstrating sufficient Unused Borrowing Availability for such Credit Extension.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(d) After giving effect to any such Credit Extension, the Borrower shall be in compliance with the financial covenants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on a Pro Forma Basis;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The Administrative Agent and, if applicable, the L/C Issuer or the Swing Line Lender shall have received a Request for Credit Extension in accordance with the requirements hereof.</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Each Request for Credit Extension (including a Request for Credit Extension relating to an advance under an Incremental Facility but excluding a Loan Notice requesting only a conversion of Loans to the other Type or a continuation of Term SOFR Loans) submitted by the Borrower shall be deemed to be a representation and warranty that the conditions specified in this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have been satisfied on and as of the date of the applicable Credit Extension.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V </w:t>
      </w:r>
    </w:p>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 xml:space="preserve">REPRESENTATIONS AND WARRANTIES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Borrower represents and warrants to the Administrative Agent and the Lenders that: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5.01 </w:t>
      </w:r>
      <w:r>
        <w:rPr>
          <w:rFonts w:ascii="Times New Roman;serif" w:hAnsi="Times New Roman;serif"/>
          <w:b w:val="false"/>
          <w:color w:val="000000"/>
          <w:sz w:val="22"/>
          <w:u w:val="single"/>
        </w:rPr>
        <w:t>Existence, Qualification and Power</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and each of its Subsidiaries (other than, in the case of the following clause (a), Subsidiaries of a Portfolio Company that are not material to such Portfolio Company when taken as a whole with all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(b)(i) or (c), to the extent that failure to do so could not reasonably be expected to have a Material Adverse Effect.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5.02 </w:t>
      </w:r>
      <w:r>
        <w:rPr>
          <w:rFonts w:ascii="Times New Roman;serif" w:hAnsi="Times New Roman;serif"/>
          <w:b w:val="false"/>
          <w:color w:val="000000"/>
          <w:sz w:val="22"/>
          <w:u w:val="single"/>
        </w:rPr>
        <w:t>Authorization; No Contravention</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execution, delivery and performance by the Borrower and each Subsidiary of each Loan Document and Related Agreement to which it is party have been duly authorized by all necessary corporate or other organizational action, and do not (a) contravene the terms of any of such Person’s Organization Documents; (b) conflict with or result in any breach or contravention of, or the creation of any Lien (other than Liens in favor of the Administrative Agent created pursuant to the Collateral Documents and Liens in favor of the Borrower created pursuant to the Intercompany Debt Documents)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5.03 </w:t>
      </w:r>
      <w:r>
        <w:rPr>
          <w:rFonts w:ascii="Times New Roman;serif" w:hAnsi="Times New Roman;serif"/>
          <w:b w:val="false"/>
          <w:color w:val="000000"/>
          <w:sz w:val="22"/>
          <w:u w:val="single"/>
        </w:rPr>
        <w:t>Governmental Authorization; Other Consents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approval, consent, exemption, authorization, or other action by, or notice to, or filing with, any Governmental Authority or any other Person is necessary or required in connection with the execution, delivery or performance by, or enforcement against, the Borrower of any Loan Document or any Subsidiary of any Intercompany Debt Document, other than (i) those that have already been obtained and are in full force and effect and (ii) filings to perfect the Liens created by the Collateral Documents in favor of the Administrative Agent and the Liens created by the Intercompany Debt Documents in favor of the Borrower.</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5.04 </w:t>
      </w:r>
      <w:r>
        <w:rPr>
          <w:rFonts w:ascii="Times New Roman;serif" w:hAnsi="Times New Roman;serif"/>
          <w:b w:val="false"/>
          <w:color w:val="000000"/>
          <w:sz w:val="22"/>
          <w:u w:val="single"/>
        </w:rPr>
        <w:t>Binding Effect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Loan Document has been duly executed and delivered by the Borrower and constitutes a legal, valid and binding obligation of the Borrower, enforceable against the Borrower in accordance with its terms, subject to bankruptcy, insolvency and similar laws affecting the enforceability of creditors’ rights generally and to general principles of equity. Each Intercompany Debt Document to which any Subsidiary is a party has been duly executed and delivered by such Subsidiary and constitutes a legal, valid and binding obligation of such Subsidiary, enforceable against such Subsidiary in accordance with its terms, subject to bankruptcy, insolvency and similar laws affecting the enforceability of creditors’ rights generally and to general principles of equity.</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5.05 </w:t>
      </w:r>
      <w:r>
        <w:rPr>
          <w:rFonts w:ascii="Times New Roman;serif" w:hAnsi="Times New Roman;serif"/>
          <w:b w:val="false"/>
          <w:color w:val="000000"/>
          <w:sz w:val="22"/>
          <w:u w:val="single"/>
        </w:rPr>
        <w:t>Financial Statements; No Material Adverse Effect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 The financial statements delivered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(i) were prepared in accordance with GAAP (or, with respect to financial statements of Portfolio Companies organized in Canada, as otherwise permitted by </w:t>
      </w:r>
      <w:r>
        <w:rPr>
          <w:rFonts w:ascii="Times New Roman;serif" w:hAnsi="Times New Roman;serif"/>
          <w:b w:val="false"/>
          <w:color w:val="000000"/>
          <w:sz w:val="22"/>
          <w:u w:val="single"/>
        </w:rPr>
        <w:t>Section 1.03(a)</w:t>
      </w:r>
      <w:r>
        <w:rPr>
          <w:rFonts w:ascii="Times New Roman;serif" w:hAnsi="Times New Roman;serif"/>
          <w:b w:val="false"/>
          <w:color w:val="000000"/>
          <w:sz w:val="22"/>
        </w:rPr>
        <w:t xml:space="preserve">) consistently applied throughout the periods covered thereby, except as otherwise expressly noted therein; (ii) fairly present the financial condition of the Borrower and its Subsidiaries on a consolidated (and, as applicable, consolidating) basis as of the dates thereof and their results of operations and cash flows for the periods covered thereby (and such consolidating financial statements are fairly stated in all material respects when considered in relation to the consolidated financial statements), subject, in the case of unaudited financial statements, to the absence of footnotes and to normal year-end audit adjustments; and (iii) show all material indebtedness </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and other liabilities, direct or contingent, of the Borrower and its Subsidiaries as of the dates thereof, including liabilities for taxes, material commitments and Indebtedness.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Audited Financial Statements (i) were prepared in accordance with GAAP consistently applied throughout the periods covered thereby, except as otherwise expressly noted therein; (ii) fairly present the financial condition of the Borrower and its Subsidiaries on a consolidated (and, as applicable, consolidating) basis as of the dates thereof and their results of operations and cash flows for the periods covered thereby (and such consolidating financial statements are fairly stated in all material respects when considered in relation to the consolidated financial statements); and (iii) show all material indebtedness and other liabilities, direct or contingent, of the Borrower and its Subsidiaries as of the dates thereof, including liabilities for taxes, material commitments and Indebtedness.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From the date of the Audited Financial Statements to and including the Closing Date, there has been no Disposition or any Recovery Event of any material part of the business or property of the Borrower and its Subsidiaries, taken as a whole, and no purchase or other acquisition by any of them of any business or property (including any Equity Interests of any other Person) material in relation to the consolidated financial condition of the Borrower and its Subsidiaries, taken as a whole, in each case, which is not reflected in the foregoing financial statements or in the notes thereto and has not otherwise been disclosed in writing to the Lenders on or prior to the Closing Date.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Since the date of the Audited Financial Statements, there has been no event or circumstance, either individually or in the aggregate, that has had or could reasonably be expected to have a Material Adverse Effect.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5.06 </w:t>
      </w:r>
      <w:r>
        <w:rPr>
          <w:rFonts w:ascii="Times New Roman;serif" w:hAnsi="Times New Roman;serif"/>
          <w:b w:val="false"/>
          <w:color w:val="000000"/>
          <w:sz w:val="22"/>
          <w:u w:val="single"/>
        </w:rPr>
        <w:t>Litigation</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actions, suits, proceedings, claims or disputes pending or, to the knowledge of the Responsible Officers of the Borrower, threatened or contemplated, at law, in equity, in arbitration or before any Governmental Authority, by or against the Borrower or any Subsidiary or against any of their properties or revenues that (a) purport to affect or pertain to this Agreement, any other Loan Document or any of the transactions contemplated hereby or thereby, or (b) could reasonably be expected, individually or in the aggregate, to have a Material Adverse Effect.</w:t>
      </w:r>
    </w:p>
    <w:p>
      <w:pPr>
        <w:pStyle w:val="TextBody"/>
        <w:bidi w:val="0"/>
        <w:spacing w:lineRule="auto" w:line="288"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Audited Financial Statements (i) were prepared in accordance with GAAP consistently applied throughout the periods covered thereby, except as otherwise expressly noted therein; (ii) fairly present the financial condition of the Borrower and its Subsidiaries on a consolidated (and, as applicable, consolidating) basis as of the dates thereof and their results of operations and cash flows for the periods covered thereby (and such consolidating financial statements are fairly stated in all material respects when considered in relation to the consolidated financial statements); and (iii) show all material indebtedness and other liabilities, direct or contingent, of the Borrower and its Subsidiaries as of the dates thereof, including liabilities for taxes, material commitments and Indebtedness.</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From the date of the Audited Financial Statements to and including the Closing Date, there has been no Disposition or any Recovery Event of any material part of the business or property of the Borrower and its Subsidiaries, taken as a whole, and no purchase or other acquisition by any of them of any business or property (including any Equity Interests of any other Person) material in relation to the consolidated financial condition of the Borrower and its Subsidiaries, taken as a whole, in each case, which is not reflected in the foregoing financial statements or in the notes thereto and has not otherwise been disclosed in writing to the Lenders on or prior to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Since the date of the Audited Financial Statements, there has been no event or circumstance, either individually or in the aggregate, that has had or could reasonably be expected to have a Material Adverse Effect.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5.07 </w:t>
      </w:r>
      <w:r>
        <w:rPr>
          <w:rFonts w:ascii="Times New Roman;serif" w:hAnsi="Times New Roman;serif"/>
          <w:b w:val="false"/>
          <w:color w:val="000000"/>
          <w:sz w:val="22"/>
          <w:u w:val="single"/>
        </w:rPr>
        <w:t>No Default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As of the Closing Date, neither the Borrower nor any Subsidiary is in default under or with respect to any Intercompany Debt Document. Neither the Borrower nor any Subsidiary is in default under or with respect to any Intercompany Debt Document or other Contractual Obligation, in each case that individually or in the aggregate could reasonably be expected to have a Material Adverse Effect.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No Default has occurred and is continuing.</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5.08 </w:t>
      </w:r>
      <w:r>
        <w:rPr>
          <w:rFonts w:ascii="Times New Roman;serif" w:hAnsi="Times New Roman;serif"/>
          <w:b w:val="false"/>
          <w:color w:val="000000"/>
          <w:sz w:val="22"/>
          <w:u w:val="single"/>
        </w:rPr>
        <w:t>Ownership of Property</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could not, individually or in the aggregate, reasonably be expected to have a Material Adverse Effect, each of the Borrower and its Subsidiaries has good record and marketable title in fee simple to, or valid leasehold interests in, all real property necessary or used in the ordinary conduct of its business.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5.09 </w:t>
      </w:r>
      <w:r>
        <w:rPr>
          <w:rFonts w:ascii="Times New Roman;serif" w:hAnsi="Times New Roman;serif"/>
          <w:b w:val="false"/>
          <w:color w:val="000000"/>
          <w:sz w:val="22"/>
          <w:u w:val="single"/>
        </w:rPr>
        <w:t>Environmental Compliance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could not, individually or in the aggregate, reasonably be expected to have a Material Adverse Effect: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(a) Each of the facilities and real properties owned, leased or operated by the Borrower or any Subsidiary (the “</w:t>
      </w:r>
      <w:r>
        <w:rPr>
          <w:rFonts w:ascii="Times New Roman;serif" w:hAnsi="Times New Roman;serif"/>
          <w:b w:val="false"/>
          <w:color w:val="000000"/>
          <w:sz w:val="22"/>
          <w:u w:val="single"/>
        </w:rPr>
        <w:t>Facilities</w:t>
      </w:r>
      <w:r>
        <w:rPr>
          <w:color w:val="000000"/>
        </w:rPr>
        <w:t>”</w:t>
      </w:r>
      <w:r>
        <w:rPr>
          <w:rFonts w:ascii="Times New Roman;serif" w:hAnsi="Times New Roman;serif"/>
          <w:b w:val="false"/>
          <w:color w:val="000000"/>
          <w:sz w:val="22"/>
        </w:rPr>
        <w:t>) and all operations at the Facilities are in compliance with all applicable Environmental Laws, and there is no violation of any Environmental Law with respect to the Facilities or the businesses operated by the Borrower and its Subsidiaries at such time (the “</w:t>
      </w:r>
      <w:r>
        <w:rPr>
          <w:rFonts w:ascii="Times New Roman;serif" w:hAnsi="Times New Roman;serif"/>
          <w:b w:val="false"/>
          <w:color w:val="000000"/>
          <w:sz w:val="22"/>
          <w:u w:val="single"/>
        </w:rPr>
        <w:t>Businesses</w:t>
      </w:r>
      <w:r>
        <w:rPr>
          <w:color w:val="000000"/>
        </w:rPr>
        <w:t>”</w:t>
      </w:r>
      <w:r>
        <w:rPr>
          <w:rFonts w:ascii="Times New Roman;serif" w:hAnsi="Times New Roman;serif"/>
          <w:b w:val="false"/>
          <w:color w:val="000000"/>
          <w:sz w:val="22"/>
        </w:rPr>
        <w:t>), and there are no conditions relating to the Facilities or the Businesses that would reasonably be expected to give rise to liability under any applicable Environmental Laws.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None of the Facilities contains, or has previously contained, any Hazardous Materials at, on or under the Facilities in amounts or concentrations that constitute or constituted a violation of, or could give rise to liability under, Environmental Laws.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Neither the Borrower nor any Subsidiary has received any written or verbal notice of, or inquiry from any Governmental Authority regarding, any violation, alleged violation, non-compliance, liability or potential liability regarding environmental matters or compliance with Environmental Laws with regard to any of the Facilities or the Businesses, nor does any Responsible Officer of the Borrower have knowledge or reason to believe that any such notice will be received or is being threatened.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Hazardous Materials have not been transported or disposed of from the Facilities, or generated, treated, stored or disposed of at, on or under any of the Facilities or any other location, in each case by or on behalf of the Borrower or any Subsidiary in violation of, or in a manner that would be reasonably likely to give rise to liability under, any applicable Environmental Law.</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No judicial proceeding or governmental or administrative action is pending or, to the knowledge of the Responsible Officers of the Borrower, threatened, under any Environmental Law to which the Borrower or any Subsidiary is or will be named as a party, nor are there any consent decrees or other decrees, consent orders, administrative orders or other orders, or other administrative or judicial requirements outstanding under any Environmental Law with respect to the Borrower, any Subsidiary, the Facilities or the Businesses.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There has been no release or threat of release of Hazardous Materials at or from the Facilities, or arising from or related to the operations (including disposal) of the Borrower or any Subsidiary in connection with the Facilities or otherwise in connection with the Businesses, in violation of or in amounts or in a manner that could give rise to liability under Environmental Laws.</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erif" w:hAnsi="Times New Roman;serif"/>
          <w:b w:val="false"/>
          <w:color w:val="000000"/>
          <w:sz w:val="22"/>
        </w:rPr>
        <w:t>5.10    </w:t>
      </w:r>
      <w:r>
        <w:rPr>
          <w:rFonts w:ascii="Times New Roman;serif" w:hAnsi="Times New Roman;serif"/>
          <w:b w:val="false"/>
          <w:color w:val="000000"/>
          <w:sz w:val="22"/>
          <w:u w:val="single"/>
        </w:rPr>
        <w:t>Insurance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Borrower and its Subsidiaries maintain, if available, fully paid flood hazard insurance on all real property that is located in a special flood hazard area and that constitutes Collateral, on such terms and in such amounts as required by The National Flood Insurance Reform Act of 1994 or as otherwise required by the Administrative Agent.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5.11    </w:t>
      </w:r>
      <w:r>
        <w:rPr>
          <w:rFonts w:ascii="Times New Roman;serif" w:hAnsi="Times New Roman;serif"/>
          <w:b w:val="false"/>
          <w:color w:val="000000"/>
          <w:sz w:val="22"/>
          <w:u w:val="single"/>
        </w:rPr>
        <w:t>Taxes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and its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(a) to the extent that failure to do so, individually or in the aggregate, could not reasonably be expected to have a Material Adverse Effect and (b) those which are being contested in good faith by appropriate proceedings diligently conducted and for which adequate reserves have been provided in accordance with GAAP. There is no proposed tax assessment against the Borrower or any Subsidiary that would, if made, individually or in the aggregate, have a Material Adverse Effect. As of the Closing Date, neither the Borrower nor any Subsidiary is party to any tax sharing agreement.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5.12    </w:t>
      </w:r>
      <w:r>
        <w:rPr>
          <w:rFonts w:ascii="Times New Roman;serif" w:hAnsi="Times New Roman;serif"/>
          <w:b w:val="false"/>
          <w:color w:val="000000"/>
          <w:sz w:val="22"/>
          <w:u w:val="single"/>
        </w:rPr>
        <w:t>ERISA Compliance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Each Plan is in compliance in all material respects with the applicable provisions of ERISA, the Internal Revenue Code and other federal or state Laws. Each Pension Plan that is intended to be a qualified plan under Section 401(a) of the Internal Revenue Code has received a favorable determination letter from the IRS to the effect that the form of such Plan is qualified under Section 401(a) of the Internal Revenue Code and the trust related thereto has been determined by the IRS to be exempt from federal income tax under Section 501(a) of the Internal Revenue Code, or an application for such a letter is currently being processed by the IRS. To the knowledge of the Responsible Officers of the Borrower, nothing has occurred that would reasonably be expected to prevent or cause the loss of such tax-qualified status.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There are no pending or, to the knowledge of the Responsible Officers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either individually or in the aggregate, in a Material Adverse Effect.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Except as could not reasonably be expected to have a Material Adverse Effect, (i)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Internal Revenue Code) is 60% or higher and neither the Borrower nor any ERISA Affiliate knows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and there are no premium payments which have become due that are unpaid; (v) neither the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As of the Closing Date the Borrower is not and will not be using “plan assets” (within the meaning of 29 CFR § 2510.3-101, as modified by Section 3(42) of ERISA) of one or more Benefit Plans in connection with the Loans, the Letters of Credit or the Commitments.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5.13    </w:t>
      </w:r>
      <w:r>
        <w:rPr>
          <w:rFonts w:ascii="Times New Roman;serif" w:hAnsi="Times New Roman;serif"/>
          <w:b w:val="false"/>
          <w:color w:val="000000"/>
          <w:sz w:val="22"/>
          <w:u w:val="single"/>
        </w:rPr>
        <w:t>Subsidiaries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Set forth on </w:t>
      </w:r>
      <w:r>
        <w:rPr>
          <w:rFonts w:ascii="Times New Roman;serif" w:hAnsi="Times New Roman;serif"/>
          <w:b w:val="false"/>
          <w:color w:val="000000"/>
          <w:sz w:val="22"/>
          <w:u w:val="single"/>
        </w:rPr>
        <w:t>Schedule 5.13</w:t>
      </w:r>
      <w:r>
        <w:rPr>
          <w:color w:val="000000"/>
        </w:rPr>
        <w:t xml:space="preserve"> </w:t>
      </w:r>
      <w:r>
        <w:rPr>
          <w:rFonts w:ascii="Times New Roman;serif" w:hAnsi="Times New Roman;serif"/>
          <w:b w:val="false"/>
          <w:color w:val="000000"/>
          <w:sz w:val="22"/>
        </w:rPr>
        <w:t>is a complete and accurate list as of the Closing Date of each Subsidiary, together with (a) jurisdiction of organization, (b) number of shares of each class of Equity Interests outstanding, and (c) number or percentage of outstanding shares of each class owned (directly or indirectly) by the Borrower or any Subsidiary. The outstanding Equity Interests of each Subsidiary are duly authorized, validly issued, fully paid and non</w:t>
        <w:noBreakHyphen/>
        <w:t xml:space="preserve">assessable. As of the Closing Date, except as set forth on </w:t>
      </w:r>
      <w:r>
        <w:rPr>
          <w:rFonts w:ascii="Times New Roman;serif" w:hAnsi="Times New Roman;serif"/>
          <w:b w:val="false"/>
          <w:color w:val="000000"/>
          <w:sz w:val="22"/>
          <w:u w:val="single"/>
        </w:rPr>
        <w:t>Schedule 5.13</w:t>
      </w:r>
      <w:r>
        <w:rPr>
          <w:rFonts w:ascii="Times New Roman;serif" w:hAnsi="Times New Roman;serif"/>
          <w:b w:val="false"/>
          <w:color w:val="000000"/>
          <w:sz w:val="22"/>
        </w:rPr>
        <w:t>, there are no pre-emptive or other outstanding rights, options, warrants, conversion rights or other similar agreements or understandings for the purchase or acquisition of any Equity Interests of any Subsidiary.</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5.14    </w:t>
      </w:r>
      <w:r>
        <w:rPr>
          <w:rFonts w:ascii="Times New Roman;serif" w:hAnsi="Times New Roman;serif"/>
          <w:b w:val="false"/>
          <w:color w:val="000000"/>
          <w:sz w:val="22"/>
          <w:u w:val="single"/>
        </w:rPr>
        <w:t>Margin Regulations; Investment Company Act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 The Borrower and each Subsidiary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Borrower only or of the Borrower and its Subsidiaries on a consolidated basis) subject to the provisions of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or subject to any restriction contained in any agreement or instrument between the Borrower and any Lender </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or any Affiliate of any Lender relating to Indebtedness and within the scope of </w:t>
      </w:r>
      <w:r>
        <w:rPr>
          <w:rFonts w:ascii="Times New Roman;serif" w:hAnsi="Times New Roman;serif"/>
          <w:b w:val="false"/>
          <w:color w:val="000000"/>
          <w:sz w:val="22"/>
          <w:u w:val="single"/>
        </w:rPr>
        <w:t>Section 8.01(e)</w:t>
      </w:r>
      <w:r>
        <w:rPr>
          <w:color w:val="000000"/>
        </w:rPr>
        <w:t xml:space="preserve"> </w:t>
      </w:r>
      <w:r>
        <w:rPr>
          <w:rFonts w:ascii="Times New Roman;serif" w:hAnsi="Times New Roman;serif"/>
          <w:b w:val="false"/>
          <w:color w:val="000000"/>
          <w:sz w:val="22"/>
        </w:rPr>
        <w:t>will be margin stock. Following the application of the proceeds of each borrowing of Intercompany Debt, not more than 25% of the value of the assets (either of the borrowing Subsidiary only or of such Subsidiary and its Subsidiaries on a consolidated basis) subject to any restriction on liens or dispositions in the applicable Intercompany Debt Documents will be margin stock.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None of the Borrower, any Person Controlling the Borrower, or any Subsidiary is or is required to be registered as an “investment company” under the Investment Company Act of 1940.</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5.15    </w:t>
      </w:r>
      <w:r>
        <w:rPr>
          <w:rFonts w:ascii="Times New Roman;serif" w:hAnsi="Times New Roman;serif"/>
          <w:b w:val="false"/>
          <w:color w:val="000000"/>
          <w:sz w:val="22"/>
          <w:u w:val="single"/>
        </w:rPr>
        <w:t>Disclosure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The Borrower has disclosed to the Administrative Agent and the Lenders all agreements, instruments and 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in writing by or on behalf of the Borrower or any Subsidiary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projected financial information and forecasts, the Borrower represents only that such information was prepared in good faith based upon assumptions believed to be reasonable at the time and that actual results during the period or periods covered by any such projections and forecasts may differ from projected or forecasted results. As of the Closing Date, the information included in any Beneficial Ownership Certification delivered to the Administrative Agent or any Lender, if applicable, is true and correct in all respects.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5.16    </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Borrower and each Subsidiary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could not reasonably be expected to have, individually or in the aggregate, a Material Adverse Effect.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5.17    </w:t>
      </w:r>
      <w:r>
        <w:rPr>
          <w:rFonts w:ascii="Times New Roman;serif" w:hAnsi="Times New Roman;serif"/>
          <w:b w:val="false"/>
          <w:color w:val="000000"/>
          <w:sz w:val="22"/>
          <w:u w:val="single"/>
        </w:rPr>
        <w:t>Intellectual Property; Licenses, Etc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The Borrower owns, or possesses the right to use, all of the trademarks, service marks, trade names, copyrights, patents, patent rights, franchises, licenses and other intellectual property rights (collectively, “</w:t>
      </w:r>
      <w:r>
        <w:rPr>
          <w:rFonts w:ascii="Times New Roman;serif" w:hAnsi="Times New Roman;serif"/>
          <w:b w:val="false"/>
          <w:color w:val="000000"/>
          <w:sz w:val="22"/>
          <w:u w:val="single"/>
        </w:rPr>
        <w:t>IP Rights</w:t>
      </w:r>
      <w:r>
        <w:rPr>
          <w:color w:val="000000"/>
        </w:rPr>
        <w:t>”</w:t>
      </w:r>
      <w:r>
        <w:rPr>
          <w:rFonts w:ascii="Times New Roman;serif" w:hAnsi="Times New Roman;serif"/>
          <w:b w:val="false"/>
          <w:color w:val="000000"/>
          <w:sz w:val="22"/>
        </w:rPr>
        <w:t xml:space="preserve">) that are reasonably necessary for the operation of its business. Set forth on </w:t>
      </w:r>
      <w:r>
        <w:rPr>
          <w:rFonts w:ascii="Times New Roman;serif" w:hAnsi="Times New Roman;serif"/>
          <w:b w:val="false"/>
          <w:color w:val="000000"/>
          <w:sz w:val="22"/>
          <w:u w:val="single"/>
        </w:rPr>
        <w:t>Schedule 5.17</w:t>
      </w:r>
      <w:r>
        <w:rPr>
          <w:color w:val="000000"/>
        </w:rPr>
        <w:t xml:space="preserve"> </w:t>
      </w:r>
      <w:r>
        <w:rPr>
          <w:rFonts w:ascii="Times New Roman;serif" w:hAnsi="Times New Roman;serif"/>
          <w:b w:val="false"/>
          <w:color w:val="000000"/>
          <w:sz w:val="22"/>
        </w:rPr>
        <w:t xml:space="preserve">is a list of (i) all IP Rights registered or pending registration with the United States Copyright Office or the United States Patent and Trademark Office that as of the Closing Date the Borrower owns and (ii) all licenses of IP Rights registered with the United States Copyright Office or the United States Patent and Trademark Office as of the Closing Date. Except for such claims and infringements that could not reasonably be expected to have, individually or in the aggregate, a Material Adverse Effect, no claim has been asserted and is pending by any Person challenging or questioning the use of any IP Rights or the validity or effectiveness of any IP Rights, nor does any Responsible Officer of the Borrower know of any such claim, and, to the knowledge of the Responsible Officers of the Borrower, neither the use of any IP Rights by the Borrower nor the granting of a right or a license in respect of any </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IP Rights from the Borrower infringes on any rights of any other Person. As of the Closing Date, none of the IP Rights owned by the Borrower is subject to any licensing agreement or similar arrangement except as set forth on </w:t>
      </w:r>
      <w:r>
        <w:rPr>
          <w:rFonts w:ascii="Times New Roman;serif" w:hAnsi="Times New Roman;serif"/>
          <w:b w:val="false"/>
          <w:color w:val="000000"/>
          <w:sz w:val="22"/>
          <w:u w:val="single"/>
        </w:rPr>
        <w:t>Schedule 5.17</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5.18    </w:t>
      </w:r>
      <w:r>
        <w:rPr>
          <w:rFonts w:ascii="Times New Roman;serif" w:hAnsi="Times New Roman;serif"/>
          <w:b w:val="false"/>
          <w:color w:val="000000"/>
          <w:sz w:val="22"/>
          <w:u w:val="single"/>
        </w:rPr>
        <w:t>Solvency</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 the Closing Date, both immediately prior to and after giving effect to the Credit Extensions and other transactions to occur on the Closing Date, the Borrower is Solvent individually and the Borrower and its Subsidiaries are Solvent on a consolidated basis.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5.19    </w:t>
      </w:r>
      <w:r>
        <w:rPr>
          <w:rFonts w:ascii="Times New Roman;serif" w:hAnsi="Times New Roman;serif"/>
          <w:b w:val="false"/>
          <w:color w:val="000000"/>
          <w:sz w:val="22"/>
          <w:u w:val="single"/>
        </w:rPr>
        <w:t>Business Locations; Taxpayer Identification Number</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Set forth on </w:t>
      </w:r>
      <w:r>
        <w:rPr>
          <w:rFonts w:ascii="Times New Roman;serif" w:hAnsi="Times New Roman;serif"/>
          <w:b w:val="false"/>
          <w:color w:val="000000"/>
          <w:sz w:val="22"/>
          <w:u w:val="single"/>
        </w:rPr>
        <w:t>Schedule 5.19-1</w:t>
      </w:r>
      <w:r>
        <w:rPr>
          <w:color w:val="000000"/>
        </w:rPr>
        <w:t xml:space="preserve"> </w:t>
      </w:r>
      <w:r>
        <w:rPr>
          <w:rFonts w:ascii="Times New Roman;serif" w:hAnsi="Times New Roman;serif"/>
          <w:b w:val="false"/>
          <w:color w:val="000000"/>
          <w:sz w:val="22"/>
        </w:rPr>
        <w:t xml:space="preserve">is a list of all real property located in the United States that is owned or leased by the Borrower as of the Closing Date (identifying whether such real property is owned or leased). Set forth on </w:t>
      </w:r>
      <w:r>
        <w:rPr>
          <w:rFonts w:ascii="Times New Roman;serif" w:hAnsi="Times New Roman;serif"/>
          <w:b w:val="false"/>
          <w:color w:val="000000"/>
          <w:sz w:val="22"/>
          <w:u w:val="single"/>
        </w:rPr>
        <w:t>Schedule 5.19-2</w:t>
      </w:r>
      <w:r>
        <w:rPr>
          <w:color w:val="000000"/>
        </w:rPr>
        <w:t xml:space="preserve"> </w:t>
      </w:r>
      <w:r>
        <w:rPr>
          <w:rFonts w:ascii="Times New Roman;serif" w:hAnsi="Times New Roman;serif"/>
          <w:b w:val="false"/>
          <w:color w:val="000000"/>
          <w:sz w:val="22"/>
        </w:rPr>
        <w:t>is the jurisdiction of organization, chief executive office, U.S. tax payer identification number and organizational identification number of the Borrower as of the Closing Date. The Borrower has not during the five years preceding the Closing Date (i) changed its legal name, (ii) changed its state of formation, or (iii) been party to a merger, consolidation or other change in structure.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5.20    </w:t>
      </w:r>
      <w:r>
        <w:rPr>
          <w:rFonts w:ascii="Times New Roman;serif" w:hAnsi="Times New Roman;serif"/>
          <w:b w:val="false"/>
          <w:color w:val="000000"/>
          <w:sz w:val="22"/>
          <w:u w:val="single"/>
        </w:rPr>
        <w:t>OFAC; Anti-Corruption Laws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None of the Borrower, nor any of its Subsidiaries, nor, to the knowledge of the Borrower, any director, officer, employee, agent, affiliate or representative thereof, is an individual or entity that is, or is owned, individually or in the aggregate, or controlled by any individual or entities that are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Borrower and its Subsidiaries have conducted their businesses in compliance with the United States Foreign Corrupt Practices Act of 1977, the UK Bribery Act 2010, and other similar anti-corruption legislation in other jurisdictions and have instituted and maintained policies and procedures designed to promote and achieve compliance with such laws.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No part of the proceeds of any Credit Extension will be used by the Borrower or any Subsidiary, directly or indirectly, in violation of </w:t>
      </w:r>
      <w:r>
        <w:rPr>
          <w:rFonts w:ascii="Times New Roman;serif" w:hAnsi="Times New Roman;serif"/>
          <w:b w:val="false"/>
          <w:color w:val="000000"/>
          <w:sz w:val="22"/>
          <w:u w:val="single"/>
        </w:rPr>
        <w:t>Section 7.15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7.16</w:t>
      </w:r>
      <w:r>
        <w:rPr>
          <w:color w:val="000000"/>
        </w:rPr>
        <w:t xml:space="preserve"> </w:t>
      </w:r>
      <w:r>
        <w:rPr>
          <w:rFonts w:ascii="Times New Roman;serif" w:hAnsi="Times New Roman;serif"/>
          <w:b w:val="false"/>
          <w:color w:val="000000"/>
          <w:sz w:val="22"/>
        </w:rPr>
        <w:t xml:space="preserve">of this Agreement.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5.21    </w:t>
      </w:r>
      <w:r>
        <w:rPr>
          <w:rFonts w:ascii="Times New Roman;serif" w:hAnsi="Times New Roman;serif"/>
          <w:b w:val="false"/>
          <w:color w:val="000000"/>
          <w:sz w:val="22"/>
          <w:u w:val="single"/>
        </w:rPr>
        <w:t>Labor Matters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Borrower is not subject to any labor or collective bargaining agreement. There are no existing or, to the knowledge of the Responsible Officers of the Borrower, threatened strikes, lockouts or other labor disputes involving the Borrower or any Subsidiary that singly or in the aggregate could reasonably be expected to have a Material Adverse Effect. Hours worked by and payment made to employees of the Borrower are not in violation of the Fair Labor Standards Act or any other applicable law, rule or regulation dealing with such matters.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5.22    </w:t>
      </w:r>
      <w:r>
        <w:rPr>
          <w:rFonts w:ascii="Times New Roman;serif" w:hAnsi="Times New Roman;serif"/>
          <w:b w:val="false"/>
          <w:color w:val="000000"/>
          <w:sz w:val="22"/>
          <w:u w:val="single"/>
        </w:rPr>
        <w:t>Related Agreements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has furnished to the Administrative Agent a true and correct copy of the Related Agreements pursuant hereto. Each of the Borrower and the Subsidiaries and, to the Borrower’s knowledge, each other party to the Related Agreements, has duly taken all necessary organizational action to authorize the execution, delivery and performance of the Related Agreements and the consummation of transactions contemplated thereby. As of the Closing Date, the Related Transactions occurring prior to the Closing Date have been consummated in accordance with the terms of the Related Agreements and applicable Law. The execution and delivery of the Related Agreements in existence as of the Closing Date, and the consummation of the Related Transactions occurring prior to the Closing Date, did not violate any statute or regulation of the United States (including any securities law) or of any state or other applicable jurisdiction, or any order, judgment or decree of any court or governmental body binding on the Borrower or any Subsidiary or, to the Borrower’s knowledge, any other party to the Related Agreements, or result in a breach of, or constitute a default under, any material agreement, indenture, instrument or other document, or any judgment, order or decree, to which the Borrower or any Subsidiary is a party or by which the Borrower or any Subsidiary is bound or, to Borrower’s knowledge, to which any other party to the Related Agreements is a party or by which any such party is bound. No statement or representation made in the Related Agreements in existence as of the Closing Date by the Borrower or any Subsidiary or, to the Borrower’s knowledge, any other Person, contains any untrue statement of a material fact or omits to state any material fact required to be stated therein or necessary in order to make the statements made therein, in light of the circumstances under which they are made, not misleading as of the time that such statement or representation is made. As of the Closing Date and any other date on which such representations and warranties are otherwise remade or deemed remade hereunder, (i) each of the representations and warranties contained in the Related Agreements in existence as of the Closing Date made by the Borrower or any Subsidiary is true and correct in all material respects (or, with respect to any such representations and warranties that are qualified by materiality or material adverse effect, in all respects as drafted) and (ii) to the Borrower’s knowledge, each of the representations and warranties contained in the Related Agreements in existence as of the Closing Date made by any Person other than the Borrower or a Subsidiary is true and correct in all material respects (or, with respect to any such representations and warranties that are qualified by materiality or material adverse effect, in all respects as drafted).</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val="false"/>
          <w:color w:val="000000"/>
          <w:sz w:val="22"/>
        </w:rPr>
        <w:t>5.23    </w:t>
      </w:r>
      <w:r>
        <w:rPr>
          <w:rFonts w:ascii="Times New Roman;serif" w:hAnsi="Times New Roman;serif"/>
          <w:b w:val="false"/>
          <w:color w:val="000000"/>
          <w:sz w:val="22"/>
          <w:u w:val="single"/>
        </w:rPr>
        <w:t>No Affected Financial Institution</w:t>
      </w:r>
      <w:r>
        <w:rPr>
          <w:rFonts w:ascii="Times New Roman;serif" w:hAnsi="Times New Roman;serif"/>
          <w:b w:val="false"/>
          <w:color w:val="000000"/>
          <w:sz w:val="22"/>
        </w:rPr>
        <w:t>. The Borrower is not an Affected Financial Institution.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2"/>
        </w:rPr>
        <w:t>5.24    </w:t>
      </w:r>
      <w:r>
        <w:rPr>
          <w:rFonts w:ascii="Times New Roman;serif" w:hAnsi="Times New Roman;serif"/>
          <w:b w:val="false"/>
          <w:color w:val="000000"/>
          <w:sz w:val="22"/>
          <w:u w:val="single"/>
        </w:rPr>
        <w:t>No Covered Entities</w:t>
      </w:r>
      <w:r>
        <w:rPr>
          <w:rFonts w:ascii="Times New Roman;serif" w:hAnsi="Times New Roman;serif"/>
          <w:b w:val="false"/>
          <w:color w:val="000000"/>
          <w:sz w:val="22"/>
        </w:rPr>
        <w:t>. The Borrower is not a Covered Entity.</w: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VI </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AFFIRMATIVE COVENANTS</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Until the Facility Termination Date, the Borrower shall:</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6.01 </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Deliver to the Administrative Agent (for further distribution to the Lenders):</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as soon as available, but in any event within ninety (90) days after the end of each fiscal year of:</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    the Borrower, commencing with the first such fiscal year end to occur after the Closing Date, a consolidated and consolidating (by Portfolio Company and Outside Company) balance sheet of the Borrower and its Subsidiaries as at the end of such fiscal year, and the related consolidated and consolidating (by Portfolio Company and Outside Company) statements of income or operations, changes in shareholders’ equity and cash flows for such fiscal year, setting forth in each case in comparative form the figures for the previous fiscal year, all in reasonable detail and prepared in accordance with GAAP (or, with respect to consolidating financial statements of Portfolio Companies organized in Canada, as otherwise permitted by </w:t>
      </w:r>
      <w:r>
        <w:rPr>
          <w:rFonts w:ascii="Times New Roman;serif" w:hAnsi="Times New Roman;serif"/>
          <w:b w:val="false"/>
          <w:color w:val="000000"/>
          <w:sz w:val="22"/>
          <w:u w:val="single"/>
        </w:rPr>
        <w:t>Section 1.03(a)</w:t>
      </w:r>
      <w:r>
        <w:rPr>
          <w:rFonts w:ascii="Times New Roman;serif" w:hAnsi="Times New Roman;serif"/>
          <w:b w:val="false"/>
          <w:color w:val="000000"/>
          <w:sz w:val="22"/>
        </w:rPr>
        <w:t>), and in the case of such consolidated statements audited and accompanied by a report and opinion of an independent certified public accountant of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 (except for qualifications relating to changes in accounting principles or practices reflecting changes in GAAP and required or approved by the Borrower’s independent certified public accountants), and in the case of such consolidating statements certified by the chief executive officer, chief financial officer, treasurer or controller of the Borrower to the effect that such statements are fairly stated in all material respects when considered in relation to the consolidated financial statements of the Borrower and its Subsidiaries; and</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(ii)    a Portfolio Company or Outside Company, commencing with the first such fiscal year end to occur after the Closing Date, a consolidated balance sheet of such Portfolio Company or Outside Company, as applicable,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(or, with respect to financial statements of Portfolio Companies organized in Canada, as otherwise permitted by </w:t>
      </w:r>
      <w:r>
        <w:rPr>
          <w:rFonts w:ascii="Times New Roman;serif" w:hAnsi="Times New Roman;serif"/>
          <w:b w:val="false"/>
          <w:color w:val="000000"/>
          <w:sz w:val="22"/>
          <w:u w:val="single"/>
        </w:rPr>
        <w:t>Section 1.03(a)</w:t>
      </w:r>
      <w:r>
        <w:rPr>
          <w:rFonts w:ascii="Times New Roman;serif" w:hAnsi="Times New Roman;serif"/>
          <w:b w:val="false"/>
          <w:color w:val="000000"/>
          <w:sz w:val="22"/>
        </w:rPr>
        <w:t xml:space="preserve">), audited and accompanied by a report and opinion of an independent certified public accountant of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 (except for qualifications relating to changes in accounting principles or practices reflecting changes in GAAP and required or approved by such Portfolio Company’s or Outside Company’s independent certified public accountants);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FF"/>
          <w:sz w:val="22"/>
          <w:u w:val="single"/>
        </w:rPr>
        <w:t xml:space="preserve">(A) </w:t>
      </w:r>
      <w:r>
        <w:rPr>
          <w:rFonts w:ascii="Times New Roman;serif" w:hAnsi="Times New Roman;serif"/>
          <w:b w:val="false"/>
          <w:color w:val="000000"/>
          <w:sz w:val="22"/>
        </w:rPr>
        <w:t>that audited financial statements for Portfolio Companies and Outside Companies with respect to fiscal years prior to the first full fiscal year occurring after such Portfolio Company or Outside Company has become a Portfolio Company or Outside Company shall only be required to be delivered to the extent they are available</w:t>
      </w:r>
      <w:r>
        <w:rPr>
          <w:color w:val="0000FF"/>
          <w:u w:val="single"/>
        </w:rPr>
        <w:t xml:space="preserve"> </w:t>
      </w:r>
      <w:r>
        <w:rPr>
          <w:rFonts w:ascii="Times New Roman;serif" w:hAnsi="Times New Roman;serif"/>
          <w:b w:val="false"/>
          <w:color w:val="0000FF"/>
          <w:sz w:val="22"/>
          <w:u w:val="single"/>
        </w:rPr>
        <w:t>and (B) the audited financial statements for Rimports and its Subsidiaries for the fiscal year ending December 31, 2026 shall be from May 1, 2026 to December 31, 2026</w:t>
      </w:r>
      <w:r>
        <w:rPr>
          <w:rFonts w:ascii="Times New Roman;serif" w:hAnsi="Times New Roman;serif"/>
          <w:b w:val="false"/>
          <w:color w:val="000000"/>
          <w:sz w:val="22"/>
        </w:rPr>
        <w:t>; and</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(b) as soon as available, but in any event within forty-five (45) days after the end of each month other than the first month (for which such financial statements shall not be required to be delivered prior to delivery of the financial statements referred to in </w:t>
      </w:r>
      <w:r>
        <w:rPr>
          <w:rFonts w:ascii="Times New Roman;serif" w:hAnsi="Times New Roman;serif"/>
          <w:b w:val="false"/>
          <w:color w:val="000000"/>
          <w:sz w:val="22"/>
          <w:u w:val="single"/>
        </w:rPr>
        <w:t>Section 6.01(a)(i)</w:t>
      </w:r>
      <w:r>
        <w:rPr>
          <w:rFonts w:ascii="Times New Roman;serif" w:hAnsi="Times New Roman;serif"/>
          <w:b w:val="false"/>
          <w:color w:val="000000"/>
          <w:sz w:val="22"/>
        </w:rPr>
        <w:t xml:space="preserve">) and last month (for which monthly financial statements shall not be required to be delivered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u w:val="single"/>
        </w:rPr>
        <w:t>Section 6.01(b)</w:t>
      </w:r>
      <w:r>
        <w:rPr>
          <w:rFonts w:ascii="Times New Roman;serif" w:hAnsi="Times New Roman;serif"/>
          <w:b w:val="false"/>
          <w:color w:val="000000"/>
          <w:sz w:val="22"/>
        </w:rPr>
        <w:t>) of each fiscal year, commencing with the month ending May 31, 2022, a consolidated and consolidating (by Portfolio Company and Outside Company) balance sheet of the Borrower and its Subsidiaries as at the end of such month, the related consolidated and consolidating (by Portfolio Company and Outside Company) statements of income or operations for such month and for the portion of the Borrower’s fiscal year then ended, and the related consolidated and consolidating (by Portfolio Company and Outside Company) statements of cash flows for the portion of the Borrower’s fiscal year then ended and the corresponding portion of the budget for the current fiscal year, all in reasonable detail and in the case of such consolidated statements certified by the chief executive officer, chief financial officer, treasurer or controller of the Borrower as fairly presenting the financial condition, results of operations, shareholders’ equity and cash flows of the Borrower and its Subsidiaries in accordance with GAAP, subject only to normal year-end audit adjustments and the absence of footnotes, and in the case of such consolidating statements certified by the chief executive officer, chief financial officer, treasurer or controller of the Borrower to the effect that such statements are fairly stated in all material respects when considered in relation to the consolidated financial statements of the Borrower and its Subsidiaries;</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(c) as soon as available, but in any event within sixty (60) days after the end of each fiscal year of the Borrower, commencing with the first fiscal year ending after the Closing Date, forecasts prepared by management of the Borrower, in form reasonably satisfactory to the Administrative Agent, of consolidated and consolidating (by Portfolio Company and Outside Company) balance sheets, statements of income or operations and cash flows, and budgets of the Borrower and its Subsidiaries on a monthly basis for the immediately following fiscal year (including the fiscal year in which the Maturity Date occurs)</w:t>
      </w:r>
      <w:r>
        <w:rPr>
          <w:rFonts w:ascii="Times New Roman;serif" w:hAnsi="Times New Roman;serif"/>
          <w:b w:val="false"/>
          <w:strike/>
          <w:color w:val="000000"/>
          <w:sz w:val="22"/>
        </w:rPr>
        <w:t>.</w:t>
      </w:r>
      <w:r>
        <w:rPr>
          <w:rFonts w:ascii="Times New Roman;serif" w:hAnsi="Times New Roman;serif"/>
          <w:b w:val="false"/>
          <w:color w:val="000000"/>
          <w:sz w:val="22"/>
        </w:rPr>
        <w:t>;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on the first Business Day of every second week following the Fifth Amendment Effective Date, a rolling 13-week forecast of cash flows for the Borrower as of the last day of the immediately preceding week (each a “Cash Flow Forecast”), together with a variance report showing a comparison of the previous week’s actual cash flows for the Borrower to the most recently previously delivered Cash Flow Forecast in both dollar and percentage units, together with a written explanation of any variance (positive or negative) for any line item that exceeds ten percent (10%) on a line item (provided that such variance is greater than $100,000 on any line item) or on a cumulative basis.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As to any information contained in materials furnished pursuant to </w:t>
      </w:r>
      <w:r>
        <w:rPr>
          <w:rFonts w:ascii="Times New Roman;serif" w:hAnsi="Times New Roman;serif"/>
          <w:b w:val="false"/>
          <w:color w:val="000000"/>
          <w:sz w:val="22"/>
          <w:u w:val="single"/>
        </w:rPr>
        <w:t>Section 6.02(c)</w:t>
      </w:r>
      <w:r>
        <w:rPr>
          <w:rFonts w:ascii="Times New Roman;serif" w:hAnsi="Times New Roman;serif"/>
          <w:b w:val="false"/>
          <w:color w:val="000000"/>
          <w:sz w:val="22"/>
        </w:rPr>
        <w:t xml:space="preserve">, the Borrower shall not be separately required to furnish such information under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6.01(b)</w:t>
      </w:r>
      <w:r>
        <w:rPr>
          <w:rFonts w:ascii="Times New Roman;serif" w:hAnsi="Times New Roman;serif"/>
          <w:b w:val="false"/>
          <w:color w:val="000000"/>
          <w:sz w:val="22"/>
        </w:rPr>
        <w:t xml:space="preserve">, but the foregoing shall not be in derogation of the obligation of the Borrower to furnish the information and materials described in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6.01(b)</w:t>
      </w:r>
      <w:r>
        <w:rPr>
          <w:color w:val="000000"/>
        </w:rPr>
        <w:t xml:space="preserve"> </w:t>
      </w:r>
      <w:r>
        <w:rPr>
          <w:rFonts w:ascii="Times New Roman;serif" w:hAnsi="Times New Roman;serif"/>
          <w:b w:val="false"/>
          <w:color w:val="000000"/>
          <w:sz w:val="22"/>
        </w:rPr>
        <w:t>at the times specified therein.</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6.02 </w:t>
      </w:r>
      <w:r>
        <w:rPr>
          <w:rFonts w:ascii="Times New Roman;serif" w:hAnsi="Times New Roman;serif"/>
          <w:b w:val="false"/>
          <w:color w:val="000000"/>
          <w:sz w:val="22"/>
          <w:u w:val="single"/>
        </w:rPr>
        <w:t>Certificates; Other Information</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Deliver to the Administrative Agent (for further distribution to the Lenders):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[reserved];</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(b) concurrently with the delivery of (i) the financial statements referred to in </w:t>
      </w:r>
      <w:r>
        <w:rPr>
          <w:rFonts w:ascii="Times New Roman;serif" w:hAnsi="Times New Roman;serif"/>
          <w:b w:val="false"/>
          <w:color w:val="000000"/>
          <w:sz w:val="22"/>
          <w:u w:val="single"/>
        </w:rPr>
        <w:t>Section 6.01(a)(i)</w:t>
      </w:r>
      <w:r>
        <w:rPr>
          <w:rFonts w:ascii="Times New Roman;serif" w:hAnsi="Times New Roman;serif"/>
          <w:b w:val="false"/>
          <w:color w:val="000000"/>
          <w:sz w:val="22"/>
        </w:rPr>
        <w:t xml:space="preserve">, and (ii) the financial statements referred to in </w:t>
      </w:r>
      <w:r>
        <w:rPr>
          <w:rFonts w:ascii="Times New Roman;serif" w:hAnsi="Times New Roman;serif"/>
          <w:b w:val="false"/>
          <w:color w:val="000000"/>
          <w:sz w:val="22"/>
          <w:u w:val="single"/>
        </w:rPr>
        <w:t>Section 6.01(b)</w:t>
      </w:r>
      <w:r>
        <w:rPr>
          <w:color w:val="000000"/>
        </w:rPr>
        <w:t xml:space="preserve"> </w:t>
      </w:r>
      <w:r>
        <w:rPr>
          <w:rFonts w:ascii="Times New Roman;serif" w:hAnsi="Times New Roman;serif"/>
          <w:b w:val="false"/>
          <w:color w:val="000000"/>
          <w:sz w:val="22"/>
        </w:rPr>
        <w:t xml:space="preserve">for any fiscal quarter-end, commencing with the fiscal quarter ending June 30, 2022, a duly completed Compliance Certificate signed by the chief executive officer, chief financial officer, treasurer or controller of the Borrower, which delivery may, unless the Administrative Agent or a Lender requests executed originals, be by electronic </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communication including fax or email and shall be deemed to be an original authentic counterpart thereof for all purposes;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promptly after the same are available, copies of each annual report, proxy or financial statement or other report or communication sent to the equityholders of the Trust, the Borrower or any Subsidiary, and copies of all annual, regular, periodic and special reports and registration statements which the Trust, the Borrower or any Subsidiary may file or be required to file with the SEC under Section 13 or 15(d) of the Securities Exchange Act of 1934, and not otherwise required to be delivered to the Administrative Agent pursuant hereto;</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(d) concurrently with the delivery of (i) the financial statements referred to in </w:t>
      </w:r>
      <w:r>
        <w:rPr>
          <w:rFonts w:ascii="Times New Roman;serif" w:hAnsi="Times New Roman;serif"/>
          <w:b w:val="false"/>
          <w:color w:val="000000"/>
          <w:sz w:val="22"/>
          <w:u w:val="single"/>
        </w:rPr>
        <w:t>Section 6.01(a)(i)</w:t>
      </w:r>
      <w:r>
        <w:rPr>
          <w:color w:val="000000"/>
        </w:rPr>
        <w:t xml:space="preserve"> </w:t>
      </w:r>
      <w:r>
        <w:rPr>
          <w:rFonts w:ascii="Times New Roman;serif" w:hAnsi="Times New Roman;serif"/>
          <w:b w:val="false"/>
          <w:color w:val="000000"/>
          <w:sz w:val="22"/>
        </w:rPr>
        <w:t xml:space="preserve">and (ii) the financial statements referred to in </w:t>
      </w:r>
      <w:r>
        <w:rPr>
          <w:rFonts w:ascii="Times New Roman;serif" w:hAnsi="Times New Roman;serif"/>
          <w:b w:val="false"/>
          <w:color w:val="000000"/>
          <w:sz w:val="22"/>
          <w:u w:val="single"/>
        </w:rPr>
        <w:t>Section 6.01(b)</w:t>
      </w:r>
      <w:r>
        <w:rPr>
          <w:color w:val="000000"/>
        </w:rPr>
        <w:t xml:space="preserve"> </w:t>
      </w:r>
      <w:r>
        <w:rPr>
          <w:rFonts w:ascii="Times New Roman;serif" w:hAnsi="Times New Roman;serif"/>
          <w:b w:val="false"/>
          <w:color w:val="000000"/>
          <w:sz w:val="22"/>
        </w:rPr>
        <w:t xml:space="preserve">for any fiscal quarter-end, a report signed by a Responsible Officer of the Borrower and in form and detail reasonably satisfactory to the Administrative Agent that supplements </w:t>
      </w:r>
      <w:r>
        <w:rPr>
          <w:rFonts w:ascii="Times New Roman;serif" w:hAnsi="Times New Roman;serif"/>
          <w:b w:val="false"/>
          <w:color w:val="000000"/>
          <w:sz w:val="22"/>
          <w:u w:val="single"/>
        </w:rPr>
        <w:t>Schedule 5.17</w:t>
      </w:r>
      <w:r>
        <w:rPr>
          <w:color w:val="000000"/>
        </w:rPr>
        <w:t xml:space="preserve"> </w:t>
      </w:r>
      <w:r>
        <w:rPr>
          <w:rFonts w:ascii="Times New Roman;serif" w:hAnsi="Times New Roman;serif"/>
          <w:b w:val="false"/>
          <w:color w:val="000000"/>
          <w:sz w:val="22"/>
        </w:rPr>
        <w:t>such that, as supplemented, such Schedule would be accurate and complete as of such date (if no supplement is required to cause such Schedule to be accurate and complete as of such date, then the Borrower shall not be required to deliver such a report);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(e) concurrently with the delivery of the financial statements referred to in </w:t>
      </w:r>
      <w:r>
        <w:rPr>
          <w:rFonts w:ascii="Times New Roman;serif" w:hAnsi="Times New Roman;serif"/>
          <w:b w:val="false"/>
          <w:color w:val="000000"/>
          <w:sz w:val="22"/>
          <w:u w:val="single"/>
        </w:rPr>
        <w:t>Sections 6.01(a)(i)</w:t>
      </w:r>
      <w:r>
        <w:rPr>
          <w:color w:val="000000"/>
        </w:rPr>
        <w:t xml:space="preserve"> </w:t>
      </w:r>
      <w:r>
        <w:rPr>
          <w:rFonts w:ascii="Times New Roman;serif" w:hAnsi="Times New Roman;serif"/>
          <w:b w:val="false"/>
          <w:color w:val="000000"/>
          <w:sz w:val="22"/>
        </w:rPr>
        <w:t xml:space="preserve">and (b), a duly completed Availability Certificate dated as of the last day of the period covered by such financial statements, signed by the chief executive officer, chief financial officer, treasurer or controller of the Borrower, which delivery may, unless the Administrative Agent or a Lender requests executed originals, be by electronic communication including fax or email and shall be deemed to be an original authentic counterpart thereof for all purposes;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at any time an Event of Default exists, the Administrative Agent may require the Borrower to deliver Availability Certificates more frequently;</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(f) </w:t>
      </w:r>
      <w:r>
        <w:rPr>
          <w:rFonts w:ascii="Times New Roman;serif" w:hAnsi="Times New Roman;serif"/>
          <w:b w:val="false"/>
          <w:strike/>
          <w:color w:val="FF0000"/>
          <w:sz w:val="22"/>
        </w:rPr>
        <w:t>promptly, and in any event within one (1) Business Day of receipt, (i) any updated Lugano DIP Budgets, which Lugano DIP Budgets shall be in form and substance reasonably satisfactory to the Administrative Agent prior to the effectiveness thereof, (ii) a confidential weekly report summarizing weekly sales and results of the implementation of the Lugano Liquidation Plan, (iii) copies of all indications of interest, letters of intent, or draft purchase agreements received from any third-party, (iv) weekly collateral (accounts receivable, inventory, and cash) reporting, and (v) any other reporting that is required to be delivered by the Lugano Entities to the Borrower under the terms of the Lugano DIP Loan Documents;</w:t>
      </w:r>
      <w:r>
        <w:rPr>
          <w:rFonts w:ascii="Times New Roman;serif" w:hAnsi="Times New Roman;serif"/>
          <w:b w:val="false"/>
          <w:color w:val="0000FF"/>
          <w:sz w:val="22"/>
          <w:u w:val="single"/>
        </w:rPr>
        <w:t>[reserved];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(g) concurrently with the delivery of the financial statements referred to in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and, in respect of each month that is the last month of a fiscal quarter, </w:t>
      </w:r>
      <w:r>
        <w:rPr>
          <w:rFonts w:ascii="Times New Roman;serif" w:hAnsi="Times New Roman;serif"/>
          <w:b w:val="false"/>
          <w:color w:val="000000"/>
          <w:sz w:val="22"/>
          <w:u w:val="single"/>
        </w:rPr>
        <w:t>Section 6.01(b)</w:t>
      </w:r>
      <w:r>
        <w:rPr>
          <w:rFonts w:ascii="Times New Roman;serif" w:hAnsi="Times New Roman;serif"/>
          <w:b w:val="false"/>
          <w:color w:val="000000"/>
          <w:sz w:val="22"/>
        </w:rPr>
        <w:t>, a management discussion and analysis of such financial statements in form and detail reasonably satisfactory to the Administrative Agent;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promptly after any request by the Administrative Agent or any Lender, copies of any detailed audit reports, management letters or recommendations submitted to the board of directors (or the audit committee of the board of directors) of the Trust, the Borrower or any Subsidiary by independent accountants in connection with the accounts or books of the Trust, the Borrower or any Subsidiary, or any audit of any of them;</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promptly, and in any event within five (5) Business Days after receipt thereof by the Trust, the Borrower or any Subsidiary, copies of each notice or other correspondence received from the SEC (or comparable agency in any applicable non-U.S. jurisdiction) concerning any investigation or </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possible investigation or other inquiry by such agency regarding financial or other operational results of the Trust, the Borrower or any Subsidiary;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promptly following any request therefor from the Administrative Agent or any Lender, information and documentation reasonably requested by the Administrative Agent or any Lender for purposes of compliance with applicable “know your customer” under the PATRIOT Act, the Beneficial Ownership Regulation or other applicable anti-money laundering laws;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 promptly, such additional information regarding the business, financial or corporate affairs of the Borrower or any Subsidiary, or compliance with the terms of the Loan Documents, as the Administrative Agent or any Lender may from time to time reasonably request.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Documents required to be delivered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6.01(b)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6.02(c)</w:t>
      </w:r>
      <w:r>
        <w:rPr>
          <w:color w:val="000000"/>
        </w:rPr>
        <w:t xml:space="preserve"> </w:t>
      </w:r>
      <w:r>
        <w:rPr>
          <w:rFonts w:ascii="Times New Roman;serif" w:hAnsi="Times New Roman;serif"/>
          <w:b w:val="false"/>
          <w:color w:val="000000"/>
          <w:sz w:val="22"/>
        </w:rPr>
        <w:t xml:space="preserve">(to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serif" w:hAnsi="Times New Roman;serif"/>
          <w:b w:val="false"/>
          <w:color w:val="000000"/>
          <w:sz w:val="22"/>
          <w:u w:val="single"/>
        </w:rPr>
        <w:t>Schedule 10.02</w:t>
      </w:r>
      <w:r>
        <w:rPr>
          <w:rFonts w:ascii="Times New Roman;serif" w:hAnsi="Times New Roman;serif"/>
          <w:b w:val="false"/>
          <w:color w:val="000000"/>
          <w:sz w:val="22"/>
        </w:rPr>
        <w:t>; or (ii) on which such documents are posted on the Borrower’s behalf on an Internet or intranet website, if any, to which each Lender and the Administrative Agent have access (whether a commercial, third</w:t>
        <w:noBreakHyphen/>
        <w:t xml:space="preserve">party website or whether sponsored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the Borrower shall deliver paper copies of such documents to the Administrative Agent or any Lender upon its request to the Borrower to deliver such paper copies until a written request to cease delivering paper copies is given by the Administrative Agent or such Lender (but for not longer than one year unless a subsequent request is made by the Administrative Agent or such Lender to the Borrower to deliver such paper copies) and (ii) the Borrower shall notify the Administrative Agent and each Lender (by facsimile or e-mail) of the posting of any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The Borrower hereby acknowledges that (a) the Administrative Agent and/or the Arrangers may, but shall not be obligated to, make available to the Lenders and the L/C Issuer materials and/or information provided by or on behalf of the Borrower hereunder (collectively, “</w:t>
      </w:r>
      <w:r>
        <w:rPr>
          <w:rFonts w:ascii="Times New Roman;serif" w:hAnsi="Times New Roman;serif"/>
          <w:b w:val="false"/>
          <w:color w:val="000000"/>
          <w:sz w:val="22"/>
          <w:u w:val="single"/>
        </w:rPr>
        <w:t>Borrower Materials</w:t>
      </w:r>
      <w:r>
        <w:rPr>
          <w:color w:val="000000"/>
        </w:rPr>
        <w:t>”</w:t>
      </w:r>
      <w:r>
        <w:rPr>
          <w:rFonts w:ascii="Times New Roman;serif" w:hAnsi="Times New Roman;serif"/>
          <w:b w:val="false"/>
          <w:color w:val="000000"/>
          <w:sz w:val="22"/>
        </w:rPr>
        <w:t>) by posting the Borrower Materials on Debt Domain, IntraLinks, Syndtrak or another similar electronic system (the “</w:t>
      </w:r>
      <w:r>
        <w:rPr>
          <w:rFonts w:ascii="Times New Roman;serif" w:hAnsi="Times New Roman;serif"/>
          <w:b w:val="false"/>
          <w:color w:val="000000"/>
          <w:sz w:val="22"/>
          <w:u w:val="single"/>
        </w:rPr>
        <w:t>Platform</w:t>
      </w:r>
      <w:r>
        <w:rPr>
          <w:color w:val="000000"/>
        </w:rPr>
        <w:t>”</w:t>
      </w:r>
      <w:r>
        <w:rPr>
          <w:rFonts w:ascii="Times New Roman;serif" w:hAnsi="Times New Roman;serif"/>
          <w:b w:val="false"/>
          <w:color w:val="000000"/>
          <w:sz w:val="22"/>
        </w:rPr>
        <w:t>) and (b) certain of the Lenders (each a “</w:t>
      </w:r>
      <w:r>
        <w:rPr>
          <w:rFonts w:ascii="Times New Roman;serif" w:hAnsi="Times New Roman;serif"/>
          <w:b w:val="false"/>
          <w:color w:val="000000"/>
          <w:sz w:val="22"/>
          <w:u w:val="single"/>
        </w:rPr>
        <w:t>Public Lender</w:t>
      </w:r>
      <w:r>
        <w:rPr>
          <w:color w:val="000000"/>
        </w:rPr>
        <w:t>”</w:t>
      </w:r>
      <w:r>
        <w:rPr>
          <w:rFonts w:ascii="Times New Roman;serif" w:hAnsi="Times New Roman;serif"/>
          <w:b w:val="false"/>
          <w:color w:val="000000"/>
          <w:sz w:val="22"/>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L/C Issuer and the Lenders to treat such Borrower Materials as not containing any material non-public information with respect to the Borrower or its securities for purposes of United States federal and state securities Laws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to the extent such Borrower Materials constitute Information, they shall be treated as set forth in </w:t>
      </w:r>
      <w:r>
        <w:rPr>
          <w:rFonts w:ascii="Times New Roman;serif" w:hAnsi="Times New Roman;serif"/>
          <w:b w:val="false"/>
          <w:color w:val="000000"/>
          <w:sz w:val="22"/>
          <w:u w:val="single"/>
        </w:rPr>
        <w:t>Section 10.07</w:t>
      </w:r>
      <w:r>
        <w:rPr>
          <w:rFonts w:ascii="Times New Roman;serif" w:hAnsi="Times New Roman;serif"/>
          <w:b w:val="false"/>
          <w:color w:val="000000"/>
          <w:sz w:val="22"/>
        </w:rPr>
        <w:t xml:space="preserve">);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as “Public Side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the Borrower shall be under no obligation to mark any Borrower Materials “PUBLIC.”</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6.03    </w:t>
      </w:r>
      <w:r>
        <w:rPr>
          <w:rFonts w:ascii="Times New Roman;serif" w:hAnsi="Times New Roman;serif"/>
          <w:b w:val="false"/>
          <w:color w:val="000000"/>
          <w:sz w:val="22"/>
          <w:u w:val="single"/>
        </w:rPr>
        <w:t>Notices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Promptly upon becoming aware of any of the following, notify the Administrative Agent (for further distribution to the Lenders) of:</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occurrence of any Default.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any matter (including any litigation, arbitration, governmental investigation or proceeding instituted or threatened, or any violation of any Environmental Law) that has resulted or could reasonably be expected to result, individually or collectively with other matters, in a Material Adverse Effect.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occurrence of any ERISA Event.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(d) any material change in accounting policies or financial reporting practices by the Borrower or any Subsidiary, including any determination by the Borrower referred to in </w:t>
      </w:r>
      <w:r>
        <w:rPr>
          <w:rFonts w:ascii="Times New Roman;serif" w:hAnsi="Times New Roman;serif"/>
          <w:b w:val="false"/>
          <w:color w:val="000000"/>
          <w:sz w:val="22"/>
          <w:u w:val="single"/>
        </w:rPr>
        <w:t>Section 2.10(b)</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 any event of default under an Intercompany Debt Document applicable to any Portfolio Company that is not cured within three (3) Business Days of occurrence (such notice under this clause (e) to include copies of any written correspondence with the applicable Portfolio Company regarding such event of default).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any Portfolio Company becoming a Disqualified Portfolio Company (such notice under this clause (f) to be accompanied by an updated Availability Certificate reflecting that such Portfolio Company has become a Disqualified Portfolio Company).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Each notice pursuant to this </w:t>
      </w:r>
      <w:r>
        <w:rPr>
          <w:rFonts w:ascii="Times New Roman;serif" w:hAnsi="Times New Roman;serif"/>
          <w:b w:val="false"/>
          <w:color w:val="000000"/>
          <w:sz w:val="22"/>
          <w:u w:val="single"/>
        </w:rPr>
        <w:t>Section 6.03</w:t>
      </w:r>
      <w:r>
        <w:rPr>
          <w:color w:val="000000"/>
        </w:rPr>
        <w:t xml:space="preserve"> </w:t>
      </w:r>
      <w:r>
        <w:rPr>
          <w:rFonts w:ascii="Times New Roman;serif" w:hAnsi="Times New Roman;serif"/>
          <w:b w:val="false"/>
          <w:color w:val="000000"/>
          <w:sz w:val="22"/>
        </w:rPr>
        <w:t xml:space="preserve">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serif" w:hAnsi="Times New Roman;serif"/>
          <w:b w:val="false"/>
          <w:color w:val="000000"/>
          <w:sz w:val="22"/>
          <w:u w:val="single"/>
        </w:rPr>
        <w:t>Section 6.03(a)</w:t>
      </w:r>
      <w:r>
        <w:rPr>
          <w:color w:val="000000"/>
        </w:rPr>
        <w:t xml:space="preserve"> </w:t>
      </w:r>
      <w:r>
        <w:rPr>
          <w:rFonts w:ascii="Times New Roman;serif" w:hAnsi="Times New Roman;serif"/>
          <w:b w:val="false"/>
          <w:color w:val="000000"/>
          <w:sz w:val="22"/>
        </w:rPr>
        <w:t>shall describe with particularity any and all provisions of this Agreement and any other Loan Document that have been breached.</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6.04    </w:t>
      </w:r>
      <w:r>
        <w:rPr>
          <w:rFonts w:ascii="Times New Roman;serif" w:hAnsi="Times New Roman;serif"/>
          <w:b w:val="false"/>
          <w:color w:val="000000"/>
          <w:sz w:val="22"/>
          <w:u w:val="single"/>
        </w:rPr>
        <w:t>Payment of Taxes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Pay and discharge, and cause each Subsidiary to pay and discharge, prior to delinquency all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w:t>
      </w:r>
    </w:p>
    <w:p>
      <w:pPr>
        <w:pStyle w:val="TextBody"/>
        <w:bidi w:val="0"/>
        <w:spacing w:before="0" w:after="0"/>
        <w:ind w:left="0" w:right="0" w:firstLine="720"/>
        <w:jc w:val="both"/>
        <w:rPr/>
      </w:pPr>
      <w:r>
        <w:rPr/>
      </w:r>
    </w:p>
    <w:p>
      <w:pPr>
        <w:pStyle w:val="TextBody"/>
        <w:bidi w:val="0"/>
        <w:spacing w:lineRule="auto" w:line="288" w:before="0" w:after="0"/>
        <w:ind w:left="0" w:right="0" w:hanging="90"/>
        <w:jc w:val="both"/>
        <w:rPr/>
      </w:pPr>
      <w:r>
        <w:rPr>
          <w:rFonts w:ascii="Times New Roman;serif" w:hAnsi="Times New Roman;serif"/>
          <w:b w:val="false"/>
          <w:color w:val="000000"/>
          <w:sz w:val="22"/>
        </w:rPr>
        <w:t>6.05    </w:t>
      </w:r>
      <w:r>
        <w:rPr>
          <w:rFonts w:ascii="Times New Roman;serif" w:hAnsi="Times New Roman;serif"/>
          <w:b w:val="false"/>
          <w:color w:val="000000"/>
          <w:sz w:val="22"/>
          <w:u w:val="single"/>
        </w:rPr>
        <w:t>Preservation of Existence, Etc</w:t>
      </w:r>
      <w:r>
        <w:rPr>
          <w:rFonts w:ascii="Times New Roman;serif" w:hAnsi="Times New Roman;serif"/>
          <w:b w:val="false"/>
          <w:color w:val="000000"/>
          <w:sz w:val="22"/>
        </w:rPr>
        <w:t>.</w:t>
      </w:r>
    </w:p>
    <w:p>
      <w:pPr>
        <w:pStyle w:val="TextBody"/>
        <w:bidi w:val="0"/>
        <w:spacing w:before="0" w:after="0"/>
        <w:ind w:left="0" w:right="0" w:hanging="90"/>
        <w:jc w:val="both"/>
        <w:rPr/>
      </w:pPr>
      <w:r>
        <w:rPr/>
      </w:r>
    </w:p>
    <w:p>
      <w:pPr>
        <w:pStyle w:val="TextBody"/>
        <w:bidi w:val="0"/>
        <w:spacing w:lineRule="auto" w:line="268" w:before="0" w:after="0"/>
        <w:ind w:left="0" w:right="0" w:hanging="90"/>
        <w:jc w:val="both"/>
        <w:rPr>
          <w:rFonts w:ascii="Times New Roman;serif" w:hAnsi="Times New Roman;serif"/>
          <w:b w:val="false"/>
          <w:color w:val="000000"/>
          <w:sz w:val="22"/>
        </w:rPr>
      </w:pPr>
      <w:r>
        <w:rPr>
          <w:rFonts w:ascii="Times New Roman;serif" w:hAnsi="Times New Roman;serif"/>
          <w:b w:val="false"/>
          <w:color w:val="000000"/>
          <w:sz w:val="22"/>
        </w:rPr>
        <w:t>Except with respect to the Lugano Entities:</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 Preserve, renew and maintain, and cause each Subsidiary to preserve, renew and maintain, in full force and effect its legal existence under the Laws of the jurisdiction of its organization except in a transaction permitted by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7.05</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Preserve, renew and maintain, and cause each Subsidiary to preserve, renew and maintain, in full force and effect its good standing under the Laws of the jurisdiction of its organization except in a transaction permitted by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7.05</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Take, and cause each Subsidiary to take, all reasonable action to maintain all rights, privileges, permits, licenses, qualifications and franchises necessary or desirable in the normal conduct of its business, except to the extent that the failure to do so could not reasonably be expected to have a Material Adverse Effect.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Preserve or renew, and cause each Subsidiary to preserve or renew, all of its IP Rights, the non-preservation or non-renewal of which could reasonably be expected to have a Material Adverse Effect.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6.06    </w:t>
      </w:r>
      <w:r>
        <w:rPr>
          <w:rFonts w:ascii="Times New Roman;serif" w:hAnsi="Times New Roman;serif"/>
          <w:b w:val="false"/>
          <w:color w:val="000000"/>
          <w:sz w:val="22"/>
          <w:u w:val="single"/>
        </w:rPr>
        <w:t>Maintenance of Properties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Maintain, preserve and protect, and cause each Subsidiary to maintain, preserve and protect, all of its material properties and equipment useful and necessary in the operation of its business in good working order and condition, ordinary wear and tear excepted.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Make, and cause each Subsidiary to make, all necessary repairs thereto and renewals and replacements thereof, except where the failure to do so could not reasonably be expected to have a Material Adverse Effect.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Use, and cause each Subsidiary to use, the standard of care typical in the industry in the operation and maintenance of its facilities.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6.07    </w:t>
      </w:r>
      <w:r>
        <w:rPr>
          <w:rFonts w:ascii="Times New Roman;serif" w:hAnsi="Times New Roman;serif"/>
          <w:b w:val="false"/>
          <w:color w:val="000000"/>
          <w:sz w:val="22"/>
          <w:u w:val="single"/>
        </w:rPr>
        <w:t>Maintenance of Insurance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Maintain, and cause each Subsidiary to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Without limiting the foregoing, (i) maintain, and cause each Subsidiary to maintain, if available, fully paid flood hazard insurance on all real property that is located in a special flood hazard area and that constitutes Collateral or, in the case of each Subsidiary, collateral under any Qualified Intercompany Debt Document, on such terms and in such amounts as required by The National Flood Insurance Reform Act of 1994 or (in the case of such real property that constitutes Collateral) as otherwise required by the Administrative Agent, (ii) furnish to the Administrative Agent evidence of the renewal (and payment of renewal premiums therefor) of all such policies prior to the expiration or lapse thereof, and (iii) furnish to the Administrative Agent prompt written notice of any redesignation of any such improved real property into or out of a special flood hazard area. </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Cause the Administrative Agent and its successors and/or assigns to be named as lender’s loss payee or mortgagee as its interest may appear, and/or additional insured with respect to any such insurance providing liability coverage or coverage in respect of any Collateral, and cause each provider of any such insurance to agree, by endorsement upon the policy or policies issued by it or by independent </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instruments furnished to the Administrative Agent, that it will give the Administrative Agent thirty days (or such lesser amount as the Administrative Agent may agree) prior written notice before any such policy or policies shall be altered or canceled.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With respect to the insurance policies of the Subsidiaries that are borrowers or guarantors under any Intercompany Debt Documents, the Borrower shall, as part of and in connection with such Intercompany Debt Documents, (i) cause the Borrower and its successors and/or assigns to be named as lender’s loss payee or mortgagee as its interest may appear, and/or additional insured with respect to any such insurance providing liability coverage or coverage in respect of any collateral for such Intercompany Debt, and cause each provider of any such insurance to agree, by endorsement upon the policy or policies issued by it or by independent instruments furnished to the Borrower, that it will give the Borrower thirty days prior written notice before any such policy or policies shall be altered or canceled, and (ii) obtain a collateral assignment of each business interruption insurance policy maintained by such Subsidiaries.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6.08    </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Comply, and cause each Subsidiary </w:t>
      </w:r>
      <w:r>
        <w:rPr>
          <w:rFonts w:ascii="Times New Roman;serif" w:hAnsi="Times New Roman;serif"/>
          <w:b w:val="false"/>
          <w:color w:val="000000"/>
          <w:sz w:val="22"/>
          <w:u w:val="single"/>
        </w:rPr>
        <w:t xml:space="preserve">(other than the Lugano Entities) </w:t>
      </w:r>
      <w:r>
        <w:rPr>
          <w:rFonts w:ascii="Times New Roman;serif" w:hAnsi="Times New Roman;serif"/>
          <w:b w:val="false"/>
          <w:color w:val="000000"/>
          <w:sz w:val="22"/>
        </w:rPr>
        <w:t xml:space="preserve">to 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6.09    </w:t>
      </w:r>
      <w:r>
        <w:rPr>
          <w:rFonts w:ascii="Times New Roman;serif" w:hAnsi="Times New Roman;serif"/>
          <w:b w:val="false"/>
          <w:color w:val="000000"/>
          <w:sz w:val="22"/>
          <w:u w:val="single"/>
        </w:rPr>
        <w:t>Books and Records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Maintain, and cause each Subsidiary </w:t>
      </w:r>
      <w:r>
        <w:rPr>
          <w:rFonts w:ascii="Times New Roman;serif" w:hAnsi="Times New Roman;serif"/>
          <w:b w:val="false"/>
          <w:color w:val="000000"/>
          <w:sz w:val="22"/>
          <w:u w:val="single"/>
        </w:rPr>
        <w:t>(other than the Lugano Entities)</w:t>
      </w:r>
      <w:r>
        <w:rPr>
          <w:color w:val="0000FF"/>
          <w:u w:val="single"/>
        </w:rPr>
        <w:t xml:space="preserve"> </w:t>
      </w:r>
      <w:r>
        <w:rPr>
          <w:rFonts w:ascii="Times New Roman;serif" w:hAnsi="Times New Roman;serif"/>
          <w:b w:val="false"/>
          <w:color w:val="000000"/>
          <w:sz w:val="22"/>
        </w:rPr>
        <w:t>to maintain, proper books of record and account in accordance with sound business practices, sufficient to allow the preparation of financial statements in accordance with GAAP consistently applied.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Maintain, and cause each Subsidiary to maintain, such books of record and account in material conformity with all applicable requirements of any Governmental Authority having regulatory jurisdiction over the Borrower or such Subsidiary, as the case may be.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6.10    </w:t>
      </w:r>
      <w:r>
        <w:rPr>
          <w:rFonts w:ascii="Times New Roman;serif" w:hAnsi="Times New Roman;serif"/>
          <w:b w:val="false"/>
          <w:color w:val="000000"/>
          <w:sz w:val="22"/>
          <w:u w:val="single"/>
        </w:rPr>
        <w:t>Inspection Rights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Permit, and cause each Subsidiary </w:t>
      </w:r>
      <w:r>
        <w:rPr>
          <w:rFonts w:ascii="Times New Roman;serif" w:hAnsi="Times New Roman;serif"/>
          <w:b w:val="false"/>
          <w:color w:val="000000"/>
          <w:sz w:val="22"/>
          <w:u w:val="single"/>
        </w:rPr>
        <w:t>(other than the Lugano Entities) to</w:t>
      </w:r>
      <w:r>
        <w:rPr>
          <w:color w:val="000000"/>
        </w:rPr>
        <w:t xml:space="preserve"> </w:t>
      </w:r>
      <w:r>
        <w:rPr>
          <w:rFonts w:ascii="Times New Roman;serif" w:hAnsi="Times New Roman;serif"/>
          <w:b w:val="false"/>
          <w:color w:val="000000"/>
          <w:sz w:val="22"/>
        </w:rPr>
        <w:t xml:space="preserve">permit, representatives and independent contractors of the Administrative Agent (who may be accompanied by representatives of any Lender) to visit and inspect any of its properties, to examine its corporate, financial and operating records, and make copies thereof or abstracts therefrom, and to discuss its affairs, finances and accounts with its directors, officers, and independent public accountants (and the Borrower hereby authorizes such independent public accountants to discuss such financial matters with the Administrative Agent or any representative thereof), all at the expense of the Borrower and at such reasonable times during normal business hours, and as often as may be reasonably desired, upon reasonable advance notice to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 so long as no Default exists, the Borrower shall not be required to pay for more than one such inspection and examination in any fiscal year of the Borrower, (ii) when a Default exists the Administrative Agent (or any of its representatives and independent contractors) may do any of the foregoing at the expense of the Borrower at any time during normal business hours and without advance notice, and (iii) the visitation, inspection and examination, rights provided for in this </w:t>
      </w:r>
      <w:r>
        <w:rPr>
          <w:rFonts w:ascii="Times New Roman;serif" w:hAnsi="Times New Roman;serif"/>
          <w:b w:val="false"/>
          <w:color w:val="000000"/>
          <w:sz w:val="22"/>
          <w:u w:val="single"/>
        </w:rPr>
        <w:t>Section 6.10</w:t>
      </w:r>
      <w:r>
        <w:rPr>
          <w:rFonts w:ascii="Times New Roman;serif" w:hAnsi="Times New Roman;serif"/>
          <w:b w:val="false"/>
          <w:color w:val="000000"/>
          <w:sz w:val="22"/>
        </w:rPr>
        <w:t xml:space="preserve">, as they relate to any Subsidiary of the Borrower, shall only apply if an Event of Default </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exists hereunder or if such Subsidiary is in payment default under any Intercompany Debt Document to which it is a party.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6.11    </w:t>
      </w:r>
      <w:r>
        <w:rPr>
          <w:rFonts w:ascii="Times New Roman;serif" w:hAnsi="Times New Roman;serif"/>
          <w:b w:val="false"/>
          <w:color w:val="000000"/>
          <w:sz w:val="22"/>
          <w:u w:val="single"/>
        </w:rPr>
        <w:t>Use of Proceeds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Use the proceeds of the Credit Extensions (a) on the Closing Date, to consummate the Closing Date Acquisition, to refinance the indebtedness outstanding under the Existing Credit Agreement, and to pay fees and expenses in connection with the foregoing and (b) on and after the Closing Date, to finance working capital, capital expenditures and other lawful corporate purposes (including the funding of Acquisitions, Restricted Payments and Qualified Intercompany Debt permitted hereby),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the proceeds of the Credit Extensions be used in contravention of any Law or of any Loan Document.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6.12    </w:t>
      </w:r>
      <w:r>
        <w:rPr>
          <w:rFonts w:ascii="Times New Roman;serif" w:hAnsi="Times New Roman;serif"/>
          <w:b w:val="false"/>
          <w:color w:val="000000"/>
          <w:sz w:val="22"/>
          <w:u w:val="single"/>
        </w:rPr>
        <w:t>Pledged Assets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Equity Interests</w:t>
      </w:r>
      <w:r>
        <w:rPr>
          <w:rFonts w:ascii="Times New Roman;serif" w:hAnsi="Times New Roman;serif"/>
          <w:b w:val="false"/>
          <w:color w:val="000000"/>
          <w:sz w:val="22"/>
        </w:rPr>
        <w:t>. Cause (i) 100% of the issued and outstanding Equity Interests of each Domestic Subsidiary and (ii) 66% of the issued and outstanding Equity Interests entitled to vote (within the meaning of Treas. Reg. Section 1.956</w:t>
        <w:noBreakHyphen/>
        <w:t>2(c)(2)) and 100% of the issued and outstanding Equity Interests not entitled to vote (within the meaning of Treas. Reg. Section 1.956</w:t>
        <w:noBreakHyphen/>
        <w:t>2(c)(2)) in each Foreign Subsidiary, in each case to the extent directly owned by the Borrower, to be subject at all times to a first priority, perfected Lien in favor of the Administrative Agent pursuant to the Collateral Documents, and, in connection with the foregoing, deliver to the Administrative Agent such other documentation as the Administrative Agent may request including, any filings and deliveries to perfect such Liens and favorable opinions of counsel all in form and substance reasonably satisfactory to the Administrative Agent.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Other Property</w:t>
      </w:r>
      <w:r>
        <w:rPr>
          <w:rFonts w:ascii="Times New Roman;serif" w:hAnsi="Times New Roman;serif"/>
          <w:b w:val="false"/>
          <w:color w:val="000000"/>
          <w:sz w:val="22"/>
        </w:rPr>
        <w:t>. Cause all property (other than Excluded Property) of the Borrower to be subject at all times to first priority, perfected and, in the case of real property (whether leased or owned), title insured (to the extent required by the Administrative Agent) Liens in favor of the Administrative Agent to secure the Obligations pursuant to the Collateral Documents (subject to Permitted Liens) and, in connection with the foregoing, deliver to the Administrative Agent such other documentation as the Administrative Agent may request including filings and deliveries necessary to perfect such Liens, Organization Documents, resolutions, surveys, flood hazard certifications (and, if applicable, evidence of flood insurance as the Administrative Agent requires), landlord’s waivers, consents and estoppels, and favorable opinions of counsel to such Person, all in form, content and scope reasonably satisfactory to the Administrative Agent.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6.13    </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the Borrower’s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grant, assign, transfer, preserve, protect and confirm more effectively unto the Administrative Agent, the Lenders, the L/C Issuer, the Cash Management Banks and the Hedge Banks the rights granted or now or hereafter intended to be granted to them under any Loan Document or under any other instrument executed in connection with any Loan Document to which the Borrower or any of its Subsidiaries is or is to be a party, and cause each of its Subsidiaries to do so. Notwithstanding anything contained in this Agreement to the contrary, no mortgage, deed of trust or similar instrument shall be executed and delivered with respect to any real property of the Borrower unless and until (x) the Borrower has provided at least twenty (20) days’ prior written notice to each Lender with a Revolving Commitment of such pledge of real property as Collateral and (y) each Lender has confirmed to the Administrative Agent that its flood insurance due diligence and flood insurance compliance has been completed to its satisfaction.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6.14    </w:t>
      </w:r>
      <w:r>
        <w:rPr>
          <w:rFonts w:ascii="Times New Roman;serif" w:hAnsi="Times New Roman;serif"/>
          <w:b w:val="false"/>
          <w:color w:val="000000"/>
          <w:sz w:val="22"/>
          <w:u w:val="single"/>
        </w:rPr>
        <w:t>Compliance With Environmental Laws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Comply, and cause each Subsidiary to comply, and cause all lessees and other Persons operating or occupying its or the applicable Subsidiary’s properties to comply, in all material respects, with all applicable Environmental Laws; obtain and renew, and cause each Subsidiary to obtain and renew, all environmental permits necessary for its operations and properties; and conduct, and cause each Subsidiary to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neither the Borrower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6.15    </w:t>
      </w:r>
      <w:r>
        <w:rPr>
          <w:rFonts w:ascii="Times New Roman;serif" w:hAnsi="Times New Roman;serif"/>
          <w:b w:val="false"/>
          <w:color w:val="000000"/>
          <w:sz w:val="22"/>
          <w:u w:val="single"/>
        </w:rPr>
        <w:t>Deposit and Securities Accounts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Maintain all of its deposit accounts at all times with the Administrative Agent or a Lender, and obtain and deliver to the Administrative Agent such Qualifying Control Agreements as the Administrative Agent requires with respect to its deposit accounts and securities accounts.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6.16    </w:t>
      </w:r>
      <w:r>
        <w:rPr>
          <w:rFonts w:ascii="Times New Roman;serif" w:hAnsi="Times New Roman;serif"/>
          <w:b w:val="false"/>
          <w:color w:val="000000"/>
          <w:sz w:val="22"/>
          <w:u w:val="single"/>
        </w:rPr>
        <w:t>Anti-Corruption Laws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Conduct its businesses in compliance with the United States Foreign Corrupt Practices Act of 1977, the UK Bribery Act 2010 and other similar anti-corruption legislation in other jurisdictions and maintain policies and procedures designed to promote and achieve compliance with such laws.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6.17     Lender Updates.</w:t>
      </w:r>
    </w:p>
    <w:p>
      <w:pPr>
        <w:pStyle w:val="TextBody"/>
        <w:bidi w:val="0"/>
        <w:spacing w:lineRule="auto" w:line="288" w:before="180" w:after="283"/>
        <w:jc w:val="both"/>
        <w:rPr/>
      </w:pPr>
      <w:r>
        <w:rPr>
          <w:rFonts w:ascii="Times New Roman;serif" w:hAnsi="Times New Roman;serif"/>
          <w:b w:val="false"/>
          <w:color w:val="000000"/>
          <w:sz w:val="22"/>
        </w:rPr>
        <w:t>Make certain representatives of the Borrower and its advisors, as reasonably requested by the Administrative Agent, available to the Administrative Agent and the Lenders for periodic conference calls to be held on dates and at times as determined by the Administrative Agent in its sole discretion to provide updates regarding the business operations of the Borrower and its Subsidiaries.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6.18      Administrative Agent’s Financial Advisor .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Administrative Agent, through its counsel, has retained FTI Consulting, LLC, as financial advisor to the Administrative Agent (the “Administrative Agent’s Financial Advisor”), to monitor the Borrower’s financial and operational performance. The Borrower shall cooperate with the Administrative Agent’s Financial Advisor and provide the Administrative Agent’s Financial Advisor with reasonable access to </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81"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2"/>
        </w:rPr>
        <w:t>the Borrower’s facilities, books and records, officers and consultants and to any information reasonably necessary for the Administrative Agent’s Financial Advisor to perform the services within the scope of its engagement; provided, however, that such access need not include any access to information that would be subject to legal privilege.</w:t>
      </w:r>
      <w:r>
        <w:rPr>
          <w:color w:val="000000"/>
        </w:rPr>
        <w:t xml:space="preserve"> </w:t>
      </w:r>
    </w:p>
    <w:p>
      <w:pPr>
        <w:pStyle w:val="TextBody"/>
        <w:bidi w:val="0"/>
        <w:spacing w:lineRule="auto" w:line="288" w:before="300" w:after="283"/>
        <w:jc w:val="center"/>
        <w:rPr>
          <w:rFonts w:ascii="Times New Roman;serif" w:hAnsi="Times New Roman;serif"/>
          <w:b w:val="false"/>
          <w:color w:val="000000"/>
          <w:sz w:val="24"/>
        </w:rPr>
      </w:pPr>
      <w:r>
        <w:rPr>
          <w:rFonts w:ascii="Times New Roman;serif" w:hAnsi="Times New Roman;serif"/>
          <w:b w:val="false"/>
          <w:color w:val="000000"/>
          <w:sz w:val="24"/>
        </w:rPr>
        <w:t xml:space="preserve">ARTICLE VII </w:t>
      </w:r>
    </w:p>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NEGATIVE COVENANTS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Until the Facility Termination Date, the Borrower shall not:</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val="false"/>
          <w:color w:val="000000"/>
          <w:sz w:val="22"/>
        </w:rPr>
        <w:t>7.01    </w:t>
      </w:r>
      <w:r>
        <w:rPr>
          <w:rFonts w:ascii="Times New Roman;serif" w:hAnsi="Times New Roman;serif"/>
          <w:b w:val="false"/>
          <w:color w:val="000000"/>
          <w:sz w:val="22"/>
          <w:u w:val="single"/>
        </w:rPr>
        <w:t>Liens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Create, incur, assume or suffer to exist, or permit any Subsidiary (other than any Subsidiary Outside Company) to create, incur, assume or suffer to exist, any Lien upon any of its property, assets or revenues, whether now owned or hereafter acquired, other than the following: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Liens pursuant to any Loan Document;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(b) Liens existing on the Closing Date and listed on </w:t>
      </w:r>
      <w:r>
        <w:rPr>
          <w:rFonts w:ascii="Times New Roman;serif" w:hAnsi="Times New Roman;serif"/>
          <w:b w:val="false"/>
          <w:color w:val="000000"/>
          <w:sz w:val="22"/>
          <w:u w:val="single"/>
        </w:rPr>
        <w:t>Schedule 7.01</w:t>
      </w:r>
      <w:r>
        <w:rPr>
          <w:color w:val="000000"/>
        </w:rPr>
        <w:t xml:space="preserve"> </w:t>
      </w:r>
      <w:r>
        <w:rPr>
          <w:rFonts w:ascii="Times New Roman;serif" w:hAnsi="Times New Roman;serif"/>
          <w:b w:val="false"/>
          <w:color w:val="000000"/>
          <w:sz w:val="22"/>
        </w:rPr>
        <w:t>and any renewals, replacements or extensions thereof, provided that the property covered thereby is not increased;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Liens (other than Liens imposed under ERISA) for taxes, assessments or governmental charges or levies not yet due or which are being contested in good faith and by appropriate proceedings diligently conducted, if adequate reserves with respect thereto are maintained on the books of the applicable Person in accordance with GAAP;</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(d) Liens of landlords, carriers, warehousemen, mechanics, materialmen and repairmen and other like Liens arising in the ordinary course of business,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Liens secure only amounts not overdue for more than thirty days or, if overdue for more than thirty days, are being contested in good faith by appropriate proceedings diligently conducted for which adequate reserves determined in accordance with GAAP have been established;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pledges or deposits in the ordinary course of business in connection with workers’ compensation, unemployment insurance and other social security legislation, other than any Lien imposed by ERISA;</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deposits to secure the performance of bids, trade contracts and leases (other than Indebtedness), statutory obligations, surety and appeal bonds, performance bonds and other obligations of a like nature incurred in the ordinary course of business;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(h) Liens securing judgments for the payment of money (or appeal or other surety bonds relating to such judgments) not constituting an Event of Default under </w:t>
      </w:r>
      <w:r>
        <w:rPr>
          <w:rFonts w:ascii="Times New Roman;serif" w:hAnsi="Times New Roman;serif"/>
          <w:b w:val="false"/>
          <w:color w:val="000000"/>
          <w:sz w:val="22"/>
          <w:u w:val="single"/>
        </w:rPr>
        <w:t>Section 8.01(h)</w:t>
      </w:r>
      <w:r>
        <w:rPr>
          <w:rFonts w:ascii="Times New Roman;serif" w:hAnsi="Times New Roman;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2"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to the extent securing Indebtedness that is permitted under </w:t>
      </w:r>
      <w:r>
        <w:rPr>
          <w:rFonts w:ascii="Times New Roman;serif" w:hAnsi="Times New Roman;serif"/>
          <w:b w:val="false"/>
          <w:color w:val="000000"/>
          <w:sz w:val="22"/>
          <w:u w:val="single"/>
        </w:rPr>
        <w:t>Section 7.03(e)</w:t>
      </w:r>
      <w:r>
        <w:rPr>
          <w:rFonts w:ascii="Times New Roman;serif" w:hAnsi="Times New Roman;serif"/>
          <w:b w:val="false"/>
          <w:color w:val="000000"/>
          <w:sz w:val="22"/>
        </w:rPr>
        <w:t xml:space="preserve">, (i) Liens on the assets of a Portfolio Company securing capital leases of such Portfolio Company (and attaching only to the property being leased), (ii) Liens on the assets of a Portfolio Company existing on property at the time of the acquisition thereof by such Portfolio Company (and not created in contemplation of such acquisition) and (iii) Liens that constitute purchase money security interests on any property of a Portfolio Company securing Indebtedness of such Portfolio Company incurred for the purpose of financing all or any part of the cost of acquiring such property,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Lien attaches to such property within 60 days of the acquisition thereof and attaches solely to the property financed by such Indebtedness;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leases or subleases granted to others not interfering in any material respect with the business of the Borrower or any Subsidiary;</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 any interest of title of a lessor under, and Liens arising from UCC financing statements (or equivalent filings, registrations or agreements in foreign jurisdictions) relating to, leases permitted by this Agreement;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(l) Liens deemed to exist in connection with Investments in repurchase agreements permitted under </w:t>
      </w:r>
      <w:r>
        <w:rPr>
          <w:rFonts w:ascii="Times New Roman;serif" w:hAnsi="Times New Roman;serif"/>
          <w:b w:val="false"/>
          <w:color w:val="000000"/>
          <w:sz w:val="22"/>
          <w:u w:val="single"/>
        </w:rPr>
        <w:t>Section 7.02</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(m) normal and customary rights of setoff upon deposits of cash in favor of banks or other depository institutions;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 Liens of a collection bank arising under Section 4</w:t>
        <w:noBreakHyphen/>
        <w:t xml:space="preserve">210 of the Uniform Commercial Code on items in the course of collection;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(o) Liens arising on any real property as a result of any eminent domain, condemnation or similar proceeding being commenced with respect to such real property.</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(p) Liens in favor of the Borrower arising under Qualified Intercompany Debt Documents and securing Intercompany Debt permitted hereunder; and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(q) Liens in favor of the Borrower securing the Indebtedness owing by Lugano Diamonds and Lugano Buyer to Borrower permitted under </w:t>
      </w:r>
      <w:r>
        <w:rPr>
          <w:rFonts w:ascii="Times New Roman;serif" w:hAnsi="Times New Roman;serif"/>
          <w:b w:val="false"/>
          <w:color w:val="000000"/>
          <w:sz w:val="22"/>
          <w:u w:val="single"/>
        </w:rPr>
        <w:t>Section 7.03(l)</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strike/>
          <w:color w:val="EE2724"/>
          <w:sz w:val="22"/>
        </w:rPr>
        <w:t>(r)</w:t>
      </w:r>
      <w:r>
        <w:rPr>
          <w:color w:val="EE2724"/>
        </w:rPr>
        <w:t xml:space="preserve"> </w:t>
      </w:r>
      <w:r>
        <w:rPr>
          <w:rFonts w:ascii="Times New Roman;serif" w:hAnsi="Times New Roman;serif"/>
          <w:b w:val="false"/>
          <w:strike/>
          <w:color w:val="EE2724"/>
          <w:sz w:val="22"/>
        </w:rPr>
        <w:t xml:space="preserve">Liens in favor of the Borrower arising under the Lugano DIP Loan Documents and securing the Lugano DIP Intercompany Debt permitted under </w:t>
      </w:r>
      <w:r>
        <w:rPr>
          <w:rFonts w:ascii="Times New Roman;serif" w:hAnsi="Times New Roman;serif"/>
          <w:b w:val="false"/>
          <w:strike/>
          <w:color w:val="EE2724"/>
          <w:sz w:val="22"/>
          <w:u w:val="single"/>
        </w:rPr>
        <w:t>Section 7.03(m)</w:t>
      </w:r>
      <w:r>
        <w:rPr>
          <w:rFonts w:ascii="Times New Roman;serif" w:hAnsi="Times New Roman;serif"/>
          <w:b w:val="false"/>
          <w:strike/>
          <w:color w:val="EE2724"/>
          <w:sz w:val="22"/>
        </w:rPr>
        <w:t>.</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val="false"/>
          <w:color w:val="000000"/>
          <w:sz w:val="22"/>
        </w:rPr>
        <w:t>7.02    </w:t>
      </w:r>
      <w:r>
        <w:rPr>
          <w:rFonts w:ascii="Times New Roman;serif" w:hAnsi="Times New Roman;serif"/>
          <w:b w:val="false"/>
          <w:color w:val="000000"/>
          <w:sz w:val="22"/>
          <w:u w:val="single"/>
        </w:rPr>
        <w:t>Investments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Make, or permit any Subsidiary (other than any Subsidiary Outside Company) to make, any Investments, except: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Investments in the form of cash or Cash Equivalents;</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(b) Investments outstanding on the Closing Date and set forth in </w:t>
      </w:r>
      <w:r>
        <w:rPr>
          <w:rFonts w:ascii="Times New Roman;serif" w:hAnsi="Times New Roman;serif"/>
          <w:b w:val="false"/>
          <w:color w:val="000000"/>
          <w:sz w:val="22"/>
          <w:u w:val="single"/>
        </w:rPr>
        <w:t>Schedule 7.02</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(c) Investments in Portfolio Companies constituting Qualified Intercompany Debt;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(i) the initial incurrence of Qualified Intercompany Debt by a Portfolio </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3"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Company, (ii) any subsequent incurrence of Qualified Intercompany Debt in connection with the consummation of add-on Acquisitions of Targets by a Portfolio Company, or (iii) any incurrence of Qualified Intercompany Debt by a Portfolio Company in connection with a recapitalization (which shall not include an incurrence of Qualified Intercompany Debt solely to finance a redemption of preferred equity that is permitted hereunder) of such Portfolio Company involving an increase to the amount of Qualified Intercompany Debt of such Portfolio Company, the Administrative Agent has received projections and other financial data reasonably acceptable to the Administrative Agent which demonstrates that, after giving effect to the incurrence of any such Qualified Intercompany Debt by a Portfolio Company (and, as applicable, the Acquisition or recapitalization transaction related thereto), (A) such Portfolio Company is Solvent and (B) the Portfolio Company Leverage Ratio for such Portfolio Company, calculated on a Pro Forma Basis, is not greater than 5.00 to 1.00;</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contributions by the Borrower to the capital of a Portfolio Company or a Subsidiary Outside Company, so long as all of the Equity Interests in such Portfolio Company or Subsidiary Outside Company owned by the Borrower have been pledged to the Administrative Agent to secure the Obligations in accordance with the terms of the Loan Documents;</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Investments of Indebtedness (i) in Subsidiary Outside Companies, so long as the instruments evidencing any such Indebtedness have been pledged to the Administrative Agent to secure the Obligations in accordance with the terms of the Loan Documents, and (ii) by any Portfolio Company organized in Canada in its operating company Subsidiaries;</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(g) Guarantees permitted by </w:t>
      </w:r>
      <w:r>
        <w:rPr>
          <w:rFonts w:ascii="Times New Roman;serif" w:hAnsi="Times New Roman;serif"/>
          <w:b w:val="false"/>
          <w:color w:val="000000"/>
          <w:sz w:val="22"/>
          <w:u w:val="single"/>
        </w:rPr>
        <w:t>Section 7.03</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(h) Permitted Eligible Acquisitions and Permitted Ineligible Acquisitions;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equity Investments held in a Non-Subsidiary Outside Company made prior to (and as in existence as of) the date upon which such Person first became a Non-Subsidiary Outside Company that were permitted under this Agreement at the time made (it being agreed and understood that no further Investments may be made in such Non-Subsidiary Outside Company);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advances by the Borrower or such Subsidiary to its employees, officers or directors in the ordinary course of business;</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(k) the acquisition by the Borrower of Equity Interests of any Portfolio Company from minority shareholders of such Portfolio Company;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no Default or Event of Default is in existence or would occur after giving effect to such acquisition; and (ii) immediately after consummation of such acquisition and the incurrence of any Loans and other Indebtedness in connection therewith, (A) the sum of (x) all cash and Cash Equivalents of the Borrower on deposit in an account that is with the Administrative Agent or is subject to a Qualifying Control Agreement plus (y) Unused Borrowing Availability shall be not less than $25,000,000; and (B) the Borrower shall be in compliance on a Pro Forma Basis with the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 xml:space="preserve">recomputed for the twelve-month period ending on the last day of the most recently ended month for which a Compliance Certificate has been delivered to the Administrative Agent in accordance with the provisions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4"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(l) equity Investments outstanding on the Closing Date held in Subsidiaries;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(m) non-cash consideration received in a Disposition permitted under </w:t>
      </w:r>
      <w:r>
        <w:rPr>
          <w:rFonts w:ascii="Times New Roman;serif" w:hAnsi="Times New Roman;serif"/>
          <w:b w:val="false"/>
          <w:color w:val="000000"/>
          <w:sz w:val="22"/>
          <w:u w:val="single"/>
        </w:rPr>
        <w:t>Section 7.05</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(n) Investments consisting of Loans made by any Portfolio Company in any Subsidiary of such Portfolio Company; provided that, if such Portfolio Company has Qualified Intercompany Debt, such Subsidiary guaranties and provides collateral for the Qualified Intercompany Debt of such Portfolio Company pursuant to the relevant Qualified Intercompany Debt Documents;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(o) tax equity Investments by Portfolio Companies in an aggregate amount not to exceed the sum of $75,000,000 plus the amount of any tax credits received by such Portfolio Company as consideration for such Investment that are available to be utilized by such Portfolio Company for its then current tax year; </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(p) other Investments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Investments are not funded with the proceeds of Loans and (ii) the aggregate outstanding principal amount of all such Investments shall not exceed $10,000,000 at any time; </w:t>
      </w:r>
      <w:r>
        <w:rPr>
          <w:rFonts w:ascii="Times New Roman;serif" w:hAnsi="Times New Roman;serif"/>
          <w:b w:val="false"/>
          <w:color w:val="0000FF"/>
          <w:sz w:val="22"/>
          <w:u w:val="single"/>
        </w:rPr>
        <w:t>and</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(q) Investments from and after the Second Amendment Effective Date and prior to the Fourth Amendment Effective Date constituting Indebtedness to Lugano Diamonds and Lugano Buyer in an aggregate amount not to exceed $5,000,000 so long as the instruments evidencing any such Indebtedness have been pledged to the Administrative Agent to secure the Obligations in accordance with the terms of the Loan Documents; </w:t>
      </w:r>
      <w:r>
        <w:rPr>
          <w:rFonts w:ascii="Times New Roman;serif" w:hAnsi="Times New Roman;serif"/>
          <w:b w:val="false"/>
          <w:strike/>
          <w:color w:val="FF0000"/>
          <w:sz w:val="22"/>
        </w:rPr>
        <w:t xml:space="preserve">and </w:t>
      </w:r>
    </w:p>
    <w:p>
      <w:pPr>
        <w:pStyle w:val="TextBody"/>
        <w:bidi w:val="0"/>
        <w:spacing w:lineRule="auto" w:line="288" w:before="240" w:after="283"/>
        <w:ind w:left="0" w:right="0" w:firstLine="1440"/>
        <w:jc w:val="both"/>
        <w:rPr/>
      </w:pPr>
      <w:r>
        <w:rPr>
          <w:rFonts w:ascii="Times New Roman;serif" w:hAnsi="Times New Roman;serif"/>
          <w:b w:val="false"/>
          <w:strike/>
          <w:color w:val="FF0000"/>
          <w:sz w:val="22"/>
        </w:rPr>
        <w:t>(r)</w:t>
      </w:r>
      <w:r>
        <w:rPr>
          <w:color w:val="000000"/>
        </w:rPr>
        <w:t xml:space="preserve"> </w:t>
      </w:r>
      <w:r>
        <w:rPr>
          <w:rFonts w:ascii="Times New Roman;serif" w:hAnsi="Times New Roman;serif"/>
          <w:b w:val="false"/>
          <w:strike/>
          <w:color w:val="FF0000"/>
          <w:sz w:val="22"/>
        </w:rPr>
        <w:t>Investments constituting the Lugano DIP Intercompany Debt, so long as the instruments evidencing any such Indebtedness have been pledged to the Administrative Agent to secure the Obligations in accordance with the terms of the Loan Documents; and</w:t>
      </w:r>
    </w:p>
    <w:p>
      <w:pPr>
        <w:pStyle w:val="TextBody"/>
        <w:bidi w:val="0"/>
        <w:spacing w:lineRule="auto" w:line="288" w:before="240" w:after="283"/>
        <w:ind w:left="0" w:right="0" w:firstLine="1440"/>
        <w:jc w:val="left"/>
        <w:rPr/>
      </w:pPr>
      <w:r>
        <w:rPr>
          <w:rFonts w:ascii="Times New Roman;serif" w:hAnsi="Times New Roman;serif"/>
          <w:b w:val="false"/>
          <w:strike/>
          <w:color w:val="FF0000"/>
          <w:sz w:val="22"/>
        </w:rPr>
        <w:t>(s)</w:t>
      </w:r>
      <w:r>
        <w:rPr>
          <w:color w:val="000000"/>
        </w:rPr>
        <w:t xml:space="preserve"> </w:t>
      </w:r>
      <w:r>
        <w:rPr>
          <w:rFonts w:ascii="Times New Roman;serif" w:hAnsi="Times New Roman;serif"/>
          <w:b w:val="false"/>
          <w:strike/>
          <w:color w:val="FF0000"/>
          <w:sz w:val="22"/>
        </w:rPr>
        <w:t xml:space="preserve">Investments permitted under the Fifth Amendment Transaction Letter so long as </w:t>
      </w:r>
      <w:r>
        <w:rPr>
          <w:rFonts w:ascii="Times New Roman;serif" w:hAnsi="Times New Roman;serif"/>
          <w:b w:val="false"/>
          <w:strike/>
          <w:color w:val="008000"/>
          <w:sz w:val="22"/>
        </w:rPr>
        <w:t>no Default or Event of Default exists or would result therefrom</w:t>
      </w:r>
      <w:r>
        <w:rPr>
          <w:rFonts w:ascii="Times New Roman;serif" w:hAnsi="Times New Roman;serif"/>
          <w:b w:val="false"/>
          <w:strike/>
          <w:color w:val="FF0000"/>
          <w:sz w:val="22"/>
        </w:rPr>
        <w:t>.</w:t>
      </w:r>
      <w:r>
        <w:rPr>
          <w:color w:val="000000"/>
        </w:rPr>
        <w:t xml:space="preserve"> </w:t>
      </w:r>
    </w:p>
    <w:p>
      <w:pPr>
        <w:pStyle w:val="TextBody"/>
        <w:bidi w:val="0"/>
        <w:spacing w:lineRule="auto" w:line="268" w:before="0" w:after="0"/>
        <w:jc w:val="both"/>
        <w:rPr/>
      </w:pPr>
      <w:r>
        <w:rPr>
          <w:rFonts w:ascii="Times New Roman;serif" w:hAnsi="Times New Roman;serif"/>
          <w:b w:val="false"/>
          <w:color w:val="000000"/>
          <w:sz w:val="22"/>
        </w:rPr>
        <w:t xml:space="preserve">Notwithstanding anything in this </w:t>
      </w:r>
      <w:r>
        <w:rPr>
          <w:rFonts w:ascii="Times New Roman;serif" w:hAnsi="Times New Roman;serif"/>
          <w:b w:val="false"/>
          <w:color w:val="000000"/>
          <w:sz w:val="22"/>
          <w:u w:val="single"/>
        </w:rPr>
        <w:t>Section 7.02</w:t>
      </w:r>
      <w:r>
        <w:rPr>
          <w:color w:val="000000"/>
        </w:rPr>
        <w:t xml:space="preserve"> </w:t>
      </w:r>
      <w:r>
        <w:rPr>
          <w:rFonts w:ascii="Times New Roman;serif" w:hAnsi="Times New Roman;serif"/>
          <w:b w:val="false"/>
          <w:color w:val="000000"/>
          <w:sz w:val="22"/>
        </w:rPr>
        <w:t>or otherwise in this Agreement to the contrary, from and after the Fifth Amendment Effective Date the Borrower shall not make, or permit any Subsidiary (other than any Subsidiary Outside Company) to make, (i) any Investments pursuant to the foregoing clause (d) (other than debt Investments that are collaterally assigned to the Administrative Agent), or (ii) any Investments pursuant to the foregoing clauses (h) or (k) unless the Consolidated Total Leverage Ratio of the Borrower would not be greater than 4.50:1.00 on a Pro Forma Basis.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7.03    </w:t>
      </w:r>
      <w:r>
        <w:rPr>
          <w:rFonts w:ascii="Times New Roman;serif" w:hAnsi="Times New Roman;serif"/>
          <w:b w:val="false"/>
          <w:color w:val="000000"/>
          <w:sz w:val="22"/>
          <w:u w:val="single"/>
        </w:rPr>
        <w:t>Indebtedness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Create, incur, assume or suffer to exist, or permit any Subsidiary (other than any Subsidiary Outside Company) to create, incur, assume or suffer to exist, any Indebtedness, except: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Indebtedness under the Loan Documents;</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(b) Indebtedness outstanding on the Closing Date and set forth in </w:t>
      </w:r>
      <w:r>
        <w:rPr>
          <w:rFonts w:ascii="Times New Roman;serif" w:hAnsi="Times New Roman;serif"/>
          <w:b w:val="false"/>
          <w:color w:val="000000"/>
          <w:sz w:val="22"/>
          <w:u w:val="single"/>
        </w:rPr>
        <w:t>Schedule 7.03</w:t>
      </w:r>
      <w:r>
        <w:rPr>
          <w:color w:val="000000"/>
        </w:rPr>
        <w:t xml:space="preserve"> </w:t>
      </w:r>
      <w:r>
        <w:rPr>
          <w:rFonts w:ascii="Times New Roman;serif" w:hAnsi="Times New Roman;serif"/>
          <w:b w:val="false"/>
          <w:color w:val="000000"/>
          <w:sz w:val="22"/>
        </w:rPr>
        <w:t xml:space="preserve">and any refinancings, renewals and extensions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amount of such Indebtedness is not increased at the time of such refinancing, renewal or extension except by an amount equal to a reasonable premium or other reasonable amount paid, and fees and expenses reasonably incurred, in </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5"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connection with such refinancing or extension and by an amount equal to any existing commitments unutilized thereunder and (ii) the material terms taken as a whole of such refinancing or extension are not materially less favorable in any material respect to the Borrower and its Subsidiaries or the Lenders than the terms of the Indebtedness being refinanced or extended;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(c) intercompany Indebtedness permitted under </w:t>
      </w:r>
      <w:r>
        <w:rPr>
          <w:rFonts w:ascii="Times New Roman;serif" w:hAnsi="Times New Roman;serif"/>
          <w:b w:val="false"/>
          <w:color w:val="000000"/>
          <w:sz w:val="22"/>
          <w:u w:val="single"/>
        </w:rPr>
        <w:t>Section 7.02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Indebtedness owing by the Borrower to a Subsidiary (i) such Indebtedness shall be subordinated to the Obligations in a manner and to an extent reasonably acceptable to the Administrative Agent and (ii) such Indebtedness shall not be prepaid unless no Default exists immediately prior to or after giving effect to such prepayment;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(d) obligations (contingent or otherwise) existing or arising under any Swap Contract,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w:t>
        <w:noBreakHyphen/>
        <w:t>defaulting party from its obligation to make payments on outstanding transactions to the defaulting party;</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(e) (i) Indebtedness of the Portfolio Companies (exclusive of Indebtedness of the Portfolio Companies permitted pursuant to other clauses of this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 xml:space="preserve">that are applicable to Portfolio Companies) that does not exceed in the aggregate at any time outstanding for any Portfolio Company the greater of (x) $4,000,000 and (y) the product of (I) the Portfolio Company EBITDA of such Portfolio Company for the twelve month period ending on the last day of the month for which financial statements regarding such Portfolio Company have been most recently delivered to the Administrative Agent in accordance with the terms of this Agreement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(II) 0.10 (with measurements under this clause (i) made at the time of incurrence of any such Indebtedness of the Portfolio Companies); (ii) Indebtedness consisting of obligations in respect of the deferred purchase price of property or services (other than Earn Out Obligations) in an aggregate amount not to exceed $</w:t>
      </w:r>
      <w:r>
        <w:rPr>
          <w:rFonts w:ascii="Times New Roman;serif" w:hAnsi="Times New Roman;serif"/>
          <w:b w:val="false"/>
          <w:strike/>
          <w:color w:val="FF0000"/>
          <w:sz w:val="22"/>
        </w:rPr>
        <w:t>25,000,000</w:t>
      </w:r>
      <w:r>
        <w:rPr>
          <w:rFonts w:ascii="Times New Roman;serif" w:hAnsi="Times New Roman;serif"/>
          <w:b w:val="false"/>
          <w:color w:val="0000FF"/>
          <w:sz w:val="22"/>
          <w:u w:val="single"/>
        </w:rPr>
        <w:t>5,000,000</w:t>
      </w:r>
      <w:r>
        <w:rPr>
          <w:color w:val="000000"/>
        </w:rPr>
        <w:t xml:space="preserve"> </w:t>
      </w:r>
      <w:r>
        <w:rPr>
          <w:rFonts w:ascii="Times New Roman;serif" w:hAnsi="Times New Roman;serif"/>
          <w:b w:val="false"/>
          <w:color w:val="000000"/>
          <w:sz w:val="22"/>
        </w:rPr>
        <w:t>at any time outstanding and (iii) Indebtedness of the Borrower that does not exceed $2,000,000 in the aggregate at any time outstanding;</w:t>
      </w:r>
    </w:p>
    <w:p>
      <w:pPr>
        <w:pStyle w:val="TextBody"/>
        <w:bidi w:val="0"/>
        <w:spacing w:lineRule="auto" w:line="288" w:before="18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Qualified Intercompany Debt;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(g) [reserved];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(h) Guarantees (i) of obligations under real property leases and obligations in respect of severance payments provided by entities within the same Portfolio Company or Outside Company (as applicable), so long as any such guarantee is provided at the time such obligations are incurred, (ii) by the Borrower of obligations of Subsidiaries to the extent required by applicable law in an aggregate amount not to exceed $12,500,000 at any time outstanding, (iii) by the Borrower of obligations (contingent or otherwise) of Portfolio Companies existing or arising under Swap Contracts permitted by </w:t>
      </w:r>
      <w:r>
        <w:rPr>
          <w:rFonts w:ascii="Times New Roman;serif" w:hAnsi="Times New Roman;serif"/>
          <w:b w:val="false"/>
          <w:color w:val="000000"/>
          <w:sz w:val="22"/>
          <w:u w:val="single"/>
        </w:rPr>
        <w:t>Section 7.03(d)</w:t>
      </w:r>
      <w:r>
        <w:rPr>
          <w:color w:val="000000"/>
        </w:rPr>
        <w:t xml:space="preserve"> </w:t>
      </w:r>
      <w:r>
        <w:rPr>
          <w:rFonts w:ascii="Times New Roman;serif" w:hAnsi="Times New Roman;serif"/>
          <w:b w:val="false"/>
          <w:color w:val="000000"/>
          <w:sz w:val="22"/>
        </w:rPr>
        <w:t xml:space="preserve">the Swap Termination Value of which shall not exceed $7,500,000 in the aggregate for the amount guaranteed under all such Guarantees under this clause (iii), and (iv) arising with respect to customary indemnification obligations in favor of purchasers in connection with dispositions permitted under </w:t>
      </w:r>
      <w:r>
        <w:rPr>
          <w:rFonts w:ascii="Times New Roman;serif" w:hAnsi="Times New Roman;serif"/>
          <w:b w:val="false"/>
          <w:color w:val="000000"/>
          <w:sz w:val="22"/>
          <w:u w:val="single"/>
        </w:rPr>
        <w:t>Section 7.05</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Permitted Earn Out Obligations, provided that on the date of the incurrence of any Permitted Earn Out Obligation the aggregate amount of such Permitted Earn Out Obligation plus the </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6"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aggregate amount of all then outstanding Permitted Earn Out Obligations for all Portfolio Companies shall not exceed an amount equal to 20% of Consolidated EBITDA, calculated on a Pro Forma Basis, for the twelve-month period ending on the last day of the most recently ended month for which a Compliance Certificate has been delivered to the Administrative Agent in accordance with the provisions of this Agreement;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(j) (i) unsecured Indebtedness of the Borrower arising under the 2029 Senior Unsecured Notes and any refinancing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the amount of such Indebtedness is not increased in connection with such refinancing except by an amount equal to customary fees and expenses incurred in connection with such refinancing; and (B) any amendment, modification or change to the terms of such Indebtedness in connection with such refinancing shall be permitted under </w:t>
      </w:r>
      <w:r>
        <w:rPr>
          <w:rFonts w:ascii="Times New Roman;serif" w:hAnsi="Times New Roman;serif"/>
          <w:b w:val="false"/>
          <w:color w:val="000000"/>
          <w:sz w:val="22"/>
          <w:u w:val="single"/>
        </w:rPr>
        <w:t>Section 7.12(a)</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(ii) unsecured Indebtedness of the Borrower arising under the 2032 Senior Unsecured Notes and any refinancing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the amount of such Indebtedness is not increased in connection with such refinancing except by an amount equal to customary fees and expenses incurred in connection with such refinancing; and (B) any amendment, modification or change to the terms of such Indebtedness in connection with such refinancing shall be permitted under </w:t>
      </w:r>
      <w:r>
        <w:rPr>
          <w:rFonts w:ascii="Times New Roman;serif" w:hAnsi="Times New Roman;serif"/>
          <w:b w:val="false"/>
          <w:color w:val="000000"/>
          <w:sz w:val="22"/>
          <w:u w:val="single"/>
        </w:rPr>
        <w:t>Section 7.12(a)</w:t>
      </w:r>
      <w:r>
        <w:rPr>
          <w:rFonts w:ascii="Times New Roman;serif" w:hAnsi="Times New Roman;serif"/>
          <w:b w:val="false"/>
          <w:color w:val="000000"/>
          <w:sz w:val="22"/>
        </w:rPr>
        <w:t>; and</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(iii) any other unsecured Indebtedness of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both before and after giving effect to the incurrence of such Indebtedness and the application of the proceeds thereof, the Consolidated Total Leverage Ratio is at least 0.25 less than the maximum Consolidated Total Leverage Ratio then permitted under </w:t>
      </w:r>
      <w:r>
        <w:rPr>
          <w:rFonts w:ascii="Times New Roman;serif" w:hAnsi="Times New Roman;serif"/>
          <w:b w:val="false"/>
          <w:color w:val="000000"/>
          <w:sz w:val="22"/>
          <w:u w:val="single"/>
        </w:rPr>
        <w:t>Section 7.11(a)</w:t>
      </w:r>
      <w:r>
        <w:rPr>
          <w:color w:val="000000"/>
        </w:rPr>
        <w:t xml:space="preserve"> </w:t>
      </w:r>
      <w:r>
        <w:rPr>
          <w:rFonts w:ascii="Times New Roman;serif" w:hAnsi="Times New Roman;serif"/>
          <w:b w:val="false"/>
          <w:color w:val="000000"/>
          <w:sz w:val="22"/>
        </w:rPr>
        <w:t xml:space="preserve">and the Borrower is otherwise in compliance with the financial covenants in </w:t>
      </w:r>
      <w:r>
        <w:rPr>
          <w:rFonts w:ascii="Times New Roman;serif" w:hAnsi="Times New Roman;serif"/>
          <w:b w:val="false"/>
          <w:color w:val="000000"/>
          <w:sz w:val="22"/>
          <w:u w:val="single"/>
        </w:rPr>
        <w:t>Section 7.11</w:t>
      </w:r>
      <w:r>
        <w:rPr>
          <w:rFonts w:ascii="Times New Roman;serif" w:hAnsi="Times New Roman;serif"/>
          <w:b w:val="false"/>
          <w:color w:val="000000"/>
          <w:sz w:val="22"/>
        </w:rPr>
        <w:t>, in each case on a Pro Forma Basis with such financial covenants recomputed for the twelve-month period ending on the last day of the most recently ended month for which a Compliance Certificate has been delivered to the Administrative Agent in accordance with the provisions of this Agreement, and if such Indebtedness exceeds $7,500,000 the Borrower shall have delivered to the Administrative Agent a Pro Forma Compliance Certificate demonstrating compliance with the foregoing, (B) no Default shall exist at the time of, or would result from, the incurrence of such Indebtedness, (C) the maturity date of such Indebtedness shall be at least 181 days after the latest maturity of any Loans hereunder, (D) such Indebtedness is not subject to any amortization payments or any mandatory prepayments or sinking fund payments (other than in connection with a change of control, asset sale or event of loss and customary acceleration rights after an event of default) in each case prior to the date at least 181 days after the latest maturity of any Loans hereunder, (E) unless approved by the Administrative Agent, such Indebtedness is on terms and conditions that are not materially more restrictive than the terms and conditions of this Agreement and the other Loan Documents;</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(k) to the extent constituting Indebtedness, surety and appeal bonds, performance bonds and other obligations of a like nature incurred in each case by any Portfolio Company in the ordinary course of business, in an aggregate amount not to exceed $35,000,000; </w:t>
      </w:r>
      <w:r>
        <w:rPr>
          <w:rFonts w:ascii="Times New Roman;serif" w:hAnsi="Times New Roman;serif"/>
          <w:b w:val="false"/>
          <w:color w:val="0000FF"/>
          <w:sz w:val="24"/>
          <w:u w:val="single"/>
        </w:rPr>
        <w:t>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(l) to the extent constituting Indebtedness, Investments in Lugano Diamonds and Lugano Buyer permitted under </w:t>
      </w:r>
      <w:r>
        <w:rPr>
          <w:rFonts w:ascii="Times New Roman;serif" w:hAnsi="Times New Roman;serif"/>
          <w:b w:val="false"/>
          <w:color w:val="000000"/>
          <w:sz w:val="22"/>
          <w:u w:val="single"/>
        </w:rPr>
        <w:t>Section 7.02(q).</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erif" w:hAnsi="Times New Roman;serif"/>
          <w:b w:val="false"/>
          <w:strike/>
          <w:color w:val="FF0000"/>
          <w:sz w:val="22"/>
        </w:rPr>
        <w:t>(m)</w:t>
      </w:r>
      <w:r>
        <w:rPr>
          <w:color w:val="000000"/>
        </w:rPr>
        <w:t xml:space="preserve"> </w:t>
      </w:r>
      <w:r>
        <w:rPr>
          <w:rFonts w:ascii="Times New Roman;serif" w:hAnsi="Times New Roman;serif"/>
          <w:b w:val="false"/>
          <w:strike/>
          <w:color w:val="FF0000"/>
          <w:sz w:val="22"/>
        </w:rPr>
        <w:t xml:space="preserve">to the extent constituting Indebtedness, Investments in the Lugano Entities permitted under </w:t>
      </w:r>
      <w:r>
        <w:rPr>
          <w:rFonts w:ascii="Times New Roman;serif" w:hAnsi="Times New Roman;serif"/>
          <w:b w:val="false"/>
          <w:strike/>
          <w:color w:val="FF0000"/>
          <w:sz w:val="22"/>
          <w:u w:val="single"/>
        </w:rPr>
        <w:t>Section 7.02(r)</w:t>
      </w:r>
      <w:r>
        <w:rPr>
          <w:rFonts w:ascii="Times New Roman;serif" w:hAnsi="Times New Roman;serif"/>
          <w:b w:val="false"/>
          <w:strike/>
          <w:color w:val="FF0000"/>
          <w:sz w:val="22"/>
        </w:rPr>
        <w:t>;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7"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440"/>
        <w:jc w:val="left"/>
        <w:rPr/>
      </w:pPr>
      <w:r>
        <w:rPr>
          <w:rFonts w:ascii="Times New Roman;serif" w:hAnsi="Times New Roman;serif"/>
          <w:b w:val="false"/>
          <w:strike/>
          <w:color w:val="FF0000"/>
          <w:sz w:val="22"/>
        </w:rPr>
        <w:t>(q)</w:t>
      </w:r>
      <w:r>
        <w:rPr>
          <w:color w:val="000000"/>
        </w:rPr>
        <w:t xml:space="preserve"> </w:t>
      </w:r>
      <w:r>
        <w:rPr>
          <w:rFonts w:ascii="Times New Roman;serif" w:hAnsi="Times New Roman;serif"/>
          <w:b w:val="false"/>
          <w:strike/>
          <w:color w:val="FF0000"/>
          <w:sz w:val="22"/>
        </w:rPr>
        <w:t>Indebtedness permitted under the Fifth Amendment Transaction Letter so long as no Default or Event of Default exists or would result therefrom.</w:t>
      </w:r>
      <w:r>
        <w:rPr>
          <w:color w:val="000000"/>
        </w:rPr>
        <w:t xml:space="preserve">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Notwithstanding anything in this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or otherwise in this Agreement to the contrary, from and after the Fifth Amendment Effective Date the Borrower shall not create, incur, assume or suffer to exist, or permit any Subsidiary (other than any Subsidiary Outside Company) to create, incur, assume or suffer to exist, any Indebtedness pursuant to the foregoing clause (i) (other than such Indebtedness as it exists on the Fifth Amendment Effective Date) unless the Consolidated Total Leverage Ratio of the Borrower would not be greater than 4.50:1.00 on a Pro Forma Basis.</w:t>
      </w:r>
      <w:r>
        <w:rPr>
          <w:color w:val="000000"/>
        </w:rPr>
        <w:t xml:space="preserve"> </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val="false"/>
          <w:color w:val="000000"/>
          <w:sz w:val="22"/>
        </w:rPr>
        <w:t>7.04    </w:t>
      </w:r>
      <w:r>
        <w:rPr>
          <w:rFonts w:ascii="Times New Roman;serif" w:hAnsi="Times New Roman;serif"/>
          <w:b w:val="false"/>
          <w:color w:val="000000"/>
          <w:sz w:val="22"/>
          <w:u w:val="single"/>
        </w:rPr>
        <w:t>Fundamental Changes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Merge, dissolve, liquidate or consolidate, or permit any Subsidiary (other than any Subsidiary Outside Company) to merge, dissolve, liquidate or consolidate, with or into another Person, except that so long as no Default exists or would result therefrom, (a) the Borrower may merge or consolidate with any of its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is the continuing or surviving Person, (b) any Subsidiary may merge or consolidate into the parent company of such Subsidiary or into a Domestic Subsidiary that is a borrower or guarantor under Qualified Intercompany Debt Documents, (c) subject to clause (a) above, the Borrower or any Subsidiary may merge with any other Person in connection with a Permitted Eligible Acquisition or Permitted Ineligible Acquisition, (d) the Borrower may enter into a Permitted Trust Merger and (e) any Subsidiary may dissolve, liquidate or wind up its affairs at any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dissolution, liquidation or winding up, as applicable, could not have a Material Adverse Effect.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7.05    </w:t>
      </w:r>
      <w:r>
        <w:rPr>
          <w:rFonts w:ascii="Times New Roman;serif" w:hAnsi="Times New Roman;serif"/>
          <w:b w:val="false"/>
          <w:color w:val="000000"/>
          <w:sz w:val="22"/>
          <w:u w:val="single"/>
        </w:rPr>
        <w:t>Dispositions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Make, or permit any Subsidiary (other than any Subsidiary Outside Company) to make, any Disposition except: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a sale by the Borrower of a Portfolio Company for at least fair market value (as determined by the board of directors (or equivalent governing body) of the Borrower), so long as (i) no Event of Default exists or would result therefrom, (ii) the Borrower has delivered an updated Availability Certificate to the Administrative Agent demonstrating that, after giving effect to such sale and the application of the proceeds thereof, Borrowing Availability shall be in excess of Total Revolving Outstandings, (iii) after giving effect to such sale and the application of the proceeds thereof, the Borrower shall be in compliance on a Pro Forma Basis with the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recomputed for the twelve-month period ending on the last day of the most recently ended month for which a Compliance Certificate has been delivered to the Administrative Agent in accordance with the provisions of this Agreement, and the Borrower shall have delivered to the Administrative Agent a Pro Forma Compliance Certificate demonstrating such compliance, (iv) all Intercompany Debt owing by such Portfolio Company is repaid to the Borrower in cash in full at the time of the closing of such sale</w:t>
      </w:r>
      <w:r>
        <w:rPr>
          <w:color w:val="0000FF"/>
          <w:shd w:fill="FFFFFF" w:val="clear"/>
        </w:rPr>
        <w:t xml:space="preserve"> </w:t>
      </w:r>
      <w:r>
        <w:rPr>
          <w:rFonts w:ascii="Times New Roman;serif" w:hAnsi="Times New Roman;serif"/>
          <w:b w:val="false"/>
          <w:color w:val="000000"/>
          <w:sz w:val="22"/>
        </w:rPr>
        <w:t>and (v) at least 75% of the consideration for such sale (excluding any obligations of the acquiring Person to make earn-out, purchase price adjustment, indemnification or other contingent payments) is cash and Cash Equivalents paid contemporaneously with consummation of such sale;</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a going-public transaction consummated by a Portfolio Company or a transaction entered into by the Borrower that results in a sale or other disposition of a portion of its Equity Interests in a Portfolio Company for at least fair market value (as determined by the board of directors (or equivalent governing body) of the Borrower), in each case so long as (i) such Portfolio Company is reclassified as an Outside Company upon the consummation of such transaction, (ii) no Event of Default exists or would result therefrom, (iii) the Borrower has delivered an updated Availability Certificate to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8"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Agent demonstrating that, after giving effect to such transaction, to the application of the proceeds thereof and to the applicable Portfolio Company constituting an Outside Company, Borrowing Availability shall be in excess of Total Revolving Outstandings, (iv) after giving effect to such transaction, to the application of the proceeds thereof and to the applicable Portfolio Company constituting an Outside Company, the Borrower shall be in compliance on a Pro Forma Basis with the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recomputed for the twelve-month period ending on the last day of the most recently ended month for which a Compliance Certificate has been delivered to the Administrative Agent in accordance with the provisions of this Agreement, and the Borrower shall have delivered to the Administrative Agent a Pro Forma Compliance Certificate demonstrating such compliance, (v) all Intercompany Debt owing by such Portfolio Company is repaid to the Borrower in cash in full upon the consummation of such transaction and (vi) at least 75% of the consideration paid in connection therewith (excluding any obligations of the acquiring Person to make earn-out, purchase price adjustment, indemnification or other contingent payments) is cash and Cash Equivalents paid contemporaneously with consummation of such transaction;</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(d) the Disposition of non-cash consideration received in a Disposition permitted under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for at least fair market value (as determined by the board of directors (or equivalent governing body) of the Borrower provided that no Event of Default exists or would result therefrom; </w:t>
      </w:r>
      <w:r>
        <w:rPr>
          <w:rFonts w:ascii="Times New Roman;serif" w:hAnsi="Times New Roman;serif"/>
          <w:b w:val="false"/>
          <w:strike/>
          <w:color w:val="FF0000"/>
          <w:sz w:val="22"/>
        </w:rPr>
        <w:t>and</w:t>
      </w:r>
    </w:p>
    <w:p>
      <w:pPr>
        <w:pStyle w:val="TextBody"/>
        <w:bidi w:val="0"/>
        <w:spacing w:lineRule="auto" w:line="276" w:before="180" w:after="283"/>
        <w:ind w:left="0" w:right="0" w:firstLine="1440"/>
        <w:jc w:val="both"/>
        <w:rPr/>
      </w:pPr>
      <w:r>
        <w:rPr>
          <w:rFonts w:ascii="Times New Roman;serif" w:hAnsi="Times New Roman;serif"/>
          <w:b w:val="false"/>
          <w:color w:val="000000"/>
          <w:sz w:val="22"/>
        </w:rPr>
        <w:t xml:space="preserve">(e) </w:t>
      </w:r>
      <w:r>
        <w:rPr>
          <w:rFonts w:ascii="Times New Roman;serif" w:hAnsi="Times New Roman;serif"/>
          <w:b w:val="false"/>
          <w:color w:val="000000"/>
          <w:sz w:val="24"/>
        </w:rPr>
        <w:t xml:space="preserve">sales and dispositions of assets by any Portfolio Company for at least fair market value (as determined by the board of directors (or equivalent governing body) of such Portfolio Company), so long as (i) no Event of Default exists or would result therefrom, (ii) the consideration paid in connection therewith is at least 75% cash or Cash Equivalents paid contemporaneously with consummation of the transaction, (iii) the aggregate net book value of all of the assets sold or otherwise disposed of by any Portfolio Company in all such transactions in any fiscal year pursuant to this </w:t>
      </w:r>
      <w:r>
        <w:rPr>
          <w:rFonts w:ascii="Times New Roman;serif" w:hAnsi="Times New Roman;serif"/>
          <w:b w:val="false"/>
          <w:color w:val="000000"/>
          <w:sz w:val="24"/>
          <w:u w:val="single"/>
        </w:rPr>
        <w:t>clause (e)</w:t>
      </w:r>
      <w:r>
        <w:rPr>
          <w:color w:val="000000"/>
        </w:rPr>
        <w:t xml:space="preserve"> </w:t>
      </w:r>
      <w:r>
        <w:rPr>
          <w:rFonts w:ascii="Times New Roman;serif" w:hAnsi="Times New Roman;serif"/>
          <w:b w:val="false"/>
          <w:color w:val="000000"/>
          <w:sz w:val="24"/>
        </w:rPr>
        <w:t xml:space="preserve">shall not exceed an amount equal to 35% of the aggregate net book value of the tangible assets of such Portfolio Company as of the last day of the immediately prior fiscal year, (iv) the aggregate net book value of all of the assets sold or otherwise disposed of by all Portfolio Companies in all such transactions in any fiscal year pursuant to this </w:t>
      </w:r>
      <w:r>
        <w:rPr>
          <w:rFonts w:ascii="Times New Roman;serif" w:hAnsi="Times New Roman;serif"/>
          <w:b w:val="false"/>
          <w:color w:val="000000"/>
          <w:sz w:val="24"/>
          <w:u w:val="single"/>
        </w:rPr>
        <w:t>clause (e)</w:t>
      </w:r>
      <w:r>
        <w:rPr>
          <w:color w:val="000000"/>
        </w:rPr>
        <w:t xml:space="preserve"> </w:t>
      </w:r>
      <w:r>
        <w:rPr>
          <w:rFonts w:ascii="Times New Roman;serif" w:hAnsi="Times New Roman;serif"/>
          <w:b w:val="false"/>
          <w:color w:val="000000"/>
          <w:sz w:val="24"/>
        </w:rPr>
        <w:t xml:space="preserve">shall not exceed an amount equal to 15% of the aggregate net book value of the combined tangible assets of all Portfolio Companies as of the last day of the immediately prior fiscal year, and (v) after giving effect to such sale or disposition and to the application of the proceeds thereof, the Borrower shall be in compliance on a Pro Forma Basis with the covenants set forth in </w:t>
      </w:r>
      <w:r>
        <w:rPr>
          <w:rFonts w:ascii="Times New Roman;serif" w:hAnsi="Times New Roman;serif"/>
          <w:b w:val="false"/>
          <w:color w:val="000000"/>
          <w:sz w:val="24"/>
          <w:u w:val="single"/>
        </w:rPr>
        <w:t>Section 7.11</w:t>
      </w:r>
      <w:r>
        <w:rPr>
          <w:color w:val="000000"/>
        </w:rPr>
        <w:t xml:space="preserve"> </w:t>
      </w:r>
      <w:r>
        <w:rPr>
          <w:rFonts w:ascii="Times New Roman;serif" w:hAnsi="Times New Roman;serif"/>
          <w:b w:val="false"/>
          <w:color w:val="000000"/>
          <w:sz w:val="24"/>
        </w:rPr>
        <w:t xml:space="preserve">recomputed for the twelve-month period ending on the last day of the most recently ended month for which a Compliance Certificate has been delivered to the Administrative Agent in accordance with the provisions of this Agreement, and the Borrower shall have delivered to the Administrative Agent a Pro Forma Compliance Certificate demonstrating such compliance;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(f) Dispositions of assets by Lugano Holding conducted under the Lugano Bankruptcy and the provisions of the Bankruptcy Code of the United States, including under Sections 363, 1123 or 1129 of the Bankruptcy Code of the United States;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an amount equal to 100% of the Net Cash Proceeds of any such Disposition are paid pursuant to </w:t>
      </w:r>
      <w:r>
        <w:rPr>
          <w:rFonts w:ascii="Times New Roman;serif" w:hAnsi="Times New Roman;serif"/>
          <w:b w:val="false"/>
          <w:color w:val="000000"/>
          <w:sz w:val="22"/>
          <w:u w:val="single"/>
        </w:rPr>
        <w:t>Section 2.05(b)(ii)</w:t>
      </w:r>
      <w:r>
        <w:rPr>
          <w:color w:val="000000"/>
        </w:rPr>
        <w:t xml:space="preserve"> </w:t>
      </w:r>
      <w:r>
        <w:rPr>
          <w:rFonts w:ascii="Times New Roman;serif" w:hAnsi="Times New Roman;serif"/>
          <w:b w:val="false"/>
          <w:color w:val="000000"/>
          <w:sz w:val="22"/>
        </w:rPr>
        <w:t xml:space="preserve">for application to the Term </w:t>
      </w:r>
      <w:r>
        <w:rPr>
          <w:rFonts w:ascii="Times New Roman;serif" w:hAnsi="Times New Roman;serif"/>
          <w:b w:val="false"/>
          <w:strike/>
          <w:color w:val="FF0000"/>
          <w:sz w:val="22"/>
        </w:rPr>
        <w:t>Loan</w:t>
      </w:r>
      <w:r>
        <w:rPr>
          <w:rFonts w:ascii="Times New Roman;serif" w:hAnsi="Times New Roman;serif"/>
          <w:b w:val="false"/>
          <w:color w:val="0000FF"/>
          <w:sz w:val="22"/>
          <w:u w:val="single"/>
        </w:rPr>
        <w:t>Loans</w:t>
      </w:r>
      <w:r>
        <w:rPr>
          <w:color w:val="000000"/>
        </w:rPr>
        <w:t xml:space="preserve"> </w:t>
      </w:r>
      <w:r>
        <w:rPr>
          <w:rFonts w:ascii="Times New Roman;serif" w:hAnsi="Times New Roman;serif"/>
          <w:b w:val="false"/>
          <w:color w:val="000000"/>
          <w:sz w:val="22"/>
        </w:rPr>
        <w:t xml:space="preserve">as set forth in </w:t>
      </w:r>
      <w:r>
        <w:rPr>
          <w:rFonts w:ascii="Times New Roman;serif" w:hAnsi="Times New Roman;serif"/>
          <w:b w:val="false"/>
          <w:color w:val="000000"/>
          <w:sz w:val="22"/>
          <w:u w:val="single"/>
        </w:rPr>
        <w:t>Section 2.05(b)(iv)(B)</w:t>
      </w:r>
      <w:r>
        <w:rPr>
          <w:rFonts w:ascii="Times New Roman;serif" w:hAnsi="Times New Roman;serif"/>
          <w:b w:val="false"/>
          <w:color w:val="000000"/>
          <w:sz w:val="22"/>
        </w:rPr>
        <w:t xml:space="preserve">; </w:t>
      </w:r>
      <w:r>
        <w:rPr>
          <w:rFonts w:ascii="Times New Roman;serif" w:hAnsi="Times New Roman;serif"/>
          <w:b w:val="false"/>
          <w:strike/>
          <w:color w:val="FF0000"/>
          <w:sz w:val="22"/>
        </w:rPr>
        <w:t>and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(g) </w:t>
      </w:r>
      <w:r>
        <w:rPr>
          <w:rFonts w:ascii="Times New Roman;serif" w:hAnsi="Times New Roman;serif"/>
          <w:b w:val="false"/>
          <w:strike/>
          <w:color w:val="FF0000"/>
          <w:sz w:val="22"/>
        </w:rPr>
        <w:t>Dispositions permitted under</w:t>
      </w:r>
      <w:r>
        <w:rPr>
          <w:rFonts w:ascii="Times New Roman;serif" w:hAnsi="Times New Roman;serif"/>
          <w:b w:val="false"/>
          <w:color w:val="0000FF"/>
          <w:sz w:val="22"/>
          <w:u w:val="single"/>
        </w:rPr>
        <w:t>Deleveraging Transaction (as defined in</w:t>
      </w:r>
      <w:r>
        <w:rPr>
          <w:color w:val="000000"/>
        </w:rPr>
        <w:t xml:space="preserve"> </w:t>
      </w:r>
      <w:r>
        <w:rPr>
          <w:rFonts w:ascii="Times New Roman;serif" w:hAnsi="Times New Roman;serif"/>
          <w:b w:val="false"/>
          <w:color w:val="000000"/>
          <w:sz w:val="22"/>
        </w:rPr>
        <w:t>the Fifth Amendment Transaction Letter</w:t>
      </w:r>
      <w:r>
        <w:rPr>
          <w:rFonts w:ascii="Times New Roman;serif" w:hAnsi="Times New Roman;serif"/>
          <w:b w:val="false"/>
          <w:color w:val="0000FF"/>
          <w:sz w:val="22"/>
          <w:u w:val="single"/>
        </w:rPr>
        <w:t>)</w:t>
      </w:r>
      <w:r>
        <w:rPr>
          <w:color w:val="000000"/>
        </w:rPr>
        <w:t xml:space="preserve"> </w:t>
      </w:r>
      <w:r>
        <w:rPr>
          <w:rFonts w:ascii="Times New Roman;serif" w:hAnsi="Times New Roman;serif"/>
          <w:b w:val="false"/>
          <w:color w:val="000000"/>
          <w:sz w:val="22"/>
        </w:rPr>
        <w:t>so long as no Default or Event of Default exists or would result therefrom</w:t>
      </w:r>
      <w:r>
        <w:rPr>
          <w:rFonts w:ascii="Times New Roman;serif" w:hAnsi="Times New Roman;serif"/>
          <w:b w:val="false"/>
          <w:strike/>
          <w:color w:val="FF0000"/>
          <w:sz w:val="22"/>
        </w:rPr>
        <w:t>.</w:t>
      </w:r>
      <w:r>
        <w:rPr>
          <w:rFonts w:ascii="Times New Roman;serif" w:hAnsi="Times New Roman;serif"/>
          <w:b w:val="false"/>
          <w:color w:val="0000FF"/>
          <w:sz w:val="22"/>
          <w:u w:val="single"/>
        </w:rPr>
        <w:t>; and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9"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strike/>
          <w:color w:val="FF0000"/>
          <w:sz w:val="24"/>
        </w:rPr>
        <w:t xml:space="preserve">Notwithstanding anything in this </w:t>
      </w:r>
      <w:r>
        <w:rPr>
          <w:rFonts w:ascii="Times New Roman;serif" w:hAnsi="Times New Roman;serif"/>
          <w:b w:val="false"/>
          <w:strike/>
          <w:color w:val="FF0000"/>
          <w:sz w:val="24"/>
          <w:u w:val="single"/>
        </w:rPr>
        <w:t>Section 7.05</w:t>
      </w:r>
      <w:r>
        <w:rPr>
          <w:strike/>
          <w:color w:val="FF0000"/>
        </w:rPr>
        <w:t xml:space="preserve"> </w:t>
      </w:r>
      <w:r>
        <w:rPr>
          <w:rFonts w:ascii="Times New Roman;serif" w:hAnsi="Times New Roman;serif"/>
          <w:b w:val="false"/>
          <w:strike/>
          <w:color w:val="FF0000"/>
          <w:sz w:val="24"/>
        </w:rPr>
        <w:t xml:space="preserve">or otherwise in this Agreement to the contrary, from and after the Fifth Amendment Effective Date the Borrower shall not make, or permit any Subsidiary (other than any Subsidiary Outside Company) to make, any Dispositions pursuant to this </w:t>
      </w:r>
      <w:r>
        <w:rPr>
          <w:rFonts w:ascii="Times New Roman;serif" w:hAnsi="Times New Roman;serif"/>
          <w:b w:val="false"/>
          <w:strike/>
          <w:color w:val="FF0000"/>
          <w:sz w:val="24"/>
          <w:u w:val="single"/>
        </w:rPr>
        <w:t>Section 7.05</w:t>
      </w:r>
      <w:r>
        <w:rPr>
          <w:strike/>
          <w:color w:val="FF0000"/>
        </w:rPr>
        <w:t xml:space="preserve"> </w:t>
      </w:r>
      <w:r>
        <w:rPr>
          <w:rFonts w:ascii="Times New Roman;serif" w:hAnsi="Times New Roman;serif"/>
          <w:b w:val="false"/>
          <w:strike/>
          <w:color w:val="FF0000"/>
          <w:sz w:val="24"/>
        </w:rPr>
        <w:t xml:space="preserve">unless made (i) pursuant to </w:t>
      </w:r>
      <w:r>
        <w:rPr>
          <w:rFonts w:ascii="Times New Roman;serif" w:hAnsi="Times New Roman;serif"/>
          <w:b w:val="false"/>
          <w:strike/>
          <w:color w:val="FF0000"/>
          <w:sz w:val="24"/>
          <w:u w:val="single"/>
        </w:rPr>
        <w:t>Section 7.05(g)</w:t>
      </w:r>
      <w:r>
        <w:rPr>
          <w:strike/>
          <w:color w:val="FF0000"/>
        </w:rPr>
        <w:t xml:space="preserve"> </w:t>
      </w:r>
      <w:r>
        <w:rPr>
          <w:rFonts w:ascii="Times New Roman;serif" w:hAnsi="Times New Roman;serif"/>
          <w:b w:val="false"/>
          <w:strike/>
          <w:color w:val="FF0000"/>
          <w:sz w:val="24"/>
        </w:rPr>
        <w:t xml:space="preserve">hereof or (ii) </w:t>
      </w:r>
      <w:r>
        <w:rPr>
          <w:rFonts w:ascii="Times New Roman;serif" w:hAnsi="Times New Roman;serif"/>
          <w:b w:val="false"/>
          <w:strike/>
          <w:color w:val="008000"/>
          <w:sz w:val="24"/>
        </w:rPr>
        <w:t xml:space="preserve">the Consolidated Total Leverage Ratio </w:t>
      </w:r>
      <w:r>
        <w:rPr>
          <w:rFonts w:ascii="Times New Roman;serif" w:hAnsi="Times New Roman;serif"/>
          <w:b w:val="false"/>
          <w:strike/>
          <w:color w:val="FF0000"/>
          <w:sz w:val="24"/>
        </w:rPr>
        <w:t>of the Borrower would not be greater than 4.50:1.00 on a Pro Forma Basis.</w:t>
      </w:r>
    </w:p>
    <w:p>
      <w:pPr>
        <w:pStyle w:val="TextBody"/>
        <w:bidi w:val="0"/>
        <w:spacing w:lineRule="auto" w:line="276" w:before="240" w:after="283"/>
        <w:ind w:left="0" w:right="0" w:firstLine="1440"/>
        <w:jc w:val="both"/>
        <w:rPr/>
      </w:pPr>
      <w:r>
        <w:rPr>
          <w:rFonts w:ascii="Times New Roman;serif" w:hAnsi="Times New Roman;serif"/>
          <w:b w:val="false"/>
          <w:color w:val="0000FF"/>
          <w:sz w:val="22"/>
          <w:u w:val="single"/>
        </w:rPr>
        <w:t>(h)</w:t>
      </w:r>
      <w:r>
        <w:rPr>
          <w:color w:val="000000"/>
        </w:rPr>
        <w:t xml:space="preserve"> </w:t>
      </w:r>
      <w:r>
        <w:rPr>
          <w:rFonts w:ascii="Times New Roman;serif" w:hAnsi="Times New Roman;serif"/>
          <w:b w:val="false"/>
          <w:color w:val="0000FF"/>
          <w:sz w:val="22"/>
          <w:u w:val="single"/>
        </w:rPr>
        <w:t xml:space="preserve">Sale and Leaseback Transactions so long as (i) </w:t>
      </w:r>
      <w:r>
        <w:rPr>
          <w:rFonts w:ascii="Times New Roman;serif" w:hAnsi="Times New Roman;serif"/>
          <w:b w:val="false"/>
          <w:color w:val="008000"/>
          <w:sz w:val="22"/>
          <w:u w:val="single"/>
        </w:rPr>
        <w:t xml:space="preserve">no Default or Event of Default exists or would result therefrom </w:t>
      </w:r>
      <w:r>
        <w:rPr>
          <w:rFonts w:ascii="Times New Roman;serif" w:hAnsi="Times New Roman;serif"/>
          <w:b w:val="false"/>
          <w:color w:val="0000FF"/>
          <w:sz w:val="22"/>
          <w:u w:val="single"/>
        </w:rPr>
        <w:t xml:space="preserve">and (ii) after giving effect to such Sale and Leaseback Transactions and to the application of the proceeds thereof, the Borrower shall be in compliance on a Pro Forma Basis with the covenants set forth in Section 7.11 recomputed for the twelve-month period ending </w:t>
      </w:r>
      <w:r>
        <w:rPr>
          <w:rFonts w:ascii="Times New Roman;serif" w:hAnsi="Times New Roman;serif"/>
          <w:b w:val="false"/>
          <w:color w:val="008000"/>
          <w:sz w:val="22"/>
          <w:u w:val="single"/>
        </w:rPr>
        <w:t xml:space="preserve">on the last day of the </w:t>
      </w:r>
      <w:r>
        <w:rPr>
          <w:rFonts w:ascii="Times New Roman;serif" w:hAnsi="Times New Roman;serif"/>
          <w:b w:val="false"/>
          <w:color w:val="0000FF"/>
          <w:sz w:val="22"/>
          <w:u w:val="single"/>
        </w:rPr>
        <w:t>most recently ended month for which a Compliance Certificate has been delivered to the Administrative Agent in accordance with the provisions of this Agreement.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7.06    </w:t>
      </w:r>
      <w:r>
        <w:rPr>
          <w:rFonts w:ascii="Times New Roman;serif" w:hAnsi="Times New Roman;serif"/>
          <w:b w:val="false"/>
          <w:color w:val="000000"/>
          <w:sz w:val="22"/>
          <w:u w:val="single"/>
        </w:rPr>
        <w:t>Restricted Payments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Declare or make, or permit any Subsidiary (other than any Subsidiary Outside Company) to declare or make, any Restricted Payment, or incur, or permit any Subsidiary (other than any Subsidiary Outside Company) to incur, any obligation (contingent or otherwise) to do so, except that: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each Subsidiary may declare and make Restricted Payments to Persons that own Equity Interests in such Subsidiary, ratably according to their respective holdings of the type of Equity Interest in respect of which such Restricted Payment is being made;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Borrower may make distributions to the Trust to permit the Trust to satisfy expenses of the Trust that relate to the Borrower and its Subsidiaries;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to the extent the Borrower remains a pass-through entity, the Borrower may make distributions to the Trust to permit the Trust to pay federal and state income taxes then due and owing by the Trust that are attributable to the Trust’s ownership of Equity Interests in the Borrower and the operations of the Borrower and its Subsidiaries, so long as the amount of such distributions for the payment of taxes shall not be greater than the amount such taxes would have been had the Borrower not filed consolidated income tax returns with the Trust;</w:t>
      </w:r>
    </w:p>
    <w:p>
      <w:pPr>
        <w:pStyle w:val="TextBody"/>
        <w:bidi w:val="0"/>
        <w:spacing w:before="0" w:after="0"/>
        <w:jc w:val="left"/>
        <w:rPr/>
      </w:pPr>
      <w:r>
        <w:rPr/>
      </w:r>
    </w:p>
    <w:p>
      <w:pPr>
        <w:pStyle w:val="TextBody"/>
        <w:bidi w:val="0"/>
        <w:spacing w:lineRule="auto" w:line="268"/>
        <w:ind w:left="0" w:right="0" w:firstLine="1440"/>
        <w:jc w:val="both"/>
        <w:rPr/>
      </w:pPr>
      <w:r>
        <w:rPr>
          <w:rFonts w:ascii="Times New Roman;serif" w:hAnsi="Times New Roman;serif"/>
          <w:b w:val="false"/>
          <w:color w:val="000000"/>
          <w:sz w:val="22"/>
        </w:rPr>
        <w:t xml:space="preserve">(d) tthe Borrower and the Portfolio Companies may pay Management Fees to the Manager, and reimburse the Manager for its reasonable expenses incurred in connection with its management of the Borrower, pursuant to and in accordance with the terms of the Management Fee Agreement and the other Management Fee Documents, each as in effect as of the </w:t>
      </w:r>
      <w:r>
        <w:rPr>
          <w:rFonts w:ascii="Times New Roman;serif" w:hAnsi="Times New Roman;serif"/>
          <w:b w:val="false"/>
          <w:strike/>
          <w:color w:val="FF0000"/>
          <w:sz w:val="22"/>
        </w:rPr>
        <w:t>Fifth</w:t>
      </w:r>
      <w:r>
        <w:rPr>
          <w:rFonts w:ascii="Times New Roman;serif" w:hAnsi="Times New Roman;serif"/>
          <w:b w:val="false"/>
          <w:color w:val="0000FF"/>
          <w:sz w:val="22"/>
          <w:u w:val="single"/>
        </w:rPr>
        <w:t>Sixth</w:t>
      </w:r>
      <w:r>
        <w:rPr>
          <w:color w:val="000000"/>
        </w:rPr>
        <w:t xml:space="preserve"> </w:t>
      </w:r>
      <w:r>
        <w:rPr>
          <w:rFonts w:ascii="Times New Roman;serif" w:hAnsi="Times New Roman;serif"/>
          <w:b w:val="false"/>
          <w:color w:val="000000"/>
          <w:sz w:val="22"/>
        </w:rPr>
        <w:t>Amendment Effective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 any amounts paid by the Borrower under the Management Fee Agreement shall be net of amounts paid by the Portfolio Companies to the Manager or its Affiliates pursuant to the Management Fee Documents to which the Portfolio Companies are party and (ii) the making and receipt of payments under the Management Fee Documents shall be subject to the provisions of the Management Fee Subordination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from and after the Fifth Amendment Effective Date, the (i) Borrower shall not pay Management Fees to the Manager in an aggregate amount in excess of $15,000,000 per fiscal quarter and (ii) the Portfolio Companies shall not pay management fees to the Manager in an aggregate amount in excess of $2,000,000 per fiscal quarter (provided, for the avoidance of doubt, such payments by Portfolio Companies shall not limit the payments by Borrower allowed by subsection (i) hereof), which payments shall be made in the ordinary course of business consistent with past practice. Notwithstanding the foregoing, the Borrower may, for the avoidance of doubt, recover any over-paid Management Fees over a period of time (as opposed to a complete offset of the next succeeding Management Fee payments) and payments pursuant to the Management Fee </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90"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Agreement that are not fully reduced by the entirety of the overpaid Management Fees are permitted so long as such over-paid Management Fee is recovered in a reasonable period of time (as determined by the board of directors of the Borrower), and the Management Fee Agreement may be amended as necessary to effectuate the recovery of such overpaid Management Fees;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Subsidiaries may pay Integration Services Fees, in each case to the extent that (i) such fees are reasonable and customary based on the applicable acquisition or sale and (ii) such fees have been approved by the board of directors (or equivalent governing body) of the applicable Portfolio Company or Outside Company and by the compensation committee of the Borrower;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the Borrower may make Allocation Member Distributions;</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(g) </w:t>
      </w:r>
      <w:r>
        <w:rPr>
          <w:rFonts w:ascii="Times New Roman;serif" w:hAnsi="Times New Roman;serif"/>
          <w:b w:val="false"/>
          <w:color w:val="000000"/>
          <w:sz w:val="24"/>
        </w:rPr>
        <w:t xml:space="preserve">the Borrower may make Restricted Payments if, after giving effect thereto and the incurrence of any Indebtedness in connection therewith, (i) no Event of Default exists or would result therefrom, (ii) the aggregate amount of such Restricted Payments would not be greater than $10,000,000 during any fiscal quarter of the Borrower unless the Consolidated Total Leverage Ratio of the Borrower would not be greater than 4.50:1.00 on a Pro Forma Basis as of the last day of such fiscal quarter, and (iii) the sum of (x) all cash and Cash Equivalents of the Borrower on deposit in an account that is with the Administrative Agent or is subject to a Qualifying Control Agreement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(y) Unused Borrowing Availability is not less than $10,000,000;</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(h) each Portfolio Company may purchase or redeem shares of its preferred stock from any one or more shareholders: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 with Intercompany Debt permitted hereunder if, after giving effect thereto and the incurrence of any Indebtedness in connection therewith, (A) no Event of Default exists or would result therefrom, (B) the Consolidated Total Leverage Ratio as of the last day of the most recently ended twelve-month period for which financial statements have been delivered hereunder (calculated on a Pro Forma Basis assuming any such incurrence of Indebtedness in connection therewith had occurred on the first day of such period) is less than 2.00 to 1.00, and (C) the sum of (x) all cash and Cash Equivalents of the Borrower on deposit in an account that is with the Administrative Agent or is subject to a Qualifying Control Agreement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(y) Unused Borrowing Availability is not less than $25,000,000;</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[reserved]; and</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(iii) with proceeds (net of reasonable direct costs incurred in connection therewith, including legal, accounting and investment banking fees,</w:t>
      </w:r>
      <w:r>
        <w:rPr>
          <w:color w:val="000000"/>
        </w:rPr>
        <w:t xml:space="preserve"> </w:t>
      </w:r>
      <w:r>
        <w:rPr>
          <w:rFonts w:ascii="Times New Roman;serif" w:hAnsi="Times New Roman;serif"/>
          <w:b w:val="false"/>
          <w:color w:val="000000"/>
          <w:sz w:val="22"/>
        </w:rPr>
        <w:t>professional fees and expenses, and taxes paid or reasonably estimated by the Borrower to be payable as a result thereof (after taking into account any available tax credits or deductions and any tax sharing arrangements)) of a sale or issuance by the Trust of common Equity Interests in the Trust, which proceeds are contributed by the Trust to the Borrower and further contributed by the Borrower to such Portfolio Company and actually used by such Portfolio Company to purchase or redeem shares of its preferred stock substantially concurrently with such sale or issuance and contributions;</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(i) each Portfolio Company may purchase or redeem shares of its common and/or preferred Equity Interests from any one or more minority shareholders in unlimited amounts, </w:t>
      </w:r>
      <w:r>
        <w:rPr>
          <w:rFonts w:ascii="Times New Roman;serif" w:hAnsi="Times New Roman;serif"/>
          <w:b w:val="false"/>
          <w:color w:val="000000"/>
          <w:sz w:val="22"/>
          <w:u w:val="single"/>
        </w:rPr>
        <w:t>provided</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1"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that no such purchase or redemption shall be made by a Portfolio Company unless (A) such Portfolio Company is in compliance with the financial covenants under its Intercompany Debt Documents on a pro forma basis after giving effect to such proposed purchase or redemption, (B) no Event of Default exists or would result therefrom and (C) after giving effect to such to such proposed purchase or redemption and the incurrence of any Indebtedness in connection therewith, the Borrower shall be in compliance on a Pro Forma Basis with the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recomputed for the twelve-month period ending on the last day of the most recently ended month for which a Compliance Certificate has been delivered to the Administrative Agent in accordance with the provisions of this Agreement;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(j) to the extent due and payable and permitted under the applicable subordination provisions thereof, the Portfolio Companies may make regularly scheduled payments in respect of Permitted Earn Out Obligations,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amount of revolver borrowing availability under the Intercompany Debt Documents between the Borrower and the applicable Portfolio Company after giving effect to such payment shall be not less than the product of the Portfolio Company EBITDA of such Portfolio Company for the twelve month period ending on the last day of the month for which a Compliance Certificate has most recently been delivered to the Administrative Agent in accordance with this Agreement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 xml:space="preserve">0.25, (ii) such Portfolio Company is in compliance with the financial covenants under its Intercompany Debt Documents on a pro forma basis after giving effect to such payment, (iii) no Event of Default exists or would result therefrom and (iv) after giving effect to such to such payment, the Borrower shall be in compliance on a Pro Forma Basis with the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recomputed for the twelve-month period ending on the last day of the most recently ended month for which a Compliance Certificate has been delivered to the Administrative Agent in accordance with the provisions of this Agreement;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 the Borrower and each Subsidiary may declare and make dividend payments or other distributions payable solely in common Equity Interests of such Person.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Notwithstanding anything in this </w:t>
      </w:r>
      <w:r>
        <w:rPr>
          <w:rFonts w:ascii="Times New Roman;serif" w:hAnsi="Times New Roman;serif"/>
          <w:b w:val="false"/>
          <w:color w:val="000000"/>
          <w:sz w:val="22"/>
          <w:u w:val="single"/>
        </w:rPr>
        <w:t>Section 7.06</w:t>
      </w:r>
      <w:r>
        <w:rPr>
          <w:color w:val="000000"/>
        </w:rPr>
        <w:t xml:space="preserve"> </w:t>
      </w:r>
      <w:r>
        <w:rPr>
          <w:rFonts w:ascii="Times New Roman;serif" w:hAnsi="Times New Roman;serif"/>
          <w:b w:val="false"/>
          <w:color w:val="000000"/>
          <w:sz w:val="22"/>
        </w:rPr>
        <w:t>or otherwise in this Agreement to the contrary, from and after the Second Amendment Effective Date the Borrower shall not make, or permit any Subsidiary (other than any Subsidiary Outside Company) to make, any Restricted Payments pursuant to the foregoing clauses (h), (i) or (j) unless the Consolidated Total Leverage Ratio of the Borrower would not be greater than 4.50:1.00 on a Pro Forma Basis.</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erif" w:hAnsi="Times New Roman;serif"/>
          <w:b w:val="false"/>
          <w:color w:val="000000"/>
          <w:sz w:val="22"/>
        </w:rPr>
        <w:t>7.07    </w:t>
      </w:r>
      <w:r>
        <w:rPr>
          <w:rFonts w:ascii="Times New Roman;serif" w:hAnsi="Times New Roman;serif"/>
          <w:b w:val="false"/>
          <w:color w:val="000000"/>
          <w:sz w:val="22"/>
          <w:u w:val="single"/>
        </w:rPr>
        <w:t>Business Activities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Permit (i) the Trust to conduct any business other than its ownership of Equity Interests of the Borrower and the ownership of Equity Interests in sister companies to the Borrower in respect of which the Trust has not incurred any Indebtedness, together with activities incidental to the conduct of its business as a holding company, and (ii) the Borrower to conduct any business other than the ownership of its Investments in the Portfolio Companies and Outside Companies, together with activities incidental to the conduct of its business as a holding company.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Permit any Subsidiary to engage in any material line of business substantially different from those lines of business conducted by such Subsidiary on (i) the Closing Date, in the case of Existing Portfolio Companies owned as of the Closing Date, or (ii) the date of the acquisition of such Subsidiary pursuant to a Permitted Eligible Acquisition or a Permitted Ineligible Acquisition (as applicable), in the case of Portfolio Companies and Outside Companies acquired after the Closing Date, or any business substantially related, incidental or ancillary thereto.</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2"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7.08    </w:t>
      </w:r>
      <w:r>
        <w:rPr>
          <w:rFonts w:ascii="Times New Roman;serif" w:hAnsi="Times New Roman;serif"/>
          <w:b w:val="false"/>
          <w:color w:val="000000"/>
          <w:sz w:val="22"/>
          <w:u w:val="single"/>
        </w:rPr>
        <w:t>Transactions with Affiliates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Enter into or permit to exist, or permit any Subsidiary (other than any Subsidiary Outside Company) to enter into or permit to exist, any transaction or series of transactions with any Affiliate of such Person other than (a) intercompany transactions expressly permitted by </w:t>
      </w:r>
      <w:r>
        <w:rPr>
          <w:rFonts w:ascii="Times New Roman;serif" w:hAnsi="Times New Roman;serif"/>
          <w:b w:val="false"/>
          <w:color w:val="000000"/>
          <w:sz w:val="22"/>
          <w:u w:val="single"/>
        </w:rPr>
        <w:t>Section 7.02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7.06</w:t>
      </w:r>
      <w:r>
        <w:rPr>
          <w:rFonts w:ascii="Times New Roman;serif" w:hAnsi="Times New Roman;serif"/>
          <w:b w:val="false"/>
          <w:color w:val="000000"/>
          <w:sz w:val="22"/>
        </w:rPr>
        <w:t>, (b) normal and reasonable compensation and reimbursement of expenses of officers, directors and employees and advances to officers, directors and employees in the ordinary course of business, (c) transaction bonuses to Target’s officers, directors, or employees in connection with the Closing Date Acquisition or any Acquisition permitted hereunder (whether in the form of transaction expenses and purchase price adjustments or otherwise and whether paid at closing or thereafter as part of payroll), and (d) except as otherwise specifically limited in this Agreement, other transactions which are on terms and conditions substantially as favorable to such Person as would be obtainable by it in a comparable arms</w:t>
        <w:noBreakHyphen/>
        <w:t>length transaction with a Person other than an Affiliate.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7.09    </w:t>
      </w:r>
      <w:r>
        <w:rPr>
          <w:rFonts w:ascii="Times New Roman;serif" w:hAnsi="Times New Roman;serif"/>
          <w:b w:val="false"/>
          <w:color w:val="000000"/>
          <w:sz w:val="22"/>
          <w:u w:val="single"/>
        </w:rPr>
        <w:t>Burdensome Agreements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180" w:after="283"/>
        <w:ind w:left="0" w:right="0" w:firstLine="720"/>
        <w:jc w:val="both"/>
        <w:rPr/>
      </w:pPr>
      <w:r>
        <w:rPr>
          <w:rFonts w:ascii="Times New Roman;serif" w:hAnsi="Times New Roman;serif"/>
          <w:b w:val="false"/>
          <w:color w:val="000000"/>
          <w:sz w:val="22"/>
        </w:rPr>
        <w:t xml:space="preserve">Enter into, or permit to exist, any Contractual Obligation binding on the Borrower or any Subsidiary </w:t>
      </w:r>
      <w:r>
        <w:rPr>
          <w:rFonts w:ascii="Times New Roman;serif" w:hAnsi="Times New Roman;serif"/>
          <w:b w:val="false"/>
          <w:color w:val="000000"/>
          <w:sz w:val="22"/>
          <w:u w:val="single"/>
        </w:rPr>
        <w:t xml:space="preserve">(other than the Lugano Entities) </w:t>
      </w:r>
      <w:r>
        <w:rPr>
          <w:rFonts w:ascii="Times New Roman;serif" w:hAnsi="Times New Roman;serif"/>
          <w:b w:val="false"/>
          <w:color w:val="000000"/>
          <w:sz w:val="22"/>
        </w:rPr>
        <w:t>that (a) encumbers or restricts the ability of (i) such Person to make Restricted Payments to the Borrower or any Subsidiary, (ii) such Person to pay any Indebtedness or other obligation owed to the Borrower or any Subsidiary, (iii) such Person to make loans or advances to the Borrower or any Subsidiary, (iv) such Person to transfer any of its property to the Borrower or any Subsidiary, (v) the Borrower to pledge its property pursuant to the Loan Documents or any renewals, refinancings, exchanges, refundings or extension thereof, (vi) any Portfolio Company to pledge its property pursuant to the Intercompany Debt Documents to which it is a party or any renewals, refinancings, exchanges, refundings or extension thereof, (vii) the Borrower to act as the Borrower pursuant to, and perform its obligations under, the Loan Documents or any renewals, refinancings, exchanges, refundings or extension thereof, or (viii) any Portfolio Company to act as the borrower pursuant to, and perform its obligations under, the Intercompany Debt Documents to which it is a party or any renewals, refinancings, exchanges, refundings or extension thereof except (in respect of any of the matters referred to in clauses (i)</w:t>
        <w:noBreakHyphen/>
        <w:t xml:space="preserve">(iv) and (vi) above) for (1) this Agreement and the other Loan Documents, (2) restrictions provided for under Qualified Intercompany Debt Documents and documentation applicable to Outside Companies governing Outside Debt, (3) any document or instrument governing capital leases and purchase money Indebtedness incurred pursuant to </w:t>
      </w:r>
      <w:r>
        <w:rPr>
          <w:rFonts w:ascii="Times New Roman;serif" w:hAnsi="Times New Roman;serif"/>
          <w:b w:val="false"/>
          <w:color w:val="000000"/>
          <w:sz w:val="22"/>
          <w:u w:val="single"/>
        </w:rPr>
        <w:t>Section 7.03(e)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restriction contained therein relates only to the asset or assets constructed or acquired in connection therewith, (4) any Permitted Lien or any document or instrument governing any Permitted Lien,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restriction contained therein relates only to the asset or assets subject to such Permitted Lien, (5) customary restrictions and conditions contained in any agreement relating to the sale of any property permitted under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pending the consummation of such sale and that apply only to the property to be sold, or (6) customary provisions in leases and other contracts restricting the assignment thereof, or (b) requires the grant of any security for any obligation if such property is given as security for the Obligations.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7.10    </w:t>
      </w:r>
      <w:r>
        <w:rPr>
          <w:rFonts w:ascii="Times New Roman;serif" w:hAnsi="Times New Roman;serif"/>
          <w:b w:val="false"/>
          <w:color w:val="000000"/>
          <w:sz w:val="22"/>
          <w:u w:val="single"/>
        </w:rPr>
        <w:t>Use of Proceeds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3"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7.11    </w:t>
      </w:r>
      <w:r>
        <w:rPr>
          <w:rFonts w:ascii="Times New Roman;serif" w:hAnsi="Times New Roman;serif"/>
          <w:b w:val="false"/>
          <w:color w:val="000000"/>
          <w:sz w:val="22"/>
          <w:u w:val="single"/>
        </w:rPr>
        <w:t>Financial Covenants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Consolidated Total Leverage Ratio</w:t>
      </w:r>
      <w:r>
        <w:rPr>
          <w:rFonts w:ascii="Times New Roman;serif" w:hAnsi="Times New Roman;serif"/>
          <w:b w:val="false"/>
          <w:color w:val="000000"/>
          <w:sz w:val="22"/>
        </w:rPr>
        <w:t xml:space="preserve">. (i) commencing with the fiscal quarter of the Borrower ending June 30, 2022 and continuing through the fiscal quarter of the Borrower ending March 31, 2025, permit the Consolidated Total Leverage Ratio as of the end of any fiscal quarter of the Borrower to be greater than 5.00 to 1.00, (ii) for the fiscal quarters of the Borrower ending December 31, 2025, March 31, 2026, June 30, 2026, and September 30, 2026, permit the Consolidated Total Leverage Ratio as of the end of such fiscal quarter of the Borrower to be greater than 5.75 to 1.00, (iii) for the fiscal quarters of the Borrower ending December 31, 2026 and March 31, 2027, permit the Consolidated Total Leverage Ratio as of the end of such fiscal quarter of the Borrower to be greater than 5.25 to 1.00, </w:t>
      </w:r>
      <w:r>
        <w:rPr>
          <w:rFonts w:ascii="Times New Roman;serif" w:hAnsi="Times New Roman;serif"/>
          <w:b w:val="false"/>
          <w:strike/>
          <w:color w:val="FF0000"/>
          <w:sz w:val="22"/>
        </w:rPr>
        <w:t xml:space="preserve">and </w:t>
      </w:r>
      <w:r>
        <w:rPr>
          <w:rFonts w:ascii="Times New Roman;serif" w:hAnsi="Times New Roman;serif"/>
          <w:b w:val="false"/>
          <w:color w:val="000000"/>
          <w:sz w:val="22"/>
        </w:rPr>
        <w:t>(iv</w:t>
      </w:r>
      <w:r>
        <w:rPr>
          <w:rFonts w:ascii="Times New Roman;serif" w:hAnsi="Times New Roman;serif"/>
          <w:b w:val="false"/>
          <w:color w:val="0000FF"/>
          <w:sz w:val="22"/>
          <w:u w:val="single"/>
        </w:rPr>
        <w:t xml:space="preserve">) for the fiscal quarters of the Borrower ending June 30, 2027 and September 30, 2027, permit </w:t>
      </w:r>
      <w:r>
        <w:rPr>
          <w:rFonts w:ascii="Times New Roman;serif" w:hAnsi="Times New Roman;serif"/>
          <w:b w:val="false"/>
          <w:color w:val="008000"/>
          <w:sz w:val="22"/>
          <w:u w:val="single"/>
        </w:rPr>
        <w:t xml:space="preserve">the Consolidated Total Leverage Ratio </w:t>
      </w:r>
      <w:r>
        <w:rPr>
          <w:rFonts w:ascii="Times New Roman;serif" w:hAnsi="Times New Roman;serif"/>
          <w:b w:val="false"/>
          <w:color w:val="0000FF"/>
          <w:sz w:val="22"/>
          <w:u w:val="single"/>
        </w:rPr>
        <w:t>as of the end of such fiscal quarter of the Borrower to be greater than 5.00 to 1.00 and (v</w:t>
      </w:r>
      <w:r>
        <w:rPr>
          <w:rFonts w:ascii="Times New Roman;serif" w:hAnsi="Times New Roman;serif"/>
          <w:b w:val="false"/>
          <w:color w:val="000000"/>
          <w:sz w:val="22"/>
        </w:rPr>
        <w:t xml:space="preserve">) continuing at all times thereafter, permit the Consolidated Total Leverage Ratio as of the end of any fiscal quarter of the Borrower to be greater than </w:t>
      </w:r>
      <w:r>
        <w:rPr>
          <w:rFonts w:ascii="Times New Roman;serif" w:hAnsi="Times New Roman;serif"/>
          <w:b w:val="false"/>
          <w:strike/>
          <w:color w:val="FF0000"/>
          <w:sz w:val="22"/>
        </w:rPr>
        <w:t>5.00</w:t>
      </w:r>
      <w:r>
        <w:rPr>
          <w:rFonts w:ascii="Times New Roman;serif" w:hAnsi="Times New Roman;serif"/>
          <w:b w:val="false"/>
          <w:color w:val="0000FF"/>
          <w:sz w:val="22"/>
          <w:u w:val="single"/>
        </w:rPr>
        <w:t>4.50</w:t>
      </w:r>
      <w:r>
        <w:rPr>
          <w:color w:val="000000"/>
        </w:rPr>
        <w:t xml:space="preserve"> </w:t>
      </w:r>
      <w:r>
        <w:rPr>
          <w:rFonts w:ascii="Times New Roman;serif" w:hAnsi="Times New Roman;serif"/>
          <w:b w:val="false"/>
          <w:color w:val="000000"/>
          <w:sz w:val="22"/>
        </w:rPr>
        <w:t>to 1.00.</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Consolidated Senior Secured Leverage Ratio</w:t>
      </w:r>
      <w:r>
        <w:rPr>
          <w:rFonts w:ascii="Times New Roman;serif" w:hAnsi="Times New Roman;serif"/>
          <w:b w:val="false"/>
          <w:color w:val="000000"/>
          <w:sz w:val="22"/>
        </w:rPr>
        <w:t>. (i) commencing with the fiscal quarter of the Borrower ending June 30, 2022 and continuing through the fiscal quarter of the Borrower ending March 31, 2025, permit the Consolidated Senior Secured Leverage Ratio as of the end of any fiscal quarter of the Borrower to be greater than 3.50 to 1.00, and (ii) commencing with the fiscal quarter of the Borrower ending December 31, 2025 and continuing at all times thereafter, permit the Consolidated Senior Secured Leverage Ratio as of the end of any fiscal quarter of the Borrower to be greater than 2.50 to 1.00.</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Consolidated Fixed Charge Coverage Ratio</w:t>
      </w:r>
      <w:r>
        <w:rPr>
          <w:rFonts w:ascii="Times New Roman;serif" w:hAnsi="Times New Roman;serif"/>
          <w:b w:val="false"/>
          <w:color w:val="000000"/>
          <w:sz w:val="22"/>
        </w:rPr>
        <w:t>. Commencing with (i) the fiscal quarter of the Borrower ending June 30, 2022 and continuing through the fiscal quarter of the Borrowing ending March 31, 2025, permit the Consolidated Fixed Charge Coverage Ratio as of the end of any fiscal quarter of the Borrower to be less than 1.50 to 1.00, (ii) for the fiscal quarters of the Borrower ending December 31, 2025, March 31, 2026, June 30, 2026, and September 30, 2026, permit the Consolidated Fixed Charge Coverage Ratio as of the end of any such fiscal quarter of the Borrower to be less than 1.00 to 1.00, (iii) for the fiscal quarters ending December 31, 2026 and March 31, 2027, permit the Consolidated Fixed Charge Coverage Ratio as of the end of any such fiscal quarter of the Borrower to be less than 1.10 to 1.00, and (iv) continuing at all times thereafter, permit the Consolidated Fixed Charge Coverage Ratio as of the end of any fiscal quarter to be less than 1.50 to 1.00.</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Notwithstanding anything in this Agreement to the contrary (including, without limitation, </w:t>
      </w:r>
      <w:r>
        <w:rPr>
          <w:rFonts w:ascii="Times New Roman;serif" w:hAnsi="Times New Roman;serif"/>
          <w:b w:val="false"/>
          <w:color w:val="000000"/>
          <w:sz w:val="22"/>
          <w:u w:val="single"/>
        </w:rPr>
        <w:t>Section 8.01</w:t>
      </w:r>
      <w:r>
        <w:rPr>
          <w:rFonts w:ascii="Times New Roman;serif" w:hAnsi="Times New Roman;serif"/>
          <w:b w:val="false"/>
          <w:color w:val="000000"/>
          <w:sz w:val="22"/>
        </w:rPr>
        <w:t xml:space="preserve">), no Default or Event of Default shall occur under this Agreement or any other Loan Document based upon the Borrower’s failure to comply with any financial covenant set forth in this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for the fiscal quarters ending June 30, 2025 and September 30, 2025.</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Notwithstanding anything in this Agreement to the contrary, from and after the Fifth Amendment Effective Date, solely for the purposes of calculating the financial covenants set forth in this </w:t>
      </w:r>
      <w:r>
        <w:rPr>
          <w:rFonts w:ascii="Times New Roman;serif" w:hAnsi="Times New Roman;serif"/>
          <w:b w:val="false"/>
          <w:color w:val="000000"/>
          <w:sz w:val="22"/>
          <w:u w:val="single"/>
        </w:rPr>
        <w:t>Section 7.11</w:t>
      </w:r>
      <w:r>
        <w:rPr>
          <w:rFonts w:ascii="Times New Roman;serif" w:hAnsi="Times New Roman;serif"/>
          <w:b w:val="false"/>
          <w:color w:val="000000"/>
          <w:sz w:val="22"/>
        </w:rPr>
        <w:t>, the Lugano Entities shall be deemed to have been Disposed effective as of December 31, 2024.</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7.12    </w:t>
      </w:r>
      <w:r>
        <w:rPr>
          <w:rFonts w:ascii="Times New Roman;serif" w:hAnsi="Times New Roman;serif"/>
          <w:b w:val="false"/>
          <w:color w:val="000000"/>
          <w:sz w:val="22"/>
          <w:u w:val="single"/>
        </w:rPr>
        <w:t>Amendments to and Prepayments of Unsecured Indebtedness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Amend, modify or change the terms of any Indebtedness incurred or maintained in reliance on </w:t>
      </w:r>
      <w:r>
        <w:rPr>
          <w:rFonts w:ascii="Times New Roman;serif" w:hAnsi="Times New Roman;serif"/>
          <w:b w:val="false"/>
          <w:color w:val="000000"/>
          <w:sz w:val="22"/>
          <w:u w:val="single"/>
        </w:rPr>
        <w:t>Section 7.03(j)</w:t>
      </w:r>
      <w:r>
        <w:rPr>
          <w:color w:val="000000"/>
        </w:rPr>
        <w:t xml:space="preserve"> </w:t>
      </w:r>
      <w:r>
        <w:rPr>
          <w:rFonts w:ascii="Times New Roman;serif" w:hAnsi="Times New Roman;serif"/>
          <w:b w:val="false"/>
          <w:color w:val="000000"/>
          <w:sz w:val="22"/>
        </w:rPr>
        <w:t xml:space="preserve">if such Indebtedness as so amended, modified or changed would not be permitted to be incurred under </w:t>
      </w:r>
      <w:r>
        <w:rPr>
          <w:rFonts w:ascii="Times New Roman;serif" w:hAnsi="Times New Roman;serif"/>
          <w:b w:val="false"/>
          <w:color w:val="000000"/>
          <w:sz w:val="22"/>
          <w:u w:val="single"/>
        </w:rPr>
        <w:t>Section 7.03(j)(iii)(C)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w:t>
      </w:r>
      <w:r>
        <w:rPr>
          <w:rFonts w:ascii="Times New Roman;serif" w:hAnsi="Times New Roman;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4"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Make (or give any notice with respect thereto) any voluntary or optional payment or prepayment or redemption or acquisition for value of (including by way of depositing money or securities with the trustee with respect thereto before due for the purpose of paying when due), refund, refinance or exchange of any Indebtedness incurred or maintained in reliance on </w:t>
      </w:r>
      <w:r>
        <w:rPr>
          <w:rFonts w:ascii="Times New Roman;serif" w:hAnsi="Times New Roman;serif"/>
          <w:b w:val="false"/>
          <w:color w:val="000000"/>
          <w:sz w:val="22"/>
          <w:u w:val="single"/>
        </w:rPr>
        <w:t>Section 7.03(j)</w:t>
      </w:r>
      <w:r>
        <w:rPr>
          <w:color w:val="000000"/>
        </w:rPr>
        <w:t xml:space="preserve"> </w:t>
      </w:r>
      <w:r>
        <w:rPr>
          <w:rFonts w:ascii="Times New Roman;serif" w:hAnsi="Times New Roman;serif"/>
          <w:b w:val="false"/>
          <w:color w:val="000000"/>
          <w:sz w:val="22"/>
        </w:rPr>
        <w:t>(each an “</w:t>
      </w:r>
      <w:r>
        <w:rPr>
          <w:rFonts w:ascii="Times New Roman;serif" w:hAnsi="Times New Roman;serif"/>
          <w:b w:val="false"/>
          <w:color w:val="000000"/>
          <w:sz w:val="22"/>
          <w:u w:val="single"/>
        </w:rPr>
        <w:t>Unsecured Debt Prepayment</w:t>
      </w:r>
      <w:r>
        <w:rPr>
          <w:color w:val="000000"/>
        </w:rPr>
        <w:t>”</w:t>
      </w:r>
      <w:r>
        <w:rPr>
          <w:rFonts w:ascii="Times New Roman;serif" w:hAnsi="Times New Roman;serif"/>
          <w:b w:val="false"/>
          <w:color w:val="000000"/>
          <w:sz w:val="22"/>
        </w:rPr>
        <w:t xml:space="preserve">) other than (i) Unsecured Debt Prepayments funded with the proceeds of Indebtedness incurred after the Closing Date in reliance on Section 7.03(j), (ii) Unsecured Debt Prepayments funded with the proceeds of the issuance of sale of Equity Interests in the Trust (or, after consummation of a Permitted Trust Merger, the Borrower) and (iii) other Unsecured Debt Prepayments so long as (A) no Event of Default exists or would result therefrom (and, assuming any incurrence of Indebtedness in connection therewith had occurred on the first day of the then most recently ended twelve-month period of the Borrower for which a Compliance Certificate has been delivered hereunder, the Borrower would be in compliance with </w:t>
      </w:r>
      <w:r>
        <w:rPr>
          <w:rFonts w:ascii="Times New Roman;serif" w:hAnsi="Times New Roman;serif"/>
          <w:b w:val="false"/>
          <w:color w:val="000000"/>
          <w:sz w:val="22"/>
          <w:u w:val="single"/>
        </w:rPr>
        <w:t>Section 7.11(a)</w:t>
      </w:r>
      <w:r>
        <w:rPr>
          <w:color w:val="000000"/>
        </w:rPr>
        <w:t xml:space="preserve"> </w:t>
      </w:r>
      <w:r>
        <w:rPr>
          <w:rFonts w:ascii="Times New Roman;serif" w:hAnsi="Times New Roman;serif"/>
          <w:b w:val="false"/>
          <w:color w:val="000000"/>
          <w:sz w:val="22"/>
        </w:rPr>
        <w:t xml:space="preserve">on a Pro Forma Basis), and (B) either (1) after giving effect thereto, the sum of (x) all cash and Cash Equivalents of the Borrower on deposit in an account that is with the Administrative Agent or is subject to a Qualifying Control Agreement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(y) Unused Borrowing Availability is not less than $25,000,000, or (2) the Consolidated Fixed Charge Coverage Ratio for the most recent twelve-month period of the Borrower for which a Compliance Certificate has been delivered hereunder, calculated on a Pro Forma Basis giving effect to such Unsecured Debt Prepayment and all other Unsecured Debt Prepayments during such period in the denominator of the Consolidated Fixed Charge Coverage Ratio, is greater than 1.00 to 1.00; </w:t>
      </w:r>
      <w:r>
        <w:rPr>
          <w:rFonts w:ascii="Times New Roman;serif" w:hAnsi="Times New Roman;serif"/>
          <w:b w:val="false"/>
          <w:color w:val="000000"/>
          <w:sz w:val="22"/>
          <w:u w:val="single"/>
        </w:rPr>
        <w:t>provided</w:t>
      </w:r>
      <w:r>
        <w:rPr>
          <w:rFonts w:ascii="Times New Roman;serif" w:hAnsi="Times New Roman;serif"/>
          <w:b w:val="false"/>
          <w:color w:val="000000"/>
          <w:sz w:val="22"/>
        </w:rPr>
        <w:t>, that from and after the Second Amendment Effective Date the Borrower shall not make (or give any notice of prepayment with respect thereto) any Unsecured Debt Prepayment</w:t>
      </w:r>
      <w:r>
        <w:rPr>
          <w:color w:val="000000"/>
          <w:u w:val="single"/>
        </w:rPr>
        <w:t xml:space="preserve"> </w:t>
      </w:r>
      <w:r>
        <w:rPr>
          <w:rFonts w:ascii="Times New Roman;serif" w:hAnsi="Times New Roman;serif"/>
          <w:b w:val="false"/>
          <w:color w:val="000000"/>
          <w:sz w:val="22"/>
          <w:u w:val="single"/>
        </w:rPr>
        <w:t>unless the Consolidated Total Leverage Ratio of the Borrower would not be greater than 4.50:1.00 on a Pro Forma Basis</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7.13    </w:t>
      </w:r>
      <w:r>
        <w:rPr>
          <w:rFonts w:ascii="Times New Roman;serif" w:hAnsi="Times New Roman;serif"/>
          <w:b w:val="false"/>
          <w:color w:val="000000"/>
          <w:sz w:val="22"/>
          <w:u w:val="single"/>
        </w:rPr>
        <w:t>Organization Documents; Related Agreements; Etc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shd w:fill="FFFFFF" w:val="clear"/>
        </w:rPr>
        <w:t xml:space="preserve">Permit the amendment, modification or change of the Trust Agreement, the Borrower LLC Agreement or any other Organization Documents of the Trust, the Borrower or any Subsidiary </w:t>
      </w:r>
      <w:r>
        <w:rPr>
          <w:rFonts w:ascii="Times New Roman;serif" w:hAnsi="Times New Roman;serif"/>
          <w:b w:val="false"/>
          <w:color w:val="0000FF"/>
          <w:sz w:val="22"/>
          <w:u w:val="single"/>
          <w:shd w:fill="FFFFFF" w:val="clear"/>
        </w:rPr>
        <w:t xml:space="preserve">(other than the Lugano Entities) </w:t>
      </w:r>
      <w:r>
        <w:rPr>
          <w:rFonts w:ascii="Times New Roman;serif" w:hAnsi="Times New Roman;serif"/>
          <w:b w:val="false"/>
          <w:color w:val="000000"/>
          <w:sz w:val="22"/>
          <w:shd w:fill="FFFFFF" w:val="clear"/>
        </w:rPr>
        <w:t>in any way which could reasonably be expected to materially adversely affect the interests of the Ad</w:t>
      </w:r>
      <w:r>
        <w:rPr>
          <w:rFonts w:ascii="Times New Roman;serif" w:hAnsi="Times New Roman;serif"/>
          <w:b w:val="false"/>
          <w:color w:val="000000"/>
          <w:sz w:val="22"/>
        </w:rPr>
        <w:t xml:space="preserve">ministrative Agent or any Lender.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Permit the amendment, modification or change of the Organization Documents of any Portfolio Company, any shareholder agreements relating to the Equity Interests in any Portfolio Company or any other agreements or instruments conferring rights upon the minority holders of the Equity Interests in any Portfolio Company, in each case in any way that does or could (i) prohibit or otherwise impair the Administrative Agent’s Lien on the Equity Interests owned by the Borrower in such Portfolio Company or (ii) allow the minority holders of the Equity Interests in such Portfolio Company to block or otherwise interfere in any way with the exercise of remedies by the Administrative Agent with respect to the Equity Interests owned by the Borrower in such Portfolio Company (including the Administrative Agent’s foreclosure of Liens on such Equity Interests and the sale, transfer or other disposition by the Administrative Agent of such Equity Interests);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this clause (ii) shall not prohibit customary “tag-along” or “co-sale” rights granted to minority holders of Equity Interests so long as such “tag-along” or “co-sale” rights do not apply to (A) the granting of Liens on such Equity Interests in favor of the Administrative Agent, (B) the foreclosure by the Administrative Agent of its Liens on such Equity Interests or transfer of such Equity Interests to the Administrative Agent or (C) any sale, transfer or other disposition by the Administrative Agent of such Equity Interests to a third party.</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Amend, modify or change, or waive any rights under, any Related Agreement (other than Intercompany Debt Documents, the Trust Agreement, the Borrower LLC Agreement and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5" name="Frame2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Organization Documents of the Trust, the Borrower or any Subsidi</w:t>
      </w:r>
      <w:r>
        <w:rPr>
          <w:rFonts w:ascii="Times New Roman;serif" w:hAnsi="Times New Roman;serif"/>
          <w:b w:val="false"/>
          <w:color w:val="000000"/>
          <w:sz w:val="22"/>
          <w:shd w:fill="FFFFFF" w:val="clear"/>
        </w:rPr>
        <w:t>ary</w:t>
      </w:r>
      <w:r>
        <w:rPr>
          <w:color w:val="000000"/>
          <w:u w:val="single"/>
          <w:shd w:fill="FFFFFF" w:val="clear"/>
        </w:rPr>
        <w:t xml:space="preserve"> </w:t>
      </w:r>
      <w:r>
        <w:rPr>
          <w:rFonts w:ascii="Times New Roman;serif" w:hAnsi="Times New Roman;serif"/>
          <w:b w:val="false"/>
          <w:color w:val="000000"/>
          <w:sz w:val="22"/>
          <w:u w:val="single"/>
          <w:shd w:fill="FFFFFF" w:val="clear"/>
        </w:rPr>
        <w:t>(other than the Lugano Entities)</w:t>
      </w:r>
      <w:r>
        <w:rPr>
          <w:rFonts w:ascii="Times New Roman;serif" w:hAnsi="Times New Roman;serif"/>
          <w:b w:val="false"/>
          <w:color w:val="000000"/>
          <w:sz w:val="22"/>
          <w:shd w:fill="FFFFFF" w:val="clear"/>
        </w:rPr>
        <w:t>) in a manner materially adverse to the interests of the Administrative Agent or the Lenders.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Except with the prior written consent of the Administrative Agent in its sole discretion in each case, amend, modify or change, or waive any rights under, any Intercompany Debt Documents to the extent such amendment, modification, change or waiver would have the effect of extending any maturity dates, reducing any scheduled amounts for repayments of principal, extending any scheduled payment dates for principal, reducing any interest or fees, reducing any interest rates, reducing, deferring or waiving any mandatory prepayments (other than annual mandatory repayments, if any, with excess cash flow;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annual mandatory repayments to be made with excess cash flow for any single Portfolio Company may not be waived in successive fiscal years without the prior written consent of the Administrative Agent in its sole discretion), waiving any payment defaults or waiving any bankruptcy defaults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this clause (d) shall not prohibit (i) amended payment terms that are implemented in connection with a recapitalization of a Portfolio Company that is permitted hereunder so long as such payment terms are consistent with the applicable Intercompany Debt Documents as in effect prior to such amendments and are otherwise reasonably acceptable to the Administrative Agent or (ii) extending the maturity of Intercompany Debt (for a period not exceeding, for each credit facility thereunder, the duration of the initial term for such facility provided for in the Intercompany Debt Documents applicable to such Intercompany Debt) and modifying the interest rate(s) and fees applicable thereto to be consistent with current market terms at the time of such extension).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 Release, or permit the release of, any Liens provided for under the Intercompany Debt Documents, or terminate, or permit the termination of, any third-party documents and deliveries provided in furtherance of the Liens provided for under the Intercompany Debt Documents, other than (in each case) in connection with a Disposition that is permitted by the provisions of </w:t>
      </w:r>
      <w:r>
        <w:rPr>
          <w:rFonts w:ascii="Times New Roman;serif" w:hAnsi="Times New Roman;serif"/>
          <w:b w:val="false"/>
          <w:color w:val="000000"/>
          <w:sz w:val="22"/>
          <w:u w:val="single"/>
        </w:rPr>
        <w:t>Section 7.05</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Administer any of the Intercompany Debt Documents other than on an arms’-length basis.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Change its fiscal 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(h) Change its method of accounting (other than as may be required to conform to GAAP).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Without providing ten days (or such lesser period as the Administrative Agent may agree) prior written notice to the Administrative Agent, change its name, state of formation or form of organization.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(j) Enter into, or permit any Subsidiary to enter into, any tax sharing agreement without the prior written consent of the Administrative Agent.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7.14    </w:t>
      </w:r>
      <w:r>
        <w:rPr>
          <w:rFonts w:ascii="Times New Roman;serif" w:hAnsi="Times New Roman;serif"/>
          <w:b w:val="false"/>
          <w:color w:val="000000"/>
          <w:sz w:val="22"/>
          <w:u w:val="single"/>
        </w:rPr>
        <w:t>Ownership of Subsidiaries</w:t>
      </w:r>
      <w:r>
        <w:rPr>
          <w:rFonts w:ascii="Times New Roman;serif" w:hAnsi="Times New Roman;serif"/>
          <w:b w:val="false"/>
          <w:color w:val="000000"/>
          <w:sz w:val="22"/>
        </w:rPr>
        <w:t>.</w:t>
      </w:r>
    </w:p>
    <w:p>
      <w:pPr>
        <w:pStyle w:val="TextBody"/>
        <w:bidi w:val="0"/>
        <w:spacing w:lineRule="auto" w:line="288" w:before="180" w:after="283"/>
        <w:ind w:left="0" w:right="0" w:firstLine="720"/>
        <w:jc w:val="both"/>
        <w:rPr/>
      </w:pPr>
      <w:r>
        <w:rPr>
          <w:rFonts w:ascii="Times New Roman;serif" w:hAnsi="Times New Roman;serif"/>
          <w:b w:val="false"/>
          <w:color w:val="000000"/>
          <w:sz w:val="22"/>
        </w:rPr>
        <w:t>(a) Establish or acquire, or permit any Subsidiary (other than any Subsidiary Outside Company) to establish or acquire, any new Subsidiary except (i) a Subsidiary that is a Target in a Permitted Eligible Acquisition or a Permitted Ineligible Acquisition, or that is a Subsidiary formed for the sole purpose of consummating a Permitted Eligible Acquisition or a Permitted Ineligible Acquisition (“</w:t>
      </w:r>
      <w:r>
        <w:rPr>
          <w:rFonts w:ascii="Times New Roman;serif" w:hAnsi="Times New Roman;serif"/>
          <w:b w:val="false"/>
          <w:color w:val="000000"/>
          <w:sz w:val="22"/>
          <w:u w:val="single"/>
        </w:rPr>
        <w:t>Acquisition Subsidiary</w:t>
      </w:r>
      <w:r>
        <w:rPr>
          <w:color w:val="000000"/>
        </w:rPr>
        <w:t>”</w:t>
      </w:r>
      <w:r>
        <w:rPr>
          <w:rFonts w:ascii="Times New Roman;serif" w:hAnsi="Times New Roman;serif"/>
          <w:b w:val="false"/>
          <w:color w:val="000000"/>
          <w:sz w:val="22"/>
        </w:rPr>
        <w:t xml:space="preserve">), (ii) a Domestic Subsidiary of a Portfolio Company that is joined to the Qualified Intercompany Debt Documents applicable to such Portfolio Company, with such joinder documents, among other things, causing the Borrower to have a perfected, first-priority Lien (subject only to Permitted Liens) in substantially all of the assets of and Equity Interests in such Domestic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6" name="Frame2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2"/>
        </w:rPr>
        <w:t xml:space="preserve">(iii) Subsidiaries of Outside Companies, and (iv) a Foreign Subsidiary of a Portfolio Company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65% of the total outstanding voting Equity Interests and 100% of the total outstanding nonvoting Equity Interests of such Foreign Subsidiary are pledged to the Borrower pursuant to the definition of Qualified Intercompany Debt Documents, and subject to the 15% limitation for Subsidiaries of a Portfolio Company that are CFCs set forth in the definition of Qualified Intercompany Debt Documents.</w:t>
      </w:r>
    </w:p>
    <w:p>
      <w:pPr>
        <w:pStyle w:val="TextBody"/>
        <w:bidi w:val="0"/>
        <w:spacing w:lineRule="auto" w:line="288"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Permit any Subsidiary to issue any preferred Equity Interests (other than to the Borrower and minority shareholders of such Subsidiary, provided that such issuances to the Borrower are on a pro rata or greater than pro rata basis) or permit any Person (other than the Borrower and minority shareholders of such Subsidiary) to own any preferred Equity Interests of any Subsidiary (other than such preferred Equity Interests existing on the Closing Date).</w:t>
      </w:r>
    </w:p>
    <w:p>
      <w:pPr>
        <w:pStyle w:val="TextBody"/>
        <w:bidi w:val="0"/>
        <w:spacing w:lineRule="auto" w:line="288"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in this Section 7.14 or otherwise in this Agreement to the contrary, from and after the Second Amendment Effective Date the Borrower shall not establish or acquire, or permit any Subsidiary (other than any Subsidiary Outside Company) to establish or acquire any new Subsidiary unless the Consolidated Total Leverage Ratio of the Borrower would not be greater than 4.50:1.00 on a Pro Forma Basis.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7.15    Sanctions.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Directly or indirectly, use any Credit Extension or the proceeds of any Credit Extension or lend, contribute or otherwise make available such Credit Extension or the proceeds of any Credit Extension to any Subsidiary, joint venture partner or other Person, to fund 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Arranger, Administrative Agent, L/C Issuer, Swing Line Lender or otherwise) of Sanctions.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7.16    </w:t>
      </w:r>
      <w:r>
        <w:rPr>
          <w:rFonts w:ascii="Times New Roman;serif" w:hAnsi="Times New Roman;serif"/>
          <w:b w:val="false"/>
          <w:color w:val="000000"/>
          <w:sz w:val="22"/>
          <w:u w:val="single"/>
        </w:rPr>
        <w:t>Anti-Corruption Laws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Directly or indirectly use any Credit Extension or the proceeds of any Credit Extension for any purpose which would breach the United States Foreign Corrupt Practices Act of 1977, the UK Bribery Act 2010 or other similar anti-corruption legislation in other jurisdictions.</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val="false"/>
          <w:strike/>
          <w:color w:val="FF0000"/>
          <w:sz w:val="22"/>
        </w:rPr>
        <w:t>7.17</w:t>
      </w:r>
      <w:r>
        <w:rPr>
          <w:color w:val="000000"/>
        </w:rPr>
        <w:t xml:space="preserve"> </w:t>
      </w:r>
      <w:r>
        <w:rPr>
          <w:rFonts w:ascii="Times New Roman;serif" w:hAnsi="Times New Roman;serif"/>
          <w:b w:val="false"/>
          <w:strike/>
          <w:color w:val="FF0000"/>
          <w:sz w:val="22"/>
          <w:u w:val="single"/>
        </w:rPr>
        <w:t>Lugano DIP Loan Documents</w:t>
      </w:r>
      <w:r>
        <w:rPr>
          <w:rFonts w:ascii="Times New Roman;serif" w:hAnsi="Times New Roman;serif"/>
          <w:b w:val="false"/>
          <w:strike/>
          <w:color w:val="FF0000"/>
          <w:sz w:val="22"/>
        </w:rPr>
        <w:t xml:space="preserve">. </w:t>
      </w:r>
    </w:p>
    <w:p>
      <w:pPr>
        <w:pStyle w:val="TextBody"/>
        <w:bidi w:val="0"/>
        <w:spacing w:lineRule="auto" w:line="288" w:before="180" w:after="283"/>
        <w:jc w:val="both"/>
        <w:rPr/>
      </w:pPr>
      <w:r>
        <w:rPr>
          <w:rFonts w:ascii="Times New Roman;serif" w:hAnsi="Times New Roman;serif"/>
          <w:b w:val="false"/>
          <w:strike/>
          <w:color w:val="FF0000"/>
          <w:sz w:val="22"/>
        </w:rPr>
        <w:t xml:space="preserve">Not accept any modification to the Lugano DIP Budget or amend, extend, restate, or otherwise modify any Lugano DIP Loan Document (other than the Lugano Liquidation Plan) after the entry of a final court order authorizing the effectiveness or filing thereof (as applicable) without the prior written consent of the Administrative Agent, and any such modification shall be in form and substance reasonably acceptable to the Administrative Agent (provided, that any modification that would have the effect, directly or indirectly, of increasing the principal amount of the Lugano DIP Intercompany Debt shall be subject to the prior written consent of </w:t>
      </w:r>
      <w:r>
        <w:rPr>
          <w:rFonts w:ascii="Times New Roman;serif" w:hAnsi="Times New Roman;serif"/>
          <w:b w:val="false"/>
          <w:strike/>
          <w:color w:val="008000"/>
          <w:sz w:val="22"/>
        </w:rPr>
        <w:t xml:space="preserve">the Administrative Agent and the </w:t>
      </w:r>
      <w:r>
        <w:rPr>
          <w:rFonts w:ascii="Times New Roman;serif" w:hAnsi="Times New Roman;serif"/>
          <w:b w:val="false"/>
          <w:strike/>
          <w:color w:val="FF0000"/>
          <w:sz w:val="22"/>
        </w:rPr>
        <w:t>Required Lenders). The Borrower shall not affirmatively consent to any amendment, replacement or other modification of the Lugano Liquidation Plan without the prior written consent of the Administrative Agent.</w:t>
      </w:r>
      <w:r>
        <w:rPr>
          <w:color w:val="000000"/>
        </w:rPr>
        <w:t xml:space="preserve"> </w:t>
      </w:r>
    </w:p>
    <w:p>
      <w:pPr>
        <w:pStyle w:val="TextBody"/>
        <w:bidi w:val="0"/>
        <w:spacing w:lineRule="auto" w:line="288" w:before="30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VIII </w:t>
      </w:r>
    </w:p>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EVENTS OF DEFAULT AND REMEDIES</w:t>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97" name="Frame2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2"/>
        </w:rPr>
        <w:t>8.01    </w:t>
      </w:r>
      <w:r>
        <w:rPr>
          <w:rFonts w:ascii="Times New Roman;serif" w:hAnsi="Times New Roman;serif"/>
          <w:b w:val="false"/>
          <w:color w:val="000000"/>
          <w:sz w:val="22"/>
          <w:u w:val="single"/>
        </w:rPr>
        <w:t>Events of Default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of the following shall constitute an Event of Default: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Non-Payment</w:t>
      </w:r>
      <w:r>
        <w:rPr>
          <w:rFonts w:ascii="Times New Roman;serif" w:hAnsi="Times New Roman;serif"/>
          <w:b w:val="false"/>
          <w:color w:val="000000"/>
          <w:sz w:val="22"/>
        </w:rPr>
        <w:t>. The Borrower fails to pay (i) when and as required to be paid herein, any amount of principal of any Loan or any L/C Obligation, or (ii) within three days after the same becomes due, any interest on any Loan or on any L/C Obligation, or any fee due hereunder, or (iii) within five days after the same becomes due, any other amount payable hereunder or under any other Loan Document; or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(b) The Borrower fails to perform or observe any term, covenant or agreement contained in (i) any of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6.02</w:t>
      </w:r>
      <w:r>
        <w:rPr>
          <w:color w:val="000000"/>
        </w:rPr>
        <w:t xml:space="preserve"> </w:t>
      </w:r>
      <w:r>
        <w:rPr>
          <w:rFonts w:ascii="Times New Roman;serif" w:hAnsi="Times New Roman;serif"/>
          <w:b w:val="false"/>
          <w:color w:val="000000"/>
          <w:sz w:val="22"/>
        </w:rPr>
        <w:t xml:space="preserve">and such failure continues for five days, or (ii) any of </w:t>
      </w:r>
      <w:r>
        <w:rPr>
          <w:rFonts w:ascii="Times New Roman;serif" w:hAnsi="Times New Roman;serif"/>
          <w:b w:val="false"/>
          <w:color w:val="000000"/>
          <w:sz w:val="22"/>
          <w:u w:val="single"/>
        </w:rPr>
        <w:t>Section 6.03(a)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6.05(a)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VII</w:t>
      </w:r>
      <w:r>
        <w:rPr>
          <w:rFonts w:ascii="Times New Roman;serif" w:hAnsi="Times New Roman;serif"/>
          <w:b w:val="false"/>
          <w:strike/>
          <w:color w:val="FF0000"/>
          <w:sz w:val="22"/>
        </w:rPr>
        <w:t>, or any term or covenant set forth in the Fifth Amendment Transaction Letter</w:t>
      </w:r>
      <w:r>
        <w:rPr>
          <w:rFonts w:ascii="Times New Roman;serif" w:hAnsi="Times New Roman;serif"/>
          <w:b w:val="false"/>
          <w:color w:val="000000"/>
          <w:sz w:val="22"/>
        </w:rPr>
        <w:t>; or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Other Defaults</w:t>
      </w:r>
      <w:r>
        <w:rPr>
          <w:rFonts w:ascii="Times New Roman;serif" w:hAnsi="Times New Roman;serif"/>
          <w:b w:val="false"/>
          <w:color w:val="000000"/>
          <w:sz w:val="22"/>
        </w:rPr>
        <w:t>. The Borrower fails to perform or observe any other covenant or agreement (not specified in subsection (a) or (b) above) contained in any Loan Document on its part to be performed or observed and such failure continues for thirty days; or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Any representation, warranty, certification or statement of fact made or deemed made by or on behalf of the Borrower herein, in any other Loan Document, or in any document delivered in connection herewith or therewith shall be incorrect or misleading in any material respect when made or deemed made; or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Cross-Default</w:t>
      </w:r>
      <w:r>
        <w:rPr>
          <w:rFonts w:ascii="Times New Roman;serif" w:hAnsi="Times New Roman;serif"/>
          <w:b w:val="false"/>
          <w:color w:val="000000"/>
          <w:sz w:val="22"/>
        </w:rPr>
        <w:t xml:space="preserve">. (i) The Borrower fails to make any payment when due (whether by scheduled maturity, required prepayment, acceleration, demand, or otherwise) in respect of any Material Indebtedness; (ii) the Borrower fails to observe or perform any other agreement or condition relating to any Material Indebtedness or contained in any instrument or agreement evidencing, securing or relating thereto, or any other event occurs, the effect of which default or other event is to cause, or to permit the holder or holders of such Material Indebtedness (or a trustee or agent on behalf of such holder or holders) to cause, with the giving of notice if required, such Material Indebtedness to be demanded or to become due or to be repurchased, prepaid, defeased or redeemed (automatically or otherwise), or an offer to repurchase, prepay, defease or redeem such Material Indebtedness to be made, prior to its stated maturity;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such failure is unremedied and is not validly waived by the holders of such Indebtedness in accordance with the terms of the documents governing such Indebtedness prior to any termination of the Commitments or acceleration of the Loans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or (iii) there occurs under any Swap Contract an Early Termination Date (as defined in such Swap Contract) resulting from (A) any event of default under such Swap Contract as to which the Borrower is the Defaulting Party (as defined in such Swap Contract) or (B) any Termination Event (as so defined) under such Swap Contract as to which the Borrower is an Affected Party (as so defined) and, in either event, the Swap Termination Value owed by the Borrower as a result thereof is greater than the Threshold Amount; or</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Insolvency Proceedings, Etc.</w:t>
      </w:r>
      <w:r>
        <w:rPr>
          <w:color w:val="000000"/>
        </w:rPr>
        <w:t xml:space="preserve"> </w:t>
      </w:r>
      <w:r>
        <w:rPr>
          <w:rFonts w:ascii="Times New Roman;serif" w:hAnsi="Times New Roman;serif"/>
          <w:b w:val="false"/>
          <w:color w:val="000000"/>
          <w:sz w:val="22"/>
        </w:rPr>
        <w:t xml:space="preserve">The Trust or the Borrower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the Trust or the Borrower and the appointment continues undischarged or unstayed for sixty calendar days; or any proceeding under any Debtor Relief Law relating to either the </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8" name="Frame2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Trust or the Borrower or to all or any material part of its property is instituted without its consent and continues undismissed or unstayed for sixty calendar days, or an order for relief is entered in any such proceeding; or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(g) </w:t>
      </w:r>
      <w:r>
        <w:rPr>
          <w:rFonts w:ascii="Times New Roman;serif" w:hAnsi="Times New Roman;serif"/>
          <w:b w:val="false"/>
          <w:color w:val="000000"/>
          <w:sz w:val="22"/>
          <w:u w:val="single"/>
        </w:rPr>
        <w:t>Inability to Pay Debts; Attachment</w:t>
      </w:r>
      <w:r>
        <w:rPr>
          <w:rFonts w:ascii="Times New Roman;serif" w:hAnsi="Times New Roman;serif"/>
          <w:b w:val="false"/>
          <w:color w:val="000000"/>
          <w:sz w:val="22"/>
        </w:rPr>
        <w:t>. (i) The Trust or the Borrower becomes unable or admits in writing its inability or fails generally to pay its debts as they become due, or (ii) any writ or warrant of attachment or execution or similar process is issued or levied against all or any material part of the property of either the Trust or the Borrower and is not released, vacated or fully bonded within thirty days after its issue or levy; or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(h) </w:t>
      </w:r>
      <w:r>
        <w:rPr>
          <w:rFonts w:ascii="Times New Roman;serif" w:hAnsi="Times New Roman;serif"/>
          <w:b w:val="false"/>
          <w:color w:val="000000"/>
          <w:sz w:val="22"/>
          <w:u w:val="single"/>
        </w:rPr>
        <w:t>Judgments</w:t>
      </w:r>
      <w:r>
        <w:rPr>
          <w:rFonts w:ascii="Times New Roman;serif" w:hAnsi="Times New Roman;serif"/>
          <w:b w:val="false"/>
          <w:color w:val="000000"/>
          <w:sz w:val="22"/>
        </w:rPr>
        <w:t xml:space="preserve">. There is entered against the Borrower one or more final judgments or orders for the payment of money in an aggregate amount (as to all such judgments or orders) exceeding the Threshold Amount (to the extent not covered by independent third-party insurance as to which the insurer has been notified of the claim and does not dispute coverage), and (i) enforcement proceedings are commenced by any creditor upon such judgment or order, or (ii) there is a period of ten consecutive days during which a stay of enforcement of such judgment, by reason of a pending appeal or otherwise, is not in effect; or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ERISA</w:t>
      </w:r>
      <w:r>
        <w:rPr>
          <w:rFonts w:ascii="Times New Roman;serif" w:hAnsi="Times New Roman;serif"/>
          <w:b w:val="false"/>
          <w:color w:val="000000"/>
          <w:sz w:val="22"/>
        </w:rPr>
        <w:t>. (i) An ERISA Event occurs with respect to a Pension Plan or Multiemployer Plan which has resulted or could reasonably be expected to result in liability of the Borrower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(j) </w:t>
      </w:r>
      <w:r>
        <w:rPr>
          <w:rFonts w:ascii="Times New Roman;serif" w:hAnsi="Times New Roman;serif"/>
          <w:b w:val="false"/>
          <w:color w:val="000000"/>
          <w:sz w:val="22"/>
          <w:u w:val="single"/>
        </w:rPr>
        <w:t>Invalidity of Loan Documents</w:t>
      </w:r>
      <w:r>
        <w:rPr>
          <w:rFonts w:ascii="Times New Roman;serif" w:hAnsi="Times New Roman;serif"/>
          <w:b w:val="false"/>
          <w:color w:val="000000"/>
          <w:sz w:val="22"/>
        </w:rPr>
        <w:t>. Any provision of any Loan Document, at any time after its execution and delivery and for any reason other than as expressly permitted hereunder or thereunder or satisfaction in full of all the Obligations, ceases to be in full force and effect or ceases to give the Administrative Agent any material part of the Liens purported to be created thereby; or the Borrower or any other Person contests in any manner the validity or enforceability of any provision of any Loan Document; or the Borrower denies that it has any or further liability or obligation under any provision of any Loan Document, or purports to revoke, terminate or rescind any Loan Document; or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(k) </w:t>
      </w:r>
      <w:r>
        <w:rPr>
          <w:rFonts w:ascii="Times New Roman;serif" w:hAnsi="Times New Roman;serif"/>
          <w:b w:val="false"/>
          <w:color w:val="000000"/>
          <w:sz w:val="22"/>
          <w:u w:val="single"/>
        </w:rPr>
        <w:t>Change of Control</w:t>
      </w:r>
      <w:r>
        <w:rPr>
          <w:rFonts w:ascii="Times New Roman;serif" w:hAnsi="Times New Roman;serif"/>
          <w:b w:val="false"/>
          <w:color w:val="000000"/>
          <w:sz w:val="22"/>
        </w:rPr>
        <w:t>. There occurs any Change of Control; or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(l) </w:t>
      </w:r>
      <w:r>
        <w:rPr>
          <w:rFonts w:ascii="Times New Roman;serif" w:hAnsi="Times New Roman;serif"/>
          <w:b w:val="false"/>
          <w:color w:val="000000"/>
          <w:sz w:val="22"/>
          <w:u w:val="single"/>
        </w:rPr>
        <w:t>Invalidity of Subordination Provisions</w:t>
      </w:r>
      <w:r>
        <w:rPr>
          <w:rFonts w:ascii="Times New Roman;serif" w:hAnsi="Times New Roman;serif"/>
          <w:b w:val="false"/>
          <w:color w:val="000000"/>
          <w:sz w:val="22"/>
        </w:rPr>
        <w:t>. The subordination provisions of the Management Fee Subordination Agreement shall, in whole or in part, terminate, cease to be effective or cease to be legally valid, binding and enforceable against any holder of the applicable subordinated obligations covered thereby.</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erif" w:hAnsi="Times New Roman;serif"/>
          <w:b w:val="false"/>
          <w:color w:val="000000"/>
          <w:sz w:val="22"/>
        </w:rPr>
        <w:t>8.02    </w:t>
      </w:r>
      <w:r>
        <w:rPr>
          <w:rFonts w:ascii="Times New Roman;serif" w:hAnsi="Times New Roman;serif"/>
          <w:b w:val="false"/>
          <w:color w:val="000000"/>
          <w:sz w:val="22"/>
          <w:u w:val="single"/>
        </w:rPr>
        <w:t>Remedies Upon Event of Default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any Event of Default occurs and is continuing, the Administrative Agent shall, at the request of, or may, with the consent of, the Required Lenders, take any or all of the following actions: </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declare the commitment of each Lender to make Loans and any obligation of the L/C Issuer to make L/C Credit Extensions to be terminated, whereupon such commitments and obligations shall be terminated; </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99" name="Frame2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require that the Borrower Cash Collateralize the L/C Obligations (in an amount equal to the Minimum Collateral Amount with respect thereto);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exercise on behalf of itself, the Lenders and the L/C Issuer all rights and remedies available to it, the Lenders and the L/C Issuer under the Loan Documents or applicable Law or at equity;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upon the occurrence of an actual or deemed entry of an order for relief with respect to the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8.03    </w:t>
      </w:r>
      <w:r>
        <w:rPr>
          <w:rFonts w:ascii="Times New Roman;serif" w:hAnsi="Times New Roman;serif"/>
          <w:b w:val="false"/>
          <w:color w:val="000000"/>
          <w:sz w:val="22"/>
          <w:u w:val="single"/>
        </w:rPr>
        <w:t>Application of Funds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After the exercise of remedies provided for in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(or after the Loans have automatically become immediately due and payable and the L/C Obligations have automatically been required to be Cash Collateralized as set forth in the proviso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xml:space="preserve">), any amounts received on account of the Obligations shall, subject to the provisions of </w:t>
      </w:r>
      <w:r>
        <w:rPr>
          <w:rFonts w:ascii="Times New Roman;serif" w:hAnsi="Times New Roman;serif"/>
          <w:b w:val="false"/>
          <w:color w:val="000000"/>
          <w:sz w:val="22"/>
          <w:u w:val="single"/>
        </w:rPr>
        <w:t>Sections 2.14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2.15</w:t>
      </w:r>
      <w:r>
        <w:rPr>
          <w:rFonts w:ascii="Times New Roman;serif" w:hAnsi="Times New Roman;serif"/>
          <w:b w:val="false"/>
          <w:color w:val="000000"/>
          <w:sz w:val="22"/>
        </w:rPr>
        <w:t>, be applied by the Administrative Agent in the following order: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payment of that portion of the Obligations constituting fees, indemnities, expenses and other amounts (including fees, charges and disbursements of counsel to the Administrative Agent and amounts payable under </w:t>
      </w:r>
      <w:r>
        <w:rPr>
          <w:rFonts w:ascii="Times New Roman;serif" w:hAnsi="Times New Roman;serif"/>
          <w:b w:val="false"/>
          <w:color w:val="000000"/>
          <w:sz w:val="22"/>
          <w:u w:val="single"/>
        </w:rPr>
        <w:t>Article III</w:t>
      </w:r>
      <w:r>
        <w:rPr>
          <w:rFonts w:ascii="Times New Roman;serif" w:hAnsi="Times New Roman;serif"/>
          <w:b w:val="false"/>
          <w:color w:val="000000"/>
          <w:sz w:val="22"/>
        </w:rPr>
        <w:t>) payable to the Administrative Agent in its capacity as such;</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and amounts payable under </w:t>
      </w:r>
      <w:r>
        <w:rPr>
          <w:rFonts w:ascii="Times New Roman;serif" w:hAnsi="Times New Roman;serif"/>
          <w:b w:val="false"/>
          <w:color w:val="000000"/>
          <w:sz w:val="22"/>
          <w:u w:val="single"/>
        </w:rPr>
        <w:t>Article III</w:t>
      </w:r>
      <w:r>
        <w:rPr>
          <w:rFonts w:ascii="Times New Roman;serif" w:hAnsi="Times New Roman;serif"/>
          <w:b w:val="false"/>
          <w:color w:val="000000"/>
          <w:sz w:val="22"/>
        </w:rPr>
        <w:t xml:space="preserve">), ratably among them in proportion to the respective amounts described in this clause </w:t>
      </w:r>
      <w:r>
        <w:rPr>
          <w:rFonts w:ascii="Times New Roman;serif" w:hAnsi="Times New Roman;serif"/>
          <w:b w:val="false"/>
          <w:color w:val="000000"/>
          <w:sz w:val="22"/>
          <w:u w:val="single"/>
        </w:rPr>
        <w:t>Second</w:t>
      </w:r>
      <w:r>
        <w:rPr>
          <w:color w:val="000000"/>
        </w:rPr>
        <w:t xml:space="preserve"> </w:t>
      </w:r>
      <w:r>
        <w:rPr>
          <w:rFonts w:ascii="Times New Roman;serif" w:hAnsi="Times New Roman;serif"/>
          <w:b w:val="false"/>
          <w:color w:val="000000"/>
          <w:sz w:val="22"/>
        </w:rPr>
        <w:t>payable to them;</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to payment of that portion of the Obligations constituting accrued and unpaid Letter of Credit Fees and interest on the Loans and L/C Borrowings, ratably among the Lenders and the L/C Issuer in proportion to the respective amounts described in this clause </w:t>
      </w:r>
      <w:r>
        <w:rPr>
          <w:rFonts w:ascii="Times New Roman;serif" w:hAnsi="Times New Roman;serif"/>
          <w:b w:val="false"/>
          <w:color w:val="000000"/>
          <w:sz w:val="22"/>
          <w:u w:val="single"/>
        </w:rPr>
        <w:t>Third</w:t>
      </w:r>
      <w:r>
        <w:rPr>
          <w:color w:val="000000"/>
        </w:rPr>
        <w:t xml:space="preserve"> </w:t>
      </w:r>
      <w:r>
        <w:rPr>
          <w:rFonts w:ascii="Times New Roman;serif" w:hAnsi="Times New Roman;serif"/>
          <w:b w:val="false"/>
          <w:color w:val="000000"/>
          <w:sz w:val="22"/>
        </w:rPr>
        <w:t>payable to them;</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to (a) payment of that portion of the Obligations constituting unpaid principal of the Loans and L/C Borrowings, (b) payment of Obligations then owing under any Secured Hedge Agreements, (c) payment of Obligations then owing under any Secured Cash Management Agreements and (d) Cash Collateralize that portion of L/C Obligations comprised of the aggregate undrawn amount of Letters of Credit, ratably among the Lenders, the L/C Issuer, the Hedge Banks and the Cash Management Banks in proportion to the respective amounts described in this clause </w:t>
      </w:r>
      <w:r>
        <w:rPr>
          <w:rFonts w:ascii="Times New Roman;serif" w:hAnsi="Times New Roman;serif"/>
          <w:b w:val="false"/>
          <w:color w:val="000000"/>
          <w:sz w:val="22"/>
          <w:u w:val="single"/>
        </w:rPr>
        <w:t>Fourth</w:t>
      </w:r>
      <w:r>
        <w:rPr>
          <w:color w:val="000000"/>
        </w:rPr>
        <w:t xml:space="preserve"> </w:t>
      </w:r>
      <w:r>
        <w:rPr>
          <w:rFonts w:ascii="Times New Roman;serif" w:hAnsi="Times New Roman;serif"/>
          <w:b w:val="false"/>
          <w:color w:val="000000"/>
          <w:sz w:val="22"/>
        </w:rPr>
        <w:t>payable to them; and</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300" name="Frame3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u w:val="single"/>
        </w:rPr>
        <w:t>Last</w:t>
      </w:r>
      <w:r>
        <w:rPr>
          <w:rFonts w:ascii="Times New Roman;serif" w:hAnsi="Times New Roman;serif"/>
          <w:b w:val="false"/>
          <w:color w:val="000000"/>
          <w:sz w:val="22"/>
        </w:rPr>
        <w:t>, the balance, if any, after all of the Obligations have been indefeasibly paid in full, to the Borrower or as otherwise required by Law.</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Sections 2.03(c)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2.14</w:t>
      </w:r>
      <w:r>
        <w:rPr>
          <w:rFonts w:ascii="Times New Roman;serif" w:hAnsi="Times New Roman;serif"/>
          <w:b w:val="false"/>
          <w:color w:val="000000"/>
          <w:sz w:val="22"/>
        </w:rPr>
        <w:t xml:space="preserve">, amounts used to Cash Collateralize the aggregate undrawn amount of Letters of Credit pursuant to clause </w:t>
      </w:r>
      <w:r>
        <w:rPr>
          <w:rFonts w:ascii="Times New Roman;serif" w:hAnsi="Times New Roman;serif"/>
          <w:b w:val="false"/>
          <w:color w:val="000000"/>
          <w:sz w:val="22"/>
          <w:u w:val="single"/>
        </w:rPr>
        <w:t>Fourth</w:t>
      </w:r>
      <w:r>
        <w:rPr>
          <w:color w:val="000000"/>
        </w:rPr>
        <w:t xml:space="preserve"> </w:t>
      </w:r>
      <w:r>
        <w:rPr>
          <w:rFonts w:ascii="Times New Roman;serif" w:hAnsi="Times New Roman;serif"/>
          <w:b w:val="false"/>
          <w:color w:val="000000"/>
          <w:sz w:val="22"/>
        </w:rPr>
        <w:t>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Notwithstanding the foregoing,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for itself and its Affiliates as if a “Lender” party hereto.</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30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IX </w:t>
      </w:r>
    </w:p>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ADMINISTRATIVE AGENT</w:t>
      </w:r>
    </w:p>
    <w:p>
      <w:pPr>
        <w:pStyle w:val="TextBody"/>
        <w:bidi w:val="0"/>
        <w:spacing w:before="180" w:after="283"/>
        <w:jc w:val="center"/>
        <w:rPr/>
      </w:pPr>
      <w:r>
        <w:rPr/>
      </w:r>
    </w:p>
    <w:p>
      <w:pPr>
        <w:pStyle w:val="TextBody"/>
        <w:bidi w:val="0"/>
        <w:spacing w:lineRule="auto" w:line="288" w:before="0" w:after="0"/>
        <w:jc w:val="both"/>
        <w:rPr/>
      </w:pPr>
      <w:r>
        <w:rPr>
          <w:rFonts w:ascii="Times New Roman;serif" w:hAnsi="Times New Roman;serif"/>
          <w:b w:val="false"/>
          <w:color w:val="000000"/>
          <w:sz w:val="22"/>
        </w:rPr>
        <w:t>9.01    </w:t>
      </w:r>
      <w:r>
        <w:rPr>
          <w:rFonts w:ascii="Times New Roman;serif" w:hAnsi="Times New Roman;serif"/>
          <w:b w:val="false"/>
          <w:color w:val="000000"/>
          <w:sz w:val="22"/>
          <w:u w:val="single"/>
        </w:rPr>
        <w:t>Appointment and Authority</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Lenders and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the Borrower and its Subsidiaries shall have no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The Administrative Agent shall also act as the “</w:t>
      </w:r>
      <w:r>
        <w:rPr>
          <w:rFonts w:ascii="Times New Roman;serif" w:hAnsi="Times New Roman;serif"/>
          <w:b w:val="false"/>
          <w:color w:val="000000"/>
          <w:sz w:val="22"/>
          <w:u w:val="single"/>
        </w:rPr>
        <w:t>collateral agent</w:t>
      </w:r>
      <w:r>
        <w:rPr>
          <w:color w:val="000000"/>
        </w:rPr>
        <w:t xml:space="preserve">” </w:t>
      </w:r>
      <w:r>
        <w:rPr>
          <w:rFonts w:ascii="Times New Roman;serif" w:hAnsi="Times New Roman;serif"/>
          <w:b w:val="false"/>
          <w:color w:val="000000"/>
          <w:sz w:val="22"/>
        </w:rPr>
        <w:t xml:space="preserve">under the Loan Documents, and each of the Lenders (in its capacities as a Lender, Swing Line Lender (if applicable), potential Hedge Banks and potential Cash Management Banks) and the L/C Issuer hereby irrevocably appoints and authorizes the Administrative Agent to act as the agent of such Lender and the L/C Issuer for purposes of acquiring, holding and enforcing any and all Liens on Collateral,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serif" w:hAnsi="Times New Roman;serif"/>
          <w:b w:val="false"/>
          <w:color w:val="000000"/>
          <w:sz w:val="22"/>
          <w:u w:val="single"/>
        </w:rPr>
        <w:t>Section 9.05</w:t>
      </w:r>
      <w:r>
        <w:rPr>
          <w:color w:val="000000"/>
        </w:rPr>
        <w:t xml:space="preserve"> </w:t>
      </w:r>
      <w:r>
        <w:rPr>
          <w:rFonts w:ascii="Times New Roman;serif" w:hAnsi="Times New Roman;serif"/>
          <w:b w:val="false"/>
          <w:color w:val="000000"/>
          <w:sz w:val="22"/>
        </w:rPr>
        <w:t xml:space="preserve">for purposes of holding or enforcing any Lien on the Collateral (or any portion </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301" name="Frame3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thereof) granted under the Collateral Documents, or for exercising any rights and remedies thereunder at the direction of the Administrative Agent, shall be entitled to the benefits of all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 xml:space="preserve">(including </w:t>
      </w:r>
      <w:r>
        <w:rPr>
          <w:rFonts w:ascii="Times New Roman;serif" w:hAnsi="Times New Roman;serif"/>
          <w:b w:val="false"/>
          <w:color w:val="000000"/>
          <w:sz w:val="22"/>
          <w:u w:val="single"/>
        </w:rPr>
        <w:t>Section 10.04(c)</w:t>
      </w:r>
      <w:r>
        <w:rPr>
          <w:rFonts w:ascii="Times New Roman;serif" w:hAnsi="Times New Roman;serif"/>
          <w:b w:val="false"/>
          <w:color w:val="000000"/>
          <w:sz w:val="22"/>
        </w:rPr>
        <w:t>, as though such co-agents, sub-agents and attorneys-in-fact were the “collateral agent” under the Loan Documents) as if set forth in full herein with respect thereto.</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9.02    </w:t>
      </w:r>
      <w:r>
        <w:rPr>
          <w:rFonts w:ascii="Times New Roman;serif" w:hAnsi="Times New Roman;serif"/>
          <w:b w:val="false"/>
          <w:color w:val="000000"/>
          <w:sz w:val="22"/>
          <w:u w:val="single"/>
        </w:rPr>
        <w:t>Rights as a Lender</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or to provide notice to, or obtain consent of, the Lenders with respect thereto.</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9.03    </w:t>
      </w:r>
      <w:r>
        <w:rPr>
          <w:rFonts w:ascii="Times New Roman;serif" w:hAnsi="Times New Roman;serif"/>
          <w:b w:val="false"/>
          <w:color w:val="000000"/>
          <w:sz w:val="22"/>
          <w:u w:val="single"/>
        </w:rPr>
        <w:t>Exculpatory Provisions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Neither the Administrative Agent nor any Arranger shall have any duties or obligations except those expressly set forth herein and in the other Loan Documents, and its duties hereunder shall be administrative in nature. Without limiting the generality of the foregoing, neither the Administrative Agent nor any Arranger: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shall be subject to any fiduciary or other implied duties, regardless of whether a Default has occurred and is continuing;</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(b) shall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shall have any duty or responsibility to disclose, and shall not be liable for the failure to disclose, to any Lender or the L/C Issuer any credit or other information concerning the business, prospects, operations, property, financial and other condition or creditworthiness of any of the Borrower or any of its Affiliates that is communicated to, or in the possession of, the Administrative Agent, any Arranger or any of their Related Parties in any capacity, except for notices, reports and other documents expressly required to be furnished to the Lenders by the Administrative Agent herein.</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Neither the Administrative Agent nor any of its Related Parties shall be liable for any action taken or not taken by the Administrative Agent or any of its Related Parties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302" name="Frame3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circumstances as provided in </w:t>
      </w:r>
      <w:r>
        <w:rPr>
          <w:rFonts w:ascii="Times New Roman;serif" w:hAnsi="Times New Roman;serif"/>
          <w:b w:val="false"/>
          <w:color w:val="000000"/>
          <w:sz w:val="22"/>
          <w:u w:val="single"/>
        </w:rPr>
        <w:t>Sections 10.01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8.02</w:t>
      </w:r>
      <w:r>
        <w:rPr>
          <w:rFonts w:ascii="Times New Roman;serif" w:hAnsi="Times New Roman;serif"/>
          <w:b w:val="false"/>
          <w:color w:val="000000"/>
          <w:sz w:val="22"/>
        </w:rPr>
        <w:t>)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in writing to the Administrative Agent by the Borrower, a Lender or the L/C Issuer.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or elsewhere herein, other than to confirm receipt of items expressly required to be delivered to the Administrative Agent.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9.04    </w:t>
      </w:r>
      <w:r>
        <w:rPr>
          <w:rFonts w:ascii="Times New Roman;serif" w:hAnsi="Times New Roman;serif"/>
          <w:b w:val="false"/>
          <w:color w:val="000000"/>
          <w:sz w:val="22"/>
          <w:u w:val="single"/>
        </w:rPr>
        <w:t>Reliance by Administrative Agent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extension, renewal or increase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9.05    </w:t>
      </w:r>
      <w:r>
        <w:rPr>
          <w:rFonts w:ascii="Times New Roman;serif" w:hAnsi="Times New Roman;serif"/>
          <w:b w:val="false"/>
          <w:color w:val="000000"/>
          <w:sz w:val="22"/>
          <w:u w:val="single"/>
        </w:rPr>
        <w:t>Delegation of Duties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Administrative Agent may perform any and all of its duties and exercise its rights and powers hereunder or under any other Loan Document by or through any one or more sub</w:t>
        <w:noBreakHyphen/>
        <w:t>agents appointed by the Administrative Agent. The Administrative Agent and any such sub</w:t>
        <w:noBreakHyphen/>
        <w:t>agent may perform any and all of its duties and exercise its rights and powers by or through their respective Related Parties. The exculpatory provisions of this Article shall apply to any such sub</w:t>
        <w:noBreakHyphen/>
        <w:t>agent and to the Related Parties of the Administrative Agent and any such sub</w:t>
        <w:noBreakHyphen/>
        <w:t xml:space="preserve">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 appealable </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303" name="Frame3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judgment that the Administrative Agent acted with gross negligence or willful misconduct in the selection of such sub-agents.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9.06    </w:t>
      </w:r>
      <w:r>
        <w:rPr>
          <w:rFonts w:ascii="Times New Roman;serif" w:hAnsi="Times New Roman;serif"/>
          <w:b w:val="false"/>
          <w:color w:val="000000"/>
          <w:sz w:val="22"/>
          <w:u w:val="single"/>
        </w:rPr>
        <w:t>Resignation of Administrative Agent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 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days after the retiring Administrative Agent gives notice of its resignation (or such earlier day as shall be agreed by the Required Lenders) (the “</w:t>
      </w:r>
      <w:r>
        <w:rPr>
          <w:rFonts w:ascii="Times New Roman;serif" w:hAnsi="Times New Roman;serif"/>
          <w:b w:val="false"/>
          <w:color w:val="000000"/>
          <w:sz w:val="22"/>
          <w:u w:val="single"/>
        </w:rPr>
        <w:t>Resignation Effective Date</w:t>
      </w:r>
      <w:r>
        <w:rPr>
          <w:color w:val="000000"/>
        </w:rPr>
        <w:t>”</w:t>
      </w:r>
      <w:r>
        <w:rPr>
          <w:rFonts w:ascii="Times New Roman;serif" w:hAnsi="Times New Roman;serif"/>
          <w:b w:val="false"/>
          <w:color w:val="000000"/>
          <w:sz w:val="22"/>
        </w:rPr>
        <w:t xml:space="preserve">), then the retiring Administrative Agent may (but shall not be obligated to) on behalf of the Lenders and the L/C Issuer, appoint a successor Administrative Agent meeting the qualifications set forth 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any such successor Administrative Agent be a Defaulting Lender. Whether or not a successor has been appointed, such resignation shall become effective in accordance with such notice on the Resignation Effective Date.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If the Person serving as Administrative Agent is a Defaulting Lender pursuant to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days (or such earlier day as shall be agreed by the Required Lenders) (the “</w:t>
      </w:r>
      <w:r>
        <w:rPr>
          <w:rFonts w:ascii="Times New Roman;serif" w:hAnsi="Times New Roman;serif"/>
          <w:b w:val="false"/>
          <w:color w:val="000000"/>
          <w:sz w:val="22"/>
          <w:u w:val="single"/>
        </w:rPr>
        <w:t>Removal Effective Date</w:t>
      </w:r>
      <w:r>
        <w:rPr>
          <w:color w:val="000000"/>
        </w:rPr>
        <w:t>”</w:t>
      </w:r>
      <w:r>
        <w:rPr>
          <w:rFonts w:ascii="Times New Roman;serif" w:hAnsi="Times New Roman;serif"/>
          <w:b w:val="false"/>
          <w:color w:val="000000"/>
          <w:sz w:val="22"/>
        </w:rPr>
        <w:t>), then such removal shall nonetheless become effective in accordance with such notice on the Removal Effective Date.</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(c)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serif" w:hAnsi="Times New Roman;serif"/>
          <w:b w:val="false"/>
          <w:color w:val="000000"/>
          <w:sz w:val="22"/>
          <w:u w:val="single"/>
        </w:rPr>
        <w:t>Section 3.01(g)</w:t>
      </w:r>
      <w:r>
        <w:rPr>
          <w:color w:val="000000"/>
        </w:rPr>
        <w:t xml:space="preserve"> </w:t>
      </w:r>
      <w:r>
        <w:rPr>
          <w:rFonts w:ascii="Times New Roman;serif" w:hAnsi="Times New Roman;serif"/>
          <w:b w:val="false"/>
          <w:color w:val="000000"/>
          <w:sz w:val="22"/>
        </w:rPr>
        <w:t xml:space="preserve">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serif" w:hAnsi="Times New Roman;serif"/>
          <w:b w:val="false"/>
          <w:color w:val="000000"/>
          <w:sz w:val="22"/>
          <w:u w:val="single"/>
        </w:rPr>
        <w:t>Section 10.04</w:t>
      </w:r>
      <w:r>
        <w:rPr>
          <w:color w:val="000000"/>
        </w:rPr>
        <w:t xml:space="preserve"> </w:t>
      </w:r>
      <w:r>
        <w:rPr>
          <w:rFonts w:ascii="Times New Roman;serif" w:hAnsi="Times New Roman;serif"/>
          <w:b w:val="false"/>
          <w:color w:val="000000"/>
          <w:sz w:val="22"/>
        </w:rPr>
        <w:t>shall continue in effect for the benefit of such retiring or removed Administrative Agent, its sub</w:t>
        <w:noBreakHyphen/>
        <w:t xml:space="preserve">agents and their respective Related Parties in respect of any actions taken or omitted to be taken by any of them (i) while the retiring or removed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304" name="Frame3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Any resignation by Bank of America as Administrative Agent pursuant to this Section shall also constitute its resignation as L/C Issuer and Swing Line Lender. If Bank of America resigns as the L/C Issuer, it shall retain all the rights, powers, privileges and duties of the L/C Issuer hereunder with respect to all Letters of Credit issued by it and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serif" w:hAnsi="Times New Roman;serif"/>
          <w:b w:val="false"/>
          <w:color w:val="000000"/>
          <w:sz w:val="22"/>
          <w:u w:val="single"/>
        </w:rPr>
        <w:t>Section 2.04(c)</w:t>
      </w:r>
      <w:r>
        <w:rPr>
          <w:rFonts w:ascii="Times New Roman;serif" w:hAnsi="Times New Roman;serif"/>
          <w:b w:val="false"/>
          <w:color w:val="000000"/>
          <w:sz w:val="22"/>
        </w:rPr>
        <w:t>. Upon the appointment by the Borrower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 (ii) the retiring L/C Issuer and Swing Line Lender shall be discharged from all of their respective duties and obligations hereunder or under the other Loan Documents and (iii) the successor L/C Issuer shall issue letters of credit in substitution for the Letters of Credit, if any, issued by Bank of America and outstanding at the time of such succession or make other arrangements satisfactory to Bank of America to effectively assume the obligations of Bank of America with respect to such Letters of Credit.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9.07    </w:t>
      </w:r>
      <w:r>
        <w:rPr>
          <w:rFonts w:ascii="Times New Roman;serif" w:hAnsi="Times New Roman;serif"/>
          <w:b w:val="false"/>
          <w:color w:val="000000"/>
          <w:sz w:val="22"/>
          <w:u w:val="single"/>
        </w:rPr>
        <w:t>Non-Reliance on Administrative Agent and Other Lenders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Lender and the L/C Issuer acknowledges that neither the Administrative Agent nor any Arranger has made any representation or warranty to it, and that no act by the Administrative Agent or any Arranger hereafter taken, including any consent to, and acceptance of any assignment or review of the affairs of the Borrower or any Affiliate thereof, shall be deemed to constitute any representation or warranty by the Administrative Agent or the Arranger to any Lender or the L/C Issuer as to any matter, including whether the Administrative Agent or any Arranger has disclosed material information in their (or their Related Parties’) possession. Each Lender and the L/C Issuer represents to the Administrative Agent and each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Borrower and its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Administrative Agent, any Arranger,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Borrower. Each Lender and the L/C Issuer represents and warrants that (i) the Loan Documents set forth the terms of a commercial lending facility and (ii) it is engaged in making, acquiring or holding commercial loans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305" name="Frame3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ordinary course and is entering into this Agreement as a Lender or L/C Issuer for the purpose of making, acquiring or holding commercial loans and providing other facilities set forth herein as may be applicable to such Lender or the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9.08    </w:t>
      </w:r>
      <w:r>
        <w:rPr>
          <w:rFonts w:ascii="Times New Roman;serif" w:hAnsi="Times New Roman;serif"/>
          <w:b w:val="false"/>
          <w:color w:val="000000"/>
          <w:sz w:val="22"/>
          <w:u w:val="single"/>
        </w:rPr>
        <w:t>No Other Duties; Etc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Anything herein to the contrary notwithstanding, none of the bookrunners, arrangers, documentation agents, syndication agents or co-agents shall have any powers, duties or responsibilities under this Agreement or any of the other Loan Documents, except in its capacity, as applicable, as the Administrative Agent, a Lender or the L/C Issuer hereunder.</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9.09    </w:t>
      </w:r>
      <w:r>
        <w:rPr>
          <w:rFonts w:ascii="Times New Roman;serif" w:hAnsi="Times New Roman;serif"/>
          <w:b w:val="false"/>
          <w:color w:val="000000"/>
          <w:sz w:val="22"/>
          <w:u w:val="single"/>
        </w:rPr>
        <w:t>Administrative Agent May File Proofs of Claim; Credit Bidding</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of the pendency of any proceeding under any Debtor Relief Law or any other judicial proceeding relative to the Borrower,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serif" w:hAnsi="Times New Roman;serif"/>
          <w:b w:val="false"/>
          <w:color w:val="000000"/>
          <w:sz w:val="22"/>
          <w:u w:val="single"/>
        </w:rPr>
        <w:t>Sections 2.03(h)</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2.03(i)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10.04</w:t>
      </w:r>
      <w:r>
        <w:rPr>
          <w:rFonts w:ascii="Times New Roman;serif" w:hAnsi="Times New Roman;serif"/>
          <w:b w:val="false"/>
          <w:color w:val="000000"/>
          <w:sz w:val="22"/>
        </w:rPr>
        <w:t>) allowed in such judicial proceeding;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to collect and receive any monies or other property payable or deliverable on any such claims and to distribute the same;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serif" w:hAnsi="Times New Roman;serif"/>
          <w:b w:val="false"/>
          <w:color w:val="000000"/>
          <w:sz w:val="22"/>
          <w:u w:val="single"/>
        </w:rPr>
        <w:t>Sections 2.09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10.04</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306" name="Frame3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Issuer to authorize the Administrative Agent to vote in respect of the claim of any Lender or L/C Issuer in any such proceeding.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The holders of the Obligations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the Borrower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holders thereof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and to adopt documents providing for the governance of the acquisition vehicle or vehicles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Lender or any acquisition vehicle to take any further action.</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9.10    </w:t>
      </w:r>
      <w:r>
        <w:rPr>
          <w:rFonts w:ascii="Times New Roman;serif" w:hAnsi="Times New Roman;serif"/>
          <w:b w:val="false"/>
          <w:color w:val="000000"/>
          <w:sz w:val="22"/>
          <w:u w:val="single"/>
        </w:rPr>
        <w:t>Collateral Matters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Without limiting the provisions of </w:t>
      </w:r>
      <w:r>
        <w:rPr>
          <w:rFonts w:ascii="Times New Roman;serif" w:hAnsi="Times New Roman;serif"/>
          <w:b w:val="false"/>
          <w:color w:val="000000"/>
          <w:sz w:val="22"/>
          <w:u w:val="single"/>
        </w:rPr>
        <w:t>Section 9.09</w:t>
      </w:r>
      <w:r>
        <w:rPr>
          <w:rFonts w:ascii="Times New Roman;serif" w:hAnsi="Times New Roman;serif"/>
          <w:b w:val="false"/>
          <w:color w:val="000000"/>
          <w:sz w:val="22"/>
        </w:rPr>
        <w:t xml:space="preserve">, each of the Lenders (including in its capacities as a potential Cash Management Bank and a potential Hedge Bank) and the L/C Issuer irrevocably authorize the Administrative Agent, at its option and in its discretion,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(a) to release any Lien on any property granted to or held by the Administrative Agent under any Loan Document (i) upon the Facility Termination Date, (ii) that is sold or otherwise disposed of as part of or in connection with any sale or other disposition permitted hereunder or under any other Loan Document or any Recovery Event or (iii) as approved in accordance with </w:t>
      </w:r>
      <w:r>
        <w:rPr>
          <w:rFonts w:ascii="Times New Roman;serif" w:hAnsi="Times New Roman;serif"/>
          <w:b w:val="false"/>
          <w:color w:val="000000"/>
          <w:sz w:val="22"/>
          <w:u w:val="single"/>
        </w:rPr>
        <w:t>Section 10.01</w:t>
      </w:r>
      <w:r>
        <w:rPr>
          <w:rFonts w:ascii="Times New Roman;serif" w:hAnsi="Times New Roman;serif"/>
          <w:b w:val="false"/>
          <w:color w:val="000000"/>
          <w:sz w:val="22"/>
        </w:rPr>
        <w:t>; and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(b) to subordinate any Lien on any property granted to or held by the Administrative Agent under any Loan Document to the holder of any Lien on such property that is permitted by </w:t>
      </w:r>
      <w:r>
        <w:rPr>
          <w:rFonts w:ascii="Times New Roman;serif" w:hAnsi="Times New Roman;serif"/>
          <w:b w:val="false"/>
          <w:color w:val="000000"/>
          <w:sz w:val="22"/>
          <w:u w:val="single"/>
        </w:rPr>
        <w:t>Section 7.01(i)</w:t>
      </w:r>
      <w:r>
        <w:rPr>
          <w:rFonts w:ascii="Times New Roman;serif" w:hAnsi="Times New Roman;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260"/>
                <wp:effectExtent l="0" t="0" r="0" b="0"/>
                <wp:wrapNone/>
                <wp:docPr id="307" name="Frame3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Upon request by the Administrative Agent at any time, the Required Lenders will confirm in writing the Administrative Agent’s authority to release or subordinate its interest in particular types or items of property pursuant to this </w:t>
      </w:r>
      <w:r>
        <w:rPr>
          <w:rFonts w:ascii="Times New Roman;serif" w:hAnsi="Times New Roman;serif"/>
          <w:b w:val="false"/>
          <w:color w:val="000000"/>
          <w:sz w:val="22"/>
          <w:u w:val="single"/>
        </w:rPr>
        <w:t>Section 9.10</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Person in connection therewith, nor shall the Administrative Agent be responsible or liable to the Lenders for any failure to monitor or maintain any portion of the Collateral.</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val="false"/>
          <w:color w:val="000000"/>
          <w:sz w:val="22"/>
        </w:rPr>
        <w:t>9.11    </w:t>
      </w:r>
      <w:r>
        <w:rPr>
          <w:rFonts w:ascii="Times New Roman;serif" w:hAnsi="Times New Roman;serif"/>
          <w:b w:val="false"/>
          <w:color w:val="000000"/>
          <w:sz w:val="22"/>
          <w:u w:val="single"/>
        </w:rPr>
        <w:t>Secured Cash Management Agreements and Secured Hedge Agreements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No Cash Management Bank or Hedge Bank that obtains the benefit of </w:t>
      </w:r>
      <w:r>
        <w:rPr>
          <w:rFonts w:ascii="Times New Roman;serif" w:hAnsi="Times New Roman;serif"/>
          <w:b w:val="false"/>
          <w:color w:val="000000"/>
          <w:sz w:val="22"/>
          <w:u w:val="single"/>
        </w:rPr>
        <w:t>Section 8.03</w:t>
      </w:r>
      <w:r>
        <w:rPr>
          <w:color w:val="000000"/>
        </w:rPr>
        <w:t xml:space="preserve"> </w:t>
      </w:r>
      <w:r>
        <w:rPr>
          <w:rFonts w:ascii="Times New Roman;serif" w:hAnsi="Times New Roman;serif"/>
          <w:b w:val="false"/>
          <w:color w:val="000000"/>
          <w:sz w:val="22"/>
        </w:rPr>
        <w:t xml:space="preserve">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any Collateral Document) other than in its capacity as a Lender and, in such case, only to the extent expressly provided in the Loan Documents. Notwithstanding any other provision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to the contrary, the Administrative Agent shall not be required to verify the payment of, or that other satisfactory arrangements have been made with respect to, Obligations arising under Secured Cash Management Agreements and Secured Hedge Agreements except to the extent expressly provided herein and unless the Administrative Agent has received a Secured Party Designation Notice of such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Obligations arising under Secured Cash Management Agreements and Secured Hedge Agreements in the case of the Facility Termination Date.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9.12    </w:t>
      </w:r>
      <w:r>
        <w:rPr>
          <w:rFonts w:ascii="Times New Roman;serif" w:hAnsi="Times New Roman;serif"/>
          <w:b w:val="false"/>
          <w:color w:val="000000"/>
          <w:sz w:val="22"/>
          <w:u w:val="single"/>
        </w:rPr>
        <w:t>ERISA Matters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that at least one of the following is and will be true: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such Lender is not using “plan assets” (within the meaning of 29 CFR § 2510.3-101, as modified by Section 3(42) of ERISA) of one or more Benefit Plans with respect to such Lender’s entrance into, participation in, administration of and performance of the Loans, the Letters of Credit, the Commitments or this Agreement,</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260"/>
                <wp:effectExtent l="0" t="0" r="0" b="0"/>
                <wp:wrapNone/>
                <wp:docPr id="308" name="Frame3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managers), is applicable with respect to such Lender’s entrance into, participation in, administration of and performance of the Loans, the Letters of Credit, the Commitments and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(iv) such other representation, warranty and covenant as may be agreed in writing between the Administrative Agent, in its sole discretion, and such Lender.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In addition, unless either (1) </w:t>
      </w:r>
      <w:r>
        <w:rPr>
          <w:rFonts w:ascii="Times New Roman;serif" w:hAnsi="Times New Roman;serif"/>
          <w:b w:val="false"/>
          <w:color w:val="000000"/>
          <w:sz w:val="22"/>
          <w:u w:val="single"/>
        </w:rPr>
        <w:t>clause (i</w:t>
      </w:r>
      <w:r>
        <w:rPr>
          <w:rFonts w:ascii="Times New Roman;serif" w:hAnsi="Times New Roman;serif"/>
          <w:b w:val="false"/>
          <w:color w:val="000000"/>
          <w:sz w:val="22"/>
        </w:rPr>
        <w:t xml:space="preserve">) in the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is true with respect to a Lender or (2) a Lender has provided another representation, warranty and covenant in accordance with </w:t>
      </w:r>
      <w:r>
        <w:rPr>
          <w:rFonts w:ascii="Times New Roman;serif" w:hAnsi="Times New Roman;serif"/>
          <w:b w:val="false"/>
          <w:color w:val="000000"/>
          <w:sz w:val="22"/>
          <w:u w:val="single"/>
        </w:rPr>
        <w:t>clause (iv</w:t>
      </w:r>
      <w:r>
        <w:rPr>
          <w:rFonts w:ascii="Times New Roman;serif" w:hAnsi="Times New Roman;serif"/>
          <w:b w:val="false"/>
          <w:color w:val="000000"/>
          <w:sz w:val="22"/>
        </w:rPr>
        <w:t xml:space="preserve">) in the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the Administrative Agent</w:t>
      </w:r>
      <w:r>
        <w:rPr>
          <w:color w:val="000000"/>
        </w:rPr>
        <w:t xml:space="preserve"> </w:t>
      </w:r>
      <w:r>
        <w:rPr>
          <w:rFonts w:ascii="Times New Roman;serif" w:hAnsi="Times New Roman;serif"/>
          <w:b w:val="false"/>
          <w:color w:val="000000"/>
          <w:sz w:val="22"/>
        </w:rPr>
        <w:t>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9.13    </w:t>
      </w:r>
      <w:r>
        <w:rPr>
          <w:rFonts w:ascii="Times New Roman;serif" w:hAnsi="Times New Roman;serif"/>
          <w:b w:val="false"/>
          <w:color w:val="000000"/>
          <w:sz w:val="22"/>
          <w:u w:val="single"/>
        </w:rPr>
        <w:t>Recovery of Erroneous Payments</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Without limitation of any other provision in this Agreement, if at any time the Administrative Agent makes a payment hereunder in error to any Lender or the L/C Issuer (the “</w:t>
      </w:r>
      <w:r>
        <w:rPr>
          <w:rFonts w:ascii="Times New Roman;serif" w:hAnsi="Times New Roman;serif"/>
          <w:b w:val="false"/>
          <w:color w:val="000000"/>
          <w:sz w:val="22"/>
          <w:u w:val="single"/>
        </w:rPr>
        <w:t>Credit Party</w:t>
      </w:r>
      <w:r>
        <w:rPr>
          <w:color w:val="000000"/>
        </w:rPr>
        <w:t>”</w:t>
      </w:r>
      <w:r>
        <w:rPr>
          <w:rFonts w:ascii="Times New Roman;serif" w:hAnsi="Times New Roman;serif"/>
          <w:b w:val="false"/>
          <w:color w:val="000000"/>
          <w:sz w:val="22"/>
        </w:rPr>
        <w:t>), whether or not in respect of an Obligation due and owing by the Borrower at such time, where such payment is a Rescindable Amount, then in any such event, each Credit Party receiving a Rescindable Amount severally agrees to repay to the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pStyle w:val="TextBody"/>
        <w:bidi w:val="0"/>
        <w:spacing w:before="0" w:after="0"/>
        <w:jc w:val="both"/>
        <w:rPr/>
      </w:pPr>
      <w:r>
        <w:rPr/>
      </w:r>
    </w:p>
    <w:p>
      <w:pPr>
        <w:pStyle w:val="TextBody"/>
        <w:bidi w:val="0"/>
        <w:spacing w:lineRule="auto" w:line="288" w:before="300" w:after="283"/>
        <w:jc w:val="center"/>
        <w:rPr>
          <w:rFonts w:ascii="Times New Roman;serif" w:hAnsi="Times New Roman;serif"/>
          <w:b w:val="false"/>
          <w:color w:val="000000"/>
          <w:sz w:val="24"/>
        </w:rPr>
      </w:pPr>
      <w:r>
        <w:rPr>
          <w:rFonts w:ascii="Times New Roman;serif" w:hAnsi="Times New Roman;serif"/>
          <w:b w:val="false"/>
          <w:color w:val="000000"/>
          <w:sz w:val="24"/>
        </w:rPr>
        <w:t>ARTICLE X</w:t>
      </w:r>
    </w:p>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MISCELLANEOUS</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260"/>
                <wp:effectExtent l="0" t="0" r="0" b="0"/>
                <wp:wrapNone/>
                <wp:docPr id="309" name="Frame3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2"/>
        </w:rPr>
        <w:t xml:space="preserve">10.01 </w:t>
      </w:r>
      <w:r>
        <w:rPr>
          <w:rFonts w:ascii="Times New Roman;serif" w:hAnsi="Times New Roman;serif"/>
          <w:b w:val="false"/>
          <w:color w:val="000000"/>
          <w:sz w:val="22"/>
          <w:u w:val="single"/>
        </w:rPr>
        <w:t>Amendments, Etc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No amendment or waiver of any provision of this Agreement or any other Loan Document, and no consent to any departure by the Borrower therefrom, shall be effective unless in writing signed by the Required Lenders and the Borrower, and acknowledged by the Administrative Agent, and each such waiver or consent shall be effective only in the specific instance and for the specific purpose for which given;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no such amendment, waiver or consent shall:</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(i) extend or increase the Commitment of any Lender (or reinstate any Commitment terminated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xml:space="preserve">) without the written consent of such Lender (it being understood and agreed that a waiver of any condition precedent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or of any Default or a mandatory reduction in Commitments is not considered an extension or increase in Commitments of any Lender);</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postpone any date fixed by this Agreement or any other Loan Document for any payment (excluding mandatory prepayments) of principal, interest, fees or other amounts due to the Lenders (or any of them) or any scheduled or mandatory reduction of the Commitments hereunder or under any other Loan Document without the written consent of each Lender entitled to receive such payment or whose Commitments are to be reduced;</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(iii) reduce the principal of, or the rate of interest specified herein on, any Loan or L/C Borrowing, or (subject to clause (i) of the final proviso to this </w:t>
      </w:r>
      <w:r>
        <w:rPr>
          <w:rFonts w:ascii="Times New Roman;serif" w:hAnsi="Times New Roman;serif"/>
          <w:b w:val="false"/>
          <w:color w:val="000000"/>
          <w:sz w:val="22"/>
          <w:u w:val="single"/>
        </w:rPr>
        <w:t>Section 10.01</w:t>
      </w:r>
      <w:r>
        <w:rPr>
          <w:rFonts w:ascii="Times New Roman;serif" w:hAnsi="Times New Roman;serif"/>
          <w:b w:val="false"/>
          <w:color w:val="000000"/>
          <w:sz w:val="22"/>
        </w:rPr>
        <w:t>) any fees or other amounts payable hereunder or under any other Loan Document without the written consent of each Lender entitled to receive such amount (it being understood that neither of the following constitutes a reduction in the rate of interest on any Loan or L/C Borrowing or any fees or other amounts: (A) any change to the definition of “Default Rate” or any waiver of any obligation of the Borrower to pay interest or Letter of Credit Fees at the Default Rate or (B) any change to or waiver of any financial covenant hereunder (or any defined term used therein), even if the effect of such change or waiver would be to reduce the rate of interest on any Loan or L/C Borrowing or to reduce any fee payable hereunder);</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(iv) change </w:t>
      </w:r>
      <w:r>
        <w:rPr>
          <w:rFonts w:ascii="Times New Roman;serif" w:hAnsi="Times New Roman;serif"/>
          <w:b w:val="false"/>
          <w:color w:val="000000"/>
          <w:sz w:val="22"/>
          <w:u w:val="single"/>
        </w:rPr>
        <w:t>Section 8.03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in a manner that would alter the pro rata sharing of payments required thereby without the written consent of each Lender directly affected thereby;</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(v) change any provision of this </w:t>
      </w:r>
      <w:r>
        <w:rPr>
          <w:rFonts w:ascii="Times New Roman;serif" w:hAnsi="Times New Roman;serif"/>
          <w:b w:val="false"/>
          <w:color w:val="000000"/>
          <w:sz w:val="22"/>
          <w:u w:val="single"/>
        </w:rPr>
        <w:t>Section 10.01(a)</w:t>
      </w:r>
      <w:r>
        <w:rPr>
          <w:color w:val="000000"/>
        </w:rPr>
        <w:t xml:space="preserve"> </w:t>
      </w:r>
      <w:r>
        <w:rPr>
          <w:rFonts w:ascii="Times New Roman;serif" w:hAnsi="Times New Roman;serif"/>
          <w:b w:val="false"/>
          <w:color w:val="000000"/>
          <w:sz w:val="22"/>
        </w:rPr>
        <w:t xml:space="preserve">or the definition of “Required Lenders” without the written consent of each Lender directly affected thereby; </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(vi) subordinate, or have the effect of subordinating, the Obligations to any other Indebtedness or other obligation or, except as permitted by </w:t>
      </w:r>
      <w:r>
        <w:rPr>
          <w:rFonts w:ascii="Times New Roman;serif" w:hAnsi="Times New Roman;serif"/>
          <w:b w:val="false"/>
          <w:color w:val="000000"/>
          <w:sz w:val="22"/>
          <w:u w:val="single"/>
        </w:rPr>
        <w:t>Section 9.10(b)</w:t>
      </w:r>
      <w:r>
        <w:rPr>
          <w:color w:val="000000"/>
        </w:rPr>
        <w:t xml:space="preserve"> </w:t>
      </w:r>
      <w:r>
        <w:rPr>
          <w:rFonts w:ascii="Times New Roman;serif" w:hAnsi="Times New Roman;serif"/>
          <w:b w:val="false"/>
          <w:color w:val="000000"/>
          <w:sz w:val="22"/>
        </w:rPr>
        <w:t>as in effect on the Closing Date, subordinate, or have the effect of subordinating, the Liens securing the Obligations to Liens securing any other Indebtedness or other obligation, in each case without the written consent of each Lender directly affected thereby;</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(vii) release, or have the effect of releasing all or substantially all of the Collateral without the written consent of each Lender whose Obligations are secured by such Collateral; </w:t>
      </w:r>
    </w:p>
    <w:p>
      <w:pPr>
        <w:pStyle w:val="TextBody"/>
        <w:bidi w:val="0"/>
        <w:spacing w:before="0" w:after="0"/>
        <w:jc w:val="left"/>
        <w:rPr/>
      </w:pPr>
      <w:r>
        <w:rPr/>
      </w:r>
    </w:p>
    <w:p>
      <w:pPr>
        <w:pStyle w:val="TextBody"/>
        <w:bidi w:val="0"/>
        <w:spacing w:lineRule="auto" w:line="288"/>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(viii) release the Borrower without the consent of each Lender; or</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10" name="Frame3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unless also signed by the L/C Issuer, no amendment, waiver or consent shall affect the rights or duties of the L/C Issuer under this Agreement or any Issuer Document relating to any Letter of Credit issued or to be issued by the L/C Issuer;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unless also signed by the Swing Line Lender, no amendment, waiver or consent shall affect the rights or duties of the Swing Line Lender under this Agreement;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unless also signed by the Administrative Agent, no amendment, waiver or consent shall affect the rights or duties of the Administrative Agent under this Agreement or any other Loan Document;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notwithstanding anything to the contrary herein: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the Fee Letter and any Auto Borrow Agreement may be amended, or rights or privileges thereunder waived, in a writing executed only by the parties thereto;</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no Defaulting Lender shall have any right to approve or disapprove any amendment, waiver or consent hereunder (any amendment, waiver or consent which by its terms requires the consent of all Lenders or each affected Lender may be effected with the consent of the applicable Lenders other than Defaulting Lenders), except that (A) the Commitment of such Defaulting Lender may not be increased or extended without the consent of such Lender and (B) any waiver, amendment or modification requiring the consent of all Lenders or each affected Lender that by its terms affects such Defaulting Lender disproportionately adversely relative to other affected Lenders shall require the consent of such Defaulting Lender;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the Required Lenders shall determine whether or not to allow the Borrower to use cash collateral in the context of a bankruptcy or insolvency proceeding and such determination shall be binding on all of the Lenders; and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an Incremental Facility Amendment shall be effective if signed by the Borrower, the Administrative Agent and each Person that agrees to provide a portion of the applicable Incremental Facility, and a Refinancing Amendment shall be effective if signed by the Borrower, the Administrative Agent and each Person that agrees to provide a portion of the applicable Refinancing Loans.</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Notwithstanding any provision herein to the contrary, this Agreement may be amended with the written consent of the Required Lenders, the Administrative Agent and the Borrower (1) to add one or more additional revolving credit or term loan facilities to this Agreement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(2)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260"/>
                <wp:effectExtent l="0" t="0" r="0" b="0"/>
                <wp:wrapNone/>
                <wp:docPr id="311" name="Frame3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Notwithstanding any provision herein to the contrary (x) the Administrative Agent and the Borrower may amend, modify or supplement this Agreement or any other Loan Document to cure or correct administrative errors or omissions, any ambiguity, omission, defect or inconsistency or to effect administrative changes, and such amendment shall become effective without any further consent of any other party to such Loan Document so long as (i) such amendment, modification or supplement does not adversely affect the rights of any Lender or other holder of Obligations in any material respect and (ii)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(y) the Administrative Agent and the Borrower may make amendments contemplated by </w:t>
      </w:r>
      <w:r>
        <w:rPr>
          <w:rFonts w:ascii="Times New Roman;serif" w:hAnsi="Times New Roman;serif"/>
          <w:b w:val="false"/>
          <w:color w:val="000000"/>
          <w:sz w:val="22"/>
          <w:u w:val="single"/>
        </w:rPr>
        <w:t>Section 3.03(c)</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10.02    </w:t>
      </w:r>
      <w:r>
        <w:rPr>
          <w:rFonts w:ascii="Times New Roman;serif" w:hAnsi="Times New Roman;serif"/>
          <w:b w:val="false"/>
          <w:color w:val="000000"/>
          <w:sz w:val="22"/>
          <w:u w:val="single"/>
        </w:rPr>
        <w:t>Notices; Effectiveness; Electronic Communications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Notices Generally</w:t>
      </w:r>
      <w:r>
        <w:rPr>
          <w:rFonts w:ascii="Times New Roman;serif" w:hAnsi="Times New Roman;serif"/>
          <w:b w:val="false"/>
          <w:color w:val="000000"/>
          <w:sz w:val="22"/>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if to the Borrower, the Administrative Agent, the L/C Issuer or the Swing Line Lender, to the address, facsimile number, e-mail address or telephone number specified for such Person on </w:t>
      </w:r>
      <w:r>
        <w:rPr>
          <w:rFonts w:ascii="Times New Roman;serif" w:hAnsi="Times New Roman;serif"/>
          <w:b w:val="false"/>
          <w:color w:val="000000"/>
          <w:sz w:val="22"/>
          <w:u w:val="single"/>
        </w:rPr>
        <w:t>Schedule 10.02</w:t>
      </w:r>
      <w:r>
        <w:rPr>
          <w:rFonts w:ascii="Times New Roman;serif" w:hAnsi="Times New Roman;serif"/>
          <w:b w:val="false"/>
          <w:color w:val="000000"/>
          <w:sz w:val="22"/>
        </w:rPr>
        <w:t xml:space="preserve">; and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if to any other Lender, to the address, facsimile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Notices and other communications sent by hand or overnight courier service, or mailed by certified or registered mail, shall be deemed to have been given when received; notices and other communications sent by facsimile or e-mail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Electronic Communications</w:t>
      </w:r>
      <w:r>
        <w:rPr>
          <w:rFonts w:ascii="Times New Roman;serif" w:hAnsi="Times New Roman;serif"/>
          <w:b w:val="false"/>
          <w:color w:val="000000"/>
          <w:sz w:val="22"/>
        </w:rPr>
        <w:t xml:space="preserve">. Notices and other communications to the Lenders and the L/C Issuer hereunder may be delivered or furnished by electronic communication (including e-mail address, FpML messaging and Internet or intranet websites) pursuant to procedures approved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shall not apply to notices to any Lender or L/C Issuer pursuant to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 xml:space="preserve">if such Lender or L/C Issuer, as applicable, has notified the Administrative Agent that it is incapable of receiving notices under such Article by electronic communication. The Administrative Agent, the Swing Line Lender, the L/C Issuer or the Borrower may each, in its discretion, agree to accept notices and other communications to it hereunder by electronic communications pursuant to procedures approved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approval of such procedures may be limited to particular notices or communications.</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12" name="Frame3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both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rFonts w:ascii="Times New Roman;serif" w:hAnsi="Times New Roman;serif"/>
          <w:b w:val="false"/>
          <w:color w:val="000000"/>
          <w:sz w:val="22"/>
        </w:rPr>
        <w:t>, if such notice, email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The Platform</w:t>
      </w:r>
      <w:r>
        <w:rPr>
          <w:rFonts w:ascii="Times New Roman;serif" w:hAnsi="Times New Roman;serif"/>
          <w:b w:val="false"/>
          <w:color w:val="000000"/>
          <w:sz w:val="22"/>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serif" w:hAnsi="Times New Roman;serif"/>
          <w:b w:val="false"/>
          <w:color w:val="000000"/>
          <w:sz w:val="22"/>
          <w:u w:val="single"/>
        </w:rPr>
        <w:t>Agent Parties</w:t>
      </w:r>
      <w:r>
        <w:rPr>
          <w:color w:val="000000"/>
        </w:rPr>
        <w:t>”</w:t>
      </w:r>
      <w:r>
        <w:rPr>
          <w:rFonts w:ascii="Times New Roman;serif" w:hAnsi="Times New Roman;serif"/>
          <w:b w:val="false"/>
          <w:color w:val="000000"/>
          <w:sz w:val="22"/>
        </w:rPr>
        <w:t>) have any liability to the Borrower, any Lender, the L/C Issuer or any other Person for losses, claims, damages, liabilities or expenses of any kind (whether in tort, contract or otherwise) arising out of the Borrower’s or the Administrative Agent’s transmission of Borrower Materials or any other Information or notices through the Internet, the Platform or any other telecommunications, electronic or other information transmission systems.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Change of Address, Etc</w:t>
      </w:r>
      <w:r>
        <w:rPr>
          <w:rFonts w:ascii="Times New Roman;serif" w:hAnsi="Times New Roman;serif"/>
          <w:b w:val="false"/>
          <w:color w:val="000000"/>
          <w:sz w:val="22"/>
        </w:rPr>
        <w:t>. The Borrower, the Administrative Agent, the L/C Issuer and the Swing Line Lender may change its address, facsimile or telephone number for notices and other communications hereunder by notice to the other parties hereto. Each other Lender may change its address, facsimile or telephone number or e-mail address for notices and other communications hereunder by notice to the Borrower, the Administrative Agent, the L/C Issuer and the Swing Line Lender. In addition, each Lender agrees to notify the Administrative Agent from time to time to ensure that the Administrative Agent has on record (i) an effective address, contact name, telephone number, facsimile number and e-mail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Reliance by Administrative Agent, L/C Issuer and Lenders</w:t>
      </w:r>
      <w:r>
        <w:rPr>
          <w:rFonts w:ascii="Times New Roman;serif" w:hAnsi="Times New Roman;serif"/>
          <w:b w:val="false"/>
          <w:color w:val="000000"/>
          <w:sz w:val="22"/>
        </w:rPr>
        <w:t xml:space="preserve">. The Administrative Agent, the L/C Issuer and the Lenders shall be entitled to rely and act upon any notices (including telephonic or electronic Loan Notices, Letter of Credit Applications and Swing Line Loan Notices) purportedly given by or on behalf of the Borrower even if (i) such notices were not made in a manner specified herein, were </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13" name="Frame3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incomplete or were not preceded or followed by any other form of notice specified herein, or (ii) the terms thereof, as understood by the recipient, varied from any confirmation thereof. The Borrower shall indemnify the Administrative Agent, the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10.03    </w:t>
      </w:r>
      <w:r>
        <w:rPr>
          <w:rFonts w:ascii="Times New Roman;serif" w:hAnsi="Times New Roman;serif"/>
          <w:b w:val="false"/>
          <w:color w:val="000000"/>
          <w:sz w:val="22"/>
          <w:u w:val="single"/>
        </w:rPr>
        <w:t>No Waiver; Cumulative Remedies; Enforcement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for the benefit of all the Lenders and the L/C Issuer;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serif" w:hAnsi="Times New Roman;serif"/>
          <w:b w:val="false"/>
          <w:color w:val="000000"/>
          <w:sz w:val="22"/>
          <w:u w:val="single"/>
        </w:rPr>
        <w:t>Section 10.08</w:t>
      </w:r>
      <w:r>
        <w:rPr>
          <w:color w:val="000000"/>
        </w:rPr>
        <w:t xml:space="preserve"> </w:t>
      </w:r>
      <w:r>
        <w:rPr>
          <w:rFonts w:ascii="Times New Roman;serif" w:hAnsi="Times New Roman;serif"/>
          <w:b w:val="false"/>
          <w:color w:val="000000"/>
          <w:sz w:val="22"/>
        </w:rPr>
        <w:t xml:space="preserve">(subject to the terms of </w:t>
      </w:r>
      <w:r>
        <w:rPr>
          <w:rFonts w:ascii="Times New Roman;serif" w:hAnsi="Times New Roman;serif"/>
          <w:b w:val="false"/>
          <w:color w:val="000000"/>
          <w:sz w:val="22"/>
          <w:u w:val="single"/>
        </w:rPr>
        <w:t>Section 2.13</w:t>
      </w:r>
      <w:r>
        <w:rPr>
          <w:rFonts w:ascii="Times New Roman;serif" w:hAnsi="Times New Roman;serif"/>
          <w:b w:val="false"/>
          <w:color w:val="000000"/>
          <w:sz w:val="22"/>
        </w:rPr>
        <w:t xml:space="preserve">), or (d) any Lender from filing proofs of claim or appearing and filing pleadings on its own behalf during the pendency of a proceeding relative to the Borrower under any Debtor Relief Law;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and (ii) in addition to the matters set forth in clauses (b), (c) and (d) of the preceding proviso and subject to </w:t>
      </w:r>
      <w:r>
        <w:rPr>
          <w:rFonts w:ascii="Times New Roman;serif" w:hAnsi="Times New Roman;serif"/>
          <w:b w:val="false"/>
          <w:color w:val="000000"/>
          <w:sz w:val="22"/>
          <w:u w:val="single"/>
        </w:rPr>
        <w:t>Section 2.13</w:t>
      </w:r>
      <w:r>
        <w:rPr>
          <w:rFonts w:ascii="Times New Roman;serif" w:hAnsi="Times New Roman;serif"/>
          <w:b w:val="false"/>
          <w:color w:val="000000"/>
          <w:sz w:val="22"/>
        </w:rPr>
        <w:t>, any Lender may, with the consent of the Required Lenders, enforce any rights and remedies available to it and as authorized by the Required Lenders.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10.04    </w:t>
      </w:r>
      <w:r>
        <w:rPr>
          <w:rFonts w:ascii="Times New Roman;serif" w:hAnsi="Times New Roman;serif"/>
          <w:b w:val="false"/>
          <w:color w:val="000000"/>
          <w:sz w:val="22"/>
          <w:u w:val="single"/>
        </w:rPr>
        <w:t>Expenses; Indemnity; Damage Waiver</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Costs and Expenses</w:t>
      </w:r>
      <w:r>
        <w:rPr>
          <w:rFonts w:ascii="Times New Roman;serif" w:hAnsi="Times New Roman;serif"/>
          <w:b w:val="false"/>
          <w:color w:val="000000"/>
          <w:sz w:val="22"/>
        </w:rPr>
        <w:t>. The Borrower shall pay (i) all reasonable and documented out</w:t>
        <w:noBreakHyphen/>
        <w:t>of</w:t>
        <w:noBreakHyphen/>
        <w:t>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w:t>
        <w:noBreakHyphen/>
        <w:t>of</w:t>
        <w:noBreakHyphen/>
        <w:t>pocket expenses incurred by the L/C Issuer in connection with the issuance, amendment, renewal or extension of any Letter of Credit or any demand for payment thereunder and (iii) all reasonable and documented out</w:t>
        <w:noBreakHyphen/>
        <w:t>of</w:t>
        <w:noBreakHyphen/>
        <w:t xml:space="preserve">pocket expenses </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14" name="Frame3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incurred by the Administrative Agent, any Lender or the L/C Issuer (without duplication) (including the reasonable and documented fees, charges and disbursements of any counsel for the Administrative Agent, any Lender or the L/C Issuer), and shall pay all fees and time charges for attorneys who may be employees of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reasonable and documented out</w:t>
        <w:noBreakHyphen/>
        <w:t>of</w:t>
        <w:noBreakHyphen/>
        <w:t>pocket expenses incurred during any workout, restructuring or negotiations in respect of such Loans or Letters of Credit.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Indemnification by the Borrower</w:t>
      </w:r>
      <w:r>
        <w:rPr>
          <w:rFonts w:ascii="Times New Roman;serif" w:hAnsi="Times New Roman;serif"/>
          <w:b w:val="false"/>
          <w:color w:val="000000"/>
          <w:sz w:val="22"/>
        </w:rPr>
        <w:t>. The Borrower shall indemnify the Administrative Agent (and any sub-agent thereof), each Lender and the L/C Issuer, and each Related Party of any of the foregoing Persons (each such Person being called an “</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Borrower)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Subsidiary, or any Environmental Liability related in any way to the Borrower or any Subsidiary, or (iv) any actual or prospective claim, litigation, investigation or proceeding relating to any of the foregoing, whether based on contract, tort or any other theory, whether brought by a third party or by the Borrower, and regardless of whether any Indemnitee is a party thereto;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indemnity shall not, as to any Indemnitee, be available to the extent that such losses, claims, damages, liabilities or related expenses (I) are determined by a court of competent jurisdiction by final and nonappealable judgment to have resulted from the gross negligence or willful misconduct of such Indemnitee or (II) arise from any dispute solely among the Indemnitees (other than any claims (A) against any Indemnitee in its capacity or in fulfilling its role as an Arranger, the Administrative Agent or any similar role or (B) arising out of any act or omission on the part of the Borrower and its Subsidiaries). Without limiting the provisions of </w:t>
      </w:r>
      <w:r>
        <w:rPr>
          <w:rFonts w:ascii="Times New Roman;serif" w:hAnsi="Times New Roman;serif"/>
          <w:b w:val="false"/>
          <w:color w:val="000000"/>
          <w:sz w:val="22"/>
          <w:u w:val="single"/>
        </w:rPr>
        <w:t>Section 3.01(c)</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10.04(b)</w:t>
      </w:r>
      <w:r>
        <w:rPr>
          <w:color w:val="000000"/>
        </w:rPr>
        <w:t xml:space="preserve"> </w:t>
      </w:r>
      <w:r>
        <w:rPr>
          <w:rFonts w:ascii="Times New Roman;serif" w:hAnsi="Times New Roman;serif"/>
          <w:b w:val="false"/>
          <w:color w:val="000000"/>
          <w:sz w:val="22"/>
        </w:rPr>
        <w:t xml:space="preserve">shall not apply with respect to Taxes other than any Taxes that represent losses, claims, damages, etc. arising from any non-Tax claim. Any Indemnitee shall promptly refund an indemnification payment received hereunder to the extent that there is a final judicial determination that such Indemnitee was not entitled to indemnification with respect to such payment pursuant to this </w:t>
      </w:r>
      <w:r>
        <w:rPr>
          <w:rFonts w:ascii="Times New Roman;serif" w:hAnsi="Times New Roman;serif"/>
          <w:b w:val="false"/>
          <w:color w:val="000000"/>
          <w:sz w:val="22"/>
          <w:u w:val="single"/>
        </w:rPr>
        <w:t>Section 10.04</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Reimbursement by Lenders</w:t>
      </w:r>
      <w:r>
        <w:rPr>
          <w:rFonts w:ascii="Times New Roman;serif" w:hAnsi="Times New Roman;serif"/>
          <w:b w:val="false"/>
          <w:color w:val="000000"/>
          <w:sz w:val="22"/>
        </w:rPr>
        <w:t xml:space="preserve">. To the extent that the Borrower for any reason fails to indefeasibly pay any amount required under </w:t>
      </w:r>
      <w:r>
        <w:rPr>
          <w:rFonts w:ascii="Times New Roman;serif" w:hAnsi="Times New Roman;serif"/>
          <w:b w:val="false"/>
          <w:color w:val="000000"/>
          <w:sz w:val="22"/>
          <w:u w:val="single"/>
        </w:rPr>
        <w:t>subsection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this Section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Exposures of all Lenders at such </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15" name="Frame3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w:t>
      </w:r>
      <w:r>
        <w:rPr>
          <w:rFonts w:ascii="Times New Roman;serif" w:hAnsi="Times New Roman;serif"/>
          <w:b w:val="false"/>
          <w:color w:val="000000"/>
          <w:sz w:val="22"/>
          <w:u w:val="single"/>
        </w:rPr>
        <w:t>subsection (c)</w:t>
      </w:r>
      <w:r>
        <w:rPr>
          <w:color w:val="000000"/>
        </w:rPr>
        <w:t xml:space="preserve"> </w:t>
      </w:r>
      <w:r>
        <w:rPr>
          <w:rFonts w:ascii="Times New Roman;serif" w:hAnsi="Times New Roman;serif"/>
          <w:b w:val="false"/>
          <w:color w:val="000000"/>
          <w:sz w:val="22"/>
        </w:rPr>
        <w:t xml:space="preserve">are subject to the provisions of </w:t>
      </w:r>
      <w:r>
        <w:rPr>
          <w:rFonts w:ascii="Times New Roman;serif" w:hAnsi="Times New Roman;serif"/>
          <w:b w:val="false"/>
          <w:color w:val="000000"/>
          <w:sz w:val="22"/>
          <w:u w:val="single"/>
        </w:rPr>
        <w:t>Section 2.12(d)</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Waiver of Consequential Damages, Etc.</w:t>
      </w:r>
      <w:r>
        <w:rPr>
          <w:color w:val="000000"/>
        </w:rPr>
        <w:t xml:space="preserve"> </w:t>
      </w:r>
      <w:r>
        <w:rPr>
          <w:rFonts w:ascii="Times New Roman;serif" w:hAnsi="Times New Roman;serif"/>
          <w:b w:val="false"/>
          <w:color w:val="000000"/>
          <w:sz w:val="22"/>
        </w:rPr>
        <w:t>To the fullest extent permitted by applicable Law, the Borrower shall not assert, and the Borrower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Payments</w:t>
      </w:r>
      <w:r>
        <w:rPr>
          <w:rFonts w:ascii="Times New Roman;serif" w:hAnsi="Times New Roman;serif"/>
          <w:b w:val="false"/>
          <w:color w:val="000000"/>
          <w:sz w:val="22"/>
        </w:rPr>
        <w:t>. All amounts due under this Section shall be payable not later than ten Business Days after demand therefor.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The agreements in this Section and the indemnity provisions of </w:t>
      </w:r>
      <w:r>
        <w:rPr>
          <w:rFonts w:ascii="Times New Roman;serif" w:hAnsi="Times New Roman;serif"/>
          <w:b w:val="false"/>
          <w:color w:val="000000"/>
          <w:sz w:val="22"/>
          <w:u w:val="single"/>
        </w:rPr>
        <w:t>Section 10.02(e)</w:t>
      </w:r>
      <w:r>
        <w:rPr>
          <w:color w:val="000000"/>
        </w:rPr>
        <w:t xml:space="preserve"> </w:t>
      </w:r>
      <w:r>
        <w:rPr>
          <w:rFonts w:ascii="Times New Roman;serif" w:hAnsi="Times New Roman;serif"/>
          <w:b w:val="false"/>
          <w:color w:val="000000"/>
          <w:sz w:val="22"/>
        </w:rPr>
        <w:t xml:space="preserve">shall survive the resignation of the Administrative Agent, the L/C Issuer and the Swing Line Lender, the replacement of any Lender, the termination of the Commitments and the repayment, satisfaction or discharge of all the other Obligations.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10.05    </w:t>
      </w:r>
      <w:r>
        <w:rPr>
          <w:rFonts w:ascii="Times New Roman;serif" w:hAnsi="Times New Roman;serif"/>
          <w:b w:val="false"/>
          <w:color w:val="000000"/>
          <w:sz w:val="22"/>
          <w:u w:val="single"/>
        </w:rPr>
        <w:t>Payments Set Aside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the extent that any payment by or on behalf of the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316"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10.06    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Successors and Assigns Generally</w:t>
      </w:r>
      <w:r>
        <w:rPr>
          <w:rFonts w:ascii="Times New Roman;serif" w:hAnsi="Times New Roman;serif"/>
          <w:b w:val="false"/>
          <w:color w:val="000000"/>
          <w:sz w:val="22"/>
        </w:rPr>
        <w:t>. The provisions of this Agreement and the other Loan Documents shall be binding upon and inure to the benefit of the parties hereto and thereto and their respective successors and assigns permitted hereby, except that the Borrower may not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Assignments by Lenders</w:t>
      </w:r>
      <w:r>
        <w:rPr>
          <w:rFonts w:ascii="Times New Roman;serif" w:hAnsi="Times New Roman;serif"/>
          <w:b w:val="false"/>
          <w:color w:val="000000"/>
          <w:sz w:val="22"/>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in Swing Line Loans) at the time owing to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assignment shall be subject to the following conditions:</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Minimum Amounts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(A) in the case of an assignment of the entire remaining amount of the assigning Lender’s Commitment and the related Loans at the time owing to it (in each case with respect to any credit facility provided hereunder) or contemporaneous assignments to related Approved Funds that equal at least the amount specified in </w:t>
      </w:r>
      <w:r>
        <w:rPr>
          <w:rFonts w:ascii="Times New Roman;serif" w:hAnsi="Times New Roman;serif"/>
          <w:b w:val="false"/>
          <w:color w:val="000000"/>
          <w:sz w:val="22"/>
          <w:u w:val="single"/>
        </w:rPr>
        <w:t>subsection (b)(i)(B)</w:t>
      </w:r>
      <w:r>
        <w:rPr>
          <w:color w:val="000000"/>
        </w:rPr>
        <w:t xml:space="preserve"> </w:t>
      </w:r>
      <w:r>
        <w:rPr>
          <w:rFonts w:ascii="Times New Roman;serif" w:hAnsi="Times New Roman;serif"/>
          <w:b w:val="false"/>
          <w:color w:val="000000"/>
          <w:sz w:val="22"/>
        </w:rPr>
        <w:t>of this Section in the aggregate or in the case of an assignment to a Lender, an Affiliate of a Lender or an Approved Fund, no minimum amount need be assigned; and</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(B) in any case not described in </w:t>
      </w:r>
      <w:r>
        <w:rPr>
          <w:rFonts w:ascii="Times New Roman;serif" w:hAnsi="Times New Roman;serif"/>
          <w:b w:val="false"/>
          <w:color w:val="000000"/>
          <w:sz w:val="22"/>
          <w:u w:val="single"/>
        </w:rPr>
        <w:t>subsection (b)(i)(A)</w:t>
      </w:r>
      <w:r>
        <w:rPr>
          <w:color w:val="000000"/>
        </w:rPr>
        <w:t xml:space="preserve"> </w:t>
      </w:r>
      <w:r>
        <w:rPr>
          <w:rFonts w:ascii="Times New Roman;serif" w:hAnsi="Times New Roman;serif"/>
          <w:b w:val="false"/>
          <w:color w:val="000000"/>
          <w:sz w:val="22"/>
        </w:rPr>
        <w:t>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any revolving credit facility provided hereunder and $5,000,000 in the case of any assignment in respect of any term loan facility provided hereunder, unless each of the Administrative Agent and, so long as no Event of Default has occurred and is continuing, the Borrower otherwise consents (each such consent not to be unreasonably withheld or delayed).</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(ii) </w:t>
      </w:r>
      <w:r>
        <w:rPr>
          <w:rFonts w:ascii="Times New Roman;serif" w:hAnsi="Times New Roman;serif"/>
          <w:b w:val="false"/>
          <w:color w:val="000000"/>
          <w:sz w:val="22"/>
          <w:u w:val="single"/>
        </w:rPr>
        <w:t>Proportionate Amounts</w:t>
      </w:r>
      <w:r>
        <w:rPr>
          <w:rFonts w:ascii="Times New Roman;serif" w:hAnsi="Times New Roman;serif"/>
          <w:b w:val="false"/>
          <w:color w:val="000000"/>
          <w:sz w:val="22"/>
        </w:rPr>
        <w:t>. Each partial assignment shall be made as an assignment of a proportionate part of all the assigning Lender’s Loans and Commitments, and rights and obligations with respect thereto assigned, except that this clause (ii) shall not (A) apply to the Swing Line Lender’s rights and obligations in respect of Swing Line Loans or (B) prohibit any Lender from assigning all or a portion of its rights and obligations among any revolving credit facility or term loan facility provided hereunder on a non-pro rata basis;</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17"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(iii) </w:t>
      </w:r>
      <w:r>
        <w:rPr>
          <w:rFonts w:ascii="Times New Roman;serif" w:hAnsi="Times New Roman;serif"/>
          <w:b w:val="false"/>
          <w:color w:val="000000"/>
          <w:sz w:val="22"/>
          <w:u w:val="single"/>
        </w:rPr>
        <w:t>Required Consents</w:t>
      </w:r>
      <w:r>
        <w:rPr>
          <w:rFonts w:ascii="Times New Roman;serif" w:hAnsi="Times New Roman;serif"/>
          <w:b w:val="false"/>
          <w:color w:val="000000"/>
          <w:sz w:val="22"/>
        </w:rPr>
        <w:t>. No consent shall be required for any assignment except to the extent required by subsection (b)(i)(B) of this Section and, in addition:</w:t>
      </w:r>
    </w:p>
    <w:p>
      <w:pPr>
        <w:pStyle w:val="TextBody"/>
        <w:bidi w:val="0"/>
        <w:spacing w:before="0" w:after="0"/>
        <w:jc w:val="left"/>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2"/>
        </w:rPr>
        <w:t xml:space="preserve">(A) the consent of the Borrower (such consent not to be unreasonably withheld or delayed (it being agreed that withholding consent for any requirement by the Borrower to obtain consent of or filing with any Governmental Authority shall be reasonable)) shall be required unless (1) an Event of Default has occurred and is continuing at the time of such assignment or (2) such assignment is to a Lender, an Affiliate of a Lender or an Approved Fund;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be deemed to have consented to any such assignment unless it shall object thereto by written notice to the Administrative Agent within five (5) Business Days after having received notice thereof;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the Borrower’s consent shall not be required during the primary syndication of the credit facilities provided herein;</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(B) the consent of the Administrative Agent (such consent not to be unreasonably withheld or delayed) shall be required for assignments in respect of (1) any unfunded commitment to a term loan facility provided hereunder or any Revolving Commitment if such assignment is to a Person that is not a Lender with a Commitment in respect of the applicable credit facility subject to such assignment, an Affiliate of such Lender or an Approved Fund with respect to such Lender or (2) any term loan facility to a Person that is not a Lender, an Affiliate of a Lender or an Approved Fund; and</w:t>
      </w:r>
    </w:p>
    <w:p>
      <w:pPr>
        <w:pStyle w:val="TextBody"/>
        <w:bidi w:val="0"/>
        <w:spacing w:before="0" w:after="0"/>
        <w:jc w:val="left"/>
        <w:rPr/>
      </w:pPr>
      <w:r>
        <w:rPr/>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(C) the consent of the L/C Issuer and the Swing Line Lender shall be required for any assignment in respect of Revolving Loans and Revolving Commitments.</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(iv) </w:t>
      </w:r>
      <w:r>
        <w:rPr>
          <w:rFonts w:ascii="Times New Roman;serif" w:hAnsi="Times New Roman;serif"/>
          <w:b w:val="false"/>
          <w:color w:val="000000"/>
          <w:sz w:val="22"/>
          <w:u w:val="single"/>
        </w:rPr>
        <w:t>Assignment and Assumption</w:t>
      </w:r>
      <w:r>
        <w:rPr>
          <w:rFonts w:ascii="Times New Roman;serif" w:hAnsi="Times New Roman;serif"/>
          <w:b w:val="false"/>
          <w:color w:val="000000"/>
          <w:sz w:val="22"/>
        </w:rPr>
        <w:t xml:space="preserve">. The parties to each assignment shall execute and deliver to the Administrative Agent an Assignment and Assumption, together with a processing and recordation fee in the amount of $3,500;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(v) </w:t>
      </w:r>
      <w:r>
        <w:rPr>
          <w:rFonts w:ascii="Times New Roman;serif" w:hAnsi="Times New Roman;serif"/>
          <w:b w:val="false"/>
          <w:color w:val="000000"/>
          <w:sz w:val="22"/>
          <w:u w:val="single"/>
        </w:rPr>
        <w:t>No Assignment to Certain Persons</w:t>
      </w:r>
      <w:r>
        <w:rPr>
          <w:rFonts w:ascii="Times New Roman;serif" w:hAnsi="Times New Roman;serif"/>
          <w:b w:val="false"/>
          <w:color w:val="000000"/>
          <w:sz w:val="22"/>
        </w:rPr>
        <w:t>. No such assignment shall be made (A) to the Borrower or any of the Borrower’s Affiliates or Subsidiaries,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one or more natural Persons).</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(vi) </w:t>
      </w:r>
      <w:r>
        <w:rPr>
          <w:rFonts w:ascii="Times New Roman;serif" w:hAnsi="Times New Roman;serif"/>
          <w:b w:val="false"/>
          <w:color w:val="000000"/>
          <w:sz w:val="22"/>
          <w:u w:val="single"/>
        </w:rPr>
        <w:t>Certain Additional Payments</w:t>
      </w:r>
      <w:r>
        <w:rPr>
          <w:rFonts w:ascii="Times New Roman;serif" w:hAnsi="Times New Roman;serif"/>
          <w:b w:val="false"/>
          <w:color w:val="000000"/>
          <w:sz w:val="22"/>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18" name="Frame3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2"/>
          <w:u w:val="single"/>
        </w:rPr>
        <w:t>Sections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10.04</w:t>
      </w:r>
      <w:r>
        <w:rPr>
          <w:color w:val="000000"/>
        </w:rPr>
        <w:t xml:space="preserve"> </w:t>
      </w:r>
      <w:r>
        <w:rPr>
          <w:rFonts w:ascii="Times New Roman;serif" w:hAnsi="Times New Roman;serif"/>
          <w:b w:val="false"/>
          <w:color w:val="000000"/>
          <w:sz w:val="22"/>
        </w:rPr>
        <w:t xml:space="preserve">with respect to facts and circumstances occurring prior to the effective date of such assignment);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Register</w:t>
      </w:r>
      <w:r>
        <w:rPr>
          <w:rFonts w:ascii="Times New Roman;serif" w:hAnsi="Times New Roman;serif"/>
          <w:b w:val="false"/>
          <w:color w:val="000000"/>
          <w:sz w:val="22"/>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Participations</w:t>
      </w:r>
      <w:r>
        <w:rPr>
          <w:rFonts w:ascii="Times New Roman;serif" w:hAnsi="Times New Roman;serif"/>
          <w:b w:val="false"/>
          <w:color w:val="000000"/>
          <w:sz w:val="22"/>
        </w:rPr>
        <w:t>. 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serif" w:hAnsi="Times New Roman;serif"/>
          <w:b w:val="false"/>
          <w:color w:val="000000"/>
          <w:sz w:val="22"/>
          <w:u w:val="single"/>
        </w:rPr>
        <w:t>Section 10.04(c)</w:t>
      </w:r>
      <w:r>
        <w:rPr>
          <w:color w:val="000000"/>
        </w:rPr>
        <w:t xml:space="preserve"> </w:t>
      </w:r>
      <w:r>
        <w:rPr>
          <w:rFonts w:ascii="Times New Roman;serif" w:hAnsi="Times New Roman;serif"/>
          <w:b w:val="false"/>
          <w:color w:val="000000"/>
          <w:sz w:val="22"/>
        </w:rPr>
        <w:t>without regard to the existence of any participation.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19"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agreement or instrument may provide that such Lender will not, without the consent of the Participant, agree to any amendment, waiver or other modification described in </w:t>
      </w:r>
      <w:r>
        <w:rPr>
          <w:rFonts w:ascii="Times New Roman;serif" w:hAnsi="Times New Roman;serif"/>
          <w:b w:val="false"/>
          <w:color w:val="000000"/>
          <w:sz w:val="22"/>
          <w:u w:val="single"/>
        </w:rPr>
        <w:t>Section 10.01(a)</w:t>
      </w:r>
      <w:r>
        <w:rPr>
          <w:color w:val="000000"/>
        </w:rPr>
        <w:t xml:space="preserve"> </w:t>
      </w:r>
      <w:r>
        <w:rPr>
          <w:rFonts w:ascii="Times New Roman;serif" w:hAnsi="Times New Roman;serif"/>
          <w:b w:val="false"/>
          <w:color w:val="000000"/>
          <w:sz w:val="22"/>
        </w:rPr>
        <w:t xml:space="preserve">that affects such Participant. The Borrower agrees that each Participant shall be entitled to the benefits of </w:t>
      </w:r>
      <w:r>
        <w:rPr>
          <w:rFonts w:ascii="Times New Roman;serif" w:hAnsi="Times New Roman;serif"/>
          <w:b w:val="false"/>
          <w:color w:val="000000"/>
          <w:sz w:val="22"/>
          <w:u w:val="single"/>
        </w:rPr>
        <w:t>Sections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 xml:space="preserve">to the same extent as if it were a Lender and had acquired its interest by assignment pursuant to </w:t>
      </w:r>
      <w:r>
        <w:rPr>
          <w:rFonts w:ascii="Times New Roman;serif" w:hAnsi="Times New Roman;serif"/>
          <w:b w:val="false"/>
          <w:color w:val="000000"/>
          <w:sz w:val="22"/>
          <w:u w:val="single"/>
        </w:rPr>
        <w:t>subsection (b)</w:t>
      </w:r>
      <w:r>
        <w:rPr>
          <w:color w:val="000000"/>
        </w:rPr>
        <w:t xml:space="preserve"> </w:t>
      </w:r>
      <w:r>
        <w:rPr>
          <w:rFonts w:ascii="Times New Roman;serif" w:hAnsi="Times New Roman;serif"/>
          <w:b w:val="false"/>
          <w:color w:val="000000"/>
          <w:sz w:val="22"/>
        </w:rPr>
        <w:t xml:space="preserve">of this Section (it being understood that the documentation required under </w:t>
      </w:r>
      <w:r>
        <w:rPr>
          <w:rFonts w:ascii="Times New Roman;serif" w:hAnsi="Times New Roman;serif"/>
          <w:b w:val="false"/>
          <w:color w:val="000000"/>
          <w:sz w:val="22"/>
          <w:u w:val="single"/>
        </w:rPr>
        <w:t>Section 3.01(e)</w:t>
      </w:r>
      <w:r>
        <w:rPr>
          <w:color w:val="000000"/>
        </w:rPr>
        <w:t xml:space="preserve"> </w:t>
      </w:r>
      <w:r>
        <w:rPr>
          <w:rFonts w:ascii="Times New Roman;serif" w:hAnsi="Times New Roman;serif"/>
          <w:b w:val="false"/>
          <w:color w:val="000000"/>
          <w:sz w:val="22"/>
        </w:rPr>
        <w:t xml:space="preserve">shall be delivered to the Lender who sells the participation);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Participant (A) agrees to be subject to the provisions of </w:t>
      </w:r>
      <w:r>
        <w:rPr>
          <w:rFonts w:ascii="Times New Roman;serif" w:hAnsi="Times New Roman;serif"/>
          <w:b w:val="false"/>
          <w:color w:val="000000"/>
          <w:sz w:val="22"/>
          <w:u w:val="single"/>
        </w:rPr>
        <w:t>Sections 3.06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10.13</w:t>
      </w:r>
      <w:r>
        <w:rPr>
          <w:color w:val="000000"/>
        </w:rPr>
        <w:t xml:space="preserve"> </w:t>
      </w:r>
      <w:r>
        <w:rPr>
          <w:rFonts w:ascii="Times New Roman;serif" w:hAnsi="Times New Roman;serif"/>
          <w:b w:val="false"/>
          <w:color w:val="000000"/>
          <w:sz w:val="22"/>
        </w:rPr>
        <w:t xml:space="preserve">as if it were an assignee under paragraph (b) of this Section and (B) shall not be entitled to receive any greater payment under </w:t>
      </w:r>
      <w:r>
        <w:rPr>
          <w:rFonts w:ascii="Times New Roman;serif" w:hAnsi="Times New Roman;serif"/>
          <w:b w:val="false"/>
          <w:color w:val="000000"/>
          <w:sz w:val="22"/>
          <w:u w:val="single"/>
        </w:rPr>
        <w:t>Sections 3.01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serif" w:hAnsi="Times New Roman;serif"/>
          <w:b w:val="false"/>
          <w:color w:val="000000"/>
          <w:sz w:val="22"/>
          <w:u w:val="single"/>
        </w:rPr>
        <w:t>Section 3.06</w:t>
      </w:r>
      <w:r>
        <w:rPr>
          <w:color w:val="000000"/>
        </w:rPr>
        <w:t xml:space="preserve"> </w:t>
      </w:r>
      <w:r>
        <w:rPr>
          <w:rFonts w:ascii="Times New Roman;serif" w:hAnsi="Times New Roman;serif"/>
          <w:b w:val="false"/>
          <w:color w:val="000000"/>
          <w:sz w:val="22"/>
        </w:rPr>
        <w:t xml:space="preserve">with respect to any Participant. To the extent permitted by Law, each Participant also shall be entitled to the benefits of </w:t>
      </w:r>
      <w:r>
        <w:rPr>
          <w:rFonts w:ascii="Times New Roman;serif" w:hAnsi="Times New Roman;serif"/>
          <w:b w:val="false"/>
          <w:color w:val="000000"/>
          <w:sz w:val="22"/>
          <w:u w:val="single"/>
        </w:rPr>
        <w:t>Section 10.08</w:t>
      </w:r>
      <w:r>
        <w:rPr>
          <w:color w:val="000000"/>
        </w:rPr>
        <w:t xml:space="preserve"> </w:t>
      </w:r>
      <w:r>
        <w:rPr>
          <w:rFonts w:ascii="Times New Roman;serif" w:hAnsi="Times New Roman;serif"/>
          <w:b w:val="false"/>
          <w:color w:val="000000"/>
          <w:sz w:val="22"/>
        </w:rPr>
        <w:t xml:space="preserve">as though it were a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Participant agrees to be subject to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88" w:before="180" w:after="283"/>
        <w:ind w:left="0" w:right="0" w:firstLine="72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Certain Pledges</w:t>
      </w:r>
      <w:r>
        <w:rPr>
          <w:rFonts w:ascii="Times New Roman;serif" w:hAnsi="Times New Roman;serif"/>
          <w:b w:val="false"/>
          <w:color w:val="000000"/>
          <w:sz w:val="22"/>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pledge or assignment shall release such Lender from any of its obligations hereunder or substitute any such pledgee or assignee for such Lender as a party hereto.</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Resignation as L/C Issuer or Swing Line Lender after Assignment</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 xml:space="preserve">(i) Notwithstanding anything to the contrary contained herein, if at any time Bank of America assigns all of its Revolving Commitment and Revolving Loans pursuant to subsection (b) above, it may, upon thirty days’ notice to the Borrower and the Lenders, resign as the L/C Issuer. In the event of any such resignation as the L/C Issuer, the Borrower shall be entitled to appoint from among the Lenders a successor L/C Issuer hereunder;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no failure by the Borrower to appoint any such successor shall affect the resignation of Bank of America as L/C Issuer. If Bank of America resigns as the L/C Issuer, it shall retain all the rights, powers, privileges and duties of the L/C Issuer hereunder with respect to all Letters of Credit issued by it and outstanding as of the effective date of its resignation as L/C Issuer and all L/C Obligations with respect thereto (including the right to require the Lenders to make </w:t>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20" name="Frame3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Base Rate Loans or fund risk participations in Unreimbursed Amounts pursuant to </w:t>
      </w:r>
      <w:r>
        <w:rPr>
          <w:rFonts w:ascii="Times New Roman;serif" w:hAnsi="Times New Roman;serif"/>
          <w:b w:val="false"/>
          <w:color w:val="000000"/>
          <w:sz w:val="22"/>
          <w:u w:val="single"/>
        </w:rPr>
        <w:t>Section 2.03(c)</w:t>
      </w:r>
      <w:r>
        <w:rPr>
          <w:rFonts w:ascii="Times New Roman;serif" w:hAnsi="Times New Roman;serif"/>
          <w:b w:val="false"/>
          <w:color w:val="000000"/>
          <w:sz w:val="22"/>
        </w:rPr>
        <w:t>). Upon the appointment of a successor L/C Issuer, (1) such successor shall succeed to and become vested with all of the rights, powers, privileges and duties of the retiring L/C Issuer and (2) the successor L/C Issuer shall issue letters of credit in substitution for the Letters of Credit, if any, issued by the retiring L/C Issuer and outstanding at the time of such succession or make other arrangements satisfactory to the retiring L/C Issuer to effectively assume the obligations of the retiring L/C Issuer with respect to such Letters of Credit.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(ii) Notwithstanding anything to the contrary contained herein, if at any time Bank of America assigns all of its Revolving Commitment and Revolving Loans pursuant to subsection (b) above, Bank of America may, upon thirty days’ notice to the Borrower, resign as Swing Line Lender. In the event of any such resignation as Swing Line Lender, the Borrower shall be entitled to appoint from among the Lenders a successor Swing Line Lender hereunder;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no failure by the Borrower to appoint any such successor shall affect the resignation of Bank of America as Swing Line Lender.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serif" w:hAnsi="Times New Roman;serif"/>
          <w:b w:val="false"/>
          <w:color w:val="000000"/>
          <w:sz w:val="22"/>
          <w:u w:val="single"/>
        </w:rPr>
        <w:t>Section 2.04(c)</w:t>
      </w:r>
      <w:r>
        <w:rPr>
          <w:rFonts w:ascii="Times New Roman;serif" w:hAnsi="Times New Roman;serif"/>
          <w:b w:val="false"/>
          <w:color w:val="000000"/>
          <w:sz w:val="22"/>
        </w:rPr>
        <w:t>. Upon the appointment of a successor Swing Line Lender, such successor shall succeed to and become vested with all of the rights, powers, privileges and duties of the retiring Swing Line Lender.</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erif" w:hAnsi="Times New Roman;serif"/>
          <w:b w:val="false"/>
          <w:color w:val="000000"/>
          <w:sz w:val="22"/>
        </w:rPr>
        <w:t>10.07    </w:t>
      </w:r>
      <w:r>
        <w:rPr>
          <w:rFonts w:ascii="Times New Roman;serif" w:hAnsi="Times New Roman;serif"/>
          <w:b w:val="false"/>
          <w:color w:val="000000"/>
          <w:sz w:val="22"/>
          <w:u w:val="single"/>
        </w:rPr>
        <w:t>Treatment of Certain Information; Confidentiality</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Treatment of Confidential Information</w:t>
      </w:r>
      <w:r>
        <w:rPr>
          <w:rFonts w:ascii="Times New Roman;serif" w:hAnsi="Times New Roman;serif"/>
          <w:b w:val="false"/>
          <w:color w:val="000000"/>
          <w:sz w:val="22"/>
        </w:rPr>
        <w:t xml:space="preserve">. Each of the Administrative Agent, the Lenders and the L/C Issuer agrees to maintain the confidentiality of the Information (as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provided that, unless specifically prohibited by applicable law or court order, the Administrative Agent, the Lenders and the L/C Issuer, as applicable, shall notify the Borrower (to the extent practicable) of any request by any Governmental Authority or representative thereof (other than any such request in connection with an examination of the financial condition of such Administrative Agent, Lender or L/C Issuer, as applicable, by such Governmental Authority or other examinations of such Administrative Agent, Lenders or L/C Issuer, as applicable by such Governmental Authority) for disclosure of any such non-public information prior to disclosure of such information,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and obligations under this Agreement or any Eligible Assignee invited to become a Lender pursuant to </w:t>
      </w:r>
      <w:r>
        <w:rPr>
          <w:rFonts w:ascii="Times New Roman;serif" w:hAnsi="Times New Roman;serif"/>
          <w:b w:val="false"/>
          <w:color w:val="000000"/>
          <w:sz w:val="22"/>
          <w:u w:val="single"/>
        </w:rPr>
        <w:t>Section 2.01(c)</w:t>
      </w:r>
      <w:r>
        <w:rPr>
          <w:color w:val="000000"/>
        </w:rPr>
        <w:t xml:space="preserve"> </w:t>
      </w:r>
      <w:r>
        <w:rPr>
          <w:rFonts w:ascii="Times New Roman;serif" w:hAnsi="Times New Roman;serif"/>
          <w:b w:val="false"/>
          <w:color w:val="000000"/>
          <w:sz w:val="22"/>
        </w:rPr>
        <w:t xml:space="preserve">or (B) any actual or prospective party (or its Related Parties) to any swap, derivative or other transaction under which payments are to be made by reference to the Borrower and its obligations, this Agreement or payments hereunder, (vii) on a confidential basis to (A) any rating agency in connection with rating the Borrower or its Subsidiaries or the credit facilities provided hereunder or (B) the provider of any Platform or other electronic delivery service used by the Administrative Agent, the L/C Issuer and/or the Swing Line Lender to deliver </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21" name="Frame3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Borrower Materials or notices to the Lenders or (viii) the CUSIP Service Bureau or any similar agency in connection with the application, issuance, publishing and monitoring of CUSIP numbers or other market identifiers with respect to the credit facilities provided hereunder, (ix) with the consent of the Borrower, (x) to the extent such Information (A) becomes publicly available other than as a result of a breach of this Section or (B) becomes available to the Administrative Agent, any Lender, the L/C Issuer or any of their respective Affiliates on a nonconfidential basis from a source other than the Borrower, or (xi) is independently discovered or developed by a party hereto without utilizing any Information received from the Borrower or violating the terms of this </w:t>
      </w:r>
      <w:r>
        <w:rPr>
          <w:rFonts w:ascii="Times New Roman;serif" w:hAnsi="Times New Roman;serif"/>
          <w:b w:val="false"/>
          <w:color w:val="000000"/>
          <w:sz w:val="22"/>
          <w:u w:val="single"/>
        </w:rPr>
        <w:t>Section 10.07</w:t>
      </w:r>
      <w:r>
        <w:rPr>
          <w:rFonts w:ascii="Times New Roman;serif" w:hAnsi="Times New Roman;serif"/>
          <w:b w:val="false"/>
          <w:color w:val="000000"/>
          <w:sz w:val="22"/>
        </w:rPr>
        <w:t>.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For purposes of this Section, “Information”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provided that, in the case of information received from the Borrower or any Subsidiary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Non-Public Information</w:t>
      </w:r>
      <w:r>
        <w:rPr>
          <w:rFonts w:ascii="Times New Roman;serif" w:hAnsi="Times New Roman;serif"/>
          <w:b w:val="false"/>
          <w:color w:val="000000"/>
          <w:sz w:val="22"/>
        </w:rPr>
        <w:t>. Each of the Administrative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Press Releases</w:t>
      </w:r>
      <w:r>
        <w:rPr>
          <w:rFonts w:ascii="Times New Roman;serif" w:hAnsi="Times New Roman;serif"/>
          <w:b w:val="false"/>
          <w:color w:val="000000"/>
          <w:sz w:val="22"/>
        </w:rPr>
        <w:t>. The Borrower and its Affiliates agree that they will not in the future issue any press releases or other public disclosure using the name of the Administrative Agent or any Lender or their respective Affiliates or referring to this Agreement or any of the Loan Documents without the prior consent of the Administrative Agent, unless (and only to the extent that) the Borrower or such Affiliate is required to do so under law and then, in any event the Borrower or such Affiliate will consult with such Person before issuing such press release or other public disclosure.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Customary Advertising Material</w:t>
      </w:r>
      <w:r>
        <w:rPr>
          <w:rFonts w:ascii="Times New Roman;serif" w:hAnsi="Times New Roman;serif"/>
          <w:b w:val="false"/>
          <w:color w:val="000000"/>
          <w:sz w:val="22"/>
        </w:rPr>
        <w:t>. The Borrower consents to the publications by the Administrative Agent of customary advertising material relating to the transactions contemplated hereby using the name, product photographs, logo or trademark of the Borrower.</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10.08    </w:t>
      </w:r>
      <w:r>
        <w:rPr>
          <w:rFonts w:ascii="Times New Roman;serif" w:hAnsi="Times New Roman;serif"/>
          <w:b w:val="false"/>
          <w:color w:val="000000"/>
          <w:sz w:val="22"/>
          <w:u w:val="single"/>
        </w:rPr>
        <w:t>Right of Setoff</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against any and all of the obligations of the Borrower now or hereafter existing under this Agreement or any other Loan Document to such Lender or the L/C Issuer or their respective Affiliates, irrespective of whether or not such Lender, the L/C Issuer or such Affiliate shall have made </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22"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any demand under this Agreement or any other Loan Document and although such obligations of the Borrower may be contingent or unmatured or are owed to a branch, office or Affiliate of such Lender or the L/C Issuer different from the branch, office or Affiliate holding such deposit or obligated on such indebtedness;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failure to give such notice shall not affect the validity of such setoff and application.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10.09    </w:t>
      </w:r>
      <w:r>
        <w:rPr>
          <w:rFonts w:ascii="Times New Roman;serif" w:hAnsi="Times New Roman;serif"/>
          <w:b w:val="false"/>
          <w:color w:val="000000"/>
          <w:sz w:val="22"/>
          <w:u w:val="single"/>
        </w:rPr>
        <w:t>Interest Rate Limitation</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Notwithstanding anything to the contrary contained in any Loan Document, the interest paid or agreed to be paid under the Loan Documents shall not exceed the maximum rate of non-usurious interest permitted by applicable Law (the “</w:t>
      </w:r>
      <w:r>
        <w:rPr>
          <w:rFonts w:ascii="Times New Roman;serif" w:hAnsi="Times New Roman;serif"/>
          <w:b w:val="false"/>
          <w:color w:val="000000"/>
          <w:sz w:val="22"/>
          <w:u w:val="single"/>
        </w:rPr>
        <w:t>Maximum Rate</w:t>
      </w:r>
      <w:r>
        <w:rPr>
          <w:color w:val="000000"/>
        </w:rPr>
        <w:t>”</w:t>
      </w:r>
      <w:r>
        <w:rPr>
          <w:rFonts w:ascii="Times New Roman;serif" w:hAnsi="Times New Roman;serif"/>
          <w:b w:val="false"/>
          <w:color w:val="000000"/>
          <w:sz w:val="22"/>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10.10    </w:t>
      </w:r>
      <w:r>
        <w:rPr>
          <w:rFonts w:ascii="Times New Roman;serif" w:hAnsi="Times New Roman;serif"/>
          <w:b w:val="false"/>
          <w:color w:val="000000"/>
          <w:sz w:val="22"/>
          <w:u w:val="single"/>
        </w:rPr>
        <w:t>Counterparts; Integration; Effectiveness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serif" w:hAnsi="Times New Roman;serif"/>
          <w:b w:val="false"/>
          <w:color w:val="000000"/>
          <w:sz w:val="22"/>
          <w:u w:val="single"/>
        </w:rPr>
        <w:t>Section 4.01</w:t>
      </w:r>
      <w:r>
        <w:rPr>
          <w:rFonts w:ascii="Times New Roman;serif" w:hAnsi="Times New Roman;serif"/>
          <w:b w:val="false"/>
          <w:color w:val="000000"/>
          <w:sz w:val="22"/>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10.11    </w:t>
      </w:r>
      <w:r>
        <w:rPr>
          <w:rFonts w:ascii="Times New Roman;serif" w:hAnsi="Times New Roman;serif"/>
          <w:b w:val="false"/>
          <w:color w:val="000000"/>
          <w:sz w:val="22"/>
          <w:u w:val="single"/>
        </w:rPr>
        <w:t>Survival of Representations and Warranties</w:t>
      </w:r>
      <w:r>
        <w:rPr>
          <w:rFonts w:ascii="Times New Roman;serif" w:hAnsi="Times New Roman;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23" name="Frame3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10.12    </w:t>
      </w:r>
      <w:r>
        <w:rPr>
          <w:rFonts w:ascii="Times New Roman;serif" w:hAnsi="Times New Roman;serif"/>
          <w:b w:val="false"/>
          <w:color w:val="000000"/>
          <w:sz w:val="22"/>
          <w:u w:val="single"/>
        </w:rPr>
        <w:t>Severability</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serif" w:hAnsi="Times New Roman;serif"/>
          <w:b w:val="false"/>
          <w:color w:val="000000"/>
          <w:sz w:val="22"/>
          <w:u w:val="single"/>
        </w:rPr>
        <w:t>Section 10.12</w:t>
      </w:r>
      <w:r>
        <w:rPr>
          <w:rFonts w:ascii="Times New Roman;serif" w:hAnsi="Times New Roman;serif"/>
          <w:b w:val="false"/>
          <w:color w:val="000000"/>
          <w:sz w:val="22"/>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10.13    </w:t>
      </w:r>
      <w:r>
        <w:rPr>
          <w:rFonts w:ascii="Times New Roman;serif" w:hAnsi="Times New Roman;serif"/>
          <w:b w:val="false"/>
          <w:color w:val="000000"/>
          <w:sz w:val="22"/>
          <w:u w:val="single"/>
        </w:rPr>
        <w:t>Replacement of Lenders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If the Borrower is entitled to replace a Lender pursuant to the provisions of </w:t>
      </w:r>
      <w:r>
        <w:rPr>
          <w:rFonts w:ascii="Times New Roman;serif" w:hAnsi="Times New Roman;serif"/>
          <w:b w:val="false"/>
          <w:color w:val="000000"/>
          <w:sz w:val="22"/>
          <w:u w:val="single"/>
        </w:rPr>
        <w:t>Section 3.06</w:t>
      </w:r>
      <w:r>
        <w:rPr>
          <w:rFonts w:ascii="Times New Roman;serif" w:hAnsi="Times New Roman;serif"/>
          <w:b w:val="false"/>
          <w:color w:val="000000"/>
          <w:sz w:val="22"/>
        </w:rPr>
        <w:t>, or</w:t>
      </w:r>
      <w:r>
        <w:rPr>
          <w:color w:val="000000"/>
        </w:rPr>
        <w:t xml:space="preserve"> </w:t>
      </w:r>
      <w:r>
        <w:rPr>
          <w:rFonts w:ascii="Times New Roman;serif" w:hAnsi="Times New Roman;serif"/>
          <w:b w:val="false"/>
          <w:color w:val="000000"/>
          <w:sz w:val="22"/>
        </w:rPr>
        <w:t xml:space="preserve">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serif" w:hAnsi="Times New Roman;serif"/>
          <w:b w:val="false"/>
          <w:color w:val="000000"/>
          <w:sz w:val="22"/>
          <w:u w:val="single"/>
        </w:rPr>
        <w:t>Section 10.06</w:t>
      </w:r>
      <w:r>
        <w:rPr>
          <w:rFonts w:ascii="Times New Roman;serif" w:hAnsi="Times New Roman;serif"/>
          <w:b w:val="false"/>
          <w:color w:val="000000"/>
          <w:sz w:val="22"/>
        </w:rPr>
        <w:t xml:space="preserve">), all of its interests, rights (other than its existing rights to payments pursuant to </w:t>
      </w:r>
      <w:r>
        <w:rPr>
          <w:rFonts w:ascii="Times New Roman;serif" w:hAnsi="Times New Roman;serif"/>
          <w:b w:val="false"/>
          <w:color w:val="000000"/>
          <w:sz w:val="22"/>
          <w:u w:val="single"/>
        </w:rPr>
        <w:t>Sections 3.01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3.04</w:t>
      </w:r>
      <w:r>
        <w:rPr>
          <w:rFonts w:ascii="Times New Roman;serif" w:hAnsi="Times New Roman;serif"/>
          <w:b w:val="false"/>
          <w:color w:val="000000"/>
          <w:sz w:val="22"/>
        </w:rPr>
        <w:t>) and obligations under this Agreement and the related Loan Documents to an Eligible Assignee that shall assume such obligations (which assignee may be another Lender, if a Lender accepts such assignment), provided that: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the Borrower shall have paid to the Administrative Agent the assignment fee (if any) specified in </w:t>
      </w:r>
      <w:r>
        <w:rPr>
          <w:rFonts w:ascii="Times New Roman;serif" w:hAnsi="Times New Roman;serif"/>
          <w:b w:val="false"/>
          <w:color w:val="000000"/>
          <w:sz w:val="22"/>
          <w:u w:val="single"/>
        </w:rPr>
        <w:t>Section 10.06(b)</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serif" w:hAnsi="Times New Roman;serif"/>
          <w:b w:val="false"/>
          <w:color w:val="000000"/>
          <w:sz w:val="22"/>
          <w:u w:val="single"/>
        </w:rPr>
        <w:t>Section 3.05</w:t>
      </w:r>
      <w:r>
        <w:rPr>
          <w:rFonts w:ascii="Times New Roman;serif" w:hAnsi="Times New Roman;serif"/>
          <w:b w:val="false"/>
          <w:color w:val="000000"/>
          <w:sz w:val="22"/>
        </w:rPr>
        <w:t>) from the assignee (to the extent of such outstanding principal and accrued interest and fees) or the Borrower (in the case of all other amounts);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in the case of any such assignment resulting from a claim for compensation under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 xml:space="preserve">or payments required to be made pursuant to </w:t>
      </w:r>
      <w:r>
        <w:rPr>
          <w:rFonts w:ascii="Times New Roman;serif" w:hAnsi="Times New Roman;serif"/>
          <w:b w:val="false"/>
          <w:color w:val="000000"/>
          <w:sz w:val="22"/>
          <w:u w:val="single"/>
        </w:rPr>
        <w:t>Section 3.01</w:t>
      </w:r>
      <w:r>
        <w:rPr>
          <w:rFonts w:ascii="Times New Roman;serif" w:hAnsi="Times New Roman;serif"/>
          <w:b w:val="false"/>
          <w:color w:val="000000"/>
          <w:sz w:val="22"/>
        </w:rPr>
        <w:t>, such assignment will result in a reduction in such compensation or payments thereafter;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such assignment does not conflict with applicable Laws;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4" name="Frame3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in the case of an assignment resulting from a Lender becoming a Non-Consenting Lender, the applicable assignee shall have consented to the applicable amendment, waiver or consent.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10.14    </w:t>
      </w:r>
      <w:r>
        <w:rPr>
          <w:rFonts w:ascii="Times New Roman;serif" w:hAnsi="Times New Roman;serif"/>
          <w:b w:val="false"/>
          <w:color w:val="000000"/>
          <w:sz w:val="22"/>
          <w:u w:val="single"/>
        </w:rPr>
        <w:t>Governing Law; Jurisdiction; Etc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SUBMISSION TO JURISDICTION</w:t>
      </w:r>
      <w:r>
        <w:rPr>
          <w:rFonts w:ascii="Times New Roman;serif" w:hAnsi="Times New Roman;serif"/>
          <w:b w:val="false"/>
          <w:color w:val="000000"/>
          <w:sz w:val="22"/>
        </w:rPr>
        <w:t>. THE BORROWER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ITS PROPERTIES IN THE COURTS OF ANY JURISDICTION.</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WAIVER OF VENUE</w:t>
      </w:r>
      <w:r>
        <w:rPr>
          <w:rFonts w:ascii="Times New Roman;serif" w:hAnsi="Times New Roman;serif"/>
          <w:b w:val="false"/>
          <w:color w:val="000000"/>
          <w:sz w:val="22"/>
        </w:rPr>
        <w:t xml:space="preserv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w:t>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5" name="Frame3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DEFENSE OF AN INCONVENIENT FORUM TO THE MAINTENANCE OF SUCH ACTION OR PROCEEDING IN ANY SUCH COURT.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SERVICE OF PROCESS</w:t>
      </w:r>
      <w:r>
        <w:rPr>
          <w:rFonts w:ascii="Times New Roman;serif" w:hAnsi="Times New Roman;serif"/>
          <w:b w:val="false"/>
          <w:color w:val="000000"/>
          <w:sz w:val="22"/>
        </w:rPr>
        <w:t xml:space="preserve">. EACH PARTY HERETO IRREVOCABLY CONSENTS TO SERVICE OF PROCESS IN THE MANNER PROVIDED FOR NOTICES IN </w:t>
      </w:r>
      <w:r>
        <w:rPr>
          <w:rFonts w:ascii="Times New Roman;serif" w:hAnsi="Times New Roman;serif"/>
          <w:b w:val="false"/>
          <w:color w:val="000000"/>
          <w:sz w:val="22"/>
          <w:u w:val="single"/>
        </w:rPr>
        <w:t>SECTION 10.02</w:t>
      </w:r>
      <w:r>
        <w:rPr>
          <w:rFonts w:ascii="Times New Roman;serif" w:hAnsi="Times New Roman;serif"/>
          <w:b w:val="false"/>
          <w:color w:val="000000"/>
          <w:sz w:val="22"/>
        </w:rPr>
        <w:t>. NOTHING IN THIS AGREEMENT WILL AFFECT THE RIGHT OF ANY PARTY HERETO TO SERVE PROCESS IN ANY OTHER MANNER PERMITTED BY APPLICABLE LAW.</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10.15    </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10.16    </w:t>
      </w:r>
      <w:r>
        <w:rPr>
          <w:rFonts w:ascii="Times New Roman;serif" w:hAnsi="Times New Roman;serif"/>
          <w:b w:val="false"/>
          <w:color w:val="000000"/>
          <w:sz w:val="22"/>
          <w:u w:val="single"/>
        </w:rPr>
        <w:t>No Advisory or Fiduciary Responsibility</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all aspects of each transaction contemplated hereby (including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the Arrangers nor any Lender has any obligation to the Borrower or any of its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and its Affiliates, and neither the Administrative Agent, the Arrangers nor any Lender has any obligation to disclose any of such interests to the Borrower and its Affiliates. To the fullest extent permitted by Law, the Borrower hereby waives and releases any claims that it may have against the Administrative Agent, the Arrangers or any Lender with respect to any breach or alleged breach of agency or fiduciary duty in connection with any aspect of any transaction contemplated hereby.</w:t>
      </w:r>
    </w:p>
    <w:p>
      <w:pPr>
        <w:pStyle w:val="TextBody"/>
        <w:bidi w:val="0"/>
        <w:spacing w:before="0" w:after="0"/>
        <w:ind w:left="0" w:right="0" w:firstLine="720"/>
        <w:jc w:val="both"/>
        <w:rPr/>
      </w:pPr>
      <w:r>
        <w:rPr/>
      </w:r>
    </w:p>
    <w:p>
      <w:pPr>
        <w:pStyle w:val="TextBody"/>
        <w:bidi w:val="0"/>
        <w:spacing w:lineRule="auto" w:line="288"/>
        <w:jc w:val="both"/>
        <w:rPr/>
      </w:pPr>
      <w:r>
        <w:rPr>
          <w:rFonts w:ascii="Times New Roman;serif" w:hAnsi="Times New Roman;serif"/>
          <w:b w:val="false"/>
          <w:color w:val="000000"/>
          <w:sz w:val="22"/>
        </w:rPr>
        <w:t>10.17    </w:t>
      </w:r>
      <w:r>
        <w:rPr>
          <w:rFonts w:ascii="Times New Roman;serif" w:hAnsi="Times New Roman;serif"/>
          <w:b w:val="false"/>
          <w:color w:val="000000"/>
          <w:sz w:val="22"/>
          <w:u w:val="single"/>
        </w:rPr>
        <w:t>Electronic Execution of Assignments and Certain Other Documents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6"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Agreement and any document, amendment, approval, consent, information, notice, certificate, request, statement, disclosure or authorization related to this Agreement (each a “</w:t>
      </w:r>
      <w:r>
        <w:rPr>
          <w:rFonts w:ascii="Times New Roman;serif" w:hAnsi="Times New Roman;serif"/>
          <w:b w:val="false"/>
          <w:color w:val="000000"/>
          <w:sz w:val="22"/>
          <w:u w:val="single"/>
        </w:rPr>
        <w:t>Communication</w:t>
      </w:r>
      <w:r>
        <w:rPr>
          <w:color w:val="000000"/>
        </w:rPr>
        <w:t>”</w:t>
      </w:r>
      <w:r>
        <w:rPr>
          <w:rFonts w:ascii="Times New Roman;serif" w:hAnsi="Times New Roman;serif"/>
          <w:b w:val="false"/>
          <w:color w:val="000000"/>
          <w:sz w:val="22"/>
        </w:rPr>
        <w:t>), including Communications required to be in writing, may be in the form of an Electronic Record and may be executed using Electronic Signatures. The Borrower agrees that any Electronic Signature on or associated with any Communication shall be valid and binding on the Borrower to the same extent as a manual, original signature, and that any Communication entered into by Electronic Signature, will constitute the legal, valid and binding obligation of the Borrower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Administrative Agent and each of the Lenders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Lenders may, at its option, create one or more copies of any Communication in the form of an imaged Electronic Record (“</w:t>
      </w:r>
      <w:r>
        <w:rPr>
          <w:rFonts w:ascii="Times New Roman;serif" w:hAnsi="Times New Roman;serif"/>
          <w:b w:val="false"/>
          <w:color w:val="000000"/>
          <w:sz w:val="22"/>
          <w:u w:val="single"/>
        </w:rPr>
        <w:t>Electronic Copy</w:t>
      </w:r>
      <w:r>
        <w:rPr>
          <w:color w:val="000000"/>
        </w:rPr>
        <w:t>”</w:t>
      </w:r>
      <w:r>
        <w:rPr>
          <w:rFonts w:ascii="Times New Roman;serif" w:hAnsi="Times New Roman;serif"/>
          <w:b w:val="false"/>
          <w:color w:val="000000"/>
          <w:sz w:val="22"/>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(a) to the extent the Administrative Agent has agreed to accept such Electronic Signature, the Administrative Agent and each of the Lenders shall be entitled to rely on any such Electronic Signature purportedly given by or on behalf of the Borrower without further verification and (b) upon the request of the Administrative Agent or any Lender, any Electronic Signature shall be promptly followed by such manually executed counterpart.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10.18    </w:t>
      </w:r>
      <w:r>
        <w:rPr>
          <w:rFonts w:ascii="Times New Roman;serif" w:hAnsi="Times New Roman;serif"/>
          <w:b w:val="false"/>
          <w:color w:val="000000"/>
          <w:sz w:val="22"/>
          <w:u w:val="single"/>
        </w:rPr>
        <w:t>USA PATRIOT Act Notice</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Lender that is subject to the Act and the Administrative Agent (for itself and not on behalf of any Lender) hereby notifies the Borrower that pursuant to the requirements of the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2"/>
        </w:rPr>
        <w:t>10.19    </w:t>
      </w:r>
      <w:r>
        <w:rPr>
          <w:rFonts w:ascii="Times New Roman;serif" w:hAnsi="Times New Roman;serif"/>
          <w:b w:val="false"/>
          <w:color w:val="000000"/>
          <w:sz w:val="22"/>
          <w:u w:val="single"/>
        </w:rPr>
        <w:t>Acknowledgement and Consent to Bail-In of Affected Financial Institutions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w:t>
      </w: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7"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Powers of the applicable Resolution Authority and agrees and consents to, and acknowledges and agrees to be bound by: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the application of any Write-Down and Conversion Powers by the applicable Resolution Authority to any such liabilities arising hereunder which may be payable to it by any Lender or L/C Issuer that is an Affected Financial Institution; and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the effects of any Bail-in Action on any such liability, including, if applicable:</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 reduction in full or in part or cancellation of any such liability;</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variation of the terms of such liability in connection with the exercise of the write-down and conversion powers of the applicable Resolution Authority.</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erif" w:hAnsi="Times New Roman;serif"/>
          <w:b w:val="false"/>
          <w:color w:val="000000"/>
          <w:sz w:val="22"/>
        </w:rPr>
        <w:t>10.20    </w:t>
      </w:r>
      <w:r>
        <w:rPr>
          <w:rFonts w:ascii="Times New Roman;serif" w:hAnsi="Times New Roman;serif"/>
          <w:b w:val="false"/>
          <w:color w:val="000000"/>
          <w:sz w:val="22"/>
          <w:u w:val="single"/>
        </w:rPr>
        <w:t>Acknowledgement Regarding Any Supported QFCs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To the extent that the Loan Documents provide support, through a guarantee or otherwise, for any Swap Contract or any other agreement or instrument that is a QFC (such support, “</w:t>
      </w:r>
      <w:r>
        <w:rPr>
          <w:rFonts w:ascii="Times New Roman;serif" w:hAnsi="Times New Roman;serif"/>
          <w:b w:val="false"/>
          <w:color w:val="000000"/>
          <w:sz w:val="22"/>
          <w:u w:val="single"/>
        </w:rPr>
        <w:t>QFC Credit Support</w:t>
      </w:r>
      <w:r>
        <w:rPr>
          <w:color w:val="000000"/>
        </w:rPr>
        <w:t>”</w:t>
      </w:r>
      <w:r>
        <w:rPr>
          <w:rFonts w:ascii="Times New Roman;serif" w:hAnsi="Times New Roman;serif"/>
          <w:b w:val="false"/>
          <w:color w:val="000000"/>
          <w:sz w:val="22"/>
        </w:rPr>
        <w:t>, and each such QFC, a “</w:t>
      </w:r>
      <w:r>
        <w:rPr>
          <w:rFonts w:ascii="Times New Roman;serif" w:hAnsi="Times New Roman;serif"/>
          <w:b w:val="false"/>
          <w:color w:val="000000"/>
          <w:sz w:val="22"/>
          <w:u w:val="single"/>
        </w:rPr>
        <w:t>Supported QFC</w:t>
      </w:r>
      <w:r>
        <w:rPr>
          <w:color w:val="000000"/>
        </w:rPr>
        <w:t>”</w:t>
      </w:r>
      <w:r>
        <w:rPr>
          <w:rFonts w:ascii="Times New Roman;serif" w:hAnsi="Times New Roman;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2"/>
          <w:u w:val="single"/>
        </w:rPr>
        <w:t>U.S. Special Resolution Regimes</w:t>
      </w:r>
      <w:r>
        <w:rPr>
          <w:color w:val="000000"/>
        </w:rPr>
        <w:t>”</w:t>
      </w:r>
      <w:r>
        <w:rPr>
          <w:rFonts w:ascii="Times New Roman;serif" w:hAnsi="Times New Roman;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serif" w:hAnsi="Times New Roman;serif"/>
          <w:b w:val="false"/>
          <w:color w:val="000000"/>
          <w:sz w:val="22"/>
          <w:u w:val="single"/>
        </w:rPr>
        <w:t>Covered Party</w:t>
      </w:r>
      <w:r>
        <w:rPr>
          <w:color w:val="000000"/>
        </w:rPr>
        <w:t>”</w:t>
      </w:r>
      <w:r>
        <w:rPr>
          <w:rFonts w:ascii="Times New Roman;serif" w:hAnsi="Times New Roman;serif"/>
          <w:b w:val="false"/>
          <w:color w:val="000000"/>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0" w:after="0"/>
        <w:ind w:left="0" w:right="0" w:firstLine="720"/>
        <w:jc w:val="both"/>
        <w:rPr/>
      </w:pPr>
      <w:r>
        <w:rPr/>
      </w:r>
    </w:p>
    <w:p>
      <w:pPr>
        <w:pStyle w:val="TextBody"/>
        <w:bidi w:val="0"/>
        <w:spacing w:lineRule="auto" w:line="288"/>
        <w:jc w:val="both"/>
        <w:rPr/>
      </w:pPr>
      <w:r>
        <w:rPr>
          <w:rFonts w:ascii="Times New Roman;serif" w:hAnsi="Times New Roman;serif"/>
          <w:b w:val="false"/>
          <w:color w:val="000000"/>
          <w:sz w:val="22"/>
        </w:rPr>
        <w:t>10.21    </w:t>
      </w:r>
      <w:r>
        <w:rPr>
          <w:rFonts w:ascii="Times New Roman;serif" w:hAnsi="Times New Roman;serif"/>
          <w:b w:val="false"/>
          <w:color w:val="000000"/>
          <w:sz w:val="22"/>
          <w:u w:val="single"/>
        </w:rPr>
        <w:t>Amendment and Restatement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8"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parties hereto agree that, on the Closing Date, the following transactions shall be deemed to occur automatically, without further action by any party hereto: </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(a) that certain Second Amended and Restated Credit Agreement dated as of March 23, 2021, among the Borrower, the lenders identified therein and Bank of America, as administrative agent, swing line lender and L/C issuer (the “</w:t>
      </w:r>
      <w:r>
        <w:rPr>
          <w:rFonts w:ascii="Times New Roman;serif" w:hAnsi="Times New Roman;serif"/>
          <w:b w:val="false"/>
          <w:color w:val="000000"/>
          <w:sz w:val="22"/>
          <w:u w:val="single"/>
        </w:rPr>
        <w:t>Existing Credit Agreement</w:t>
      </w:r>
      <w:r>
        <w:rPr>
          <w:color w:val="000000"/>
        </w:rPr>
        <w:t>”</w:t>
      </w:r>
      <w:r>
        <w:rPr>
          <w:rFonts w:ascii="Times New Roman;serif" w:hAnsi="Times New Roman;serif"/>
          <w:b w:val="false"/>
          <w:color w:val="000000"/>
          <w:sz w:val="22"/>
        </w:rPr>
        <w:t xml:space="preserve">) shall be amended and restated in its entirety by this Agreement (and this Agreement is not executed in novation of the Existing Credit Agreement);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all Obligations under the Existing Credit Agreement outstanding on the Closing Date shall in all respects be continuing and shall be deemed to be Obligations outstanding hereunder;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Collateral Documents and the Liens created thereunder in favor of Bank of America, N.A., as administrative agent for the benefit of the holders of the Obligations (as defined in the Existing Credit Agreement) shall remain in full force and effect with respect to the Obligations and are hereby reaffirmed;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all references in the other Loan Documents to the Existing Credit Agreement shall be deemed to refer without further amendment to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if any Revolving Loans are outstanding under the Existing Credit Agreement on the Closing Date, then each Lender shall make Revolving Loans on the Closing Date, the proceeds of which shall be applied by the Administrative Agent to prepay the outstanding Revolving Loans under the Existing Credit Agreement, in an amount necessary such that immediately after giving effect thereto each Lender holds its Applicable Percentage (with respect to the Revolving Facility) of the outstanding Revolving Loans;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if any Letters of Credit or Swing Line Loans are outstanding under the Existing Credit Agreement on the Closing Date, then on the Closing Date the risk participations of the Lenders in each outstanding Letter of Credit and each outstanding Swing Line Loan shall be automatically reallocated such that the risk participation of each Lender in each outstanding Letter of Credit and Swing Line Loan equals such Lender’s Applicable Percentage (with respect to the Revolving Facility) of each such Letter of Credit and Swing Line Loan;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(g) each Lender that is a party to the Existing Credit Agreement immediately prior to the Closing Date waives, and agrees not to demand from the Borrower any claim under </w:t>
      </w:r>
      <w:r>
        <w:rPr>
          <w:rFonts w:ascii="Times New Roman;serif" w:hAnsi="Times New Roman;serif"/>
          <w:b w:val="false"/>
          <w:color w:val="000000"/>
          <w:sz w:val="22"/>
          <w:u w:val="single"/>
        </w:rPr>
        <w:t>Section 3.05</w:t>
      </w:r>
      <w:r>
        <w:rPr>
          <w:color w:val="000000"/>
        </w:rPr>
        <w:t xml:space="preserve"> </w:t>
      </w:r>
      <w:r>
        <w:rPr>
          <w:rFonts w:ascii="Times New Roman;serif" w:hAnsi="Times New Roman;serif"/>
          <w:b w:val="false"/>
          <w:color w:val="000000"/>
          <w:sz w:val="22"/>
        </w:rPr>
        <w:t>of the Existing Credit Agreement for any loss, cost and expense attributable to the conversion of any Eurodollar Rate Loans (as defined in the Existing Credit Agreement) to Term SOFR Loans on the Closing Date.</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68" w:before="0" w:after="0"/>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[SIGNATURE PAGES REMOVED]</w:t>
      </w:r>
    </w:p>
    <w:p>
      <w:pPr>
        <w:pStyle w:val="TextBody"/>
        <w:bidi w:val="0"/>
        <w:spacing w:before="0" w:after="0"/>
        <w:jc w:val="left"/>
        <w:rPr/>
      </w:pPr>
      <w:r>
        <w:rPr/>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9"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180" w:after="283"/>
        <w:jc w:val="center"/>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30" name="Frame3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9"/>
        </w:rPr>
      </w:pPr>
      <w:r>
        <w:rPr>
          <w:rFonts w:ascii="Arial;sans-serif" w:hAnsi="Arial;sans-serif"/>
          <w:b/>
          <w:color w:val="000000"/>
          <w:sz w:val="19"/>
        </w:rPr>
        <w:t>Exhibit 31.1</w:t>
      </w:r>
    </w:p>
    <w:p>
      <w:pPr>
        <w:pStyle w:val="TextBody"/>
        <w:bidi w:val="0"/>
        <w:spacing w:lineRule="auto" w:line="288" w:before="240" w:after="283"/>
        <w:jc w:val="center"/>
        <w:rPr>
          <w:rFonts w:ascii="Arial;sans-serif" w:hAnsi="Arial;sans-serif"/>
          <w:b/>
          <w:color w:val="000000"/>
          <w:sz w:val="19"/>
        </w:rPr>
      </w:pPr>
      <w:r>
        <w:rPr>
          <w:rFonts w:ascii="Arial;sans-serif" w:hAnsi="Arial;sans-serif"/>
          <w:b/>
          <w:color w:val="000000"/>
          <w:sz w:val="19"/>
        </w:rPr>
        <w:t>CERTIFICATIONS PURSUANT TO SECTION 302 OF THE SARBANES-OXLEY ACT OF 2002</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I, Elias J. Sabo, certify that:</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Compass Group Diversified Holdings LLC (the “registrant”);</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August 10, 2026 </w:t>
      </w:r>
    </w:p>
    <w:tbl>
      <w:tblPr>
        <w:tblW w:w="4092" w:type="dxa"/>
        <w:jc w:val="left"/>
        <w:tblInd w:w="0" w:type="dxa"/>
        <w:tblLayout w:type="fixed"/>
        <w:tblCellMar>
          <w:top w:w="28" w:type="dxa"/>
          <w:left w:w="28" w:type="dxa"/>
          <w:bottom w:w="28" w:type="dxa"/>
          <w:right w:w="28" w:type="dxa"/>
        </w:tblCellMar>
      </w:tblPr>
      <w:tblGrid>
        <w:gridCol w:w="124"/>
        <w:gridCol w:w="109"/>
        <w:gridCol w:w="109"/>
        <w:gridCol w:w="1098"/>
        <w:gridCol w:w="1098"/>
        <w:gridCol w:w="1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Elias J. Sabo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Elias J. Sabo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9"/>
              </w:rPr>
            </w:pPr>
            <w:r>
              <w:rPr>
                <w:rFonts w:ascii="Arial;sans-serif" w:hAnsi="Arial;sans-serif"/>
                <w:b w:val="false"/>
                <w:i/>
                <w:color w:val="000000"/>
                <w:sz w:val="19"/>
              </w:rPr>
              <w:t>Chief Executive Officer of</w:t>
            </w:r>
          </w:p>
          <w:p>
            <w:pPr>
              <w:pStyle w:val="TableContents"/>
              <w:bidi w:val="0"/>
              <w:spacing w:lineRule="auto" w:line="240" w:before="0" w:after="0"/>
              <w:jc w:val="left"/>
              <w:rPr>
                <w:rFonts w:ascii="Arial;sans-serif" w:hAnsi="Arial;sans-serif"/>
                <w:b w:val="false"/>
                <w:i/>
                <w:color w:val="000000"/>
                <w:sz w:val="19"/>
              </w:rPr>
            </w:pPr>
            <w:r>
              <w:rPr>
                <w:rFonts w:ascii="Arial;sans-serif" w:hAnsi="Arial;sans-serif"/>
                <w:b w:val="false"/>
                <w:i/>
                <w:color w:val="000000"/>
                <w:sz w:val="19"/>
              </w:rPr>
              <w:t>Compass Group Diversified Holdings LLC</w:t>
            </w:r>
          </w:p>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31"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9"/>
        </w:rPr>
      </w:pPr>
      <w:r>
        <w:rPr>
          <w:rFonts w:ascii="Arial;sans-serif" w:hAnsi="Arial;sans-serif"/>
          <w:b/>
          <w:color w:val="000000"/>
          <w:sz w:val="19"/>
        </w:rPr>
        <w:t>Exhibit 31.2</w:t>
      </w:r>
    </w:p>
    <w:p>
      <w:pPr>
        <w:pStyle w:val="TextBody"/>
        <w:bidi w:val="0"/>
        <w:spacing w:lineRule="auto" w:line="288" w:before="240" w:after="283"/>
        <w:jc w:val="center"/>
        <w:rPr>
          <w:rFonts w:ascii="Arial;sans-serif" w:hAnsi="Arial;sans-serif"/>
          <w:b/>
          <w:color w:val="000000"/>
          <w:sz w:val="19"/>
        </w:rPr>
      </w:pPr>
      <w:r>
        <w:rPr>
          <w:rFonts w:ascii="Arial;sans-serif" w:hAnsi="Arial;sans-serif"/>
          <w:b/>
          <w:color w:val="000000"/>
          <w:sz w:val="19"/>
        </w:rPr>
        <w:t>CERTIFICATIONS PURSUANT TO SECTION 302 OF THE SARBANES-OXLEY ACT OF 2002</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I, Stephen Keller, certify that:</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Compass Diversified Holdings and Compass Group Diversified Holdings LLC (each, the “registrant”);</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August 10, 2026 </w:t>
      </w:r>
    </w:p>
    <w:tbl>
      <w:tblPr>
        <w:tblW w:w="7362" w:type="dxa"/>
        <w:jc w:val="left"/>
        <w:tblInd w:w="0" w:type="dxa"/>
        <w:tblLayout w:type="fixed"/>
        <w:tblCellMar>
          <w:top w:w="28" w:type="dxa"/>
          <w:left w:w="28" w:type="dxa"/>
          <w:bottom w:w="28" w:type="dxa"/>
          <w:right w:w="28" w:type="dxa"/>
        </w:tblCellMar>
      </w:tblPr>
      <w:tblGrid>
        <w:gridCol w:w="124"/>
        <w:gridCol w:w="109"/>
        <w:gridCol w:w="109"/>
        <w:gridCol w:w="2054"/>
        <w:gridCol w:w="2054"/>
        <w:gridCol w:w="29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Stephen Keller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Stephen Keller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9"/>
              </w:rPr>
            </w:pPr>
            <w:r>
              <w:rPr>
                <w:rFonts w:ascii="Arial;sans-serif" w:hAnsi="Arial;sans-serif"/>
                <w:b w:val="false"/>
                <w:i/>
                <w:color w:val="000000"/>
                <w:sz w:val="19"/>
              </w:rPr>
              <w:t>Regular Trustee of Compass Diversified Holdings and Chief Financial Officer of</w:t>
            </w:r>
          </w:p>
          <w:p>
            <w:pPr>
              <w:pStyle w:val="TableContents"/>
              <w:bidi w:val="0"/>
              <w:spacing w:lineRule="auto" w:line="240" w:before="0" w:after="0"/>
              <w:jc w:val="left"/>
              <w:rPr>
                <w:rFonts w:ascii="Arial;sans-serif" w:hAnsi="Arial;sans-serif"/>
                <w:b w:val="false"/>
                <w:i/>
                <w:color w:val="000000"/>
                <w:sz w:val="19"/>
              </w:rPr>
            </w:pPr>
            <w:r>
              <w:rPr>
                <w:rFonts w:ascii="Arial;sans-serif" w:hAnsi="Arial;sans-serif"/>
                <w:b w:val="false"/>
                <w:i/>
                <w:color w:val="000000"/>
                <w:sz w:val="19"/>
              </w:rPr>
              <w:t>Compass Group Diversified Holdings LLC</w:t>
            </w:r>
          </w:p>
          <w:p>
            <w:pPr>
              <w:pStyle w:val="TableContents"/>
              <w:bidi w:val="0"/>
              <w:spacing w:lineRule="auto" w:line="240" w:before="0" w:after="0"/>
              <w:jc w:val="left"/>
              <w:rPr/>
            </w:pPr>
            <w:r>
              <w:rPr>
                <w:rFonts w:ascii="Arial;sans-serif" w:hAnsi="Arial;sans-serif"/>
                <w:b w:val="false"/>
                <w:color w:val="000000"/>
                <w:sz w:val="19"/>
              </w:rPr>
              <w:t>(Principal Financial and Accounting Officer</w:t>
            </w:r>
            <w:r>
              <w:rPr>
                <w:rFonts w:ascii="Arial;sans-serif" w:hAnsi="Arial;sans-serif"/>
                <w:b w:val="false"/>
                <w:i/>
                <w:color w:val="000000"/>
                <w:sz w:val="19"/>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32" name="Frame3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9"/>
        </w:rPr>
      </w:pPr>
      <w:r>
        <w:rPr>
          <w:rFonts w:ascii="Arial;sans-serif" w:hAnsi="Arial;sans-serif"/>
          <w:b/>
          <w:color w:val="000000"/>
          <w:sz w:val="19"/>
        </w:rPr>
        <w:t>Exhibit 32.1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360" w:after="283"/>
        <w:ind w:left="0" w:right="0" w:firstLine="495"/>
        <w:jc w:val="both"/>
        <w:rPr>
          <w:rFonts w:ascii="Arial;sans-serif" w:hAnsi="Arial;sans-serif"/>
          <w:b w:val="false"/>
          <w:color w:val="000000"/>
          <w:sz w:val="20"/>
        </w:rPr>
      </w:pPr>
      <w:r>
        <w:rPr>
          <w:rFonts w:ascii="Arial;sans-serif" w:hAnsi="Arial;sans-serif"/>
          <w:b w:val="false"/>
          <w:color w:val="000000"/>
          <w:sz w:val="20"/>
        </w:rPr>
        <w:t>In connection with the Quarterly Report of COMPASS GROUP DIVERSIFIED HOLDINGS LLC on Form 10-Q for the period ended June 30, 2026 as filed with the Securities and Exchange Commission on the date hereof (the “Report”), I, Elias J. Sabo, Chief Executive Officer of Compass Group Diversified Holdings LLC, certify, pursuant to 18 U.S.C. Section 1350, as adopted pursuant to Section 906 of the Sarbanes-Oxley Act of 2002, that to my knowledge:</w:t>
      </w:r>
    </w:p>
    <w:p>
      <w:pPr>
        <w:pStyle w:val="TextBody"/>
        <w:bidi w:val="0"/>
        <w:spacing w:lineRule="auto" w:line="288" w:before="160" w:after="16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160" w:after="16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Compass Group Diversified Holdings LLC.</w:t>
      </w:r>
    </w:p>
    <w:tbl>
      <w:tblPr>
        <w:tblW w:w="5969" w:type="dxa"/>
        <w:jc w:val="left"/>
        <w:tblInd w:w="0" w:type="dxa"/>
        <w:tblLayout w:type="fixed"/>
        <w:tblCellMar>
          <w:top w:w="28" w:type="dxa"/>
          <w:left w:w="28" w:type="dxa"/>
          <w:bottom w:w="28" w:type="dxa"/>
          <w:right w:w="28" w:type="dxa"/>
        </w:tblCellMar>
      </w:tblPr>
      <w:tblGrid>
        <w:gridCol w:w="249"/>
        <w:gridCol w:w="220"/>
        <w:gridCol w:w="221"/>
        <w:gridCol w:w="509"/>
        <w:gridCol w:w="509"/>
        <w:gridCol w:w="511"/>
        <w:gridCol w:w="1098"/>
        <w:gridCol w:w="1098"/>
        <w:gridCol w:w="1554"/>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10, 2026</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Elias J. Sabo</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Elias J. Sabo</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br/>
              <w:t>Compass Group Diversified Holdings LLC</w:t>
            </w:r>
          </w:p>
        </w:tc>
      </w:tr>
    </w:tbl>
    <w:p>
      <w:pPr>
        <w:pStyle w:val="TextBody"/>
        <w:bidi w:val="0"/>
        <w:spacing w:lineRule="auto" w:line="288" w:before="360" w:after="283"/>
        <w:ind w:left="0" w:right="0" w:firstLine="495"/>
        <w:jc w:val="both"/>
        <w:rPr>
          <w:rFonts w:ascii="Arial;sans-serif" w:hAnsi="Arial;sans-serif"/>
          <w:b w:val="false"/>
          <w:color w:val="000000"/>
          <w:sz w:val="20"/>
        </w:rPr>
      </w:pPr>
      <w:r>
        <w:rPr>
          <w:rFonts w:ascii="Arial;sans-serif" w:hAnsi="Arial;sans-serif"/>
          <w:b w:val="false"/>
          <w:color w:val="000000"/>
          <w:sz w:val="20"/>
        </w:rPr>
        <w:t>The foregoing certification is being furnished to accompany Compass Group Diversified Holdings LLC’s Quarterly Report on Form 10-Q for the quarterly period ended June 30, 2026 solely pursuant to Section 906 of the Sarbanes-Oxley Act of 2002 and shall not be deemed filed as part of the Report or as a separate disclosure document and shall not be deemed incorporated by reference into any other filing of Compass Group Diversified Holdings LLC that incorporates the Report by reference. A signed original of this written certification required by Section 906 has been provided to Compass Group Diversified Holdings LLC and will be retained by Compass Group Diversified Holdings LLC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3" name="Frame3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9"/>
        </w:rPr>
      </w:pPr>
      <w:r>
        <w:rPr>
          <w:rFonts w:ascii="Arial;sans-serif" w:hAnsi="Arial;sans-serif"/>
          <w:b/>
          <w:color w:val="000000"/>
          <w:sz w:val="19"/>
        </w:rPr>
        <w:t>Exhibit 32.2</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CERTIFICATION PURSUANT TO 18 U.S.C. SECTION 1350,</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AS ADOPTED PURSUANT TO</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SECTION 906 OF THE SARBANES-OXLEY ACT OF 2002</w:t>
      </w:r>
    </w:p>
    <w:p>
      <w:pPr>
        <w:pStyle w:val="TextBody"/>
        <w:bidi w:val="0"/>
        <w:spacing w:lineRule="auto" w:line="288" w:before="360" w:after="283"/>
        <w:ind w:left="0" w:right="0" w:firstLine="495"/>
        <w:jc w:val="both"/>
        <w:rPr>
          <w:rFonts w:ascii="Arial;sans-serif" w:hAnsi="Arial;sans-serif"/>
          <w:b w:val="false"/>
          <w:color w:val="000000"/>
          <w:sz w:val="20"/>
        </w:rPr>
      </w:pPr>
      <w:r>
        <w:rPr>
          <w:rFonts w:ascii="Arial;sans-serif" w:hAnsi="Arial;sans-serif"/>
          <w:b w:val="false"/>
          <w:color w:val="000000"/>
          <w:sz w:val="20"/>
        </w:rPr>
        <w:t>In connection with the Quarterly Report of COMPASS DIVERSIFIED HOLDINGS and COMPASS GROUP DIVERSIFIED HOLDINGS LLC on Form 10-Q for the period ended June 30, 2026 as filed with the Securities and Exchange Commission on the date hereof (the “Report”), I, Stephen Keller, Regular Trustee of Compass Diversified Holdings and Chief Financial Officer of Compass Group Diversified Holdings LLC, certify, pursuant to 18 U.S.C. Section 1350, as adopted pursuant to Section 906 of the Sarbanes-Oxley Act of 2002, that to my knowledge:</w:t>
      </w:r>
    </w:p>
    <w:p>
      <w:pPr>
        <w:pStyle w:val="TextBody"/>
        <w:bidi w:val="0"/>
        <w:spacing w:lineRule="auto" w:line="288" w:before="160" w:after="16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160" w:after="16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Compass Diversified Holdings and Compass Group Diversified Holdings LLC.</w:t>
      </w:r>
    </w:p>
    <w:tbl>
      <w:tblPr>
        <w:tblW w:w="8908" w:type="dxa"/>
        <w:jc w:val="left"/>
        <w:tblInd w:w="0" w:type="dxa"/>
        <w:tblLayout w:type="fixed"/>
        <w:tblCellMar>
          <w:top w:w="28" w:type="dxa"/>
          <w:left w:w="28" w:type="dxa"/>
          <w:bottom w:w="28" w:type="dxa"/>
          <w:right w:w="28" w:type="dxa"/>
        </w:tblCellMar>
      </w:tblPr>
      <w:tblGrid>
        <w:gridCol w:w="249"/>
        <w:gridCol w:w="220"/>
        <w:gridCol w:w="221"/>
        <w:gridCol w:w="509"/>
        <w:gridCol w:w="509"/>
        <w:gridCol w:w="511"/>
        <w:gridCol w:w="1957"/>
        <w:gridCol w:w="1957"/>
        <w:gridCol w:w="2775"/>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10, 2026</w:t>
            </w:r>
          </w:p>
        </w:tc>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Stephen Keller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Keller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Regular Trustee, Compass Diversified Holdings and Chief Financial Officer,</w:t>
              <w:br/>
              <w:t>Compass Group Diversified Holdings LLC</w:t>
            </w:r>
          </w:p>
        </w:tc>
      </w:tr>
    </w:tbl>
    <w:p>
      <w:pPr>
        <w:pStyle w:val="TextBody"/>
        <w:bidi w:val="0"/>
        <w:spacing w:lineRule="auto" w:line="288" w:before="360" w:after="283"/>
        <w:ind w:left="0" w:right="0" w:firstLine="495"/>
        <w:jc w:val="both"/>
        <w:rPr>
          <w:rFonts w:ascii="Arial;sans-serif" w:hAnsi="Arial;sans-serif"/>
          <w:b w:val="false"/>
          <w:color w:val="000000"/>
          <w:sz w:val="20"/>
        </w:rPr>
      </w:pPr>
      <w:r>
        <w:rPr>
          <w:rFonts w:ascii="Arial;sans-serif" w:hAnsi="Arial;sans-serif"/>
          <w:b w:val="false"/>
          <w:color w:val="000000"/>
          <w:sz w:val="20"/>
        </w:rPr>
        <w:t>The foregoing certification is being furnished to accompany Compass Diversified Holdings’ and Compass Group Diversified Holdings LLC’s Quarterly Report on Form 10-Q for the quarterly period ended June 30, 2026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34" name="Frame3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345126/000119312521235786/d57259d8k.htm" TargetMode="External"/><Relationship Id="rId3" Type="http://schemas.openxmlformats.org/officeDocument/2006/relationships/hyperlink" Target="https://www.sec.gov/ix?doc=/Archives/edgar/data/0001345126/000134512624000048/codi-20240831.htm" TargetMode="External"/><Relationship Id="rId4" Type="http://schemas.openxmlformats.org/officeDocument/2006/relationships/hyperlink" Target="https://www.sec.gov/ix?doc=/Archives/edgar/data/0001345126/000119312521235786/d57259d8k.htm" TargetMode="External"/><Relationship Id="rId5" Type="http://schemas.openxmlformats.org/officeDocument/2006/relationships/hyperlink" Target="https://www.sec.gov/ix?doc=/Archives/edgar/data/0001345126/000134512622000008/codi-20220210.htm" TargetMode="External"/><Relationship Id="rId6" Type="http://schemas.openxmlformats.org/officeDocument/2006/relationships/hyperlink" Target="https://www.sec.gov/ix?doc=/Archives/edgar/data/0001345126/000134512624000048/codi-20240831.htm" TargetMode="External"/><Relationship Id="rId7" Type="http://schemas.openxmlformats.org/officeDocument/2006/relationships/hyperlink" Target="https://www.sec.gov/ix?doc=/Archives/edgar/data/0001345126/000119312521235786/d57259d8k.htm" TargetMode="External"/><Relationship Id="rId8" Type="http://schemas.openxmlformats.org/officeDocument/2006/relationships/hyperlink" Target="https://www.sec.gov/ix?doc=/Archives/edgar/data/0001345126/000119312524072850/d800897d8k.htm" TargetMode="External"/><Relationship Id="rId9" Type="http://schemas.openxmlformats.org/officeDocument/2006/relationships/hyperlink" Target="https://www.sec.gov/Archives/edgar/data/1345126/000119312524213116/d878317dex411.htm" TargetMode="External"/><Relationship Id="rId10" Type="http://schemas.openxmlformats.org/officeDocument/2006/relationships/hyperlink" Target="https://www.sec.gov/Archives/edgar/data/1345122/000134512617000038/exhibit32.htm" TargetMode="External"/><Relationship Id="rId11" Type="http://schemas.openxmlformats.org/officeDocument/2006/relationships/hyperlink" Target="https://www.sec.gov/ix?doc=/Archives/edgar/data/0001345126/000119312524072850/d800897d8k.htm" TargetMode="External"/><Relationship Id="rId12" Type="http://schemas.openxmlformats.org/officeDocument/2006/relationships/hyperlink" Target="https://www.sec.gov/Archives/edgar/data/1345126/000119312524213116/d878317dex414.htm" TargetMode="External"/><Relationship Id="rId13" Type="http://schemas.openxmlformats.org/officeDocument/2006/relationships/hyperlink" Target="https://www.sec.gov/ix?doc=/Archives/edgar/data/0001345126/000119312521235786/d57259d8k.htm" TargetMode="External"/><Relationship Id="rId14" Type="http://schemas.openxmlformats.org/officeDocument/2006/relationships/hyperlink" Target="https://www.sec.gov/ix?doc=/Archives/edgar/data/0001345126/000119312524072850/d800897d8k.htm" TargetMode="External"/><Relationship Id="rId15" Type="http://schemas.openxmlformats.org/officeDocument/2006/relationships/hyperlink" Target="https://www.sec.gov/Archives/edgar/data/1345126/000119312524213116/d878317dex417.htm" TargetMode="External"/><Relationship Id="rId16" Type="http://schemas.openxmlformats.org/officeDocument/2006/relationships/hyperlink" Target="https://www.sec.gov/Archives/edgar/data/1345126/000119312518080755/d436474dex32.htm" TargetMode="External"/><Relationship Id="rId17" Type="http://schemas.openxmlformats.org/officeDocument/2006/relationships/hyperlink" Target="https://www.sec.gov/ix?doc=/Archives/edgar/data/0001345126/000119312524072850/d800897d8k.htm" TargetMode="External"/><Relationship Id="rId18" Type="http://schemas.openxmlformats.org/officeDocument/2006/relationships/hyperlink" Target="https://www.sec.gov/Archives/edgar/data/1345126/000119312524213116/d878317dex420.htm" TargetMode="External"/><Relationship Id="rId19" Type="http://schemas.openxmlformats.org/officeDocument/2006/relationships/hyperlink" Target="https://www.sec.gov/ix?doc=/Archives/edgar/data/0001345126/000119312521235786/d57259d8k.htm" TargetMode="External"/><Relationship Id="rId20" Type="http://schemas.openxmlformats.org/officeDocument/2006/relationships/hyperlink" Target="https://www.sec.gov/ix?doc=/Archives/edgar/data/0001345126/000119312524072850/d800897d8k.htm" TargetMode="External"/><Relationship Id="rId21" Type="http://schemas.openxmlformats.org/officeDocument/2006/relationships/hyperlink" Target="https://www.sec.gov/Archives/edgar/data/1345126/000119312524213116/d878317dex423.htm" TargetMode="External"/><Relationship Id="rId22" Type="http://schemas.openxmlformats.org/officeDocument/2006/relationships/hyperlink" Target="https://www.sec.gov/ix?doc=/Archives/edgar/data/0001345126/000119312519296560/d835497d8k.htm" TargetMode="External"/><Relationship Id="rId23" Type="http://schemas.openxmlformats.org/officeDocument/2006/relationships/hyperlink" Target="https://www.sec.gov/ix?doc=/Archives/edgar/data/0001345126/000119312524072850/d800897d8k.htm" TargetMode="External"/><Relationship Id="rId24" Type="http://schemas.openxmlformats.org/officeDocument/2006/relationships/hyperlink" Target="https://www.sec.gov/Archives/edgar/data/1345126/000119312524213116/d878317dex426.htm" TargetMode="External"/><Relationship Id="rId25" Type="http://schemas.openxmlformats.org/officeDocument/2006/relationships/hyperlink" Target="https://www.sec.gov/Archives/edgar/data/1345126/000134512626000054/ex101ninthamendedandrestat.htm" TargetMode="External"/><Relationship Id="rId26" Type="http://schemas.openxmlformats.org/officeDocument/2006/relationships/hyperlink" Target="https://www.sec.gov/ix?doc=/Archives/edgar/data/0001345126/000119312521235786/d57259d8k.htm" TargetMode="External"/><Relationship Id="rId27" Type="http://schemas.openxmlformats.org/officeDocument/2006/relationships/hyperlink" Target="https://www.sec.gov/ix?doc=/Archives/edgar/data/0001345126/000134512624000048/codi-20240831.htm" TargetMode="External"/><Relationship Id="rId28" Type="http://schemas.openxmlformats.org/officeDocument/2006/relationships/hyperlink" Target="https://www.sec.gov/ix?doc=/Archives/edgar/data/0001345126/000119312521235786/d57259d8k.htm" TargetMode="External"/><Relationship Id="rId29" Type="http://schemas.openxmlformats.org/officeDocument/2006/relationships/hyperlink" Target="https://www.sec.gov/ix?doc=/Archives/edgar/data/0001345126/000134512622000008/codi-20220210.htm" TargetMode="External"/><Relationship Id="rId30" Type="http://schemas.openxmlformats.org/officeDocument/2006/relationships/hyperlink" Target="https://www.sec.gov/ix?doc=/Archives/edgar/data/0001345126/000134512624000048/codi-20240831.htm" TargetMode="External"/><Relationship Id="rId31" Type="http://schemas.openxmlformats.org/officeDocument/2006/relationships/hyperlink" Target="https://www.sec.gov/ix?doc=/Archives/edgar/data/0001345126/000119312521235786/d57259d8k.htm" TargetMode="External"/><Relationship Id="rId32" Type="http://schemas.openxmlformats.org/officeDocument/2006/relationships/hyperlink" Target="https://www.sec.gov/ix?doc=/Archives/edgar/data/0001345126/000119312524072850/d800897d8k.htm" TargetMode="External"/><Relationship Id="rId33" Type="http://schemas.openxmlformats.org/officeDocument/2006/relationships/hyperlink" Target="https://www.sec.gov/Archives/edgar/data/1345126/000119312524213116/d878317dex411.htm" TargetMode="External"/><Relationship Id="rId34" Type="http://schemas.openxmlformats.org/officeDocument/2006/relationships/hyperlink" Target="https://www.sec.gov/Archives/edgar/data/1345122/000134512617000038/exhibit32.htm" TargetMode="External"/><Relationship Id="rId35" Type="http://schemas.openxmlformats.org/officeDocument/2006/relationships/hyperlink" Target="https://www.sec.gov/ix?doc=/Archives/edgar/data/0001345126/000119312524072850/d800897d8k.htm" TargetMode="External"/><Relationship Id="rId36" Type="http://schemas.openxmlformats.org/officeDocument/2006/relationships/hyperlink" Target="https://www.sec.gov/Archives/edgar/data/1345126/000119312524213116/d878317dex414.htm" TargetMode="External"/><Relationship Id="rId37" Type="http://schemas.openxmlformats.org/officeDocument/2006/relationships/hyperlink" Target="https://www.sec.gov/ix?doc=/Archives/edgar/data/0001345126/000119312521235786/d57259d8k.htm" TargetMode="External"/><Relationship Id="rId38" Type="http://schemas.openxmlformats.org/officeDocument/2006/relationships/hyperlink" Target="https://www.sec.gov/ix?doc=/Archives/edgar/data/0001345126/000119312524072850/d800897d8k.htm" TargetMode="External"/><Relationship Id="rId39" Type="http://schemas.openxmlformats.org/officeDocument/2006/relationships/hyperlink" Target="https://www.sec.gov/Archives/edgar/data/1345126/000119312524213116/d878317dex417.htm" TargetMode="External"/><Relationship Id="rId40" Type="http://schemas.openxmlformats.org/officeDocument/2006/relationships/hyperlink" Target="https://www.sec.gov/Archives/edgar/data/1345126/000119312518080755/d436474dex32.htm" TargetMode="External"/><Relationship Id="rId41" Type="http://schemas.openxmlformats.org/officeDocument/2006/relationships/hyperlink" Target="https://www.sec.gov/ix?doc=/Archives/edgar/data/0001345126/000119312524072850/d800897d8k.htm" TargetMode="External"/><Relationship Id="rId42" Type="http://schemas.openxmlformats.org/officeDocument/2006/relationships/hyperlink" Target="https://www.sec.gov/Archives/edgar/data/1345126/000119312524213116/d878317dex420.htm" TargetMode="External"/><Relationship Id="rId43" Type="http://schemas.openxmlformats.org/officeDocument/2006/relationships/hyperlink" Target="https://www.sec.gov/ix?doc=/Archives/edgar/data/0001345126/000119312521235786/d57259d8k.htm" TargetMode="External"/><Relationship Id="rId44" Type="http://schemas.openxmlformats.org/officeDocument/2006/relationships/hyperlink" Target="https://www.sec.gov/ix?doc=/Archives/edgar/data/0001345126/000119312524072850/d800897d8k.htm" TargetMode="External"/><Relationship Id="rId45" Type="http://schemas.openxmlformats.org/officeDocument/2006/relationships/hyperlink" Target="https://www.sec.gov/Archives/edgar/data/1345126/000119312524213116/d878317dex423.htm" TargetMode="External"/><Relationship Id="rId46" Type="http://schemas.openxmlformats.org/officeDocument/2006/relationships/hyperlink" Target="https://www.sec.gov/ix?doc=/Archives/edgar/data/0001345126/000119312519296560/d835497d8k.htm" TargetMode="External"/><Relationship Id="rId47" Type="http://schemas.openxmlformats.org/officeDocument/2006/relationships/hyperlink" Target="https://www.sec.gov/ix?doc=/Archives/edgar/data/0001345126/000119312524072850/d800897d8k.htm" TargetMode="External"/><Relationship Id="rId48" Type="http://schemas.openxmlformats.org/officeDocument/2006/relationships/hyperlink" Target="https://www.sec.gov/Archives/edgar/data/1345126/000119312524213116/d878317dex426.htm" TargetMode="External"/><Relationship Id="rId49" Type="http://schemas.openxmlformats.org/officeDocument/2006/relationships/hyperlink" Target="https://www.sec.gov/Archives/edgar/data/1345126/000134512626000054/ex101ninthamendedandrestat.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254</Pages>
  <Words>167145</Words>
  <Characters>892880</Characters>
  <CharactersWithSpaces>1056553</CharactersWithSpaces>
  <Paragraphs>8806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