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525780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491490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91440</wp:posOffset>
            </wp:positionV>
            <wp:extent cx="2288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9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4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3659505</wp:posOffset>
            </wp:positionH>
            <wp:positionV relativeFrom="paragraph">
              <wp:posOffset>-1905</wp:posOffset>
            </wp:positionV>
            <wp:extent cx="129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730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83185</wp:posOffset>
            </wp:positionV>
            <wp:extent cx="22885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DIVERSIFIED HOLDINGS</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620" w:type="dxa"/>
            <w:vAlign w:val="bottom"/>
          </w:tcPr>
          <w:p>
            <w:pPr>
              <w:jc w:val="center"/>
              <w:ind w:right="28"/>
              <w:spacing w:after="0"/>
              <w:rPr>
                <w:sz w:val="20"/>
                <w:szCs w:val="20"/>
                <w:color w:val="auto"/>
              </w:rPr>
            </w:pPr>
            <w:r>
              <w:rPr>
                <w:rFonts w:ascii="Arial" w:cs="Arial" w:eastAsia="Arial" w:hAnsi="Arial"/>
                <w:sz w:val="14"/>
                <w:szCs w:val="14"/>
                <w:b w:val="1"/>
                <w:bCs w:val="1"/>
                <w:color w:val="auto"/>
              </w:rPr>
              <w:t>001-34927</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57-6218917</w:t>
            </w:r>
          </w:p>
        </w:tc>
      </w:tr>
      <w:tr>
        <w:trPr>
          <w:trHeight w:val="148"/>
        </w:trPr>
        <w:tc>
          <w:tcPr>
            <w:tcW w:w="2380" w:type="dxa"/>
            <w:vAlign w:val="bottom"/>
          </w:tcPr>
          <w:p>
            <w:pPr>
              <w:jc w:val="center"/>
              <w:ind w:right="2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44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tcPr>
          <w:p>
            <w:pPr>
              <w:jc w:val="center"/>
              <w:ind w:right="8"/>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448"/>
              <w:spacing w:after="0"/>
              <w:rPr>
                <w:sz w:val="20"/>
                <w:szCs w:val="20"/>
                <w:color w:val="auto"/>
              </w:rPr>
            </w:pPr>
            <w:r>
              <w:rPr>
                <w:rFonts w:ascii="Arial" w:cs="Arial" w:eastAsia="Arial" w:hAnsi="Arial"/>
                <w:sz w:val="14"/>
                <w:szCs w:val="14"/>
                <w:b w:val="1"/>
                <w:bCs w:val="1"/>
                <w:color w:val="auto"/>
              </w:rPr>
              <w:t>identification number)</w:t>
            </w:r>
          </w:p>
        </w:tc>
      </w:tr>
      <w:tr>
        <w:trPr>
          <w:trHeight w:val="93"/>
        </w:trPr>
        <w:tc>
          <w:tcPr>
            <w:tcW w:w="238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r>
    </w:tbl>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COMPASS GROUP DIVERSIFIED HOLDINGS LLC</w:t>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35" w:lineRule="exact"/>
        <w:rPr>
          <w:sz w:val="24"/>
          <w:szCs w:val="24"/>
          <w:color w:val="auto"/>
        </w:rPr>
      </w:pPr>
    </w:p>
    <w:tbl>
      <w:tblPr>
        <w:tblLayout w:type="fixed"/>
        <w:tblInd w:w="1440" w:type="dxa"/>
        <w:tblCellMar>
          <w:top w:w="0" w:type="dxa"/>
          <w:left w:w="0" w:type="dxa"/>
          <w:bottom w:w="0" w:type="dxa"/>
          <w:right w:w="0" w:type="dxa"/>
        </w:tblCellMar>
      </w:tblPr>
      <w:tr>
        <w:trPr>
          <w:trHeight w:val="189"/>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2700" w:type="dxa"/>
            <w:vAlign w:val="bottom"/>
          </w:tcPr>
          <w:p>
            <w:pPr>
              <w:jc w:val="center"/>
              <w:ind w:right="68"/>
              <w:spacing w:after="0"/>
              <w:rPr>
                <w:sz w:val="20"/>
                <w:szCs w:val="20"/>
                <w:color w:val="auto"/>
              </w:rPr>
            </w:pPr>
            <w:r>
              <w:rPr>
                <w:rFonts w:ascii="Arial" w:cs="Arial" w:eastAsia="Arial" w:hAnsi="Arial"/>
                <w:sz w:val="14"/>
                <w:szCs w:val="14"/>
                <w:b w:val="1"/>
                <w:bCs w:val="1"/>
                <w:color w:val="auto"/>
              </w:rPr>
              <w:t>001-34926</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20-3812051</w:t>
            </w:r>
          </w:p>
        </w:tc>
      </w:tr>
      <w:tr>
        <w:trPr>
          <w:trHeight w:val="148"/>
        </w:trPr>
        <w:tc>
          <w:tcPr>
            <w:tcW w:w="2860" w:type="dxa"/>
            <w:vAlign w:val="bottom"/>
          </w:tcPr>
          <w:p>
            <w:pPr>
              <w:jc w:val="center"/>
              <w:ind w:right="74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700" w:type="dxa"/>
            <w:vAlign w:val="bottom"/>
          </w:tcPr>
          <w:p>
            <w:pPr>
              <w:jc w:val="center"/>
              <w:ind w:right="68"/>
              <w:spacing w:after="0" w:line="148"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88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2860" w:type="dxa"/>
            <w:vAlign w:val="bottom"/>
          </w:tcPr>
          <w:p>
            <w:pPr>
              <w:jc w:val="center"/>
              <w:ind w:right="748"/>
              <w:spacing w:after="0"/>
              <w:rPr>
                <w:sz w:val="20"/>
                <w:szCs w:val="20"/>
                <w:color w:val="auto"/>
              </w:rPr>
            </w:pPr>
            <w:r>
              <w:rPr>
                <w:rFonts w:ascii="Arial" w:cs="Arial" w:eastAsia="Arial" w:hAnsi="Arial"/>
                <w:sz w:val="14"/>
                <w:szCs w:val="14"/>
                <w:b w:val="1"/>
                <w:bCs w:val="1"/>
                <w:color w:val="auto"/>
              </w:rPr>
              <w:t>incorporation or organization)</w:t>
            </w:r>
          </w:p>
        </w:tc>
        <w:tc>
          <w:tcPr>
            <w:tcW w:w="270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88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86360</wp:posOffset>
            </wp:positionV>
            <wp:extent cx="228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94" w:lineRule="exact"/>
        <w:rPr>
          <w:sz w:val="24"/>
          <w:szCs w:val="24"/>
          <w:color w:val="auto"/>
        </w:rPr>
      </w:pPr>
    </w:p>
    <w:tbl>
      <w:tblPr>
        <w:tblLayout w:type="fixed"/>
        <w:tblInd w:w="70" w:type="dxa"/>
        <w:tblCellMar>
          <w:top w:w="0" w:type="dxa"/>
          <w:left w:w="0" w:type="dxa"/>
          <w:bottom w:w="0" w:type="dxa"/>
          <w:right w:w="0" w:type="dxa"/>
        </w:tblCellMar>
      </w:tblPr>
      <w:tr>
        <w:trPr>
          <w:trHeight w:val="162"/>
        </w:trPr>
        <w:tc>
          <w:tcPr>
            <w:tcW w:w="5720" w:type="dxa"/>
            <w:vAlign w:val="bottom"/>
            <w:tcBorders>
              <w:top w:val="single" w:sz="8" w:color="auto"/>
              <w:left w:val="single" w:sz="8" w:color="auto"/>
            </w:tcBorders>
            <w:vMerge w:val="restart"/>
          </w:tcPr>
          <w:p>
            <w:pPr>
              <w:ind w:left="2300"/>
              <w:spacing w:after="0"/>
              <w:rPr>
                <w:sz w:val="20"/>
                <w:szCs w:val="20"/>
                <w:color w:val="auto"/>
              </w:rPr>
            </w:pPr>
            <w:r>
              <w:rPr>
                <w:rFonts w:ascii="Arial" w:cs="Arial" w:eastAsia="Arial" w:hAnsi="Arial"/>
                <w:sz w:val="14"/>
                <w:szCs w:val="14"/>
                <w:b w:val="1"/>
                <w:bCs w:val="1"/>
                <w:color w:val="auto"/>
              </w:rPr>
              <w:t>Title of Each Class</w:t>
            </w:r>
          </w:p>
        </w:tc>
        <w:tc>
          <w:tcPr>
            <w:tcW w:w="15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w:t>
            </w:r>
          </w:p>
        </w:tc>
        <w:tc>
          <w:tcPr>
            <w:tcW w:w="39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5"/>
        </w:trPr>
        <w:tc>
          <w:tcPr>
            <w:tcW w:w="5720" w:type="dxa"/>
            <w:vAlign w:val="bottom"/>
            <w:tcBorders>
              <w:left w:val="single" w:sz="8" w:color="auto"/>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Symbol(s)</w:t>
            </w:r>
          </w:p>
        </w:tc>
        <w:tc>
          <w:tcPr>
            <w:tcW w:w="39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CODI</w:t>
            </w: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A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A</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B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B</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5720" w:type="dxa"/>
            <w:vAlign w:val="bottom"/>
            <w:tcBorders>
              <w:left w:val="single" w:sz="8" w:color="auto"/>
            </w:tcBorders>
          </w:tcPr>
          <w:p>
            <w:pPr>
              <w:ind w:left="40"/>
              <w:spacing w:after="0" w:line="147" w:lineRule="exact"/>
              <w:rPr>
                <w:sz w:val="20"/>
                <w:szCs w:val="20"/>
                <w:color w:val="auto"/>
              </w:rPr>
            </w:pPr>
            <w:r>
              <w:rPr>
                <w:rFonts w:ascii="Arial" w:cs="Arial" w:eastAsia="Arial" w:hAnsi="Arial"/>
                <w:sz w:val="14"/>
                <w:szCs w:val="14"/>
                <w:color w:val="auto"/>
              </w:rPr>
              <w:t>Series C Preferred Shares representing beneficial interests in Compass Diversified</w:t>
            </w:r>
          </w:p>
        </w:tc>
        <w:tc>
          <w:tcPr>
            <w:tcW w:w="1520" w:type="dxa"/>
            <w:vAlign w:val="bottom"/>
            <w:vMerge w:val="restart"/>
          </w:tcPr>
          <w:p>
            <w:pPr>
              <w:jc w:val="center"/>
              <w:ind w:left="28"/>
              <w:spacing w:after="0"/>
              <w:rPr>
                <w:sz w:val="20"/>
                <w:szCs w:val="20"/>
                <w:color w:val="auto"/>
              </w:rPr>
            </w:pPr>
            <w:r>
              <w:rPr>
                <w:rFonts w:ascii="Arial" w:cs="Arial" w:eastAsia="Arial" w:hAnsi="Arial"/>
                <w:sz w:val="14"/>
                <w:szCs w:val="14"/>
                <w:color w:val="auto"/>
              </w:rPr>
              <w:t>CODI PR C</w:t>
            </w:r>
          </w:p>
        </w:tc>
        <w:tc>
          <w:tcPr>
            <w:tcW w:w="3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7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Holdings</w:t>
            </w:r>
          </w:p>
        </w:tc>
        <w:tc>
          <w:tcPr>
            <w:tcW w:w="1520" w:type="dxa"/>
            <w:vAlign w:val="bottom"/>
            <w:vMerge w:val="continue"/>
          </w:tcPr>
          <w:p>
            <w:pPr>
              <w:spacing w:after="0"/>
              <w:rPr>
                <w:sz w:val="9"/>
                <w:szCs w:val="9"/>
                <w:color w:val="auto"/>
              </w:rPr>
            </w:pPr>
          </w:p>
        </w:tc>
        <w:tc>
          <w:tcPr>
            <w:tcW w:w="3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66"/>
        </w:trPr>
        <w:tc>
          <w:tcPr>
            <w:tcW w:w="5720" w:type="dxa"/>
            <w:vAlign w:val="bottom"/>
            <w:tcBorders>
              <w:left w:val="single" w:sz="8" w:color="auto"/>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3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42" w:lineRule="exact"/>
        <w:rPr>
          <w:sz w:val="24"/>
          <w:szCs w:val="24"/>
          <w:color w:val="auto"/>
        </w:rPr>
      </w:pPr>
    </w:p>
    <w:p>
      <w:pPr>
        <w:ind w:right="260"/>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96"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8" w:lineRule="exact"/>
        <w:rPr>
          <w:sz w:val="24"/>
          <w:szCs w:val="24"/>
          <w:color w:val="auto"/>
        </w:rPr>
      </w:pPr>
    </w:p>
    <w:p>
      <w:pPr>
        <w:ind w:right="64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94"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4" w:right="379" w:bottom="1440" w:gutter="0" w:footer="0" w:header="0"/>
        </w:sectPr>
      </w:pPr>
    </w:p>
    <w:p>
      <w:pPr>
        <w:spacing w:after="0" w:line="30"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ectPr>
          <w:pgSz w:w="11900" w:h="16838" w:orient="portrait"/>
          <w:cols w:equalWidth="0" w:num="6">
            <w:col w:w="3080" w:space="720"/>
            <w:col w:w="60" w:space="440"/>
            <w:col w:w="1760" w:space="720"/>
            <w:col w:w="140" w:space="220"/>
            <w:col w:w="1540" w:space="720"/>
            <w:col w:w="1800"/>
          </w:cols>
          <w:pgMar w:left="320" w:top="904" w:right="379" w:bottom="1440" w:gutter="0" w:footer="0" w:header="0"/>
          <w:type w:val="continuous"/>
        </w:sectPr>
      </w:pPr>
    </w:p>
    <w:p>
      <w:pPr>
        <w:spacing w:after="0" w:line="42"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8" w:lineRule="exact"/>
        <w:rPr>
          <w:sz w:val="24"/>
          <w:szCs w:val="24"/>
          <w:color w:val="auto"/>
        </w:rPr>
      </w:pPr>
    </w:p>
    <w:p>
      <w:pPr>
        <w:sectPr>
          <w:pgSz w:w="11900" w:h="16838" w:orient="portrait"/>
          <w:cols w:equalWidth="0" w:num="4">
            <w:col w:w="3080" w:space="720"/>
            <w:col w:w="160" w:space="340"/>
            <w:col w:w="1760" w:space="720"/>
            <w:col w:w="4420"/>
          </w:cols>
          <w:pgMar w:left="320" w:top="904" w:right="379" w:bottom="1440" w:gutter="0" w:footer="0" w:header="0"/>
          <w:type w:val="continuous"/>
        </w:sectPr>
      </w:pPr>
    </w:p>
    <w:p>
      <w:pPr>
        <w:ind w:right="26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348" w:lineRule="exact"/>
        <w:rPr>
          <w:sz w:val="24"/>
          <w:szCs w:val="24"/>
          <w:color w:val="auto"/>
        </w:rPr>
      </w:pPr>
    </w:p>
    <w:p>
      <w:pPr>
        <w:ind w:left="1940"/>
        <w:spacing w:after="0"/>
        <w:rPr>
          <w:sz w:val="20"/>
          <w:szCs w:val="20"/>
          <w:color w:val="auto"/>
        </w:rPr>
      </w:pPr>
      <w:r>
        <w:rPr>
          <w:rFonts w:ascii="Arial" w:cs="Arial" w:eastAsia="Arial" w:hAnsi="Arial"/>
          <w:sz w:val="15"/>
          <w:szCs w:val="15"/>
          <w:color w:val="auto"/>
        </w:rPr>
        <w:t>As of October 22, 2021, there were 65,950,695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115570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81280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80" w:type="dxa"/>
            <w:vAlign w:val="bottom"/>
            <w:gridSpan w:val="11"/>
          </w:tcPr>
          <w:p>
            <w:pPr>
              <w:jc w:val="center"/>
              <w:ind w:right="250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80" w:type="dxa"/>
            <w:vAlign w:val="bottom"/>
            <w:gridSpan w:val="11"/>
          </w:tcPr>
          <w:p>
            <w:pPr>
              <w:jc w:val="center"/>
              <w:ind w:right="2520"/>
              <w:spacing w:after="0"/>
              <w:rPr>
                <w:sz w:val="20"/>
                <w:szCs w:val="20"/>
                <w:color w:val="auto"/>
              </w:rPr>
            </w:pPr>
            <w:r>
              <w:rPr>
                <w:rFonts w:ascii="Arial" w:cs="Arial" w:eastAsia="Arial" w:hAnsi="Arial"/>
                <w:sz w:val="20"/>
                <w:szCs w:val="20"/>
                <w:b w:val="1"/>
                <w:bCs w:val="1"/>
                <w:color w:val="auto"/>
                <w:w w:val="99"/>
              </w:rPr>
              <w:t>For the period ended September 30, 2021</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10200" w:type="dxa"/>
            <w:vAlign w:val="bottom"/>
            <w:gridSpan w:val="18"/>
          </w:tcPr>
          <w:p>
            <w:pPr>
              <w:spacing w:after="0" w:line="136" w:lineRule="exact"/>
              <w:rPr>
                <w:rFonts w:ascii="Arial" w:cs="Arial" w:eastAsia="Arial" w:hAnsi="Arial"/>
                <w:sz w:val="15"/>
                <w:szCs w:val="15"/>
                <w:color w:val="0000FF"/>
              </w:rPr>
            </w:pPr>
            <w:hyperlink w:anchor="page3">
              <w:r>
                <w:rPr>
                  <w:rFonts w:ascii="Arial" w:cs="Arial" w:eastAsia="Arial" w:hAnsi="Arial"/>
                  <w:sz w:val="15"/>
                  <w:szCs w:val="15"/>
                  <w:color w:val="0000FF"/>
                </w:rPr>
                <w:t>FORWARD-LOOKING STATEMENTS</w:t>
              </w:r>
            </w:hyperlink>
          </w:p>
        </w:tc>
        <w:tc>
          <w:tcPr>
            <w:tcW w:w="540" w:type="dxa"/>
            <w:vAlign w:val="bottom"/>
            <w:gridSpan w:val="2"/>
          </w:tcPr>
          <w:p>
            <w:pPr>
              <w:jc w:val="center"/>
              <w:ind w:left="375"/>
              <w:spacing w:after="0" w:line="142" w:lineRule="exact"/>
              <w:rPr>
                <w:rFonts w:ascii="Arial" w:cs="Arial" w:eastAsia="Arial" w:hAnsi="Arial"/>
                <w:sz w:val="16"/>
                <w:szCs w:val="16"/>
                <w:color w:val="0000FF"/>
                <w:w w:val="89"/>
              </w:rPr>
            </w:pPr>
            <w:hyperlink w:anchor="page3">
              <w:r>
                <w:rPr>
                  <w:rFonts w:ascii="Arial" w:cs="Arial" w:eastAsia="Arial" w:hAnsi="Arial"/>
                  <w:sz w:val="16"/>
                  <w:szCs w:val="16"/>
                  <w:color w:val="0000FF"/>
                  <w:w w:val="89"/>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8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auto"/>
              </w:rPr>
              <w:t>PART I. FINANCIAL INFORMATION</w:t>
            </w:r>
          </w:p>
        </w:tc>
        <w:tc>
          <w:tcPr>
            <w:tcW w:w="732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gridSpan w:val="2"/>
          </w:tcPr>
          <w:p>
            <w:pPr>
              <w:spacing w:after="0" w:line="180" w:lineRule="exact"/>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line="180" w:lineRule="exact"/>
              <w:rPr>
                <w:rFonts w:ascii="Arial" w:cs="Arial" w:eastAsia="Arial" w:hAnsi="Arial"/>
                <w:sz w:val="17"/>
                <w:szCs w:val="17"/>
                <w:color w:val="0000FF"/>
              </w:rPr>
            </w:pPr>
            <w:hyperlink w:anchor="page4">
              <w:r>
                <w:rPr>
                  <w:rFonts w:ascii="Arial" w:cs="Arial" w:eastAsia="Arial" w:hAnsi="Arial"/>
                  <w:sz w:val="17"/>
                  <w:szCs w:val="17"/>
                  <w:color w:val="0000FF"/>
                </w:rPr>
                <w:t>FINANCIAL STATEMENTS (UNAUDITED)</w:t>
              </w:r>
            </w:hyperlink>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60" w:type="dxa"/>
            <w:vAlign w:val="bottom"/>
            <w:gridSpan w:val="8"/>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CONDENSED CONSOLIDATED BALANCE SHEETS</w:t>
              </w:r>
            </w:hyperlink>
          </w:p>
        </w:tc>
        <w:tc>
          <w:tcPr>
            <w:tcW w:w="4480" w:type="dxa"/>
            <w:vAlign w:val="bottom"/>
            <w:gridSpan w:val="8"/>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5</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00" w:type="dxa"/>
            <w:vAlign w:val="bottom"/>
            <w:gridSpan w:val="9"/>
          </w:tcPr>
          <w:p>
            <w:pPr>
              <w:spacing w:after="0"/>
              <w:rPr>
                <w:rFonts w:ascii="Arial" w:cs="Arial" w:eastAsia="Arial" w:hAnsi="Arial"/>
                <w:sz w:val="17"/>
                <w:szCs w:val="17"/>
                <w:color w:val="0000FF"/>
                <w:w w:val="99"/>
              </w:rPr>
            </w:pPr>
            <w:hyperlink w:anchor="page5">
              <w:r>
                <w:rPr>
                  <w:rFonts w:ascii="Arial" w:cs="Arial" w:eastAsia="Arial" w:hAnsi="Arial"/>
                  <w:sz w:val="17"/>
                  <w:szCs w:val="17"/>
                  <w:color w:val="0000FF"/>
                  <w:w w:val="99"/>
                </w:rPr>
                <w:t>CONDENSED CONSOLIDATED STATEMENTS OF OPERATIONS</w:t>
              </w:r>
            </w:hyperlink>
          </w:p>
        </w:tc>
        <w:tc>
          <w:tcPr>
            <w:tcW w:w="3440" w:type="dxa"/>
            <w:vAlign w:val="bottom"/>
            <w:gridSpan w:val="7"/>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6</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40" w:type="dxa"/>
            <w:vAlign w:val="bottom"/>
            <w:gridSpan w:val="14"/>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CONDENSED CONSOLIDATED STATEMENTS OF COMPREHENSIVE INCOME (LOSS)</w:t>
              </w:r>
            </w:hyperlink>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6">
              <w:r>
                <w:rPr>
                  <w:rFonts w:ascii="Arial" w:cs="Arial" w:eastAsia="Arial" w:hAnsi="Arial"/>
                  <w:sz w:val="17"/>
                  <w:szCs w:val="17"/>
                  <w:color w:val="0000FF"/>
                  <w:w w:val="84"/>
                </w:rPr>
                <w:t>7</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20" w:type="dxa"/>
            <w:vAlign w:val="bottom"/>
            <w:gridSpan w:val="13"/>
          </w:tcPr>
          <w:p>
            <w:pPr>
              <w:spacing w:after="0"/>
              <w:rPr>
                <w:rFonts w:ascii="Arial" w:cs="Arial" w:eastAsia="Arial" w:hAnsi="Arial"/>
                <w:sz w:val="17"/>
                <w:szCs w:val="17"/>
                <w:color w:val="0000FF"/>
                <w:w w:val="99"/>
              </w:rPr>
            </w:pPr>
            <w:hyperlink w:anchor="page7">
              <w:r>
                <w:rPr>
                  <w:rFonts w:ascii="Arial" w:cs="Arial" w:eastAsia="Arial" w:hAnsi="Arial"/>
                  <w:sz w:val="17"/>
                  <w:szCs w:val="17"/>
                  <w:color w:val="0000FF"/>
                  <w:w w:val="99"/>
                </w:rPr>
                <w:t>CONDENSED CONSOLIDATED STATEMENTS OF STOCKHOLDERS' EQUITY</w:t>
              </w:r>
            </w:hyperlink>
          </w:p>
        </w:tc>
        <w:tc>
          <w:tcPr>
            <w:tcW w:w="720" w:type="dxa"/>
            <w:vAlign w:val="bottom"/>
          </w:tcPr>
          <w:p>
            <w:pPr>
              <w:spacing w:after="0"/>
              <w:rPr>
                <w:sz w:val="17"/>
                <w:szCs w:val="17"/>
                <w:color w:val="auto"/>
              </w:rPr>
            </w:pPr>
          </w:p>
        </w:tc>
        <w:tc>
          <w:tcPr>
            <w:tcW w:w="1700" w:type="dxa"/>
            <w:vAlign w:val="bottom"/>
            <w:gridSpan w:val="2"/>
          </w:tcPr>
          <w:p>
            <w:pPr>
              <w:spacing w:after="0"/>
              <w:rPr>
                <w:sz w:val="17"/>
                <w:szCs w:val="17"/>
                <w:color w:val="auto"/>
              </w:rPr>
            </w:pPr>
          </w:p>
        </w:tc>
        <w:tc>
          <w:tcPr>
            <w:tcW w:w="540" w:type="dxa"/>
            <w:vAlign w:val="bottom"/>
            <w:gridSpan w:val="2"/>
          </w:tcPr>
          <w:p>
            <w:pPr>
              <w:jc w:val="center"/>
              <w:ind w:left="375"/>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20" w:type="dxa"/>
            <w:vAlign w:val="bottom"/>
            <w:tcBorders>
              <w:bottom w:val="single" w:sz="8" w:color="0000FF"/>
            </w:tcBorders>
            <w:gridSpan w:val="10"/>
          </w:tcPr>
          <w:p>
            <w:pPr>
              <w:spacing w:after="0"/>
              <w:rPr>
                <w:rFonts w:ascii="Arial" w:cs="Arial" w:eastAsia="Arial" w:hAnsi="Arial"/>
                <w:sz w:val="17"/>
                <w:szCs w:val="17"/>
                <w:color w:val="0000FF"/>
                <w:w w:val="99"/>
              </w:rPr>
            </w:pPr>
            <w:hyperlink w:anchor="page9">
              <w:r>
                <w:rPr>
                  <w:rFonts w:ascii="Arial" w:cs="Arial" w:eastAsia="Arial" w:hAnsi="Arial"/>
                  <w:sz w:val="17"/>
                  <w:szCs w:val="17"/>
                  <w:color w:val="0000FF"/>
                  <w:w w:val="99"/>
                </w:rPr>
                <w:t>CONDENSED CONSOLIDATED STATEMENTS OF CASH FLOWS</w:t>
              </w:r>
            </w:hyperlink>
          </w:p>
        </w:tc>
        <w:tc>
          <w:tcPr>
            <w:tcW w:w="1000" w:type="dxa"/>
            <w:vAlign w:val="bottom"/>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40" w:type="dxa"/>
            <w:vAlign w:val="bottom"/>
            <w:gridSpan w:val="16"/>
          </w:tcPr>
          <w:p>
            <w:pPr>
              <w:spacing w:after="0"/>
              <w:rPr>
                <w:rFonts w:ascii="Arial" w:cs="Arial" w:eastAsia="Arial" w:hAnsi="Arial"/>
                <w:sz w:val="17"/>
                <w:szCs w:val="17"/>
                <w:color w:val="0000FF"/>
              </w:rPr>
            </w:pPr>
            <w:hyperlink w:anchor="page11">
              <w:r>
                <w:rPr>
                  <w:rFonts w:ascii="Arial" w:cs="Arial" w:eastAsia="Arial" w:hAnsi="Arial"/>
                  <w:sz w:val="17"/>
                  <w:szCs w:val="17"/>
                  <w:color w:val="0000FF"/>
                </w:rPr>
                <w:t>NOTES TO CONDENSED CONSOLIDATED FINANCIAL STATEMENTS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11">
              <w:r>
                <w:rPr>
                  <w:rFonts w:ascii="Arial" w:cs="Arial" w:eastAsia="Arial" w:hAnsi="Arial"/>
                  <w:sz w:val="17"/>
                  <w:szCs w:val="17"/>
                  <w:color w:val="0000FF"/>
                </w:rPr>
                <w:t>12</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60" w:type="dxa"/>
            <w:vAlign w:val="bottom"/>
            <w:gridSpan w:val="2"/>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FF"/>
            </w:tcBorders>
            <w:gridSpan w:val="15"/>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MANAGEMENT'S DISCUSSION AND ANALYSIS OF FINANCIAL CONDITION AND RESULTS OF</w:t>
              </w:r>
            </w:hyperlink>
          </w:p>
        </w:tc>
        <w:tc>
          <w:tcPr>
            <w:tcW w:w="1020" w:type="dxa"/>
            <w:vAlign w:val="bottom"/>
          </w:tcPr>
          <w:p>
            <w:pPr>
              <w:spacing w:after="0"/>
              <w:rPr>
                <w:sz w:val="24"/>
                <w:szCs w:val="24"/>
                <w:color w:val="auto"/>
              </w:rPr>
            </w:pPr>
          </w:p>
        </w:tc>
        <w:tc>
          <w:tcPr>
            <w:tcW w:w="540" w:type="dxa"/>
            <w:vAlign w:val="bottom"/>
            <w:gridSpan w:val="2"/>
            <w:vMerge w:val="restart"/>
          </w:tcPr>
          <w:p>
            <w:pPr>
              <w:jc w:val="center"/>
              <w:ind w:left="255"/>
              <w:spacing w:after="0"/>
              <w:rPr>
                <w:rFonts w:ascii="Arial" w:cs="Arial" w:eastAsia="Arial" w:hAnsi="Arial"/>
                <w:sz w:val="17"/>
                <w:szCs w:val="17"/>
                <w:color w:val="0000FF"/>
              </w:rPr>
            </w:pPr>
            <w:hyperlink w:anchor="page41">
              <w:r>
                <w:rPr>
                  <w:rFonts w:ascii="Arial" w:cs="Arial" w:eastAsia="Arial" w:hAnsi="Arial"/>
                  <w:sz w:val="17"/>
                  <w:szCs w:val="17"/>
                  <w:color w:val="0000FF"/>
                </w:rPr>
                <w:t>42</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2"/>
            <w:vMerge w:val="restart"/>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OPERATIONS</w:t>
              </w:r>
            </w:hyperlink>
          </w:p>
        </w:tc>
        <w:tc>
          <w:tcPr>
            <w:tcW w:w="7420" w:type="dxa"/>
            <w:vAlign w:val="bottom"/>
            <w:gridSpan w:val="14"/>
            <w:vMerge w:val="restart"/>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tcBorders>
              <w:bottom w:val="single" w:sz="8" w:color="0000FF"/>
            </w:tcBorders>
            <w:gridSpan w:val="2"/>
            <w:vMerge w:val="continue"/>
          </w:tcPr>
          <w:p>
            <w:pPr>
              <w:spacing w:after="0"/>
              <w:rPr>
                <w:sz w:val="5"/>
                <w:szCs w:val="5"/>
                <w:color w:val="auto"/>
              </w:rPr>
            </w:pPr>
          </w:p>
        </w:tc>
        <w:tc>
          <w:tcPr>
            <w:tcW w:w="7420" w:type="dxa"/>
            <w:vAlign w:val="bottom"/>
            <w:gridSpan w:val="14"/>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3.</w:t>
            </w:r>
          </w:p>
        </w:tc>
        <w:tc>
          <w:tcPr>
            <w:tcW w:w="5880" w:type="dxa"/>
            <w:vAlign w:val="bottom"/>
            <w:tcBorders>
              <w:bottom w:val="single" w:sz="8" w:color="0000FF"/>
            </w:tcBorders>
            <w:gridSpan w:val="12"/>
          </w:tcPr>
          <w:p>
            <w:pPr>
              <w:spacing w:after="0"/>
              <w:rPr>
                <w:rFonts w:ascii="Arial" w:cs="Arial" w:eastAsia="Arial" w:hAnsi="Arial"/>
                <w:sz w:val="17"/>
                <w:szCs w:val="17"/>
                <w:color w:val="0000FF"/>
                <w:w w:val="99"/>
              </w:rPr>
            </w:pPr>
            <w:hyperlink w:anchor="page77">
              <w:r>
                <w:rPr>
                  <w:rFonts w:ascii="Arial" w:cs="Arial" w:eastAsia="Arial" w:hAnsi="Arial"/>
                  <w:sz w:val="17"/>
                  <w:szCs w:val="17"/>
                  <w:color w:val="0000FF"/>
                  <w:w w:val="99"/>
                </w:rPr>
                <w:t>QUANTITATIVE AND QUALITATIVE DISCLOSURES ABOUT MARKET RISK</w:t>
              </w:r>
            </w:hyperlink>
          </w:p>
        </w:tc>
        <w:tc>
          <w:tcPr>
            <w:tcW w:w="26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77">
              <w:r>
                <w:rPr>
                  <w:rFonts w:ascii="Arial" w:cs="Arial" w:eastAsia="Arial" w:hAnsi="Arial"/>
                  <w:sz w:val="17"/>
                  <w:szCs w:val="17"/>
                  <w:color w:val="0000FF"/>
                  <w:w w:val="73"/>
                </w:rPr>
                <w:t>77</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4.</w:t>
            </w:r>
          </w:p>
        </w:tc>
        <w:tc>
          <w:tcPr>
            <w:tcW w:w="2620" w:type="dxa"/>
            <w:vAlign w:val="bottom"/>
            <w:tcBorders>
              <w:bottom w:val="single" w:sz="8" w:color="0000FF"/>
            </w:tcBorders>
            <w:gridSpan w:val="6"/>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CONTROLS AND PROCEDURES</w:t>
              </w:r>
            </w:hyperlink>
          </w:p>
        </w:tc>
        <w:tc>
          <w:tcPr>
            <w:tcW w:w="5920" w:type="dxa"/>
            <w:vAlign w:val="bottom"/>
            <w:gridSpan w:val="10"/>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77">
              <w:r>
                <w:rPr>
                  <w:rFonts w:ascii="Arial" w:cs="Arial" w:eastAsia="Arial" w:hAnsi="Arial"/>
                  <w:sz w:val="17"/>
                  <w:szCs w:val="17"/>
                  <w:color w:val="0000FF"/>
                  <w:w w:val="73"/>
                </w:rPr>
                <w:t>77</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10200" w:type="dxa"/>
            <w:vAlign w:val="bottom"/>
            <w:gridSpan w:val="18"/>
          </w:tcPr>
          <w:p>
            <w:pPr>
              <w:spacing w:after="0"/>
              <w:rPr>
                <w:sz w:val="20"/>
                <w:szCs w:val="20"/>
                <w:color w:val="auto"/>
              </w:rPr>
            </w:pPr>
            <w:r>
              <w:rPr>
                <w:rFonts w:ascii="Arial" w:cs="Arial" w:eastAsia="Arial" w:hAnsi="Arial"/>
                <w:sz w:val="17"/>
                <w:szCs w:val="17"/>
                <w:b w:val="1"/>
                <w:bCs w:val="1"/>
                <w:color w:val="auto"/>
              </w:rPr>
              <w:t>PART II. OTHER INFORMATION</w:t>
            </w:r>
          </w:p>
        </w:tc>
        <w:tc>
          <w:tcPr>
            <w:tcW w:w="4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77">
              <w:r>
                <w:rPr>
                  <w:rFonts w:ascii="Arial" w:cs="Arial" w:eastAsia="Arial" w:hAnsi="Arial"/>
                  <w:sz w:val="17"/>
                  <w:szCs w:val="17"/>
                  <w:color w:val="0000FF"/>
                  <w:w w:val="73"/>
                </w:rPr>
                <w:t>78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540" w:type="dxa"/>
            <w:vAlign w:val="bottom"/>
            <w:gridSpan w:val="16"/>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LEGAL PROCEEDINGS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78">
              <w:r>
                <w:rPr>
                  <w:rFonts w:ascii="Arial" w:cs="Arial" w:eastAsia="Arial" w:hAnsi="Arial"/>
                  <w:sz w:val="17"/>
                  <w:szCs w:val="17"/>
                  <w:color w:val="0000FF"/>
                </w:rPr>
                <w:t>78</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126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98"/>
              </w:rPr>
            </w:pPr>
            <w:hyperlink w:anchor="page78">
              <w:r>
                <w:rPr>
                  <w:rFonts w:ascii="Arial" w:cs="Arial" w:eastAsia="Arial" w:hAnsi="Arial"/>
                  <w:sz w:val="17"/>
                  <w:szCs w:val="17"/>
                  <w:color w:val="0000FF"/>
                  <w:w w:val="98"/>
                </w:rPr>
                <w:t>RISK FACTORS</w:t>
              </w:r>
            </w:hyperlink>
          </w:p>
        </w:tc>
        <w:tc>
          <w:tcPr>
            <w:tcW w:w="600" w:type="dxa"/>
            <w:vAlign w:val="bottom"/>
            <w:tcBorders>
              <w:top w:val="single" w:sz="8" w:color="0000FF"/>
            </w:tcBorders>
          </w:tcPr>
          <w:p>
            <w:pPr>
              <w:spacing w:after="0"/>
              <w:rPr>
                <w:sz w:val="21"/>
                <w:szCs w:val="21"/>
                <w:color w:val="auto"/>
              </w:rPr>
            </w:pPr>
          </w:p>
        </w:tc>
        <w:tc>
          <w:tcPr>
            <w:tcW w:w="668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78">
              <w:r>
                <w:rPr>
                  <w:rFonts w:ascii="Arial" w:cs="Arial" w:eastAsia="Arial" w:hAnsi="Arial"/>
                  <w:sz w:val="17"/>
                  <w:szCs w:val="17"/>
                  <w:color w:val="0000FF"/>
                  <w:w w:val="73"/>
                </w:rPr>
                <w:t>78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540" w:type="dxa"/>
            <w:vAlign w:val="bottom"/>
            <w:gridSpan w:val="16"/>
          </w:tcPr>
          <w:p>
            <w:pPr>
              <w:spacing w:after="0"/>
              <w:rPr>
                <w:rFonts w:ascii="Arial" w:cs="Arial" w:eastAsia="Arial" w:hAnsi="Arial"/>
                <w:sz w:val="17"/>
                <w:szCs w:val="17"/>
                <w:color w:val="0000FF"/>
              </w:rPr>
            </w:pPr>
            <w:hyperlink w:anchor="page78">
              <w:r>
                <w:rPr>
                  <w:rFonts w:ascii="Arial" w:cs="Arial" w:eastAsia="Arial" w:hAnsi="Arial"/>
                  <w:sz w:val="17"/>
                  <w:szCs w:val="17"/>
                  <w:color w:val="0000FF"/>
                </w:rPr>
                <w:t>EXHIBITS</w:t>
              </w:r>
            </w:hyperlink>
          </w:p>
        </w:tc>
        <w:tc>
          <w:tcPr>
            <w:tcW w:w="540" w:type="dxa"/>
            <w:vAlign w:val="bottom"/>
            <w:gridSpan w:val="2"/>
          </w:tcPr>
          <w:p>
            <w:pPr>
              <w:jc w:val="center"/>
              <w:ind w:left="255"/>
              <w:spacing w:after="0"/>
              <w:rPr>
                <w:rFonts w:ascii="Arial" w:cs="Arial" w:eastAsia="Arial" w:hAnsi="Arial"/>
                <w:sz w:val="17"/>
                <w:szCs w:val="17"/>
                <w:color w:val="0000FF"/>
              </w:rPr>
            </w:pPr>
            <w:hyperlink w:anchor="page78">
              <w:r>
                <w:rPr>
                  <w:rFonts w:ascii="Arial" w:cs="Arial" w:eastAsia="Arial" w:hAnsi="Arial"/>
                  <w:sz w:val="17"/>
                  <w:szCs w:val="17"/>
                  <w:color w:val="0000FF"/>
                </w:rPr>
                <w:t>79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60" w:type="dxa"/>
            <w:vAlign w:val="bottom"/>
            <w:gridSpan w:val="2"/>
          </w:tcPr>
          <w:p>
            <w:pPr>
              <w:spacing w:after="0"/>
              <w:rPr>
                <w:rFonts w:ascii="Arial" w:cs="Arial" w:eastAsia="Arial" w:hAnsi="Arial"/>
                <w:sz w:val="17"/>
                <w:szCs w:val="17"/>
                <w:color w:val="0000FF"/>
              </w:rPr>
            </w:pPr>
            <w:hyperlink w:anchor="page80">
              <w:r>
                <w:rPr>
                  <w:rFonts w:ascii="Arial" w:cs="Arial" w:eastAsia="Arial" w:hAnsi="Arial"/>
                  <w:sz w:val="17"/>
                  <w:szCs w:val="17"/>
                  <w:color w:val="0000FF"/>
                </w:rPr>
                <w:t>SIGNATURES</w:t>
              </w:r>
            </w:hyperlink>
          </w:p>
        </w:tc>
        <w:tc>
          <w:tcPr>
            <w:tcW w:w="7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top w:val="single" w:sz="8" w:color="0000FF"/>
            </w:tcBorders>
          </w:tcPr>
          <w:p>
            <w:pPr>
              <w:jc w:val="center"/>
              <w:spacing w:after="0"/>
              <w:rPr>
                <w:rFonts w:ascii="Arial" w:cs="Arial" w:eastAsia="Arial" w:hAnsi="Arial"/>
                <w:sz w:val="17"/>
                <w:szCs w:val="17"/>
                <w:color w:val="0000FF"/>
                <w:w w:val="73"/>
              </w:rPr>
            </w:pPr>
            <w:hyperlink w:anchor="page80">
              <w:r>
                <w:rPr>
                  <w:rFonts w:ascii="Arial" w:cs="Arial" w:eastAsia="Arial" w:hAnsi="Arial"/>
                  <w:sz w:val="17"/>
                  <w:szCs w:val="17"/>
                  <w:color w:val="0000FF"/>
                  <w:w w:val="73"/>
                </w:rPr>
                <w:t>81</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Third Amended and Restated Trust Agreement of the Trust dated as of August 3, 2021;</w:t>
      </w:r>
    </w:p>
    <w:p>
      <w:pPr>
        <w:spacing w:after="0" w:line="76"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Credit Facility" refer to the second amended and restated credit agreement entered into on March 23, 2021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"2021 Revolving Credit Facility" refers to the $600 million in revolving loans, swing line loans and letters of credit provided by the 2021 Credit Facility that matures in 2026;</w:t>
      </w:r>
    </w:p>
    <w:p>
      <w:pPr>
        <w:spacing w:after="0" w:line="62"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 as further amended;</w:t>
      </w:r>
    </w:p>
    <w:p>
      <w:pPr>
        <w:spacing w:after="0" w:line="5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90"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Sixth Amended and Restated Operating Agreement of the Company dated as of August 3, 2021;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All statements other than statements of historical or current fact are “forward-looking statements” for purposes of federal and state securities laws. Forward looking statements include, among other things, (i) statements as to our future performance or liquidity, such as expectations for our results of operation, net income, adjusted EBITDA, and ability to make quarterly distributions and (ii) our plans, strategies and objectives for future operations, including our planned capital expenditures. Forward-looking statements in this Quarterly Report on Form 10-Q are subject to a number of risks and uncertainties, such as those disclosed or incorporated by reference in our filings with the SEC, including, but not limited to, those described under the section entitled “Risk Factors” in our Annual Report on Form 10-K for the year ended December 31, 2020 filed with the United States Securities and Exchange Commission (“SEC”) on February 24, 2021, as such factors may be updated from time to time in our filings with the SEC. Many of these risks and uncertainties are beyond our control. Important factors that could cause our actual results, performance and achievements to differ materially from those estimates or projections contained in our forward-looking statements include, among other things:</w:t>
      </w:r>
    </w:p>
    <w:p>
      <w:pPr>
        <w:spacing w:after="0" w:line="88" w:lineRule="exact"/>
        <w:rPr>
          <w:sz w:val="20"/>
          <w:szCs w:val="20"/>
          <w:color w:val="auto"/>
        </w:rPr>
      </w:pPr>
    </w:p>
    <w:p>
      <w:pPr>
        <w:jc w:val="both"/>
        <w:ind w:left="500" w:hanging="330"/>
        <w:spacing w:after="0" w:line="256"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w:t>
      </w:r>
    </w:p>
    <w:p>
      <w:pPr>
        <w:spacing w:after="0" w:line="1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the global supply chain, labor shortages and high labor costs;</w:t>
      </w:r>
    </w:p>
    <w:p>
      <w:pPr>
        <w:spacing w:after="0" w:line="49"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and delays in integrating, or business disruptions following, acquisitions or an inability to fully realize cost savings and other benefit related thereto;</w:t>
      </w:r>
    </w:p>
    <w:p>
      <w:pPr>
        <w:spacing w:after="0" w:line="22"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legal and regulatory environment in which our businesses operate;</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36"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political or business conditions or economic, political or demographic trends in the United States and other countries in which we have a presence, including changes in interest rates and inflation;</w:t>
      </w:r>
    </w:p>
    <w:p>
      <w:pPr>
        <w:spacing w:after="0" w:line="62" w:lineRule="exact"/>
        <w:rPr>
          <w:rFonts w:ascii="Arial" w:cs="Arial" w:eastAsia="Arial" w:hAnsi="Arial"/>
          <w:sz w:val="18"/>
          <w:szCs w:val="18"/>
          <w:color w:val="auto"/>
        </w:rPr>
      </w:pPr>
    </w:p>
    <w:p>
      <w:pPr>
        <w:ind w:left="500" w:right="20" w:hanging="330"/>
        <w:spacing w:after="0" w:line="225" w:lineRule="auto"/>
        <w:tabs>
          <w:tab w:leader="none" w:pos="49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possible disruption in operations or the economy generally due to terrorism or natural disaster or social, civil or political unrest;</w:t>
      </w:r>
    </w:p>
    <w:p>
      <w:pPr>
        <w:spacing w:after="0" w:line="41" w:lineRule="exact"/>
        <w:rPr>
          <w:rFonts w:ascii="Arial" w:cs="Arial" w:eastAsia="Arial" w:hAnsi="Arial"/>
          <w:sz w:val="22"/>
          <w:szCs w:val="22"/>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tax reclassifications of the Trust;</w:t>
      </w:r>
    </w:p>
    <w:p>
      <w:pPr>
        <w:spacing w:after="0" w:line="36"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49" w:lineRule="exact"/>
        <w:rPr>
          <w:rFonts w:ascii="Arial" w:cs="Arial" w:eastAsia="Arial" w:hAnsi="Arial"/>
          <w:sz w:val="18"/>
          <w:szCs w:val="18"/>
          <w:color w:val="auto"/>
        </w:rPr>
      </w:pPr>
    </w:p>
    <w:p>
      <w:pPr>
        <w:ind w:left="480" w:hanging="310"/>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8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66,402</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258,941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213,695</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486,596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353,967</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48,585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40,798</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of discontinued operations</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33,505</w:t>
            </w:r>
          </w:p>
        </w:tc>
        <w:tc>
          <w:tcPr>
            <w:tcW w:w="0" w:type="dxa"/>
            <w:vAlign w:val="bottom"/>
          </w:tcPr>
          <w:p>
            <w:pPr>
              <w:spacing w:after="0"/>
              <w:rPr>
                <w:sz w:val="1"/>
                <w:szCs w:val="1"/>
                <w:color w:val="auto"/>
              </w:rPr>
            </w:pPr>
          </w:p>
        </w:tc>
      </w:tr>
      <w:tr>
        <w:trPr>
          <w:trHeight w:val="183"/>
        </w:trPr>
        <w:tc>
          <w:tcPr>
            <w:tcW w:w="772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864,361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708,367</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163,118</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912,203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733,175</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834,145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113,882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105,840</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 of discontinued operations</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53,873</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2,840,293</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2,598,518</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7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111,039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94,176</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187,042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147,216</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Due to related party</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10,137</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27,956</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Current liabilities of discontinued operations</w:t>
            </w:r>
          </w:p>
        </w:tc>
        <w:tc>
          <w:tcPr>
            <w:tcW w:w="22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15,230</w:t>
            </w:r>
          </w:p>
        </w:tc>
        <w:tc>
          <w:tcPr>
            <w:tcW w:w="0" w:type="dxa"/>
            <w:vAlign w:val="bottom"/>
          </w:tcPr>
          <w:p>
            <w:pPr>
              <w:spacing w:after="0"/>
              <w:rPr>
                <w:sz w:val="1"/>
                <w:szCs w:val="1"/>
                <w:color w:val="auto"/>
              </w:rPr>
            </w:pPr>
          </w:p>
        </w:tc>
      </w:tr>
      <w:tr>
        <w:trPr>
          <w:trHeight w:val="183"/>
        </w:trPr>
        <w:tc>
          <w:tcPr>
            <w:tcW w:w="7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343,828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294,715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84,613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81,726</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1,122,721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899,460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90,415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91,334</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 of discontinued operations</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11,135</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1,641,577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1,378,370</w:t>
            </w:r>
          </w:p>
        </w:tc>
        <w:tc>
          <w:tcPr>
            <w:tcW w:w="0" w:type="dxa"/>
            <w:vAlign w:val="bottom"/>
          </w:tcPr>
          <w:p>
            <w:pPr>
              <w:spacing w:after="0"/>
              <w:rPr>
                <w:sz w:val="1"/>
                <w:szCs w:val="1"/>
                <w:color w:val="auto"/>
              </w:rPr>
            </w:pPr>
          </w:p>
        </w:tc>
      </w:tr>
      <w:tr>
        <w:trPr>
          <w:trHeight w:val="108"/>
        </w:trPr>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Trust preferred shares, 50,000 authorized; 12,600 shares issued and outstanding at September 30, 2021 and</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tcPr>
          <w:p>
            <w:pPr>
              <w:ind w:left="20"/>
              <w:spacing w:after="0" w:line="153" w:lineRule="exact"/>
              <w:rPr>
                <w:sz w:val="20"/>
                <w:szCs w:val="20"/>
                <w:color w:val="auto"/>
              </w:rPr>
            </w:pPr>
            <w:r>
              <w:rPr>
                <w:rFonts w:ascii="Arial" w:cs="Arial" w:eastAsia="Arial" w:hAnsi="Arial"/>
                <w:sz w:val="14"/>
                <w:szCs w:val="14"/>
                <w:color w:val="auto"/>
              </w:rPr>
              <w:t>Series A preferred shares, no par value; 4,000 shares issued and outstanding at September 30, 2021 and</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96,417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96,417</w:t>
            </w: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2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Series B preferred shares, no par value; 4,000 shares issued and outstanding at September 30, 2021 and</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96,504</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22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tcPr>
          <w:p>
            <w:pPr>
              <w:ind w:left="20"/>
              <w:spacing w:after="0" w:line="153" w:lineRule="exact"/>
              <w:rPr>
                <w:sz w:val="20"/>
                <w:szCs w:val="20"/>
                <w:color w:val="auto"/>
              </w:rPr>
            </w:pPr>
            <w:r>
              <w:rPr>
                <w:rFonts w:ascii="Arial" w:cs="Arial" w:eastAsia="Arial" w:hAnsi="Arial"/>
                <w:sz w:val="14"/>
                <w:szCs w:val="14"/>
                <w:color w:val="auto"/>
              </w:rPr>
              <w:t>Series C preferred shares, no par value; 4,600 shares issued and outstanding at September 30, 2021 and</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110,997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110,997</w:t>
            </w: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rPr>
                <w:sz w:val="20"/>
                <w:szCs w:val="20"/>
                <w:color w:val="auto"/>
              </w:rPr>
            </w:pPr>
            <w:r>
              <w:rPr>
                <w:rFonts w:ascii="Arial" w:cs="Arial" w:eastAsia="Arial" w:hAnsi="Arial"/>
                <w:sz w:val="14"/>
                <w:szCs w:val="14"/>
                <w:color w:val="auto"/>
              </w:rPr>
              <w:t>December 31, 2020</w:t>
            </w:r>
          </w:p>
        </w:tc>
        <w:tc>
          <w:tcPr>
            <w:tcW w:w="2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Trust common shares, no par value, 500,000 authorized; 65,530 shares issued and outstanding at September 30,</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1,027,086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1,008,564</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and 64,900 issued and outstanding at December 31, 2020</w:t>
            </w:r>
          </w:p>
        </w:tc>
        <w:tc>
          <w:tcPr>
            <w:tcW w:w="22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(289,799)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(211,002)</w:t>
            </w:r>
          </w:p>
        </w:tc>
        <w:tc>
          <w:tcPr>
            <w:tcW w:w="0" w:type="dxa"/>
            <w:vAlign w:val="bottom"/>
          </w:tcPr>
          <w:p>
            <w:pPr>
              <w:spacing w:after="0"/>
              <w:rPr>
                <w:sz w:val="1"/>
                <w:szCs w:val="1"/>
                <w:color w:val="auto"/>
              </w:rPr>
            </w:pPr>
          </w:p>
        </w:tc>
      </w:tr>
      <w:tr>
        <w:trPr>
          <w:trHeight w:val="183"/>
        </w:trPr>
        <w:tc>
          <w:tcPr>
            <w:tcW w:w="7720" w:type="dxa"/>
            <w:vAlign w:val="bottom"/>
          </w:tcPr>
          <w:p>
            <w:pPr>
              <w:ind w:left="360"/>
              <w:spacing w:after="0"/>
              <w:rPr>
                <w:sz w:val="20"/>
                <w:szCs w:val="20"/>
                <w:color w:val="auto"/>
              </w:rPr>
            </w:pPr>
            <w:r>
              <w:rPr>
                <w:rFonts w:ascii="Arial" w:cs="Arial" w:eastAsia="Arial" w:hAnsi="Arial"/>
                <w:sz w:val="14"/>
                <w:szCs w:val="14"/>
                <w:color w:val="auto"/>
              </w:rPr>
              <w:t>Total stockholders’ equity attributable to Holdings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1,039,900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1,100,024</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116,288</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Noncontrolling interest of discontinued operations</w:t>
            </w:r>
          </w:p>
        </w:tc>
        <w:tc>
          <w:tcPr>
            <w:tcW w:w="22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18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1,198,716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1,220,148</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2,840,293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2,598,518</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300" w:type="dxa"/>
            <w:vAlign w:val="bottom"/>
            <w:gridSpan w:val="4"/>
          </w:tcPr>
          <w:p>
            <w:pPr>
              <w:jc w:val="right"/>
              <w:ind w:right="52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2"/>
        </w:trPr>
        <w:tc>
          <w:tcPr>
            <w:tcW w:w="5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5"/>
          </w:tcPr>
          <w:p>
            <w:pPr>
              <w:ind w:left="52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7"/>
                <w:szCs w:val="17"/>
                <w:color w:val="auto"/>
              </w:rPr>
            </w:pPr>
          </w:p>
        </w:tc>
        <w:tc>
          <w:tcPr>
            <w:tcW w:w="2300" w:type="dxa"/>
            <w:vAlign w:val="bottom"/>
            <w:gridSpan w:val="4"/>
          </w:tcPr>
          <w:p>
            <w:pPr>
              <w:jc w:val="right"/>
              <w:ind w:right="664"/>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488,158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387,717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1,372,266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1,005,380</w:t>
            </w:r>
          </w:p>
        </w:tc>
        <w:tc>
          <w:tcPr>
            <w:tcW w:w="0" w:type="dxa"/>
            <w:vAlign w:val="bottom"/>
          </w:tcPr>
          <w:p>
            <w:pPr>
              <w:spacing w:after="0"/>
              <w:rPr>
                <w:sz w:val="1"/>
                <w:szCs w:val="1"/>
                <w:color w:val="auto"/>
              </w:rPr>
            </w:pPr>
          </w:p>
        </w:tc>
      </w:tr>
      <w:tr>
        <w:trPr>
          <w:trHeight w:val="19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296,027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242,045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818,307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635,763</w:t>
            </w:r>
          </w:p>
        </w:tc>
        <w:tc>
          <w:tcPr>
            <w:tcW w:w="0" w:type="dxa"/>
            <w:vAlign w:val="bottom"/>
          </w:tcPr>
          <w:p>
            <w:pPr>
              <w:spacing w:after="0"/>
              <w:rPr>
                <w:sz w:val="1"/>
                <w:szCs w:val="1"/>
                <w:color w:val="auto"/>
              </w:rPr>
            </w:pPr>
          </w:p>
        </w:tc>
      </w:tr>
      <w:tr>
        <w:trPr>
          <w:trHeight w:val="200"/>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145,672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553,959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369,617</w:t>
            </w:r>
          </w:p>
        </w:tc>
        <w:tc>
          <w:tcPr>
            <w:tcW w:w="0" w:type="dxa"/>
            <w:vAlign w:val="bottom"/>
          </w:tcPr>
          <w:p>
            <w:pPr>
              <w:spacing w:after="0"/>
              <w:rPr>
                <w:sz w:val="1"/>
                <w:szCs w:val="1"/>
                <w:color w:val="auto"/>
              </w:rPr>
            </w:pPr>
          </w:p>
        </w:tc>
      </w:tr>
      <w:tr>
        <w:trPr>
          <w:trHeight w:val="198"/>
        </w:trPr>
        <w:tc>
          <w:tcPr>
            <w:tcW w:w="592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118,818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90,785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337,815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252,448</w:t>
            </w:r>
          </w:p>
        </w:tc>
        <w:tc>
          <w:tcPr>
            <w:tcW w:w="0" w:type="dxa"/>
            <w:vAlign w:val="bottom"/>
          </w:tcPr>
          <w:p>
            <w:pPr>
              <w:spacing w:after="0"/>
              <w:rPr>
                <w:sz w:val="1"/>
                <w:szCs w:val="1"/>
                <w:color w:val="auto"/>
              </w:rPr>
            </w:pP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12,398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9,534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34,504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23,061</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19,056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15,222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56,502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43,506</w:t>
            </w:r>
          </w:p>
        </w:tc>
        <w:tc>
          <w:tcPr>
            <w:tcW w:w="0" w:type="dxa"/>
            <w:vAlign w:val="bottom"/>
          </w:tcPr>
          <w:p>
            <w:pPr>
              <w:spacing w:after="0"/>
              <w:rPr>
                <w:sz w:val="1"/>
                <w:szCs w:val="1"/>
                <w:color w:val="auto"/>
              </w:rPr>
            </w:pP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Operating income</w:t>
            </w: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41,859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30,131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125,138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50,602</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(12,351)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(42,607)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(32,122)</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c>
          <w:tcPr>
            <w:tcW w:w="0" w:type="dxa"/>
            <w:vAlign w:val="bottom"/>
          </w:tcPr>
          <w:p>
            <w:pPr>
              <w:spacing w:after="0"/>
              <w:rPr>
                <w:sz w:val="1"/>
                <w:szCs w:val="1"/>
                <w:color w:val="auto"/>
              </w:rPr>
            </w:pP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Loss on debt extinguishment</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(33,305)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income (expense), net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(2,178)</w:t>
            </w:r>
          </w:p>
        </w:tc>
        <w:tc>
          <w:tcPr>
            <w:tcW w:w="0" w:type="dxa"/>
            <w:vAlign w:val="bottom"/>
          </w:tcPr>
          <w:p>
            <w:pPr>
              <w:spacing w:after="0"/>
              <w:rPr>
                <w:sz w:val="1"/>
                <w:szCs w:val="1"/>
                <w:color w:val="auto"/>
              </w:rPr>
            </w:pP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28,276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16,670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45,153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14,507</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24,662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6,120</w:t>
            </w:r>
          </w:p>
        </w:tc>
        <w:tc>
          <w:tcPr>
            <w:tcW w:w="0" w:type="dxa"/>
            <w:vAlign w:val="bottom"/>
          </w:tcPr>
          <w:p>
            <w:pPr>
              <w:spacing w:after="0"/>
              <w:rPr>
                <w:sz w:val="1"/>
                <w:szCs w:val="1"/>
                <w:color w:val="auto"/>
              </w:rPr>
            </w:pP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Income from continuing operations</w:t>
            </w: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18,720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16,274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20,491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8,387</w:t>
            </w:r>
          </w:p>
        </w:tc>
        <w:tc>
          <w:tcPr>
            <w:tcW w:w="0" w:type="dxa"/>
            <w:vAlign w:val="bottom"/>
          </w:tcPr>
          <w:p>
            <w:pPr>
              <w:spacing w:after="0"/>
              <w:rPr>
                <w:sz w:val="1"/>
                <w:szCs w:val="1"/>
                <w:color w:val="auto"/>
              </w:rPr>
            </w:pPr>
          </w:p>
        </w:tc>
      </w:tr>
      <w:tr>
        <w:trPr>
          <w:trHeight w:val="207"/>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(loss) from discontinued operations, net of income tax</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9,930</w:t>
            </w:r>
          </w:p>
        </w:tc>
        <w:tc>
          <w:tcPr>
            <w:tcW w:w="0" w:type="dxa"/>
            <w:vAlign w:val="bottom"/>
          </w:tcPr>
          <w:p>
            <w:pPr>
              <w:spacing w:after="0"/>
              <w:rPr>
                <w:sz w:val="1"/>
                <w:szCs w:val="1"/>
                <w:color w:val="auto"/>
              </w:rPr>
            </w:pPr>
          </w:p>
        </w:tc>
      </w:tr>
      <w:tr>
        <w:trPr>
          <w:trHeight w:val="198"/>
        </w:trPr>
        <w:tc>
          <w:tcPr>
            <w:tcW w:w="5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Gain on sale of discontinued operations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72,745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72,745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0"/>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90,156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100,901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18,417</w:t>
            </w:r>
          </w:p>
        </w:tc>
        <w:tc>
          <w:tcPr>
            <w:tcW w:w="0" w:type="dxa"/>
            <w:vAlign w:val="bottom"/>
          </w:tcPr>
          <w:p>
            <w:pPr>
              <w:spacing w:after="0"/>
              <w:rPr>
                <w:sz w:val="1"/>
                <w:szCs w:val="1"/>
                <w:color w:val="auto"/>
              </w:rPr>
            </w:pPr>
          </w:p>
        </w:tc>
      </w:tr>
      <w:tr>
        <w:trPr>
          <w:trHeight w:val="159"/>
        </w:trPr>
        <w:tc>
          <w:tcPr>
            <w:tcW w:w="5920" w:type="dxa"/>
            <w:vAlign w:val="bottom"/>
          </w:tcPr>
          <w:p>
            <w:pPr>
              <w:ind w:left="340"/>
              <w:spacing w:after="0" w:line="159" w:lineRule="exact"/>
              <w:rPr>
                <w:sz w:val="20"/>
                <w:szCs w:val="20"/>
                <w:color w:val="auto"/>
              </w:rPr>
            </w:pPr>
            <w:r>
              <w:rPr>
                <w:rFonts w:ascii="Arial" w:cs="Arial" w:eastAsia="Arial" w:hAnsi="Arial"/>
                <w:sz w:val="15"/>
                <w:szCs w:val="15"/>
                <w:color w:val="auto"/>
              </w:rPr>
              <w:t>Less: Net income from continuing operations attributable to noncontrolling</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920" w:type="dxa"/>
            <w:vAlign w:val="bottom"/>
          </w:tcPr>
          <w:p>
            <w:pPr>
              <w:ind w:left="340"/>
              <w:spacing w:after="0"/>
              <w:rPr>
                <w:sz w:val="20"/>
                <w:szCs w:val="20"/>
                <w:color w:val="auto"/>
              </w:rPr>
            </w:pPr>
            <w:r>
              <w:rPr>
                <w:rFonts w:ascii="Arial" w:cs="Arial" w:eastAsia="Arial" w:hAnsi="Arial"/>
                <w:sz w:val="15"/>
                <w:szCs w:val="15"/>
                <w:color w:val="auto"/>
              </w:rPr>
              <w:t>interest</w:t>
            </w: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2,201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7,915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3,377</w:t>
            </w:r>
          </w:p>
        </w:tc>
        <w:tc>
          <w:tcPr>
            <w:tcW w:w="0" w:type="dxa"/>
            <w:vAlign w:val="bottom"/>
          </w:tcPr>
          <w:p>
            <w:pPr>
              <w:spacing w:after="0"/>
              <w:rPr>
                <w:sz w:val="1"/>
                <w:szCs w:val="1"/>
                <w:color w:val="auto"/>
              </w:rPr>
            </w:pPr>
          </w:p>
        </w:tc>
      </w:tr>
      <w:tr>
        <w:trPr>
          <w:trHeight w:val="163"/>
        </w:trPr>
        <w:tc>
          <w:tcPr>
            <w:tcW w:w="5920" w:type="dxa"/>
            <w:vAlign w:val="bottom"/>
            <w:shd w:val="clear" w:color="auto" w:fill="CCEEFF"/>
          </w:tcPr>
          <w:p>
            <w:pPr>
              <w:ind w:left="340"/>
              <w:spacing w:after="0" w:line="163" w:lineRule="exact"/>
              <w:rPr>
                <w:sz w:val="20"/>
                <w:szCs w:val="20"/>
                <w:color w:val="auto"/>
              </w:rPr>
            </w:pPr>
            <w:r>
              <w:rPr>
                <w:rFonts w:ascii="Arial" w:cs="Arial" w:eastAsia="Arial" w:hAnsi="Arial"/>
                <w:sz w:val="15"/>
                <w:szCs w:val="15"/>
                <w:color w:val="auto"/>
              </w:rPr>
              <w:t>Less: Net income (loss) from discontinued operations attributable to</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noncontrolling interest</w:t>
            </w: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19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Net income attributable to Holdings</w:t>
            </w: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88,100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92,464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14,414</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Income from continuing operations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5,010</w:t>
            </w:r>
          </w:p>
        </w:tc>
        <w:tc>
          <w:tcPr>
            <w:tcW w:w="0" w:type="dxa"/>
            <w:vAlign w:val="bottom"/>
          </w:tcPr>
          <w:p>
            <w:pPr>
              <w:spacing w:after="0"/>
              <w:rPr>
                <w:sz w:val="1"/>
                <w:szCs w:val="1"/>
                <w:color w:val="auto"/>
              </w:rPr>
            </w:pPr>
          </w:p>
        </w:tc>
      </w:tr>
      <w:tr>
        <w:trPr>
          <w:trHeight w:val="198"/>
        </w:trPr>
        <w:tc>
          <w:tcPr>
            <w:tcW w:w="5920" w:type="dxa"/>
            <w:vAlign w:val="bottom"/>
          </w:tcPr>
          <w:p>
            <w:pPr>
              <w:ind w:left="340"/>
              <w:spacing w:after="0"/>
              <w:rPr>
                <w:sz w:val="20"/>
                <w:szCs w:val="20"/>
                <w:color w:val="auto"/>
              </w:rPr>
            </w:pPr>
            <w:r>
              <w:rPr>
                <w:rFonts w:ascii="Arial" w:cs="Arial" w:eastAsia="Arial" w:hAnsi="Arial"/>
                <w:sz w:val="15"/>
                <w:szCs w:val="15"/>
                <w:color w:val="auto"/>
              </w:rPr>
              <w:t>Income (loss) from discontinued operations, net of income tax</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4,207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7,143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9,304</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Gain on sale of discontinued operations, net of income tax</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72,745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72,745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3"/>
        </w:trPr>
        <w:tc>
          <w:tcPr>
            <w:tcW w:w="5920" w:type="dxa"/>
            <w:vAlign w:val="bottom"/>
          </w:tcPr>
          <w:p>
            <w:pPr>
              <w:ind w:left="340"/>
              <w:spacing w:after="0"/>
              <w:rPr>
                <w:sz w:val="20"/>
                <w:szCs w:val="20"/>
                <w:color w:val="auto"/>
              </w:rPr>
            </w:pPr>
            <w:r>
              <w:rPr>
                <w:rFonts w:ascii="Arial" w:cs="Arial" w:eastAsia="Arial" w:hAnsi="Arial"/>
                <w:sz w:val="15"/>
                <w:szCs w:val="15"/>
                <w:color w:val="auto"/>
              </w:rPr>
              <w:t>Net income attributable to Holdings</w:t>
            </w: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88,100</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92,464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14,414</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9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rPr>
                <w:sz w:val="20"/>
                <w:szCs w:val="20"/>
                <w:color w:val="auto"/>
              </w:rPr>
            </w:pPr>
            <w:r>
              <w:rPr>
                <w:rFonts w:ascii="Arial" w:cs="Arial" w:eastAsia="Arial" w:hAnsi="Arial"/>
                <w:sz w:val="15"/>
                <w:szCs w:val="15"/>
                <w:b w:val="1"/>
                <w:bCs w:val="1"/>
                <w:color w:val="auto"/>
              </w:rPr>
              <w:t>J)</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(0.46)</w:t>
            </w:r>
          </w:p>
        </w:tc>
        <w:tc>
          <w:tcPr>
            <w:tcW w:w="0" w:type="dxa"/>
            <w:vAlign w:val="bottom"/>
          </w:tcPr>
          <w:p>
            <w:pPr>
              <w:spacing w:after="0"/>
              <w:rPr>
                <w:sz w:val="1"/>
                <w:szCs w:val="1"/>
                <w:color w:val="auto"/>
              </w:rPr>
            </w:pPr>
          </w:p>
        </w:tc>
      </w:tr>
      <w:tr>
        <w:trPr>
          <w:trHeight w:val="19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133"/>
        </w:trPr>
        <w:tc>
          <w:tcPr>
            <w:tcW w:w="592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b w:val="1"/>
                <w:bCs w:val="1"/>
                <w:color w:val="auto"/>
              </w:rPr>
              <w:t>Basic income (loss) per common share attributable to Holdings (refer to Note</w:t>
            </w:r>
          </w:p>
        </w:tc>
        <w:tc>
          <w:tcPr>
            <w:tcW w:w="2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0.97</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0.08</w:t>
            </w:r>
          </w:p>
        </w:tc>
        <w:tc>
          <w:tcPr>
            <w:tcW w:w="12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0.77</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J)</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65,008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64,900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62,556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2260" w:type="dxa"/>
            <w:vAlign w:val="bottom"/>
            <w:gridSpan w:val="4"/>
          </w:tcPr>
          <w:p>
            <w:pPr>
              <w:jc w:val="right"/>
              <w:ind w:right="504"/>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5"/>
          </w:tcPr>
          <w:p>
            <w:pPr>
              <w:ind w:left="500"/>
              <w:spacing w:after="0"/>
              <w:rPr>
                <w:sz w:val="20"/>
                <w:szCs w:val="20"/>
                <w:color w:val="auto"/>
              </w:rPr>
            </w:pPr>
            <w:r>
              <w:rPr>
                <w:rFonts w:ascii="Arial" w:cs="Arial" w:eastAsia="Arial" w:hAnsi="Arial"/>
                <w:sz w:val="15"/>
                <w:szCs w:val="15"/>
                <w:b w:val="1"/>
                <w:bCs w:val="1"/>
                <w:color w:val="auto"/>
              </w:rPr>
              <w:t>September 30,</w:t>
            </w:r>
          </w:p>
        </w:tc>
        <w:tc>
          <w:tcPr>
            <w:tcW w:w="280" w:type="dxa"/>
            <w:vAlign w:val="bottom"/>
          </w:tcPr>
          <w:p>
            <w:pPr>
              <w:spacing w:after="0"/>
              <w:rPr>
                <w:sz w:val="17"/>
                <w:szCs w:val="17"/>
                <w:color w:val="auto"/>
              </w:rPr>
            </w:pPr>
          </w:p>
        </w:tc>
        <w:tc>
          <w:tcPr>
            <w:tcW w:w="2260" w:type="dxa"/>
            <w:vAlign w:val="bottom"/>
            <w:gridSpan w:val="4"/>
          </w:tcPr>
          <w:p>
            <w:pPr>
              <w:jc w:val="right"/>
              <w:ind w:right="644"/>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0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r>
      <w:tr>
        <w:trPr>
          <w:trHeight w:val="34"/>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90,156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20,903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100,901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18,417</w:t>
            </w:r>
          </w:p>
        </w:tc>
      </w:tr>
      <w:tr>
        <w:trPr>
          <w:trHeight w:val="178"/>
        </w:trPr>
        <w:tc>
          <w:tcPr>
            <w:tcW w:w="6060" w:type="dxa"/>
            <w:vAlign w:val="bottom"/>
          </w:tcPr>
          <w:p>
            <w:pPr>
              <w:ind w:left="20"/>
              <w:spacing w:after="0"/>
              <w:rPr>
                <w:sz w:val="20"/>
                <w:szCs w:val="20"/>
                <w:color w:val="auto"/>
              </w:rPr>
            </w:pPr>
            <w:r>
              <w:rPr>
                <w:rFonts w:ascii="Arial" w:cs="Arial" w:eastAsia="Arial" w:hAnsi="Arial"/>
                <w:sz w:val="15"/>
                <w:szCs w:val="15"/>
                <w:color w:val="auto"/>
              </w:rPr>
              <w:t>Other comprehensive income (loss)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7"/>
        </w:trPr>
        <w:tc>
          <w:tcPr>
            <w:tcW w:w="6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Foreign currency translation adjustments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w:t>
            </w:r>
          </w:p>
        </w:tc>
      </w:tr>
      <w:tr>
        <w:trPr>
          <w:trHeight w:val="198"/>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Pension benefit liability, net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524</w:t>
            </w:r>
          </w:p>
        </w:tc>
      </w:tr>
      <w:tr>
        <w:trPr>
          <w:trHeight w:val="200"/>
        </w:trPr>
        <w:tc>
          <w:tcPr>
            <w:tcW w:w="60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(514)</w:t>
            </w:r>
          </w:p>
        </w:tc>
      </w:tr>
      <w:tr>
        <w:trPr>
          <w:trHeight w:val="192"/>
        </w:trPr>
        <w:tc>
          <w:tcPr>
            <w:tcW w:w="6060" w:type="dxa"/>
            <w:vAlign w:val="bottom"/>
          </w:tcPr>
          <w:p>
            <w:pPr>
              <w:ind w:left="20"/>
              <w:spacing w:after="0"/>
              <w:rPr>
                <w:sz w:val="20"/>
                <w:szCs w:val="20"/>
                <w:color w:val="auto"/>
              </w:rPr>
            </w:pPr>
            <w:r>
              <w:rPr>
                <w:rFonts w:ascii="Arial" w:cs="Arial" w:eastAsia="Arial" w:hAnsi="Arial"/>
                <w:sz w:val="15"/>
                <w:szCs w:val="15"/>
                <w:color w:val="auto"/>
              </w:rPr>
              <w:t>Total comprehensive income, net of tax</w:t>
            </w:r>
          </w:p>
        </w:tc>
        <w:tc>
          <w:tcPr>
            <w:tcW w:w="26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88,801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21,984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101,052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17,903</w:t>
            </w:r>
          </w:p>
        </w:tc>
      </w:tr>
      <w:tr>
        <w:trPr>
          <w:trHeight w:val="207"/>
        </w:trPr>
        <w:tc>
          <w:tcPr>
            <w:tcW w:w="6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4,003</w:t>
            </w:r>
          </w:p>
        </w:tc>
      </w:tr>
      <w:tr>
        <w:trPr>
          <w:trHeight w:val="19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Other comprehensive income attributable to noncontrolling interests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r>
      <w:tr>
        <w:trPr>
          <w:trHeight w:val="22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 attributable to Holdings, net of tax</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86,738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20,228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92,585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140" w:type="dxa"/>
            <w:vAlign w:val="bottom"/>
            <w:gridSpan w:val="6"/>
            <w:vMerge w:val="restart"/>
          </w:tcPr>
          <w:p>
            <w:pPr>
              <w:ind w:left="300"/>
              <w:spacing w:after="0"/>
              <w:rPr>
                <w:sz w:val="20"/>
                <w:szCs w:val="20"/>
                <w:color w:val="auto"/>
              </w:rPr>
            </w:pPr>
            <w:r>
              <w:rPr>
                <w:rFonts w:ascii="Arial" w:cs="Arial" w:eastAsia="Arial" w:hAnsi="Arial"/>
                <w:sz w:val="13"/>
                <w:szCs w:val="13"/>
                <w:b w:val="1"/>
                <w:bCs w:val="1"/>
                <w:color w:val="auto"/>
              </w:rPr>
              <w:t>Trust Preferred Shares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60" w:type="dxa"/>
            <w:vAlign w:val="bottom"/>
            <w:vMerge w:val="continue"/>
          </w:tcPr>
          <w:p>
            <w:pPr>
              <w:spacing w:after="0"/>
              <w:rPr>
                <w:sz w:val="11"/>
                <w:szCs w:val="11"/>
                <w:color w:val="auto"/>
              </w:rPr>
            </w:pPr>
          </w:p>
        </w:tc>
        <w:tc>
          <w:tcPr>
            <w:tcW w:w="2140" w:type="dxa"/>
            <w:vAlign w:val="bottom"/>
            <w:gridSpan w:val="6"/>
            <w:vMerge w:val="continue"/>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
                <w:szCs w:val="2"/>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2"/>
                <w:szCs w:val="2"/>
                <w:color w:val="auto"/>
              </w:rPr>
            </w:pPr>
          </w:p>
        </w:tc>
        <w:tc>
          <w:tcPr>
            <w:tcW w:w="9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2"/>
                <w:szCs w:val="2"/>
                <w:color w:val="auto"/>
              </w:rPr>
            </w:pPr>
          </w:p>
        </w:tc>
        <w:tc>
          <w:tcPr>
            <w:tcW w:w="7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2"/>
                <w:szCs w:val="2"/>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2"/>
                <w:szCs w:val="2"/>
                <w:color w:val="auto"/>
              </w:rPr>
            </w:pPr>
          </w:p>
        </w:tc>
        <w:tc>
          <w:tcPr>
            <w:tcW w:w="800" w:type="dxa"/>
            <w:vAlign w:val="bottom"/>
            <w:vMerge w:val="restart"/>
          </w:tcPr>
          <w:p>
            <w:pPr>
              <w:jc w:val="center"/>
              <w:ind w:right="110"/>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A</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Attributable</w:t>
            </w:r>
          </w:p>
        </w:tc>
        <w:tc>
          <w:tcPr>
            <w:tcW w:w="8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to Disc. Ops.</w:t>
            </w:r>
          </w:p>
        </w:tc>
        <w:tc>
          <w:tcPr>
            <w:tcW w:w="180" w:type="dxa"/>
            <w:vAlign w:val="bottom"/>
          </w:tcPr>
          <w:p>
            <w:pPr>
              <w:spacing w:after="0"/>
              <w:rPr>
                <w:sz w:val="15"/>
                <w:szCs w:val="15"/>
                <w:color w:val="auto"/>
              </w:rPr>
            </w:pPr>
          </w:p>
        </w:tc>
        <w:tc>
          <w:tcPr>
            <w:tcW w:w="800" w:type="dxa"/>
            <w:vAlign w:val="bottom"/>
          </w:tcPr>
          <w:p>
            <w:pPr>
              <w:jc w:val="center"/>
              <w:ind w:right="1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July 1, 2020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$ 96,417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$ 96,504</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$ 1,008,588</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(177,912)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1,129,066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64,562</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3,254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1,196,882</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19,186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19,186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20,903</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net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 common shares,</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net of offering costs</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exercise</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interests</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 Common</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(23,364)</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 Preferred</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Shares</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September 30, 2020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$ 96,417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$ 96,504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$ 1,008,564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1,119,899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3,584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1,190,693</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July 1, 2021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$ 96,417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$ 1,008,564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1,041,861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1,172,997</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88,100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88,100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90,156</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4"/>
                <w:szCs w:val="14"/>
                <w:color w:val="auto"/>
              </w:rPr>
              <w:t>Issuance of Trust common shares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18,522</w:t>
            </w: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exercise</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(40,458)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(49,090)</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4"/>
                <w:szCs w:val="14"/>
                <w:color w:val="auto"/>
              </w:rPr>
              <w:t>Acquisition of Lugano</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68,000</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Disposition of Liberty</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to noncontrolling</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shareholders</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(12,075)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(12,075)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(12,075)</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 Common</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(80,476)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(80,476)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(80,476)</w:t>
            </w:r>
          </w:p>
        </w:tc>
        <w:tc>
          <w:tcPr>
            <w:tcW w:w="0" w:type="dxa"/>
            <w:vAlign w:val="bottom"/>
          </w:tcPr>
          <w:p>
            <w:pPr>
              <w:spacing w:after="0"/>
              <w:rPr>
                <w:sz w:val="1"/>
                <w:szCs w:val="1"/>
                <w:color w:val="auto"/>
              </w:rPr>
            </w:pPr>
          </w:p>
        </w:tc>
      </w:tr>
      <w:tr>
        <w:trPr>
          <w:trHeight w:val="171"/>
        </w:trPr>
        <w:tc>
          <w:tcPr>
            <w:tcW w:w="2260" w:type="dxa"/>
            <w:vAlign w:val="bottom"/>
          </w:tcPr>
          <w:p>
            <w:pPr>
              <w:ind w:left="20"/>
              <w:spacing w:after="0"/>
              <w:rPr>
                <w:sz w:val="20"/>
                <w:szCs w:val="20"/>
                <w:color w:val="auto"/>
              </w:rPr>
            </w:pPr>
            <w:r>
              <w:rPr>
                <w:rFonts w:ascii="Arial" w:cs="Arial" w:eastAsia="Arial" w:hAnsi="Arial"/>
                <w:sz w:val="14"/>
                <w:szCs w:val="14"/>
                <w:color w:val="auto"/>
              </w:rPr>
              <w:t>Shares</w:t>
            </w:r>
          </w:p>
        </w:tc>
        <w:tc>
          <w:tcPr>
            <w:tcW w:w="7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 Preferred</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(6,045)</w:t>
            </w:r>
          </w:p>
        </w:tc>
        <w:tc>
          <w:tcPr>
            <w:tcW w:w="0" w:type="dxa"/>
            <w:vAlign w:val="bottom"/>
          </w:tcPr>
          <w:p>
            <w:pPr>
              <w:spacing w:after="0"/>
              <w:rPr>
                <w:sz w:val="1"/>
                <w:szCs w:val="1"/>
                <w:color w:val="auto"/>
              </w:rPr>
            </w:pPr>
          </w:p>
        </w:tc>
      </w:tr>
      <w:tr>
        <w:trPr>
          <w:trHeight w:val="1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Balance — September 30, 2021</w:t>
            </w:r>
          </w:p>
        </w:tc>
        <w:tc>
          <w:tcPr>
            <w:tcW w:w="600" w:type="dxa"/>
            <w:vAlign w:val="bottom"/>
          </w:tcPr>
          <w:p>
            <w:pPr>
              <w:jc w:val="right"/>
              <w:spacing w:after="0"/>
              <w:rPr>
                <w:sz w:val="20"/>
                <w:szCs w:val="20"/>
                <w:color w:val="auto"/>
              </w:rPr>
            </w:pPr>
            <w:r>
              <w:rPr>
                <w:rFonts w:ascii="Arial" w:cs="Arial" w:eastAsia="Arial" w:hAnsi="Arial"/>
                <w:sz w:val="14"/>
                <w:szCs w:val="14"/>
                <w:color w:val="auto"/>
                <w:w w:val="95"/>
              </w:rPr>
              <w:t>$ 96,417</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5"/>
              </w:rPr>
              <w:t>$ 96,504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$ 1,027,086</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(289,799)</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1,039,900</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158,816</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1,198,716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220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180" w:type="dxa"/>
            <w:vAlign w:val="bottom"/>
            <w:gridSpan w:val="6"/>
            <w:vMerge w:val="restart"/>
          </w:tcPr>
          <w:p>
            <w:pPr>
              <w:ind w:left="320"/>
              <w:spacing w:after="0"/>
              <w:rPr>
                <w:sz w:val="20"/>
                <w:szCs w:val="20"/>
                <w:color w:val="auto"/>
              </w:rPr>
            </w:pPr>
            <w:r>
              <w:rPr>
                <w:rFonts w:ascii="Arial" w:cs="Arial" w:eastAsia="Arial" w:hAnsi="Arial"/>
                <w:sz w:val="13"/>
                <w:szCs w:val="13"/>
                <w:b w:val="1"/>
                <w:bCs w:val="1"/>
                <w:color w:val="auto"/>
              </w:rPr>
              <w:t>Trust Preferred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Non-</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00" w:type="dxa"/>
            <w:vAlign w:val="bottom"/>
            <w:vMerge w:val="continue"/>
          </w:tcPr>
          <w:p>
            <w:pPr>
              <w:spacing w:after="0"/>
              <w:rPr>
                <w:sz w:val="11"/>
                <w:szCs w:val="11"/>
                <w:color w:val="auto"/>
              </w:rPr>
            </w:pPr>
          </w:p>
        </w:tc>
        <w:tc>
          <w:tcPr>
            <w:tcW w:w="218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Controlling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Trust</w:t>
            </w: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2"/>
                <w:szCs w:val="2"/>
                <w:color w:val="auto"/>
              </w:rPr>
            </w:pPr>
          </w:p>
        </w:tc>
        <w:tc>
          <w:tcPr>
            <w:tcW w:w="10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
                <w:szCs w:val="2"/>
                <w:color w:val="auto"/>
              </w:rPr>
            </w:pPr>
          </w:p>
        </w:tc>
        <w:tc>
          <w:tcPr>
            <w:tcW w:w="920" w:type="dxa"/>
            <w:vAlign w:val="bottom"/>
            <w:gridSpan w:val="2"/>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2"/>
                <w:szCs w:val="2"/>
                <w:color w:val="auto"/>
              </w:rPr>
            </w:pPr>
          </w:p>
        </w:tc>
        <w:tc>
          <w:tcPr>
            <w:tcW w:w="7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2"/>
                <w:szCs w:val="2"/>
                <w:color w:val="auto"/>
              </w:rPr>
            </w:pPr>
          </w:p>
        </w:tc>
        <w:tc>
          <w:tcPr>
            <w:tcW w:w="800" w:type="dxa"/>
            <w:vAlign w:val="bottom"/>
            <w:vMerge w:val="restart"/>
          </w:tcPr>
          <w:p>
            <w:pPr>
              <w:jc w:val="center"/>
              <w:ind w:right="13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Series B</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Common</w:t>
            </w:r>
          </w:p>
        </w:tc>
        <w:tc>
          <w:tcPr>
            <w:tcW w:w="980" w:type="dxa"/>
            <w:vAlign w:val="bottom"/>
            <w:gridSpan w:val="3"/>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8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Controlling</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Attributable</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1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to Holdings</w:t>
            </w: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Interest</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to Disc. Ops.</w:t>
            </w:r>
          </w:p>
        </w:tc>
        <w:tc>
          <w:tcPr>
            <w:tcW w:w="200" w:type="dxa"/>
            <w:vAlign w:val="bottom"/>
          </w:tcPr>
          <w:p>
            <w:pPr>
              <w:spacing w:after="0"/>
              <w:rPr>
                <w:sz w:val="15"/>
                <w:szCs w:val="15"/>
                <w:color w:val="auto"/>
              </w:rPr>
            </w:pPr>
          </w:p>
        </w:tc>
        <w:tc>
          <w:tcPr>
            <w:tcW w:w="800" w:type="dxa"/>
            <w:vAlign w:val="bottom"/>
          </w:tcPr>
          <w:p>
            <w:pPr>
              <w:jc w:val="center"/>
              <w:ind w:right="1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924,680</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(109,338)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1,115,327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47,612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1,165,875</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18,417</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Issuance of Trust common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83,884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83,884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83,884</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shares, net of offering costs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6,094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2,456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Acquisition of Marucci Sports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11,127</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(9,087)</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(66,492)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(66,492)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(66,492)</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 September 30, 2020</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1,008,564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(188,136)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(4,447)</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1,119,899</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67,210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3,584</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1,190,693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 January 1, 2021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1,008,564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1,220,148</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92,464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92,464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100,901</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net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Issuance of Trust common shares</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18,522</w:t>
            </w: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Option activity attributable to</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8,496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8,513</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Effect of subsidiary stock option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exercise</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Purchase of noncontrolling</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(41,830)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(50,462)</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Acquisition of Lugano</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68,000</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Disposition of Liberty</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to</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noncontrolling shareholders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Allocation</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(17,289)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(17,289)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(17,289)</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72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(127,204)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(127,204)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(127,204)</w:t>
            </w:r>
          </w:p>
        </w:tc>
        <w:tc>
          <w:tcPr>
            <w:tcW w:w="0" w:type="dxa"/>
            <w:vAlign w:val="bottom"/>
          </w:tcPr>
          <w:p>
            <w:pPr>
              <w:spacing w:after="0"/>
              <w:rPr>
                <w:sz w:val="1"/>
                <w:szCs w:val="1"/>
                <w:color w:val="auto"/>
              </w:rPr>
            </w:pPr>
          </w:p>
        </w:tc>
      </w:tr>
      <w:tr>
        <w:trPr>
          <w:trHeight w:val="171"/>
        </w:trPr>
        <w:tc>
          <w:tcPr>
            <w:tcW w:w="2200" w:type="dxa"/>
            <w:vAlign w:val="bottom"/>
          </w:tcPr>
          <w:p>
            <w:pPr>
              <w:ind w:left="20"/>
              <w:spacing w:after="0"/>
              <w:rPr>
                <w:sz w:val="20"/>
                <w:szCs w:val="20"/>
                <w:color w:val="auto"/>
              </w:rPr>
            </w:pPr>
            <w:r>
              <w:rPr>
                <w:rFonts w:ascii="Arial" w:cs="Arial" w:eastAsia="Arial" w:hAnsi="Arial"/>
                <w:sz w:val="14"/>
                <w:szCs w:val="14"/>
                <w:color w:val="auto"/>
              </w:rPr>
              <w:t>Common Shares</w:t>
            </w:r>
          </w:p>
        </w:tc>
        <w:tc>
          <w:tcPr>
            <w:tcW w:w="72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paid - Trust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(18,136)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(18,136)</w:t>
            </w:r>
          </w:p>
        </w:tc>
        <w:tc>
          <w:tcPr>
            <w:tcW w:w="0" w:type="dxa"/>
            <w:vAlign w:val="bottom"/>
          </w:tcPr>
          <w:p>
            <w:pPr>
              <w:spacing w:after="0"/>
              <w:rPr>
                <w:sz w:val="1"/>
                <w:szCs w:val="1"/>
                <w:color w:val="auto"/>
              </w:rPr>
            </w:pPr>
          </w:p>
        </w:tc>
      </w:tr>
      <w:tr>
        <w:trPr>
          <w:trHeight w:val="171"/>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Shares</w:t>
            </w: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 September 30, 2021</w:t>
            </w:r>
          </w:p>
        </w:tc>
        <w:tc>
          <w:tcPr>
            <w:tcW w:w="620" w:type="dxa"/>
            <w:vAlign w:val="bottom"/>
          </w:tcPr>
          <w:p>
            <w:pPr>
              <w:jc w:val="right"/>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15"/>
                <w:szCs w:val="15"/>
                <w:color w:val="auto"/>
              </w:rPr>
            </w:pPr>
          </w:p>
        </w:tc>
        <w:tc>
          <w:tcPr>
            <w:tcW w:w="620" w:type="dxa"/>
            <w:vAlign w:val="bottom"/>
          </w:tcPr>
          <w:p>
            <w:pPr>
              <w:jc w:val="right"/>
              <w:ind w:right="10"/>
              <w:spacing w:after="0"/>
              <w:rPr>
                <w:sz w:val="20"/>
                <w:szCs w:val="20"/>
                <w:color w:val="auto"/>
              </w:rPr>
            </w:pPr>
            <w:r>
              <w:rPr>
                <w:rFonts w:ascii="Arial" w:cs="Arial" w:eastAsia="Arial" w:hAnsi="Arial"/>
                <w:sz w:val="14"/>
                <w:szCs w:val="14"/>
                <w:color w:val="auto"/>
                <w:w w:val="95"/>
              </w:rPr>
              <w:t>$ 96,504</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$ 110,997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1,027,086</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(289,799)</w:t>
            </w:r>
          </w:p>
        </w:tc>
        <w:tc>
          <w:tcPr>
            <w:tcW w:w="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1,039,900</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158,816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1,198,716</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9" w:name="page10"/>
    <w:bookmarkEnd w:id="9"/>
    <w:p>
      <w:pPr>
        <w:jc w:val="center"/>
        <w:ind w:left="1460" w:right="1780"/>
        <w:spacing w:after="0" w:line="278" w:lineRule="auto"/>
        <w:rPr>
          <w:sz w:val="20"/>
          <w:szCs w:val="20"/>
          <w:color w:val="auto"/>
        </w:rPr>
      </w:pPr>
      <w:r>
        <w:rPr>
          <w:rFonts w:ascii="Arial" w:cs="Arial" w:eastAsia="Arial" w:hAnsi="Arial"/>
          <w:sz w:val="18"/>
          <w:szCs w:val="18"/>
          <w:b w:val="1"/>
          <w:bCs w:val="1"/>
          <w:color w:val="auto"/>
        </w:rPr>
        <w:t>COMPASS DIVERSIFIED HOLDINGS CONDENSED CONSOLIDATED STATEMENTS OF CASH FLOWS (Unaudited)</w:t>
      </w:r>
    </w:p>
    <w:p>
      <w:pPr>
        <w:spacing w:after="0" w:line="359"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Nine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20" w:type="dxa"/>
            <w:vAlign w:val="bottom"/>
            <w:vMerge w:val="restart"/>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100,901</w:t>
            </w:r>
          </w:p>
        </w:tc>
        <w:tc>
          <w:tcPr>
            <w:tcW w:w="120" w:type="dxa"/>
            <w:vAlign w:val="bottom"/>
          </w:tcPr>
          <w:p>
            <w:pPr>
              <w:spacing w:after="0"/>
              <w:rPr>
                <w:sz w:val="16"/>
                <w:szCs w:val="16"/>
                <w:color w:val="auto"/>
              </w:rPr>
            </w:pPr>
          </w:p>
        </w:tc>
        <w:tc>
          <w:tcPr>
            <w:tcW w:w="320" w:type="dxa"/>
            <w:vAlign w:val="bottom"/>
            <w:vMerge w:val="restart"/>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18,417</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discontinued operations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7,665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9,930</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Gain on sale of discontinued operations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72,745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72"/>
        </w:trPr>
        <w:tc>
          <w:tcPr>
            <w:tcW w:w="6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continuing operations</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20,491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8,387</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080" w:type="dxa"/>
            <w:vAlign w:val="bottom"/>
          </w:tcPr>
          <w:p>
            <w:pPr>
              <w:ind w:left="140"/>
              <w:spacing w:after="0" w:line="159" w:lineRule="exact"/>
              <w:rPr>
                <w:sz w:val="20"/>
                <w:szCs w:val="20"/>
                <w:color w:val="auto"/>
              </w:rPr>
            </w:pPr>
            <w:r>
              <w:rPr>
                <w:rFonts w:ascii="Arial" w:cs="Arial" w:eastAsia="Arial" w:hAnsi="Arial"/>
                <w:sz w:val="15"/>
                <w:szCs w:val="15"/>
                <w:color w:val="auto"/>
              </w:rPr>
              <w:t>Adjustments to reconcile net income to net cash provided by (used in) operating</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140"/>
              <w:spacing w:after="0"/>
              <w:rPr>
                <w:sz w:val="20"/>
                <w:szCs w:val="20"/>
                <w:color w:val="auto"/>
              </w:rPr>
            </w:pPr>
            <w:r>
              <w:rPr>
                <w:rFonts w:ascii="Arial" w:cs="Arial" w:eastAsia="Arial" w:hAnsi="Arial"/>
                <w:sz w:val="15"/>
                <w:szCs w:val="15"/>
                <w:color w:val="auto"/>
              </w:rPr>
              <w:t>activities: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28,896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24,459</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Amortization expense</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56,502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47,886</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of debt issuance costs and premium</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1,656</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6080" w:type="dxa"/>
            <w:vAlign w:val="bottom"/>
          </w:tcPr>
          <w:p>
            <w:pPr>
              <w:ind w:left="480"/>
              <w:spacing w:after="0"/>
              <w:rPr>
                <w:sz w:val="20"/>
                <w:szCs w:val="20"/>
                <w:color w:val="auto"/>
              </w:rPr>
            </w:pPr>
            <w:r>
              <w:rPr>
                <w:rFonts w:ascii="Arial" w:cs="Arial" w:eastAsia="Arial" w:hAnsi="Arial"/>
                <w:sz w:val="15"/>
                <w:szCs w:val="15"/>
                <w:color w:val="auto"/>
              </w:rPr>
              <w:t>Loss on debt extinguishment</w:t>
            </w: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33,305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8,496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6,094</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Provision for receivable and inventory reserves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4,366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4,423</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taxes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2,587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(3,351)</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Other</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541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1,776</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 net of acquisitions: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(20,555)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(37,058)</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(17,957)</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(6,957)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60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61,324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64,959</w:t>
            </w:r>
          </w:p>
        </w:tc>
        <w:tc>
          <w:tcPr>
            <w:tcW w:w="0" w:type="dxa"/>
            <w:vAlign w:val="bottom"/>
          </w:tcPr>
          <w:p>
            <w:pPr>
              <w:spacing w:after="0"/>
              <w:rPr>
                <w:sz w:val="1"/>
                <w:szCs w:val="1"/>
                <w:color w:val="auto"/>
              </w:rPr>
            </w:pPr>
          </w:p>
        </w:tc>
      </w:tr>
      <w:tr>
        <w:trPr>
          <w:trHeight w:val="246"/>
        </w:trPr>
        <w:tc>
          <w:tcPr>
            <w:tcW w:w="6080" w:type="dxa"/>
            <w:vAlign w:val="bottom"/>
          </w:tcPr>
          <w:p>
            <w:pPr>
              <w:ind w:left="680"/>
              <w:spacing w:after="0"/>
              <w:rPr>
                <w:sz w:val="20"/>
                <w:szCs w:val="20"/>
                <w:color w:val="auto"/>
              </w:rPr>
            </w:pPr>
            <w:r>
              <w:rPr>
                <w:rFonts w:ascii="Arial" w:cs="Arial" w:eastAsia="Arial" w:hAnsi="Arial"/>
                <w:sz w:val="15"/>
                <w:szCs w:val="15"/>
                <w:color w:val="auto"/>
              </w:rPr>
              <w:t>Cash provided by operating activities - continuing operations</w:t>
            </w:r>
          </w:p>
        </w:tc>
        <w:tc>
          <w:tcPr>
            <w:tcW w:w="32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142,548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100,991</w:t>
            </w:r>
          </w:p>
        </w:tc>
        <w:tc>
          <w:tcPr>
            <w:tcW w:w="0" w:type="dxa"/>
            <w:vAlign w:val="bottom"/>
          </w:tcPr>
          <w:p>
            <w:pPr>
              <w:spacing w:after="0"/>
              <w:rPr>
                <w:sz w:val="1"/>
                <w:szCs w:val="1"/>
                <w:color w:val="auto"/>
              </w:rPr>
            </w:pPr>
          </w:p>
        </w:tc>
      </w:tr>
      <w:tr>
        <w:trPr>
          <w:trHeight w:val="274"/>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provided by operating activities -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4,600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11,881</w:t>
            </w:r>
          </w:p>
        </w:tc>
        <w:tc>
          <w:tcPr>
            <w:tcW w:w="0" w:type="dxa"/>
            <w:vAlign w:val="bottom"/>
          </w:tcPr>
          <w:p>
            <w:pPr>
              <w:spacing w:after="0"/>
              <w:rPr>
                <w:sz w:val="1"/>
                <w:szCs w:val="1"/>
                <w:color w:val="auto"/>
              </w:rPr>
            </w:pPr>
          </w:p>
        </w:tc>
      </w:tr>
      <w:tr>
        <w:trPr>
          <w:trHeight w:val="246"/>
        </w:trPr>
        <w:tc>
          <w:tcPr>
            <w:tcW w:w="6080" w:type="dxa"/>
            <w:vAlign w:val="bottom"/>
          </w:tcPr>
          <w:p>
            <w:pPr>
              <w:ind w:left="680"/>
              <w:spacing w:after="0"/>
              <w:rPr>
                <w:sz w:val="20"/>
                <w:szCs w:val="20"/>
                <w:color w:val="auto"/>
              </w:rPr>
            </w:pPr>
            <w:r>
              <w:rPr>
                <w:rFonts w:ascii="Arial" w:cs="Arial" w:eastAsia="Arial" w:hAnsi="Arial"/>
                <w:sz w:val="15"/>
                <w:szCs w:val="15"/>
                <w:color w:val="auto"/>
              </w:rPr>
              <w:t>Cash provided by operating activities</w:t>
            </w:r>
          </w:p>
        </w:tc>
        <w:tc>
          <w:tcPr>
            <w:tcW w:w="32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147,148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112,872</w:t>
            </w:r>
          </w:p>
        </w:tc>
        <w:tc>
          <w:tcPr>
            <w:tcW w:w="0" w:type="dxa"/>
            <w:vAlign w:val="bottom"/>
          </w:tcPr>
          <w:p>
            <w:pPr>
              <w:spacing w:after="0"/>
              <w:rPr>
                <w:sz w:val="1"/>
                <w:szCs w:val="1"/>
                <w:color w:val="auto"/>
              </w:rPr>
            </w:pPr>
          </w:p>
        </w:tc>
      </w:tr>
      <w:tr>
        <w:trPr>
          <w:trHeight w:val="25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Acquisitions, net of cash acquired</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(302,110)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(212,834)</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and equipment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(28,001)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(19,189)</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Proceeds from sale of businesses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101,014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investing activities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(3,642)</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investing activities - continuing operations</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(229,888)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(235,565)</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Cash provided by (used in) investing activities - discontinued operations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27,459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680"/>
              <w:spacing w:after="0"/>
              <w:rPr>
                <w:sz w:val="20"/>
                <w:szCs w:val="20"/>
                <w:color w:val="auto"/>
              </w:rPr>
            </w:pPr>
            <w:r>
              <w:rPr>
                <w:rFonts w:ascii="Arial" w:cs="Arial" w:eastAsia="Arial" w:hAnsi="Arial"/>
                <w:sz w:val="15"/>
                <w:szCs w:val="15"/>
                <w:color w:val="auto"/>
              </w:rPr>
              <w:t>Cash used in investing activities</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(202,429)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(236,502)</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 w:name="page11"/>
    <w:bookmarkEnd w:id="10"/>
    <w:p>
      <w:pPr>
        <w:ind w:left="7392"/>
        <w:spacing w:after="0"/>
        <w:rPr>
          <w:sz w:val="20"/>
          <w:szCs w:val="20"/>
          <w:color w:val="auto"/>
        </w:rPr>
      </w:pPr>
      <w:r>
        <w:rPr>
          <w:rFonts w:ascii="Arial" w:cs="Arial" w:eastAsia="Arial" w:hAnsi="Arial"/>
          <w:sz w:val="15"/>
          <w:szCs w:val="15"/>
          <w:b w:val="1"/>
          <w:bCs w:val="1"/>
          <w:color w:val="auto"/>
        </w:rPr>
        <w:t>Nine months ended September 30,</w:t>
      </w:r>
    </w:p>
    <w:p>
      <w:pPr>
        <w:spacing w:after="0" w:line="30" w:lineRule="exact"/>
        <w:rPr>
          <w:sz w:val="20"/>
          <w:szCs w:val="20"/>
          <w:color w:val="auto"/>
        </w:rPr>
      </w:pPr>
    </w:p>
    <w:tbl>
      <w:tblPr>
        <w:tblLayout w:type="fixed"/>
        <w:tblInd w:w="1112" w:type="dxa"/>
        <w:tblCellMar>
          <w:top w:w="0" w:type="dxa"/>
          <w:left w:w="0" w:type="dxa"/>
          <w:bottom w:w="0" w:type="dxa"/>
          <w:right w:w="0" w:type="dxa"/>
        </w:tblCellMar>
      </w:tblPr>
      <w:tr>
        <w:trPr>
          <w:trHeight w:val="204"/>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Proceeds from issuance of Trust common shares, net</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18,522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83,884</w:t>
            </w:r>
          </w:p>
        </w:tc>
        <w:tc>
          <w:tcPr>
            <w:tcW w:w="0" w:type="dxa"/>
            <w:vAlign w:val="bottom"/>
          </w:tcPr>
          <w:p>
            <w:pPr>
              <w:spacing w:after="0"/>
              <w:rPr>
                <w:sz w:val="1"/>
                <w:szCs w:val="1"/>
                <w:color w:val="auto"/>
              </w:rPr>
            </w:pPr>
          </w:p>
        </w:tc>
      </w:tr>
      <w:tr>
        <w:trPr>
          <w:trHeight w:val="71"/>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 credit facility</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365,000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140"/>
              <w:spacing w:after="0"/>
              <w:rPr>
                <w:sz w:val="20"/>
                <w:szCs w:val="20"/>
                <w:color w:val="auto"/>
              </w:rPr>
            </w:pPr>
            <w:r>
              <w:rPr>
                <w:rFonts w:ascii="Arial" w:cs="Arial" w:eastAsia="Arial" w:hAnsi="Arial"/>
                <w:sz w:val="15"/>
                <w:szCs w:val="15"/>
                <w:color w:val="auto"/>
              </w:rPr>
              <w:t>Repayments under credit facility</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(538,000)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71"/>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issuance of Senior Notes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1,000,000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202,000</w:t>
            </w:r>
          </w:p>
        </w:tc>
        <w:tc>
          <w:tcPr>
            <w:tcW w:w="0" w:type="dxa"/>
            <w:vAlign w:val="bottom"/>
          </w:tcPr>
          <w:p>
            <w:pPr>
              <w:spacing w:after="0"/>
              <w:rPr>
                <w:sz w:val="1"/>
                <w:szCs w:val="1"/>
                <w:color w:val="auto"/>
              </w:rPr>
            </w:pPr>
          </w:p>
        </w:tc>
      </w:tr>
      <w:tr>
        <w:trPr>
          <w:trHeight w:val="75"/>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Redemption of Senior Notes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(627,688)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common shares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(127,204)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(66,492)</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Distributions paid - preferred shares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(18,136)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(17,633)</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paid - allocation interests</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(17,289)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(9,087)</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Distributions paid to noncontrolling shareholders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(1,275)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proceeds provided by noncontrolling shareholders - acquisition</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68,000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11,127</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Net proceeds provided by noncontrolling shareholders</w:t>
            </w: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1,222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noncontrolling interest</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(50,462)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(1,253)</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140"/>
              <w:spacing w:after="0"/>
              <w:rPr>
                <w:sz w:val="20"/>
                <w:szCs w:val="20"/>
                <w:color w:val="auto"/>
              </w:rPr>
            </w:pPr>
            <w:r>
              <w:rPr>
                <w:rFonts w:ascii="Arial" w:cs="Arial" w:eastAsia="Arial" w:hAnsi="Arial"/>
                <w:sz w:val="15"/>
                <w:szCs w:val="15"/>
                <w:color w:val="auto"/>
              </w:rPr>
              <w:t>Debt issuance costs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(17,389)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(3,214)</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811</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80" w:type="dxa"/>
            <w:vAlign w:val="bottom"/>
          </w:tcPr>
          <w:p>
            <w:pPr>
              <w:ind w:left="680"/>
              <w:spacing w:after="0"/>
              <w:rPr>
                <w:sz w:val="20"/>
                <w:szCs w:val="20"/>
                <w:color w:val="auto"/>
              </w:rPr>
            </w:pPr>
            <w:r>
              <w:rPr>
                <w:rFonts w:ascii="Arial" w:cs="Arial" w:eastAsia="Arial" w:hAnsi="Arial"/>
                <w:sz w:val="15"/>
                <w:szCs w:val="15"/>
                <w:color w:val="auto"/>
              </w:rPr>
              <w:t>Net cash provided by financing activities</w:t>
            </w:r>
          </w:p>
        </w:tc>
        <w:tc>
          <w:tcPr>
            <w:tcW w:w="320" w:type="dxa"/>
            <w:vAlign w:val="bottom"/>
          </w:tcPr>
          <w:p>
            <w:pPr>
              <w:spacing w:after="0"/>
              <w:rPr>
                <w:sz w:val="15"/>
                <w:szCs w:val="15"/>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54,872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200,395</w:t>
            </w:r>
          </w:p>
        </w:tc>
        <w:tc>
          <w:tcPr>
            <w:tcW w:w="0" w:type="dxa"/>
            <w:vAlign w:val="bottom"/>
          </w:tcPr>
          <w:p>
            <w:pPr>
              <w:spacing w:after="0"/>
              <w:rPr>
                <w:sz w:val="1"/>
                <w:szCs w:val="1"/>
                <w:color w:val="auto"/>
              </w:rPr>
            </w:pPr>
          </w:p>
        </w:tc>
      </w:tr>
      <w:tr>
        <w:trPr>
          <w:trHeight w:val="72"/>
        </w:trPr>
        <w:tc>
          <w:tcPr>
            <w:tcW w:w="60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impact on cash</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76"/>
        </w:trPr>
        <w:tc>
          <w:tcPr>
            <w:tcW w:w="60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080" w:type="dxa"/>
            <w:vAlign w:val="bottom"/>
          </w:tcPr>
          <w:p>
            <w:pPr>
              <w:ind w:left="680"/>
              <w:spacing w:after="0"/>
              <w:rPr>
                <w:sz w:val="20"/>
                <w:szCs w:val="20"/>
                <w:color w:val="auto"/>
              </w:rPr>
            </w:pPr>
            <w:r>
              <w:rPr>
                <w:rFonts w:ascii="Arial" w:cs="Arial" w:eastAsia="Arial" w:hAnsi="Arial"/>
                <w:sz w:val="15"/>
                <w:szCs w:val="15"/>
                <w:color w:val="auto"/>
              </w:rPr>
              <w:t>Net (decrease) increase in cash and cash equivalents</w:t>
            </w: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5"/>
                <w:szCs w:val="15"/>
                <w:color w:val="auto"/>
              </w:rPr>
              <w:t>76,505</w:t>
            </w:r>
          </w:p>
        </w:tc>
        <w:tc>
          <w:tcPr>
            <w:tcW w:w="0" w:type="dxa"/>
            <w:vAlign w:val="bottom"/>
          </w:tcPr>
          <w:p>
            <w:pPr>
              <w:spacing w:after="0"/>
              <w:rPr>
                <w:sz w:val="1"/>
                <w:szCs w:val="1"/>
                <w:color w:val="auto"/>
              </w:rPr>
            </w:pPr>
          </w:p>
        </w:tc>
      </w:tr>
      <w:tr>
        <w:trPr>
          <w:trHeight w:val="72"/>
        </w:trPr>
        <w:tc>
          <w:tcPr>
            <w:tcW w:w="6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6080" w:type="dxa"/>
            <w:vAlign w:val="bottom"/>
            <w:tcBorders>
              <w:bottom w:val="single" w:sz="8" w:color="CCEEFF"/>
            </w:tcBorders>
            <w:shd w:val="clear" w:color="auto" w:fill="CCEEFF"/>
          </w:tcPr>
          <w:p>
            <w:pPr>
              <w:ind w:left="140"/>
              <w:spacing w:after="0" w:line="220" w:lineRule="exact"/>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21"/>
                <w:szCs w:val="21"/>
                <w:b w:val="1"/>
                <w:bCs w:val="1"/>
                <w:color w:val="auto"/>
                <w:vertAlign w:val="superscript"/>
              </w:rPr>
              <w:t>(1)</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70,744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100,314</w:t>
            </w:r>
          </w:p>
        </w:tc>
        <w:tc>
          <w:tcPr>
            <w:tcW w:w="0" w:type="dxa"/>
            <w:vAlign w:val="bottom"/>
          </w:tcPr>
          <w:p>
            <w:pPr>
              <w:spacing w:after="0"/>
              <w:rPr>
                <w:sz w:val="1"/>
                <w:szCs w:val="1"/>
                <w:color w:val="auto"/>
              </w:rPr>
            </w:pPr>
          </w:p>
        </w:tc>
      </w:tr>
      <w:tr>
        <w:trPr>
          <w:trHeight w:val="219"/>
        </w:trPr>
        <w:tc>
          <w:tcPr>
            <w:tcW w:w="6080" w:type="dxa"/>
            <w:vAlign w:val="bottom"/>
          </w:tcPr>
          <w:p>
            <w:pPr>
              <w:ind w:left="140"/>
              <w:spacing w:after="0"/>
              <w:rPr>
                <w:sz w:val="20"/>
                <w:szCs w:val="20"/>
                <w:color w:val="auto"/>
              </w:rPr>
            </w:pPr>
            <w:r>
              <w:rPr>
                <w:rFonts w:ascii="Arial" w:cs="Arial" w:eastAsia="Arial" w:hAnsi="Arial"/>
                <w:sz w:val="15"/>
                <w:szCs w:val="15"/>
                <w:color w:val="auto"/>
              </w:rPr>
              <w:t>Cash and cash equivalents — end of period</w:t>
            </w: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70,239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176,819</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72" w:hanging="172"/>
        <w:spacing w:after="0"/>
        <w:tabs>
          <w:tab w:leader="none" w:pos="172" w:val="left"/>
        </w:tabs>
        <w:numPr>
          <w:ilvl w:val="0"/>
          <w:numId w:val="5"/>
        </w:numPr>
        <w:rPr>
          <w:rFonts w:ascii="Arial" w:cs="Arial" w:eastAsia="Arial" w:hAnsi="Arial"/>
          <w:sz w:val="21"/>
          <w:szCs w:val="21"/>
          <w:b w:val="1"/>
          <w:bCs w:val="1"/>
          <w:color w:val="auto"/>
          <w:vertAlign w:val="superscript"/>
        </w:rPr>
      </w:pPr>
      <w:r>
        <w:rPr>
          <w:rFonts w:ascii="Arial" w:cs="Arial" w:eastAsia="Arial" w:hAnsi="Arial"/>
          <w:sz w:val="16"/>
          <w:szCs w:val="16"/>
          <w:color w:val="auto"/>
        </w:rPr>
        <w:t>Includes cash from discontinued operations of $4.3 million at January 1, 2021 and $3.4 million at January 1, 2020.</w:t>
      </w:r>
    </w:p>
    <w:p>
      <w:pPr>
        <w:sectPr>
          <w:pgSz w:w="11900" w:h="16838" w:orient="portrait"/>
          <w:cols w:equalWidth="0" w:num="1">
            <w:col w:w="10131"/>
          </w:cols>
          <w:pgMar w:left="328" w:top="10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512"/>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ind w:left="5532"/>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077" w:right="1440"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Third Amended and Restated Trust Agreement, dated as of August 3, 2021 (as amended and restated, the "Trust Agreement"), the Trust is sole owner of 100% of the Trust Interests (as defined in the Company’s Sixth Amended and Restated Operating Agreement, dated as of August 3, 2021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2" w:lineRule="auto"/>
        <w:rPr>
          <w:rFonts w:ascii="Arial" w:cs="Arial" w:eastAsia="Arial" w:hAnsi="Arial"/>
          <w:sz w:val="18"/>
          <w:szCs w:val="18"/>
          <w:color w:val="0000FF"/>
        </w:rPr>
      </w:pPr>
      <w:r>
        <w:rPr>
          <w:rFonts w:ascii="Arial" w:cs="Arial" w:eastAsia="Arial" w:hAnsi="Arial"/>
          <w:sz w:val="18"/>
          <w:szCs w:val="18"/>
          <w:color w:val="auto"/>
        </w:rPr>
        <w:t xml:space="preserve">The Company is a controlling owner of ten businesses, or reportable operating segments, at September 30, 2021. The segments are as follows: 5.11 Acquisition Corp. ("5.11"), Boa Holdings Inc. ("BOA"), The Ergo Baby Carrier, Inc. ("Ergobaby"), Lugano Diamonds &amp; Jewelry, Inc. ("Lugano Diamonds" or "Lugano"), Marucci Sports, LLC ("Marucci Sports" or "Marucci"), Velocity Outdoor, Inc. ("Velocity Outdoor" or "Velocity") (formerly Crosman Corp.), Compass AC Holdings, Inc. ("ACI" or "Advanced Circuits"), AMT Acquisition Corporation ("Arnold"), FFI </w:t>
      </w:r>
      <w:hyperlink w:anchor="page22">
        <w:r>
          <w:rPr>
            <w:rFonts w:ascii="Arial" w:cs="Arial" w:eastAsia="Arial" w:hAnsi="Arial"/>
            <w:sz w:val="18"/>
            <w:szCs w:val="18"/>
            <w:color w:val="auto"/>
          </w:rPr>
          <w:t xml:space="preserve">Compass, Inc. ("Altor Solutions" or "Altor") (formerly "Foam Fabricators"), and The Sterno Group, LLC ("Sterno"). Refer to </w:t>
        </w:r>
        <w:r>
          <w:rPr>
            <w:rFonts w:ascii="Arial" w:cs="Arial" w:eastAsia="Arial" w:hAnsi="Arial"/>
            <w:sz w:val="18"/>
            <w:szCs w:val="18"/>
            <w:u w:val="single" w:color="auto"/>
            <w:color w:val="0000FF"/>
          </w:rPr>
          <w:t>Note E -</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FF"/>
          </w:rPr>
          <w:t>"Operating Segment Data"</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the operating segments. Compass Group Management LLC, a Delaware limited liability</w:t>
        </w:r>
      </w:hyperlink>
      <w:r>
        <w:rPr>
          <w:rFonts w:ascii="Arial" w:cs="Arial" w:eastAsia="Arial" w:hAnsi="Arial"/>
          <w:sz w:val="18"/>
          <w:szCs w:val="18"/>
          <w:color w:val="0000FF"/>
        </w:rPr>
        <w:t xml:space="preserve"> </w:t>
      </w:r>
      <w:r>
        <w:rPr>
          <w:rFonts w:ascii="Arial" w:cs="Arial" w:eastAsia="Arial" w:hAnsi="Arial"/>
          <w:sz w:val="18"/>
          <w:szCs w:val="18"/>
          <w:color w:val="000000"/>
        </w:rPr>
        <w:t>company ("CGM" or the "Manager"), manages the day to day operations of the Company and oversees the management and operations of our businesses pursuant to a Management Services Agreement ("MSA").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and nine month periods ended September 30, 2021 and September 30, 2020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During the third quarter of 2021, the Company completed the sale of Liberty Safe Holding Corporation ("Liberty"). The results of operations of Liberty are reported as discontinued operations in the condensed consolidated statements of operations for the three and nine months ended September 30, 2021 and September 30, 2020. Refer to </w:t>
      </w:r>
      <w:hyperlink w:anchor="page19">
        <w:r>
          <w:rPr>
            <w:rFonts w:ascii="Arial" w:cs="Arial" w:eastAsia="Arial" w:hAnsi="Arial"/>
            <w:sz w:val="18"/>
            <w:szCs w:val="18"/>
            <w:u w:val="single" w:color="auto"/>
            <w:color w:val="0000FF"/>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quarters produce the highest net sales during our fiscal year.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Change in Company Tax Status Election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2021, upon approval by the shareholders of the Trust, the Trust and the Company amended the Second Amended and Restated Trust Agreement of the Trust and the Fifth Amended and Restated Operating Agreement of the Company to authorize the Company to cause the Trust to elect to be treated as a corporation for U.S. federal income tax purposes and, at its discretion in the future, cause the Trust to be converted to a corporation.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September 1, 2021 (the "Effective Date"), the Trust elected to be treated as a corporation for U.S. federal income tax purposes. Prior to the Effective Date, the Trust was treated as a partnership for U.S. federal income tax purposes and the Trust’s items of income, gain, loss and deduction flowed through from the Trust to the shareholders, and the Trust shareholders were subject to income taxes on their allocable share of the Trust’s income and gain. After the Effective Date, the trust will be taxed as a corporation and be subject to U.S. federal corporate income tax at the Trust level, but items of income, gain, loss and deduction will not flow through to Trust shareholders. Trust shareholders will no longer receive an IRS Schedule K-1. After the Effective Date, distributions from the Trust will be treated as dividends to the extent the Trust has accumulated or current earnings and profits. If the Trust does not have current or accumulated earnings and profits available for distribution, then the distribution will be treated as a return of capital and reduce Trust shareholders’ basis in their shares.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 to the Effective Date, each of the Company’s majority owned subsidiaries were treated as corporations for U.S. federal income tax purposes. The election did not change the tax status of any Company subsidiary, and each majority owned Company subsidiary is still treated as a corporation for U.S. federal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The guidance was effective for fiscal years and interim periods beginning after December 15, 2020 and early adoption is permitted. The adoption of this guidance on January 1, 2021 did not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Lugano Diamonds &amp; Jewelry, Inc.</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3, 2021, the Company, through its newly formed acquisition subsidiaries, Lugano Holding, Inc., a Delaware corporation (“Lugano Holdings”), and Lugano Buyer, Inc., a Delaware corporation (“Lugano Buyer”) and a wholly-owned subsidiary of Lugano Holdings, acquired the issued and outstanding shares of stock of Lugano Diamonds &amp; Jewelry Inc. ("Lugano") other than the Rollover Shares described below (the “Lugano Transaction”). The Lugano Transaction was effectuated pursuant to a Stock Purchase Agreement (the “Lugano Purchase Agreement”), also dated September 3, 2021, by and among Lugano Buyer, the Sellers named therein (“Sellers”) and Mordechai Haim Ferder in his individual capacity and as initial representative of the Sellers. Lugano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60% equity interest in, Lugano. The purchase price, including proceeds from noncontrolling shareholders and net of transaction costs, was $265.7 million. The selling shareholders invested in the transaction along with the Company, representing 40%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Lugano. CGM will receive integration service fees of $2.3 million payable quarterly over a twelve month period as services are rendered which payments began in the quarter ended December 31, 2021. The Company incurred $1.8 million of transaction costs in conjunction with the Lugano acquisition, which was included in selling, general and administrative expense in the consolidated statements of operations during the third quarter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of 2021. The Company funded the acquisition with cash on hand and a $120 million draw on its 2021 Revolving Credit Facility.</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results of operations of Lugano have been included in the consolidated results of operations since the date of acquisition. Lugano's results of operations are reported as a separate operating segment as a branded consumer business. The table below provides the provisional recording of assets acquired and liabilities assumed as of the date of acquisition. A full and detailed valuation of the assets and liabilities of Lugano is in process and the information related to the purchase price allocation remains provisional at this time. The purchase price allocation for Lugano is expected to result in a step up in the fair value of the inventory and property, plant and equipment, as well as a portion of the purchase price allocated to intangible assets. Goodwill will be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The goodwill resulting from the purchase price allocation is expected to be deductible for income tax purposes.</w:t>
      </w:r>
    </w:p>
    <w:p>
      <w:pPr>
        <w:spacing w:after="0" w:line="26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top w:val="single" w:sz="8" w:color="auto"/>
            </w:tcBorders>
            <w:gridSpan w:val="2"/>
          </w:tcPr>
          <w:p>
            <w:pPr>
              <w:jc w:val="right"/>
              <w:spacing w:after="0" w:line="162" w:lineRule="exact"/>
              <w:rPr>
                <w:sz w:val="20"/>
                <w:szCs w:val="20"/>
                <w:color w:val="auto"/>
              </w:rPr>
            </w:pPr>
            <w:r>
              <w:rPr>
                <w:rFonts w:ascii="Arial" w:cs="Arial" w:eastAsia="Arial" w:hAnsi="Arial"/>
                <w:sz w:val="15"/>
                <w:szCs w:val="15"/>
                <w:b w:val="1"/>
                <w:bCs w:val="1"/>
                <w:color w:val="auto"/>
              </w:rPr>
              <w:t>Preliminary Purchase Price</w:t>
            </w:r>
          </w:p>
        </w:tc>
        <w:tc>
          <w:tcPr>
            <w:tcW w:w="0" w:type="dxa"/>
            <w:vAlign w:val="bottom"/>
          </w:tcPr>
          <w:p>
            <w:pPr>
              <w:spacing w:after="0"/>
              <w:rPr>
                <w:sz w:val="1"/>
                <w:szCs w:val="1"/>
                <w:color w:val="auto"/>
              </w:rPr>
            </w:pPr>
          </w:p>
        </w:tc>
      </w:tr>
      <w:tr>
        <w:trPr>
          <w:trHeight w:val="203"/>
        </w:trPr>
        <w:tc>
          <w:tcPr>
            <w:tcW w:w="7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7"/>
                <w:szCs w:val="17"/>
                <w:color w:val="auto"/>
              </w:rPr>
            </w:pPr>
          </w:p>
        </w:tc>
        <w:tc>
          <w:tcPr>
            <w:tcW w:w="1700" w:type="dxa"/>
            <w:vAlign w:val="bottom"/>
          </w:tcPr>
          <w:p>
            <w:pPr>
              <w:jc w:val="right"/>
              <w:ind w:right="604"/>
              <w:spacing w:after="0"/>
              <w:rPr>
                <w:sz w:val="20"/>
                <w:szCs w:val="20"/>
                <w:color w:val="auto"/>
              </w:rPr>
            </w:pPr>
            <w:r>
              <w:rPr>
                <w:rFonts w:ascii="Arial" w:cs="Arial" w:eastAsia="Arial" w:hAnsi="Arial"/>
                <w:sz w:val="15"/>
                <w:szCs w:val="15"/>
                <w:b w:val="1"/>
                <w:bCs w:val="1"/>
                <w:color w:val="auto"/>
              </w:rPr>
              <w:t>Allocation</w:t>
            </w:r>
          </w:p>
        </w:tc>
        <w:tc>
          <w:tcPr>
            <w:tcW w:w="0" w:type="dxa"/>
            <w:vAlign w:val="bottom"/>
          </w:tcPr>
          <w:p>
            <w:pPr>
              <w:spacing w:after="0"/>
              <w:rPr>
                <w:sz w:val="1"/>
                <w:szCs w:val="1"/>
                <w:color w:val="auto"/>
              </w:rPr>
            </w:pPr>
          </w:p>
        </w:tc>
      </w:tr>
      <w:tr>
        <w:trPr>
          <w:trHeight w:val="196"/>
        </w:trPr>
        <w:tc>
          <w:tcPr>
            <w:tcW w:w="716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1,433</w:t>
            </w:r>
          </w:p>
        </w:tc>
        <w:tc>
          <w:tcPr>
            <w:tcW w:w="0" w:type="dxa"/>
            <w:vAlign w:val="bottom"/>
          </w:tcPr>
          <w:p>
            <w:pPr>
              <w:spacing w:after="0"/>
              <w:rPr>
                <w:sz w:val="1"/>
                <w:szCs w:val="1"/>
                <w:color w:val="auto"/>
              </w:rPr>
            </w:pP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38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20,954</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Inventory</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85,794</w:t>
            </w:r>
          </w:p>
        </w:tc>
        <w:tc>
          <w:tcPr>
            <w:tcW w:w="0" w:type="dxa"/>
            <w:vAlign w:val="bottom"/>
          </w:tcPr>
          <w:p>
            <w:pPr>
              <w:spacing w:after="0"/>
              <w:rPr>
                <w:sz w:val="1"/>
                <w:szCs w:val="1"/>
                <w:color w:val="auto"/>
              </w:rPr>
            </w:pP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Property, plant and equipment</w:t>
            </w:r>
          </w:p>
        </w:tc>
        <w:tc>
          <w:tcPr>
            <w:tcW w:w="38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2,743</w:t>
            </w:r>
          </w:p>
        </w:tc>
        <w:tc>
          <w:tcPr>
            <w:tcW w:w="0" w:type="dxa"/>
            <w:vAlign w:val="bottom"/>
          </w:tcPr>
          <w:p>
            <w:pPr>
              <w:spacing w:after="0"/>
              <w:rPr>
                <w:sz w:val="1"/>
                <w:szCs w:val="1"/>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158,780</w:t>
            </w:r>
          </w:p>
        </w:tc>
        <w:tc>
          <w:tcPr>
            <w:tcW w:w="0" w:type="dxa"/>
            <w:vAlign w:val="bottom"/>
          </w:tcPr>
          <w:p>
            <w:pPr>
              <w:spacing w:after="0"/>
              <w:rPr>
                <w:sz w:val="1"/>
                <w:szCs w:val="1"/>
                <w:color w:val="auto"/>
              </w:rPr>
            </w:pPr>
          </w:p>
        </w:tc>
      </w:tr>
      <w:tr>
        <w:trPr>
          <w:trHeight w:val="198"/>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Other current and noncurrent assets</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4,979</w:t>
            </w:r>
          </w:p>
        </w:tc>
        <w:tc>
          <w:tcPr>
            <w:tcW w:w="0" w:type="dxa"/>
            <w:vAlign w:val="bottom"/>
          </w:tcPr>
          <w:p>
            <w:pPr>
              <w:spacing w:after="0"/>
              <w:rPr>
                <w:sz w:val="1"/>
                <w:szCs w:val="1"/>
                <w:color w:val="auto"/>
              </w:rPr>
            </w:pPr>
          </w:p>
        </w:tc>
      </w:tr>
      <w:tr>
        <w:trPr>
          <w:trHeight w:val="20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274,683</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noncontrolling interest:</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Current liabilities</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7,129</w:t>
            </w:r>
          </w:p>
        </w:tc>
        <w:tc>
          <w:tcPr>
            <w:tcW w:w="0" w:type="dxa"/>
            <w:vAlign w:val="bottom"/>
          </w:tcPr>
          <w:p>
            <w:pPr>
              <w:spacing w:after="0"/>
              <w:rPr>
                <w:sz w:val="1"/>
                <w:szCs w:val="1"/>
                <w:color w:val="auto"/>
              </w:rPr>
            </w:pP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99,381</w:t>
            </w:r>
          </w:p>
        </w:tc>
        <w:tc>
          <w:tcPr>
            <w:tcW w:w="0" w:type="dxa"/>
            <w:vAlign w:val="bottom"/>
          </w:tcPr>
          <w:p>
            <w:pPr>
              <w:spacing w:after="0"/>
              <w:rPr>
                <w:sz w:val="1"/>
                <w:szCs w:val="1"/>
                <w:color w:val="auto"/>
              </w:rPr>
            </w:pPr>
          </w:p>
        </w:tc>
      </w:tr>
      <w:tr>
        <w:trPr>
          <w:trHeight w:val="199"/>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Deferred tax liabilities</w:t>
            </w:r>
          </w:p>
        </w:tc>
        <w:tc>
          <w:tcPr>
            <w:tcW w:w="38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68,000</w:t>
            </w:r>
          </w:p>
        </w:tc>
        <w:tc>
          <w:tcPr>
            <w:tcW w:w="0" w:type="dxa"/>
            <w:vAlign w:val="bottom"/>
          </w:tcPr>
          <w:p>
            <w:pPr>
              <w:spacing w:after="0"/>
              <w:rPr>
                <w:sz w:val="1"/>
                <w:szCs w:val="1"/>
                <w:color w:val="auto"/>
              </w:rPr>
            </w:pP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liabilities and noncontrolling interest</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174,510</w:t>
            </w:r>
          </w:p>
        </w:tc>
        <w:tc>
          <w:tcPr>
            <w:tcW w:w="0" w:type="dxa"/>
            <w:vAlign w:val="bottom"/>
          </w:tcPr>
          <w:p>
            <w:pPr>
              <w:spacing w:after="0"/>
              <w:rPr>
                <w:sz w:val="1"/>
                <w:szCs w:val="1"/>
                <w:color w:val="auto"/>
              </w:rPr>
            </w:pPr>
          </w:p>
        </w:tc>
      </w:tr>
      <w:tr>
        <w:trPr>
          <w:trHeight w:val="166"/>
        </w:trPr>
        <w:tc>
          <w:tcPr>
            <w:tcW w:w="7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Net assets acquired</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100,173</w:t>
            </w:r>
          </w:p>
        </w:tc>
        <w:tc>
          <w:tcPr>
            <w:tcW w:w="0" w:type="dxa"/>
            <w:vAlign w:val="bottom"/>
          </w:tcPr>
          <w:p>
            <w:pPr>
              <w:spacing w:after="0"/>
              <w:rPr>
                <w:sz w:val="1"/>
                <w:szCs w:val="1"/>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3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68,000</w:t>
            </w:r>
          </w:p>
        </w:tc>
        <w:tc>
          <w:tcPr>
            <w:tcW w:w="0" w:type="dxa"/>
            <w:vAlign w:val="bottom"/>
          </w:tcPr>
          <w:p>
            <w:pPr>
              <w:spacing w:after="0"/>
              <w:rPr>
                <w:sz w:val="1"/>
                <w:szCs w:val="1"/>
                <w:color w:val="auto"/>
              </w:rPr>
            </w:pPr>
          </w:p>
        </w:tc>
      </w:tr>
      <w:tr>
        <w:trPr>
          <w:trHeight w:val="198"/>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Intercompany loans to business</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99,381</w:t>
            </w:r>
          </w:p>
        </w:tc>
        <w:tc>
          <w:tcPr>
            <w:tcW w:w="0" w:type="dxa"/>
            <w:vAlign w:val="bottom"/>
          </w:tcPr>
          <w:p>
            <w:pPr>
              <w:spacing w:after="0"/>
              <w:rPr>
                <w:sz w:val="1"/>
                <w:szCs w:val="1"/>
                <w:color w:val="auto"/>
              </w:rPr>
            </w:pPr>
          </w:p>
        </w:tc>
      </w:tr>
      <w:tr>
        <w:trPr>
          <w:trHeight w:val="221"/>
        </w:trPr>
        <w:tc>
          <w:tcPr>
            <w:tcW w:w="7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267,554</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Acquisition consideration</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256,000</w:t>
            </w:r>
          </w:p>
        </w:tc>
        <w:tc>
          <w:tcPr>
            <w:tcW w:w="0" w:type="dxa"/>
            <w:vAlign w:val="bottom"/>
          </w:tcPr>
          <w:p>
            <w:pPr>
              <w:spacing w:after="0"/>
              <w:rPr>
                <w:sz w:val="1"/>
                <w:szCs w:val="1"/>
                <w:color w:val="auto"/>
              </w:rPr>
            </w:pPr>
          </w:p>
        </w:tc>
      </w:tr>
      <w:tr>
        <w:trPr>
          <w:trHeight w:val="198"/>
        </w:trPr>
        <w:tc>
          <w:tcPr>
            <w:tcW w:w="7260" w:type="dxa"/>
            <w:vAlign w:val="bottom"/>
            <w:gridSpan w:val="2"/>
          </w:tcPr>
          <w:p>
            <w:pPr>
              <w:spacing w:after="0"/>
              <w:rPr>
                <w:sz w:val="20"/>
                <w:szCs w:val="20"/>
                <w:color w:val="auto"/>
              </w:rPr>
            </w:pPr>
            <w:r>
              <w:rPr>
                <w:rFonts w:ascii="Arial" w:cs="Arial" w:eastAsia="Arial" w:hAnsi="Arial"/>
                <w:sz w:val="15"/>
                <w:szCs w:val="15"/>
                <w:color w:val="auto"/>
              </w:rPr>
              <w:t>Cash acquired (estimated)</w:t>
            </w:r>
          </w:p>
        </w:tc>
        <w:tc>
          <w:tcPr>
            <w:tcW w:w="3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1,554</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0" w:type="dxa"/>
            <w:vAlign w:val="bottom"/>
          </w:tcPr>
          <w:p>
            <w:pPr>
              <w:spacing w:after="0"/>
              <w:rPr>
                <w:sz w:val="1"/>
                <w:szCs w:val="1"/>
                <w:color w:val="auto"/>
              </w:rPr>
            </w:pPr>
          </w:p>
        </w:tc>
      </w:tr>
      <w:tr>
        <w:trPr>
          <w:trHeight w:val="196"/>
        </w:trPr>
        <w:tc>
          <w:tcPr>
            <w:tcW w:w="7260" w:type="dxa"/>
            <w:vAlign w:val="bottom"/>
            <w:gridSpan w:val="2"/>
          </w:tcPr>
          <w:p>
            <w:pPr>
              <w:spacing w:after="0"/>
              <w:rPr>
                <w:sz w:val="20"/>
                <w:szCs w:val="20"/>
                <w:color w:val="auto"/>
              </w:rPr>
            </w:pPr>
            <w:r>
              <w:rPr>
                <w:rFonts w:ascii="Arial" w:cs="Arial" w:eastAsia="Arial" w:hAnsi="Arial"/>
                <w:sz w:val="15"/>
                <w:szCs w:val="15"/>
                <w:color w:val="auto"/>
              </w:rPr>
              <w:t>Total purchase consideration</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267,554</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Transaction costs</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1,827</w:t>
            </w:r>
          </w:p>
        </w:tc>
        <w:tc>
          <w:tcPr>
            <w:tcW w:w="0" w:type="dxa"/>
            <w:vAlign w:val="bottom"/>
          </w:tcPr>
          <w:p>
            <w:pPr>
              <w:spacing w:after="0"/>
              <w:rPr>
                <w:sz w:val="1"/>
                <w:szCs w:val="1"/>
                <w:color w:val="auto"/>
              </w:rPr>
            </w:pPr>
          </w:p>
        </w:tc>
      </w:tr>
      <w:tr>
        <w:trPr>
          <w:trHeight w:val="200"/>
        </w:trPr>
        <w:tc>
          <w:tcPr>
            <w:tcW w:w="7260" w:type="dxa"/>
            <w:vAlign w:val="bottom"/>
            <w:gridSpan w:val="2"/>
          </w:tcPr>
          <w:p>
            <w:pPr>
              <w:spacing w:after="0"/>
              <w:rPr>
                <w:sz w:val="20"/>
                <w:szCs w:val="20"/>
                <w:color w:val="auto"/>
              </w:rPr>
            </w:pPr>
            <w:r>
              <w:rPr>
                <w:rFonts w:ascii="Arial" w:cs="Arial" w:eastAsia="Arial" w:hAnsi="Arial"/>
                <w:sz w:val="15"/>
                <w:szCs w:val="15"/>
                <w:color w:val="auto"/>
              </w:rPr>
              <w:t>Net purchase price</w:t>
            </w: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265,727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b w:val="1"/>
          <w:bCs w:val="1"/>
          <w:color w:val="auto"/>
          <w:vertAlign w:val="superscript"/>
        </w:rPr>
      </w:pPr>
      <w:r>
        <w:rPr>
          <w:rFonts w:ascii="Arial" w:cs="Arial" w:eastAsia="Arial" w:hAnsi="Arial"/>
          <w:sz w:val="16"/>
          <w:szCs w:val="16"/>
          <w:color w:val="auto"/>
        </w:rPr>
        <w:t>The fair value of accounts receivable approximates book value acquired.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pursuant to an Agreement and Plan of Merger entered into on March 6, 2020, the Company, through a wholly-owned subsidiary, Wheelhouse Holdings Inc., a Delaware corporation (“Marucci Buyer”), and Wheelhouse Holdings Merger Sub LLC, a Delaware limited liability company and a wholly owned Subsidiary of Buyer (“Marucci Merger Sub”), completed a merger (the “Marucci Transaction”) with Marucci Sports, LLC, a Delaware limited liability company (“Marucci”). Upon the completion of the Marucci Transaction, Marucci became a wholly owned subsidiary of Marucci Buyer and an indirect subsidiary of the Company.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92.2% equity interest in, Marucci. The purchase price, including proceeds from noncontrolling shareholders and net of transaction costs, was $198.9 million. Marucci management and certain existing shareholders invested in the Marucci Transaction along with the Company, representing 7.8%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Marucci. CGM will receive integration service fees of $ 2.0 million payable quarterly over a twelve month period as services are rendered which payments began in the quarter ended September 30, 2020. The Company incurred $2.0 million of transaction costs in conjunction with the Marucci acquisition, which was included in selling, general and administrative expense in the consolidated statements of operations during the second quarter of 2020.</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Marucci have been included in the consolidated results of operations since the date of acquisition. Marucci's results of operations are reported as a separate operating segment as a branded consumer business. The table below provides the recording of assets acquired and liabilities assumed as of the date of acquisition.</w:t>
      </w:r>
    </w:p>
    <w:p>
      <w:pPr>
        <w:spacing w:after="0" w:line="25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20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03"/>
        </w:trPr>
        <w:tc>
          <w:tcPr>
            <w:tcW w:w="74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880" w:type="dxa"/>
            <w:vAlign w:val="bottom"/>
          </w:tcPr>
          <w:p>
            <w:pPr>
              <w:jc w:val="right"/>
              <w:ind w:right="584"/>
              <w:spacing w:after="0"/>
              <w:rPr>
                <w:sz w:val="20"/>
                <w:szCs w:val="20"/>
                <w:color w:val="auto"/>
              </w:rPr>
            </w:pPr>
            <w:r>
              <w:rPr>
                <w:rFonts w:ascii="Arial" w:cs="Arial" w:eastAsia="Arial" w:hAnsi="Arial"/>
                <w:sz w:val="15"/>
                <w:szCs w:val="15"/>
                <w:b w:val="1"/>
                <w:bCs w:val="1"/>
                <w:color w:val="auto"/>
              </w:rPr>
              <w:t>Allocation</w:t>
            </w:r>
          </w:p>
        </w:tc>
      </w:tr>
      <w:tr>
        <w:trPr>
          <w:trHeight w:val="196"/>
        </w:trPr>
        <w:tc>
          <w:tcPr>
            <w:tcW w:w="716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Cash</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2,730</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23"/>
                <w:szCs w:val="23"/>
                <w:b w:val="1"/>
                <w:bCs w:val="1"/>
                <w:color w:val="auto"/>
                <w:vertAlign w:val="superscript"/>
              </w:rPr>
              <w:t>(1)</w:t>
            </w:r>
          </w:p>
        </w:tc>
        <w:tc>
          <w:tcPr>
            <w:tcW w:w="1880" w:type="dxa"/>
            <w:vAlign w:val="bottom"/>
          </w:tcPr>
          <w:p>
            <w:pPr>
              <w:jc w:val="right"/>
              <w:spacing w:after="0"/>
              <w:rPr>
                <w:sz w:val="20"/>
                <w:szCs w:val="20"/>
                <w:color w:val="auto"/>
              </w:rPr>
            </w:pPr>
            <w:r>
              <w:rPr>
                <w:rFonts w:ascii="Arial" w:cs="Arial" w:eastAsia="Arial" w:hAnsi="Arial"/>
                <w:sz w:val="15"/>
                <w:szCs w:val="15"/>
                <w:color w:val="auto"/>
              </w:rPr>
              <w:t>11,471</w:t>
            </w:r>
          </w:p>
        </w:tc>
      </w:tr>
      <w:tr>
        <w:trPr>
          <w:trHeight w:val="203"/>
        </w:trPr>
        <w:tc>
          <w:tcPr>
            <w:tcW w:w="7460" w:type="dxa"/>
            <w:vAlign w:val="bottom"/>
            <w:gridSpan w:val="3"/>
            <w:shd w:val="clear" w:color="auto" w:fill="CCEEFF"/>
          </w:tcPr>
          <w:p>
            <w:pPr>
              <w:spacing w:after="0" w:line="202"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23"/>
                <w:szCs w:val="23"/>
                <w:b w:val="1"/>
                <w:bCs w:val="1"/>
                <w:color w:val="auto"/>
                <w:vertAlign w:val="superscript"/>
              </w:rPr>
              <w:t>(2)</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14,481</w:t>
            </w:r>
          </w:p>
        </w:tc>
      </w:tr>
      <w:tr>
        <w:trPr>
          <w:trHeight w:val="203"/>
        </w:trPr>
        <w:tc>
          <w:tcPr>
            <w:tcW w:w="7460" w:type="dxa"/>
            <w:vAlign w:val="bottom"/>
            <w:gridSpan w:val="3"/>
          </w:tcPr>
          <w:p>
            <w:pPr>
              <w:spacing w:after="0" w:line="202"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23"/>
                <w:szCs w:val="23"/>
                <w:b w:val="1"/>
                <w:bCs w:val="1"/>
                <w:color w:val="auto"/>
                <w:vertAlign w:val="superscript"/>
              </w:rPr>
              <w:t>(3)</w:t>
            </w:r>
          </w:p>
        </w:tc>
        <w:tc>
          <w:tcPr>
            <w:tcW w:w="1880" w:type="dxa"/>
            <w:vAlign w:val="bottom"/>
          </w:tcPr>
          <w:p>
            <w:pPr>
              <w:jc w:val="right"/>
              <w:spacing w:after="0"/>
              <w:rPr>
                <w:sz w:val="20"/>
                <w:szCs w:val="20"/>
                <w:color w:val="auto"/>
              </w:rPr>
            </w:pPr>
            <w:r>
              <w:rPr>
                <w:rFonts w:ascii="Arial" w:cs="Arial" w:eastAsia="Arial" w:hAnsi="Arial"/>
                <w:sz w:val="15"/>
                <w:szCs w:val="15"/>
                <w:color w:val="auto"/>
              </w:rPr>
              <w:t>10,307</w:t>
            </w: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100,211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Goodwill</w:t>
            </w:r>
          </w:p>
        </w:tc>
        <w:tc>
          <w:tcPr>
            <w:tcW w:w="1880" w:type="dxa"/>
            <w:vAlign w:val="bottom"/>
          </w:tcPr>
          <w:p>
            <w:pPr>
              <w:jc w:val="right"/>
              <w:spacing w:after="0"/>
              <w:rPr>
                <w:sz w:val="20"/>
                <w:szCs w:val="20"/>
                <w:color w:val="auto"/>
              </w:rPr>
            </w:pPr>
            <w:r>
              <w:rPr>
                <w:rFonts w:ascii="Arial" w:cs="Arial" w:eastAsia="Arial" w:hAnsi="Arial"/>
                <w:sz w:val="15"/>
                <w:szCs w:val="15"/>
                <w:color w:val="auto"/>
              </w:rPr>
              <w:t>68,170</w:t>
            </w:r>
          </w:p>
        </w:tc>
      </w:tr>
      <w:tr>
        <w:trPr>
          <w:trHeight w:val="207"/>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Other current and noncurrent assets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2,208</w:t>
            </w:r>
          </w:p>
        </w:tc>
      </w:tr>
      <w:tr>
        <w:trPr>
          <w:trHeight w:val="192"/>
        </w:trPr>
        <w:tc>
          <w:tcPr>
            <w:tcW w:w="726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209,578</w:t>
            </w:r>
          </w:p>
        </w:tc>
      </w:tr>
      <w:tr>
        <w:trPr>
          <w:trHeight w:val="274"/>
        </w:trPr>
        <w:tc>
          <w:tcPr>
            <w:tcW w:w="7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02"/>
        </w:trPr>
        <w:tc>
          <w:tcPr>
            <w:tcW w:w="7460" w:type="dxa"/>
            <w:vAlign w:val="bottom"/>
            <w:gridSpan w:val="3"/>
          </w:tcPr>
          <w:p>
            <w:pPr>
              <w:spacing w:after="0"/>
              <w:rPr>
                <w:sz w:val="20"/>
                <w:szCs w:val="20"/>
                <w:color w:val="auto"/>
              </w:rPr>
            </w:pPr>
            <w:r>
              <w:rPr>
                <w:rFonts w:ascii="Arial" w:cs="Arial" w:eastAsia="Arial" w:hAnsi="Arial"/>
                <w:sz w:val="15"/>
                <w:szCs w:val="15"/>
                <w:b w:val="1"/>
                <w:bCs w:val="1"/>
                <w:color w:val="auto"/>
              </w:rPr>
              <w:t>Liabilities and noncontrolling interest</w:t>
            </w:r>
          </w:p>
        </w:tc>
        <w:tc>
          <w:tcPr>
            <w:tcW w:w="1880" w:type="dxa"/>
            <w:vAlign w:val="bottom"/>
          </w:tcPr>
          <w:p>
            <w:pPr>
              <w:spacing w:after="0"/>
              <w:rPr>
                <w:sz w:val="17"/>
                <w:szCs w:val="17"/>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Other liabilities</w:t>
            </w:r>
          </w:p>
        </w:tc>
        <w:tc>
          <w:tcPr>
            <w:tcW w:w="1880" w:type="dxa"/>
            <w:vAlign w:val="bottom"/>
          </w:tcPr>
          <w:p>
            <w:pPr>
              <w:jc w:val="right"/>
              <w:spacing w:after="0"/>
              <w:rPr>
                <w:sz w:val="20"/>
                <w:szCs w:val="20"/>
                <w:color w:val="auto"/>
              </w:rPr>
            </w:pPr>
            <w:r>
              <w:rPr>
                <w:rFonts w:ascii="Arial" w:cs="Arial" w:eastAsia="Arial" w:hAnsi="Arial"/>
                <w:sz w:val="15"/>
                <w:szCs w:val="15"/>
                <w:color w:val="auto"/>
              </w:rPr>
              <w:t>43,058</w:t>
            </w:r>
          </w:p>
        </w:tc>
      </w:tr>
      <w:tr>
        <w:trPr>
          <w:trHeight w:val="207"/>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Noncontrolling interest</w:t>
            </w:r>
          </w:p>
        </w:tc>
        <w:tc>
          <w:tcPr>
            <w:tcW w:w="1880" w:type="dxa"/>
            <w:vAlign w:val="bottom"/>
          </w:tcPr>
          <w:p>
            <w:pPr>
              <w:jc w:val="right"/>
              <w:spacing w:after="0"/>
              <w:rPr>
                <w:sz w:val="20"/>
                <w:szCs w:val="20"/>
                <w:color w:val="auto"/>
              </w:rPr>
            </w:pPr>
            <w:r>
              <w:rPr>
                <w:rFonts w:ascii="Arial" w:cs="Arial" w:eastAsia="Arial" w:hAnsi="Arial"/>
                <w:sz w:val="15"/>
                <w:szCs w:val="15"/>
                <w:color w:val="auto"/>
              </w:rPr>
              <w:t>11,127</w:t>
            </w:r>
          </w:p>
        </w:tc>
      </w:tr>
      <w:tr>
        <w:trPr>
          <w:trHeight w:val="200"/>
        </w:trPr>
        <w:tc>
          <w:tcPr>
            <w:tcW w:w="7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Total liabilities and noncontrolling interest</w:t>
            </w:r>
          </w:p>
        </w:tc>
        <w:tc>
          <w:tcPr>
            <w:tcW w:w="20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61,847</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7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Net assets acquired</w:t>
            </w:r>
          </w:p>
        </w:tc>
        <w:tc>
          <w:tcPr>
            <w:tcW w:w="1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147,731</w:t>
            </w:r>
          </w:p>
        </w:tc>
      </w:tr>
      <w:tr>
        <w:trPr>
          <w:trHeight w:val="198"/>
        </w:trPr>
        <w:tc>
          <w:tcPr>
            <w:tcW w:w="7460" w:type="dxa"/>
            <w:vAlign w:val="bottom"/>
            <w:gridSpan w:val="3"/>
          </w:tcPr>
          <w:p>
            <w:pPr>
              <w:spacing w:after="0"/>
              <w:rPr>
                <w:sz w:val="20"/>
                <w:szCs w:val="20"/>
                <w:color w:val="auto"/>
              </w:rPr>
            </w:pPr>
            <w:r>
              <w:rPr>
                <w:rFonts w:ascii="Arial" w:cs="Arial" w:eastAsia="Arial" w:hAnsi="Arial"/>
                <w:sz w:val="15"/>
                <w:szCs w:val="15"/>
                <w:color w:val="auto"/>
              </w:rPr>
              <w:t>Noncontrolling interest</w:t>
            </w:r>
          </w:p>
        </w:tc>
        <w:tc>
          <w:tcPr>
            <w:tcW w:w="1880" w:type="dxa"/>
            <w:vAlign w:val="bottom"/>
          </w:tcPr>
          <w:p>
            <w:pPr>
              <w:jc w:val="right"/>
              <w:spacing w:after="0"/>
              <w:rPr>
                <w:sz w:val="20"/>
                <w:szCs w:val="20"/>
                <w:color w:val="auto"/>
              </w:rPr>
            </w:pPr>
            <w:r>
              <w:rPr>
                <w:rFonts w:ascii="Arial" w:cs="Arial" w:eastAsia="Arial" w:hAnsi="Arial"/>
                <w:sz w:val="15"/>
                <w:szCs w:val="15"/>
                <w:color w:val="auto"/>
              </w:rPr>
              <w:t>11,127</w:t>
            </w:r>
          </w:p>
        </w:tc>
      </w:tr>
      <w:tr>
        <w:trPr>
          <w:trHeight w:val="203"/>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Intercompany loans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42,100</w:t>
            </w:r>
          </w:p>
        </w:tc>
      </w:tr>
      <w:tr>
        <w:trPr>
          <w:trHeight w:val="196"/>
        </w:trPr>
        <w:tc>
          <w:tcPr>
            <w:tcW w:w="7460" w:type="dxa"/>
            <w:vAlign w:val="bottom"/>
            <w:gridSpan w:val="3"/>
          </w:tcPr>
          <w:p>
            <w:pPr>
              <w:ind w:left="7280"/>
              <w:spacing w:after="0"/>
              <w:rPr>
                <w:sz w:val="20"/>
                <w:szCs w:val="20"/>
                <w:color w:val="auto"/>
              </w:rPr>
            </w:pPr>
            <w:r>
              <w:rPr>
                <w:rFonts w:ascii="Arial" w:cs="Arial" w:eastAsia="Arial" w:hAnsi="Arial"/>
                <w:sz w:val="15"/>
                <w:szCs w:val="15"/>
                <w:color w:val="auto"/>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200,958</w:t>
            </w:r>
          </w:p>
        </w:tc>
      </w:tr>
      <w:tr>
        <w:trPr>
          <w:trHeight w:val="25"/>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8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tbl>
      <w:tblPr>
        <w:tblLayout w:type="fixed"/>
        <w:tblInd w:w="960" w:type="dxa"/>
        <w:tblCellMar>
          <w:top w:w="0" w:type="dxa"/>
          <w:left w:w="0" w:type="dxa"/>
          <w:bottom w:w="0" w:type="dxa"/>
          <w:right w:w="0" w:type="dxa"/>
        </w:tblCellMar>
      </w:tblPr>
      <w:tr>
        <w:trPr>
          <w:trHeight w:val="206"/>
        </w:trPr>
        <w:tc>
          <w:tcPr>
            <w:tcW w:w="7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Acquisition consideration</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r>
      <w:tr>
        <w:trPr>
          <w:trHeight w:val="198"/>
        </w:trPr>
        <w:tc>
          <w:tcPr>
            <w:tcW w:w="7260" w:type="dxa"/>
            <w:vAlign w:val="bottom"/>
            <w:gridSpan w:val="2"/>
          </w:tcPr>
          <w:p>
            <w:pPr>
              <w:spacing w:after="0"/>
              <w:rPr>
                <w:sz w:val="20"/>
                <w:szCs w:val="20"/>
                <w:color w:val="auto"/>
              </w:rPr>
            </w:pPr>
            <w:r>
              <w:rPr>
                <w:rFonts w:ascii="Arial" w:cs="Arial" w:eastAsia="Arial" w:hAnsi="Arial"/>
                <w:sz w:val="15"/>
                <w:szCs w:val="15"/>
                <w:color w:val="auto"/>
              </w:rPr>
              <w:t>Cash acquired</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2,730</w:t>
            </w:r>
          </w:p>
        </w:tc>
      </w:tr>
      <w:tr>
        <w:trPr>
          <w:trHeight w:val="207"/>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w:t>
            </w:r>
          </w:p>
        </w:tc>
      </w:tr>
      <w:tr>
        <w:trPr>
          <w:trHeight w:val="198"/>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adjustments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r>
      <w:tr>
        <w:trPr>
          <w:trHeight w:val="200"/>
        </w:trPr>
        <w:tc>
          <w:tcPr>
            <w:tcW w:w="72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200,958</w:t>
            </w:r>
          </w:p>
        </w:tc>
      </w:tr>
      <w:tr>
        <w:trPr>
          <w:trHeight w:val="198"/>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Less: Transaction costs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2,042</w:t>
            </w:r>
          </w:p>
        </w:tc>
      </w:tr>
      <w:tr>
        <w:trPr>
          <w:trHeight w:val="225"/>
        </w:trPr>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198,916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right="20" w:firstLine="8"/>
        <w:spacing w:after="0" w:line="278" w:lineRule="auto"/>
        <w:tabs>
          <w:tab w:leader="none" w:pos="27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Includes $12.7 million in gross contractual accounts receivable, of which $1.2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firstLine="8"/>
        <w:spacing w:after="0" w:line="260" w:lineRule="auto"/>
        <w:tabs>
          <w:tab w:leader="none" w:pos="256"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Includes $4.3 million in inventory basis step-up, which will be charged to cost of goods sold. $3.0 million was amortized to cost of goods sold in the second quarter of 2020, and $1.3 million was charged to cost of goods sold in the third quarter of 2020.</w:t>
      </w:r>
    </w:p>
    <w:p>
      <w:pPr>
        <w:spacing w:after="0" w:line="141"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Includes $2.5 million of property, plant and equipment basis step-up. The fair value of property, plant and equipment will be depreciated over the remaining useful lives of the assets.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$68.2 million reflects the strategic fit of Marucci in the Company's branded consumer business and is expected to be deductible for income tax purposes.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Marucci acquisition are as follows (in thousands):</w:t>
      </w:r>
    </w:p>
    <w:p>
      <w:pPr>
        <w:spacing w:after="0" w:line="94" w:lineRule="exact"/>
        <w:rPr>
          <w:sz w:val="20"/>
          <w:szCs w:val="20"/>
          <w:color w:val="auto"/>
        </w:rPr>
      </w:pPr>
    </w:p>
    <w:tbl>
      <w:tblPr>
        <w:tblLayout w:type="fixed"/>
        <w:tblInd w:w="1420" w:type="dxa"/>
        <w:tblCellMar>
          <w:top w:w="0" w:type="dxa"/>
          <w:left w:w="0" w:type="dxa"/>
          <w:bottom w:w="0" w:type="dxa"/>
          <w:right w:w="0" w:type="dxa"/>
        </w:tblCellMar>
      </w:tblPr>
      <w:tr>
        <w:trPr>
          <w:trHeight w:val="172"/>
        </w:trPr>
        <w:tc>
          <w:tcPr>
            <w:tcW w:w="1620" w:type="dxa"/>
            <w:vAlign w:val="bottom"/>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180" w:type="dxa"/>
            <w:vAlign w:val="bottom"/>
            <w:vMerge w:val="restart"/>
          </w:tcPr>
          <w:p>
            <w:pPr>
              <w:spacing w:after="0"/>
              <w:rPr>
                <w:sz w:val="15"/>
                <w:szCs w:val="15"/>
                <w:color w:val="auto"/>
              </w:rPr>
            </w:pPr>
          </w:p>
        </w:tc>
        <w:tc>
          <w:tcPr>
            <w:tcW w:w="460" w:type="dxa"/>
            <w:vAlign w:val="bottom"/>
            <w:vMerge w:val="restart"/>
          </w:tcPr>
          <w:p>
            <w:pPr>
              <w:spacing w:after="0"/>
              <w:rPr>
                <w:sz w:val="15"/>
                <w:szCs w:val="15"/>
                <w:color w:val="auto"/>
              </w:rPr>
            </w:pPr>
          </w:p>
        </w:tc>
        <w:tc>
          <w:tcPr>
            <w:tcW w:w="1740" w:type="dxa"/>
            <w:vAlign w:val="bottom"/>
            <w:vMerge w:val="restart"/>
          </w:tcPr>
          <w:p>
            <w:pPr>
              <w:jc w:val="right"/>
              <w:ind w:right="744"/>
              <w:spacing w:after="0"/>
              <w:rPr>
                <w:sz w:val="20"/>
                <w:szCs w:val="20"/>
                <w:color w:val="auto"/>
              </w:rPr>
            </w:pPr>
            <w:r>
              <w:rPr>
                <w:rFonts w:ascii="Arial" w:cs="Arial" w:eastAsia="Arial" w:hAnsi="Arial"/>
                <w:sz w:val="15"/>
                <w:szCs w:val="15"/>
                <w:b w:val="1"/>
                <w:bCs w:val="1"/>
                <w:color w:val="auto"/>
              </w:rPr>
              <w:t>Amount</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16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0" w:type="dxa"/>
            <w:vAlign w:val="bottom"/>
          </w:tcPr>
          <w:p>
            <w:pPr>
              <w:spacing w:after="0"/>
              <w:rPr>
                <w:sz w:val="1"/>
                <w:szCs w:val="1"/>
                <w:color w:val="auto"/>
              </w:rPr>
            </w:pPr>
          </w:p>
        </w:tc>
      </w:tr>
      <w:tr>
        <w:trPr>
          <w:trHeight w:val="196"/>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84,891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11,120</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2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4,200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5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100,211</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tradename was valued at $84.9 million using a multi-period excess earnings methodology. The customer relationships intangible asset was valued at $11.1 million using the distributor method, a variation of the multi-period excess earnings methodology, in which an asset is valuable to the extent it enables its owners to earn a return in excess of the required returns on the other assets utilized in the business. The technology was valued at $4.2 million using a relief from royalty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Boa Technology, Inc.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16, 2020, the Company, through its newly formed acquisition subsidiaries, BOA Holdings Inc., a Delaware corporation (“BOA Holdings”) and BOA Parent Inc., a Delaware corporation (“BOA Buyer”) and a wholly-owned subsidiary of BOA Holdings, acquired Boa Technology Inc. ("BOA"), and its subsidiaries pursuant to an Agreement and Plan of Merger (the “Agreement and Plan of Merger”) by and among BOA Buyer, Reel Holding Corp., a Delaware corporation (“Reel”) and the sole stockholder of Boa Technology, Inc., BOA Merger Sub Inc., a Delaware corporation and a wholly-owned subsidiary of BOA Buyer (“BOA Merger Sub”) and Shareholder Representative Services LLC (in its capacity as the representative of the stockholders of Reel) entered into an Agreement and Plan of Merger (the “BOA Merger Agreement”) with Reel Holding Corp., a Delaware corporation (“BOA”) and the sole stockholder of Boa Technology, Inc., BOA Merger Sub Inc., a Delaware corporation and 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wholly-owned subsidiary of BOA Buyer, and Shareholder Representative Services LLC (in its capacity as the representative of the stockholders of BOA). Pursuant to the Merger Agreement, Merger Sub was merged with and into BOA (the “BOA Merger”) such that the separate existence of Merger Sub ceased, and BOA survived the Merger as a wholly-owned subsidiary of BOA Buyer. BOA, creators of the award-winning BOA® Fit System featured in performance footwear, action sports, outdoor and medical products worldwide, was founded in 2001 and is headquartered in Denver, Colorado.</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an 82% equity interest in, BOA. The purchase price, including proceeds from noncontrolling shareholders and net of transaction costs, was $454.3 million. BOA management and certain existing shareholders invested in the transaction along with the Company, representing 18%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BOA. CGM will receive integration service fees of $4.4 million payable quarterly over a twelve month period as services are rendered which payments began in the quarter ended December 31, 2020. The Company incurred $2.5 million of transaction costs in conjunction with the BOA acquisition, which was included in selling, general and administrative expense in the consolidated statements of operations during the fourth quarter of 2020. The Company funded the acquisition with cash on hand and a $300 million draw on its 2018 Revolving Credit Facility.</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results of operations of BOA have been included in the consolidated results of operations since the date of acquisition. BOA's results of operations are reported as a separate operating segment as a branded consumer business. The table below provides the recording of assets acquired and liabilities assumed as of the date of acquisition.</w:t>
      </w: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right"/>
              <w:ind w:right="224"/>
              <w:spacing w:after="0" w:line="162" w:lineRule="exact"/>
              <w:rPr>
                <w:sz w:val="20"/>
                <w:szCs w:val="20"/>
                <w:color w:val="auto"/>
              </w:rPr>
            </w:pPr>
            <w:r>
              <w:rPr>
                <w:rFonts w:ascii="Arial" w:cs="Arial" w:eastAsia="Arial" w:hAnsi="Arial"/>
                <w:sz w:val="15"/>
                <w:szCs w:val="15"/>
                <w:b w:val="1"/>
                <w:bCs w:val="1"/>
                <w:color w:val="auto"/>
              </w:rPr>
              <w:t>Final Purchase Price</w:t>
            </w:r>
          </w:p>
        </w:tc>
      </w:tr>
      <w:tr>
        <w:trPr>
          <w:trHeight w:val="20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Allocation</w:t>
            </w: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Assets:</w:t>
            </w: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6"/>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7,677</w:t>
            </w: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Accounts receivable </w:t>
            </w:r>
            <w:r>
              <w:rPr>
                <w:rFonts w:ascii="Arial" w:cs="Arial" w:eastAsia="Arial" w:hAnsi="Arial"/>
                <w:sz w:val="19"/>
                <w:szCs w:val="19"/>
                <w:b w:val="1"/>
                <w:bCs w:val="1"/>
                <w:color w:val="auto"/>
                <w:vertAlign w:val="superscript"/>
              </w:rPr>
              <w:t>(1)</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2,065</w:t>
            </w:r>
          </w:p>
        </w:tc>
      </w:tr>
      <w:tr>
        <w:trPr>
          <w:trHeight w:val="203"/>
        </w:trPr>
        <w:tc>
          <w:tcPr>
            <w:tcW w:w="72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 xml:space="preserve">Inventory </w:t>
            </w:r>
            <w:r>
              <w:rPr>
                <w:rFonts w:ascii="Arial" w:cs="Arial" w:eastAsia="Arial" w:hAnsi="Arial"/>
                <w:sz w:val="19"/>
                <w:szCs w:val="19"/>
                <w:b w:val="1"/>
                <w:bCs w:val="1"/>
                <w:color w:val="auto"/>
                <w:vertAlign w:val="superscript"/>
              </w:rPr>
              <w:t>(2)</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6,178</w:t>
            </w:r>
          </w:p>
        </w:tc>
      </w:tr>
      <w:tr>
        <w:trPr>
          <w:trHeight w:val="203"/>
        </w:trPr>
        <w:tc>
          <w:tcPr>
            <w:tcW w:w="726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 xml:space="preserve">Property, plant and equipment </w:t>
            </w:r>
            <w:r>
              <w:rPr>
                <w:rFonts w:ascii="Arial" w:cs="Arial" w:eastAsia="Arial" w:hAnsi="Arial"/>
                <w:sz w:val="19"/>
                <w:szCs w:val="19"/>
                <w:b w:val="1"/>
                <w:bCs w:val="1"/>
                <w:color w:val="auto"/>
                <w:vertAlign w:val="superscript"/>
              </w:rPr>
              <w:t>(3)</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15,431</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234,000</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254,153</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current and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12,554</w:t>
            </w:r>
          </w:p>
        </w:tc>
      </w:tr>
      <w:tr>
        <w:trPr>
          <w:trHeight w:val="192"/>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532,058</w:t>
            </w:r>
          </w:p>
        </w:tc>
      </w:tr>
      <w:tr>
        <w:trPr>
          <w:trHeight w:val="477"/>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Liabilities and noncontrolling interest:</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14,008</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130,587</w:t>
            </w:r>
          </w:p>
        </w:tc>
      </w:tr>
      <w:tr>
        <w:trPr>
          <w:trHeight w:val="207"/>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49,969</w:t>
            </w:r>
          </w:p>
        </w:tc>
      </w:tr>
      <w:tr>
        <w:trPr>
          <w:trHeight w:val="198"/>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61,534</w:t>
            </w:r>
          </w:p>
        </w:tc>
      </w:tr>
      <w:tr>
        <w:trPr>
          <w:trHeight w:val="200"/>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liabilities and noncontrolling interest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256,098</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assets acquired</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275,960</w:t>
            </w:r>
          </w:p>
        </w:tc>
      </w:tr>
      <w:tr>
        <w:trPr>
          <w:trHeight w:val="198"/>
        </w:trPr>
        <w:tc>
          <w:tcPr>
            <w:tcW w:w="7260" w:type="dxa"/>
            <w:vAlign w:val="bottom"/>
            <w:gridSpan w:val="2"/>
          </w:tcPr>
          <w:p>
            <w:pPr>
              <w:ind w:left="20"/>
              <w:spacing w:after="0"/>
              <w:rPr>
                <w:sz w:val="20"/>
                <w:szCs w:val="20"/>
                <w:color w:val="auto"/>
              </w:rPr>
            </w:pPr>
            <w:r>
              <w:rPr>
                <w:rFonts w:ascii="Arial" w:cs="Arial" w:eastAsia="Arial" w:hAnsi="Arial"/>
                <w:sz w:val="15"/>
                <w:szCs w:val="15"/>
                <w:color w:val="auto"/>
              </w:rPr>
              <w:t>Noncontrolling interest</w:t>
            </w:r>
          </w:p>
        </w:tc>
        <w:tc>
          <w:tcPr>
            <w:tcW w:w="200" w:type="dxa"/>
            <w:vAlign w:val="bottom"/>
          </w:tcPr>
          <w:p>
            <w:pPr>
              <w:spacing w:after="0"/>
              <w:rPr>
                <w:sz w:val="17"/>
                <w:szCs w:val="17"/>
                <w:color w:val="auto"/>
              </w:rPr>
            </w:pPr>
          </w:p>
        </w:tc>
        <w:tc>
          <w:tcPr>
            <w:tcW w:w="1880" w:type="dxa"/>
            <w:vAlign w:val="bottom"/>
          </w:tcPr>
          <w:p>
            <w:pPr>
              <w:jc w:val="right"/>
              <w:ind w:right="4"/>
              <w:spacing w:after="0"/>
              <w:rPr>
                <w:sz w:val="20"/>
                <w:szCs w:val="20"/>
                <w:color w:val="auto"/>
              </w:rPr>
            </w:pPr>
            <w:r>
              <w:rPr>
                <w:rFonts w:ascii="Arial" w:cs="Arial" w:eastAsia="Arial" w:hAnsi="Arial"/>
                <w:sz w:val="15"/>
                <w:szCs w:val="15"/>
                <w:color w:val="auto"/>
              </w:rPr>
              <w:t>61,534</w:t>
            </w:r>
          </w:p>
        </w:tc>
      </w:tr>
      <w:tr>
        <w:trPr>
          <w:trHeight w:val="203"/>
        </w:trPr>
        <w:tc>
          <w:tcPr>
            <w:tcW w:w="7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Intercompany loans to business</w:t>
            </w:r>
          </w:p>
        </w:tc>
        <w:tc>
          <w:tcPr>
            <w:tcW w:w="200" w:type="dxa"/>
            <w:vAlign w:val="bottom"/>
            <w:tcBorders>
              <w:bottom w:val="single" w:sz="8" w:color="auto"/>
            </w:tcBorders>
            <w:shd w:val="clear" w:color="auto" w:fill="CCEEFF"/>
          </w:tcPr>
          <w:p>
            <w:pPr>
              <w:spacing w:after="0"/>
              <w:rPr>
                <w:sz w:val="17"/>
                <w:szCs w:val="17"/>
                <w:color w:val="auto"/>
              </w:rPr>
            </w:pPr>
          </w:p>
        </w:tc>
        <w:tc>
          <w:tcPr>
            <w:tcW w:w="1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119,349</w:t>
            </w:r>
          </w:p>
        </w:tc>
      </w:tr>
      <w:tr>
        <w:trPr>
          <w:trHeight w:val="196"/>
        </w:trPr>
        <w:tc>
          <w:tcPr>
            <w:tcW w:w="7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456,843</w:t>
            </w:r>
          </w:p>
        </w:tc>
      </w:tr>
      <w:tr>
        <w:trPr>
          <w:trHeight w:val="24"/>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 w:name="page18"/>
    <w:bookmarkEnd w:id="17"/>
    <w:tbl>
      <w:tblPr>
        <w:tblLayout w:type="fixed"/>
        <w:tblInd w:w="920" w:type="dxa"/>
        <w:tblCellMar>
          <w:top w:w="0" w:type="dxa"/>
          <w:left w:w="0" w:type="dxa"/>
          <w:bottom w:w="0" w:type="dxa"/>
          <w:right w:w="0" w:type="dxa"/>
        </w:tblCellMar>
      </w:tblPr>
      <w:tr>
        <w:trPr>
          <w:trHeight w:val="206"/>
        </w:trPr>
        <w:tc>
          <w:tcPr>
            <w:tcW w:w="7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Acquisition consideration</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r>
      <w:tr>
        <w:trPr>
          <w:trHeight w:val="200"/>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Purchase price</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454,000</w:t>
            </w:r>
          </w:p>
        </w:tc>
      </w:tr>
      <w:tr>
        <w:trPr>
          <w:trHeight w:val="198"/>
        </w:trPr>
        <w:tc>
          <w:tcPr>
            <w:tcW w:w="7340" w:type="dxa"/>
            <w:vAlign w:val="bottom"/>
            <w:gridSpan w:val="2"/>
          </w:tcPr>
          <w:p>
            <w:pPr>
              <w:spacing w:after="0"/>
              <w:rPr>
                <w:sz w:val="20"/>
                <w:szCs w:val="20"/>
                <w:color w:val="auto"/>
              </w:rPr>
            </w:pPr>
            <w:r>
              <w:rPr>
                <w:rFonts w:ascii="Arial" w:cs="Arial" w:eastAsia="Arial" w:hAnsi="Arial"/>
                <w:sz w:val="15"/>
                <w:szCs w:val="15"/>
                <w:color w:val="auto"/>
              </w:rPr>
              <w:t>Cash acquired</w:t>
            </w:r>
          </w:p>
        </w:tc>
        <w:tc>
          <w:tcPr>
            <w:tcW w:w="7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7,677</w:t>
            </w:r>
          </w:p>
        </w:tc>
      </w:tr>
      <w:tr>
        <w:trPr>
          <w:trHeight w:val="207"/>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working capital adjustment</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r>
      <w:tr>
        <w:trPr>
          <w:trHeight w:val="198"/>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adjustments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(2,864)</w:t>
            </w:r>
          </w:p>
        </w:tc>
      </w:tr>
      <w:tr>
        <w:trPr>
          <w:trHeight w:val="200"/>
        </w:trPr>
        <w:tc>
          <w:tcPr>
            <w:tcW w:w="7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purchase consideration</w:t>
            </w:r>
          </w:p>
        </w:tc>
        <w:tc>
          <w:tcPr>
            <w:tcW w:w="78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456,843</w:t>
            </w:r>
          </w:p>
        </w:tc>
      </w:tr>
      <w:tr>
        <w:trPr>
          <w:trHeight w:val="198"/>
        </w:trPr>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Less: Transaction costs</w:t>
            </w:r>
          </w:p>
        </w:tc>
        <w:tc>
          <w:tcPr>
            <w:tcW w:w="7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2,517</w:t>
            </w:r>
          </w:p>
        </w:tc>
      </w:tr>
      <w:tr>
        <w:trPr>
          <w:trHeight w:val="225"/>
        </w:trPr>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Net purchase price</w:t>
            </w: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454,326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 w:firstLine="8"/>
        <w:spacing w:after="0" w:line="278" w:lineRule="auto"/>
        <w:tabs>
          <w:tab w:leader="none" w:pos="275"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Includes $2.1 million in gross contractual accounts receivable, of which $0.06 million is not expected to be collected. The fair value of accounts receivable approximates book value acquired.</w:t>
      </w:r>
    </w:p>
    <w:p>
      <w:pPr>
        <w:spacing w:after="0" w:line="127" w:lineRule="exact"/>
        <w:rPr>
          <w:rFonts w:ascii="Arial" w:cs="Arial" w:eastAsia="Arial" w:hAnsi="Arial"/>
          <w:sz w:val="16"/>
          <w:szCs w:val="16"/>
          <w:b w:val="1"/>
          <w:bCs w:val="1"/>
          <w:color w:val="auto"/>
        </w:rPr>
      </w:pPr>
    </w:p>
    <w:p>
      <w:pPr>
        <w:ind w:left="260" w:hanging="252"/>
        <w:spacing w:after="0"/>
        <w:tabs>
          <w:tab w:leader="none" w:pos="2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Includes $1.5 million in inventory basis step-up, which was charged to cost of goods sold in the fourth quarter of 2020.</w:t>
      </w:r>
    </w:p>
    <w:p>
      <w:pPr>
        <w:spacing w:after="0" w:line="167" w:lineRule="exact"/>
        <w:rPr>
          <w:rFonts w:ascii="Arial" w:cs="Arial" w:eastAsia="Arial" w:hAnsi="Arial"/>
          <w:sz w:val="16"/>
          <w:szCs w:val="16"/>
          <w:b w:val="1"/>
          <w:bCs w:val="1"/>
          <w:color w:val="auto"/>
        </w:rPr>
      </w:pPr>
    </w:p>
    <w:p>
      <w:pPr>
        <w:ind w:right="700" w:firstLine="8"/>
        <w:spacing w:after="0" w:line="260" w:lineRule="auto"/>
        <w:tabs>
          <w:tab w:leader="none" w:pos="243"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Includes $6.5 million of property, plant and equipment basis step-up. The fair value of property, plant and equipment will be depreciated over the remaining useful lives of the assets.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presented above is based on management's estimate of the fair values using valuation techniques including the income, cost and market approach. In estimating the fair value of the acquired assets and assumed liabilities, the fair value estimates are based on, but not limited to, expected future revenue and cash flows, expected future growth rates and estimated discount rates. Current and noncurrent assets and current and other liabilities are valued at historical carrying values. Property, plant and equipment is valued through a purchase price appraisal and will be depreciated on a straight-line basis over the respective remaining useful lives of the assets. Goodwill is calculated as the excess of the consideration transferred over the fair value of the identifiable net assets acquired and represents the future economic benefits expected to arise from other intangible assets acquired that do not qualify for separate recognition, including assembled workforce and non-contractual relationships, as well as expected future synergies. The goodwill of $254.2 million reflects the strategic fit of BOA in the Company's branded consumer business and is not expected to be deductible for income tax purposes.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recorded related to the BOA acquisition are as follows (in thousands):</w:t>
      </w:r>
    </w:p>
    <w:p>
      <w:pPr>
        <w:spacing w:after="0" w:line="256"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47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Intangible Assets</w:t>
            </w:r>
          </w:p>
        </w:tc>
        <w:tc>
          <w:tcPr>
            <w:tcW w:w="420" w:type="dxa"/>
            <w:vAlign w:val="bottom"/>
          </w:tcPr>
          <w:p>
            <w:pPr>
              <w:spacing w:after="0"/>
              <w:rPr>
                <w:sz w:val="15"/>
                <w:szCs w:val="15"/>
                <w:color w:val="auto"/>
              </w:rPr>
            </w:pPr>
          </w:p>
        </w:tc>
        <w:tc>
          <w:tcPr>
            <w:tcW w:w="1760" w:type="dxa"/>
            <w:vAlign w:val="bottom"/>
            <w:vMerge w:val="restart"/>
          </w:tcPr>
          <w:p>
            <w:pPr>
              <w:jc w:val="right"/>
              <w:ind w:right="644"/>
              <w:spacing w:after="0"/>
              <w:rPr>
                <w:sz w:val="20"/>
                <w:szCs w:val="20"/>
                <w:color w:val="auto"/>
              </w:rPr>
            </w:pPr>
            <w:r>
              <w:rPr>
                <w:rFonts w:ascii="Arial" w:cs="Arial" w:eastAsia="Arial" w:hAnsi="Arial"/>
                <w:sz w:val="15"/>
                <w:szCs w:val="15"/>
                <w:b w:val="1"/>
                <w:bCs w:val="1"/>
                <w:color w:val="auto"/>
              </w:rPr>
              <w:t>Fair Value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Estimated Useful</w:t>
            </w:r>
          </w:p>
        </w:tc>
        <w:tc>
          <w:tcPr>
            <w:tcW w:w="0" w:type="dxa"/>
            <w:vAlign w:val="bottom"/>
          </w:tcPr>
          <w:p>
            <w:pPr>
              <w:spacing w:after="0"/>
              <w:rPr>
                <w:sz w:val="1"/>
                <w:szCs w:val="1"/>
                <w:color w:val="auto"/>
              </w:rPr>
            </w:pPr>
          </w:p>
        </w:tc>
      </w:tr>
      <w:tr>
        <w:trPr>
          <w:trHeight w:val="202"/>
        </w:trPr>
        <w:tc>
          <w:tcPr>
            <w:tcW w:w="47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b w:val="1"/>
                <w:bCs w:val="1"/>
                <w:color w:val="auto"/>
              </w:rPr>
              <w:t>Lives</w:t>
            </w:r>
          </w:p>
        </w:tc>
        <w:tc>
          <w:tcPr>
            <w:tcW w:w="0" w:type="dxa"/>
            <w:vAlign w:val="bottom"/>
          </w:tcPr>
          <w:p>
            <w:pPr>
              <w:spacing w:after="0"/>
              <w:rPr>
                <w:sz w:val="1"/>
                <w:szCs w:val="1"/>
                <w:color w:val="auto"/>
              </w:rPr>
            </w:pPr>
          </w:p>
        </w:tc>
      </w:tr>
      <w:tr>
        <w:trPr>
          <w:trHeight w:val="34"/>
        </w:trPr>
        <w:tc>
          <w:tcPr>
            <w:tcW w:w="45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10 - 12 years</w:t>
            </w:r>
          </w:p>
        </w:tc>
        <w:tc>
          <w:tcPr>
            <w:tcW w:w="0" w:type="dxa"/>
            <w:vAlign w:val="bottom"/>
          </w:tcPr>
          <w:p>
            <w:pPr>
              <w:spacing w:after="0"/>
              <w:rPr>
                <w:sz w:val="1"/>
                <w:szCs w:val="1"/>
                <w:color w:val="auto"/>
              </w:rPr>
            </w:pPr>
          </w:p>
        </w:tc>
      </w:tr>
      <w:tr>
        <w:trPr>
          <w:trHeight w:val="198"/>
        </w:trPr>
        <w:tc>
          <w:tcPr>
            <w:tcW w:w="4760" w:type="dxa"/>
            <w:vAlign w:val="bottom"/>
            <w:gridSpan w:val="2"/>
          </w:tcPr>
          <w:p>
            <w:pPr>
              <w:ind w:left="20"/>
              <w:spacing w:after="0"/>
              <w:rPr>
                <w:sz w:val="20"/>
                <w:szCs w:val="20"/>
                <w:color w:val="auto"/>
              </w:rPr>
            </w:pPr>
            <w:r>
              <w:rPr>
                <w:rFonts w:ascii="Arial" w:cs="Arial" w:eastAsia="Arial" w:hAnsi="Arial"/>
                <w:sz w:val="15"/>
                <w:szCs w:val="15"/>
                <w:color w:val="auto"/>
              </w:rPr>
              <w:t>Tradename</w:t>
            </w:r>
          </w:p>
        </w:tc>
        <w:tc>
          <w:tcPr>
            <w:tcW w:w="42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5"/>
                <w:szCs w:val="15"/>
                <w:color w:val="auto"/>
              </w:rPr>
              <w:t>84,300</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20 years</w:t>
            </w:r>
          </w:p>
        </w:tc>
        <w:tc>
          <w:tcPr>
            <w:tcW w:w="0" w:type="dxa"/>
            <w:vAlign w:val="bottom"/>
          </w:tcPr>
          <w:p>
            <w:pPr>
              <w:spacing w:after="0"/>
              <w:rPr>
                <w:sz w:val="1"/>
                <w:szCs w:val="1"/>
                <w:color w:val="auto"/>
              </w:rPr>
            </w:pPr>
          </w:p>
        </w:tc>
      </w:tr>
      <w:tr>
        <w:trPr>
          <w:trHeight w:val="207"/>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15 years</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5"/>
                <w:szCs w:val="15"/>
                <w:color w:val="auto"/>
              </w:rPr>
              <w:t xml:space="preserve">In-process Research &amp; Development </w:t>
            </w:r>
            <w:r>
              <w:rPr>
                <w:rFonts w:ascii="Arial" w:cs="Arial" w:eastAsia="Arial" w:hAnsi="Arial"/>
                <w:sz w:val="23"/>
                <w:szCs w:val="23"/>
                <w:b w:val="1"/>
                <w:bCs w:val="1"/>
                <w:color w:val="auto"/>
                <w:vertAlign w:val="superscript"/>
              </w:rPr>
              <w:t>(1)</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c>
          <w:tcPr>
            <w:tcW w:w="22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234,000</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firstLine="8"/>
        <w:spacing w:after="0" w:line="260" w:lineRule="auto"/>
        <w:tabs>
          <w:tab w:leader="none" w:pos="243"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In-process research and development is considered indefinite lived until the underlying technology becomes viable, at which point the intangible asset will be amortized over the expected useful life.</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technology was considered the primary intangible asset in the acquisition and was valued at $70.2 million using a multi-period excess earnings methodology with an assumed obsolescence factor. The tradename was valued at $84.3 million using a relief-from-royalty method. The customer relationships, which represent BOA's relationship with brand partners, were valued at $73.0 million using the distributor method, a variation of the multi-period excess earnings methodology, in which an asset is valuable to the extent it enables its owners to earn a return in excess of the required returns on the other assets utilized in the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unaudited pro forma data for the three months and nine months ended September 30, 2021 and 2020 gives effect to the acquisitions of Lugano, BOA and Marucci, as described above, and the disposition of Liberty Safe, as if these transactions had been completed as of January 1, 2020. The pro forma data gives effect to historical operating results with adjustments to interest expense, amortization and depreciation expense, management fees and related tax effects. The information is provided for illustrative purposes only and is not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8"/>
          <w:szCs w:val="18"/>
          <w:color w:val="auto"/>
        </w:rPr>
        <w:t>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38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00" w:type="dxa"/>
            <w:vAlign w:val="bottom"/>
          </w:tcPr>
          <w:p>
            <w:pPr>
              <w:spacing w:after="0"/>
              <w:rPr>
                <w:sz w:val="18"/>
                <w:szCs w:val="18"/>
                <w:color w:val="auto"/>
              </w:rPr>
            </w:pPr>
          </w:p>
        </w:tc>
        <w:tc>
          <w:tcPr>
            <w:tcW w:w="33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506,834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1,443,324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1,151,137</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201,177</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169,430</w:t>
            </w: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588,938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450,919</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64,252</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5"/>
                <w:szCs w:val="15"/>
                <w:color w:val="auto"/>
              </w:rPr>
              <w:t>Net income from continuing operations</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20,869</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16,490</w:t>
            </w:r>
          </w:p>
        </w:tc>
        <w:tc>
          <w:tcPr>
            <w:tcW w:w="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35,647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5,914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from continuing operations attributable to Holdings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59"/>
        </w:trPr>
        <w:tc>
          <w:tcPr>
            <w:tcW w:w="4380" w:type="dxa"/>
            <w:vAlign w:val="bottom"/>
          </w:tcPr>
          <w:p>
            <w:pPr>
              <w:ind w:left="20"/>
              <w:spacing w:after="0" w:line="159" w:lineRule="exact"/>
              <w:rPr>
                <w:sz w:val="20"/>
                <w:szCs w:val="20"/>
                <w:color w:val="auto"/>
              </w:rPr>
            </w:pPr>
            <w:r>
              <w:rPr>
                <w:rFonts w:ascii="Arial" w:cs="Arial" w:eastAsia="Arial" w:hAnsi="Arial"/>
                <w:sz w:val="15"/>
                <w:szCs w:val="15"/>
                <w:color w:val="auto"/>
              </w:rPr>
              <w:t>Basic and fully diluted net loss per share attributable to</w:t>
            </w:r>
          </w:p>
        </w:tc>
        <w:tc>
          <w:tcPr>
            <w:tcW w:w="3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3"/>
                <w:szCs w:val="13"/>
                <w:color w:val="auto"/>
              </w:rPr>
            </w:pPr>
          </w:p>
        </w:tc>
        <w:tc>
          <w:tcPr>
            <w:tcW w:w="40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3"/>
                <w:szCs w:val="13"/>
                <w:color w:val="auto"/>
              </w:rPr>
            </w:pPr>
          </w:p>
        </w:tc>
        <w:tc>
          <w:tcPr>
            <w:tcW w:w="38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Pr>
          <w:p>
            <w:pPr>
              <w:spacing w:after="0"/>
              <w:rPr>
                <w:sz w:val="13"/>
                <w:szCs w:val="13"/>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186"/>
        </w:trPr>
        <w:tc>
          <w:tcPr>
            <w:tcW w:w="4380" w:type="dxa"/>
            <w:vAlign w:val="bottom"/>
          </w:tcPr>
          <w:p>
            <w:pPr>
              <w:ind w:left="20"/>
              <w:spacing w:after="0"/>
              <w:rPr>
                <w:sz w:val="20"/>
                <w:szCs w:val="20"/>
                <w:color w:val="auto"/>
              </w:rPr>
            </w:pPr>
            <w:r>
              <w:rPr>
                <w:rFonts w:ascii="Arial" w:cs="Arial" w:eastAsia="Arial" w:hAnsi="Arial"/>
                <w:sz w:val="15"/>
                <w:szCs w:val="15"/>
                <w:color w:val="auto"/>
              </w:rPr>
              <w:t>Holdings</w:t>
            </w:r>
          </w:p>
        </w:tc>
        <w:tc>
          <w:tcPr>
            <w:tcW w:w="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Arnold</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 2021, Arnold acquired Ramco Electric Motors, Inc. ("Ramco"), a manufacturer of stators, rotors and full electric motors, for a purchase price of approximately $34.3 million. The acquisition and related transaction costs were funded through an additional equity investment in Arnold by the Company of $ 35.5 million. Ramco was founded in 1987 and is based in Greenville, Ohio. Ramco supplies their custom electric motor solutions for general industrial, aerospace and defense, and oil and gas end-markets. Ramco’s complementary product portfolio will allow Arnold to be able to offer more comprehensive, turnkey solutions to their customers. Arnold has not completed the preliminary purchase price allocation for the Ramco acquisition and the excess purchase price over net assets acquired has been recorded as goodwill of $22.3 million on a preliminary basis at September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Altor Solutions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 2020, Altor Solutions acquired substantially all of the assets of Polyfoam Corp. ("Polyfoam"), a Massachusetts-based manufacturer of protective and temperature-sensitive packaging solutions for the medical, pharmaceutical, grocery and food industries, among others. Founded in 1974, Polyfoam operates two manufacturing facilities producing highly engineered foam and injection-molded plastic solutions across a variety of end-markets. The acquisition complements Altor Solutions' current operating footprint and provides access to a new customer base and product offerings, including Polyfoam's significant end-market exposure to cold chain (including seafood boxes, insulated shipping containers and grocery delivery totes). The purchase price was approximately $12.8 million and includes a potential earnout of $1.4 million if Polyfoam achieves certain financial metrics.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September 2020, Altor Solutions invested $3.6 million in Rational Packaging, LLC, a designer and manufacturer of recyclable, paperboard-based structural packaging components. The investment is accounted for as an equity method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Liberty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16, 2021, the Company, as majority stockholder of Liberty Safe Holding Corporation and as Sellers Representative, entered into a definitive Stock Purchase Agreement (the “Purchase Agreement”) with Independence Buyer, Inc. (“Liberty Buyer”), Liberty and the other holders of stock and options of Liberty to sell to Buyer all of the issued and outstanding securities of Liberty, the parent company of the operating entity, Liberty Safe and Security Products, Inc.</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2021, Liberty Buyer and the Company, as Sellers Representative, entered into the Amendment to Stock Purchase Agreement (the “Amendment”) which amended the Purchase Agreement to, among other things, provide that, immediately prior to the closing, certain investors in Liberty will, instead of selling all of the shares of Liberty owned by them to Liberty Buyer, contribute a portion of such shares (the “Rollover Shares”) to an indirect parent company of Liberty Buyer in exchange for equity securities of such entity.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spacing w:after="0" w:line="252" w:lineRule="auto"/>
        <w:rPr>
          <w:sz w:val="20"/>
          <w:szCs w:val="20"/>
          <w:color w:val="auto"/>
        </w:rPr>
      </w:pPr>
      <w:r>
        <w:rPr>
          <w:rFonts w:ascii="Arial" w:cs="Arial" w:eastAsia="Arial" w:hAnsi="Arial"/>
          <w:sz w:val="18"/>
          <w:szCs w:val="18"/>
          <w:color w:val="auto"/>
        </w:rPr>
        <w:t>On August 3, 2021, Liberty Buyer completed the acquisition of all the issued and outstanding securities of Liberty (other than the Rollover Shares) pursuant to the Purchase Agreement and Amendment (the “Liberty Transaction”). The sale price of Liberty was based on an aggregate total enterprise value of $147.5 million, subject to customary adjustments. After the allocation of the sale proceeds to Liberty's non-controlling shareholders, the repayment of intercompany loans to the Company (including accrued interest) of $26.5 million, and the payment of transaction expenses of approximately $4.5 million, the Company received approximately $128.0 million of total proceeds from the sale at closing. The Company recognized a gain on the sale of Liberty of $72.7 million in the third quarter of 2021.</w:t>
      </w:r>
    </w:p>
    <w:p>
      <w:pPr>
        <w:spacing w:after="0" w:line="15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Summarized results of operations of Liberty for the three and nine months ended September 30, 2021 and 2020 through the date of disposition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960" w:type="dxa"/>
            <w:vAlign w:val="bottom"/>
            <w:gridSpan w:val="2"/>
          </w:tcPr>
          <w:p>
            <w:pPr>
              <w:ind w:left="160"/>
              <w:spacing w:after="0"/>
              <w:rPr>
                <w:sz w:val="20"/>
                <w:szCs w:val="20"/>
                <w:color w:val="auto"/>
              </w:rPr>
            </w:pPr>
            <w:r>
              <w:rPr>
                <w:rFonts w:ascii="Arial" w:cs="Arial" w:eastAsia="Arial" w:hAnsi="Arial"/>
                <w:sz w:val="15"/>
                <w:szCs w:val="15"/>
                <w:b w:val="1"/>
                <w:bCs w:val="1"/>
                <w:color w:val="auto"/>
              </w:rPr>
              <w:t>For the period July 1,</w:t>
            </w:r>
          </w:p>
        </w:tc>
        <w:tc>
          <w:tcPr>
            <w:tcW w:w="140" w:type="dxa"/>
            <w:vAlign w:val="bottom"/>
          </w:tcPr>
          <w:p>
            <w:pPr>
              <w:spacing w:after="0"/>
              <w:rPr>
                <w:sz w:val="14"/>
                <w:szCs w:val="14"/>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Three months ended</w:t>
            </w:r>
          </w:p>
        </w:tc>
        <w:tc>
          <w:tcPr>
            <w:tcW w:w="1960" w:type="dxa"/>
            <w:vAlign w:val="bottom"/>
            <w:gridSpan w:val="2"/>
          </w:tcPr>
          <w:p>
            <w:pPr>
              <w:ind w:left="20"/>
              <w:spacing w:after="0"/>
              <w:rPr>
                <w:sz w:val="20"/>
                <w:szCs w:val="20"/>
                <w:color w:val="auto"/>
              </w:rPr>
            </w:pPr>
            <w:r>
              <w:rPr>
                <w:rFonts w:ascii="Arial" w:cs="Arial" w:eastAsia="Arial" w:hAnsi="Arial"/>
                <w:sz w:val="15"/>
                <w:szCs w:val="15"/>
                <w:b w:val="1"/>
                <w:bCs w:val="1"/>
                <w:color w:val="auto"/>
              </w:rPr>
              <w:t>For the period January 1,</w:t>
            </w:r>
          </w:p>
        </w:tc>
        <w:tc>
          <w:tcPr>
            <w:tcW w:w="160" w:type="dxa"/>
            <w:vAlign w:val="bottom"/>
          </w:tcPr>
          <w:p>
            <w:pPr>
              <w:spacing w:after="0"/>
              <w:rPr>
                <w:sz w:val="14"/>
                <w:szCs w:val="14"/>
                <w:color w:val="auto"/>
              </w:rPr>
            </w:pPr>
          </w:p>
        </w:tc>
        <w:tc>
          <w:tcPr>
            <w:tcW w:w="1720" w:type="dxa"/>
            <w:vAlign w:val="bottom"/>
          </w:tcPr>
          <w:p>
            <w:pPr>
              <w:jc w:val="right"/>
              <w:ind w:right="164"/>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3460" w:type="dxa"/>
            <w:vAlign w:val="bottom"/>
          </w:tcPr>
          <w:p>
            <w:pPr>
              <w:spacing w:after="0"/>
              <w:rPr>
                <w:sz w:val="17"/>
                <w:szCs w:val="17"/>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2021 through disposition</w:t>
            </w:r>
          </w:p>
        </w:tc>
        <w:tc>
          <w:tcPr>
            <w:tcW w:w="140" w:type="dxa"/>
            <w:vAlign w:val="bottom"/>
          </w:tcPr>
          <w:p>
            <w:pPr>
              <w:spacing w:after="0"/>
              <w:rPr>
                <w:sz w:val="17"/>
                <w:szCs w:val="17"/>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September 30, 2020</w:t>
            </w:r>
          </w:p>
        </w:tc>
        <w:tc>
          <w:tcPr>
            <w:tcW w:w="1960" w:type="dxa"/>
            <w:vAlign w:val="bottom"/>
            <w:gridSpan w:val="2"/>
          </w:tcPr>
          <w:p>
            <w:pPr>
              <w:ind w:left="20"/>
              <w:spacing w:after="0"/>
              <w:rPr>
                <w:sz w:val="20"/>
                <w:szCs w:val="20"/>
                <w:color w:val="auto"/>
              </w:rPr>
            </w:pPr>
            <w:r>
              <w:rPr>
                <w:rFonts w:ascii="Arial" w:cs="Arial" w:eastAsia="Arial" w:hAnsi="Arial"/>
                <w:sz w:val="15"/>
                <w:szCs w:val="15"/>
                <w:b w:val="1"/>
                <w:bCs w:val="1"/>
                <w:color w:val="auto"/>
              </w:rPr>
              <w:t>2021 through disposition</w:t>
            </w:r>
          </w:p>
        </w:tc>
        <w:tc>
          <w:tcPr>
            <w:tcW w:w="160" w:type="dxa"/>
            <w:vAlign w:val="bottom"/>
          </w:tcPr>
          <w:p>
            <w:pPr>
              <w:spacing w:after="0"/>
              <w:rPr>
                <w:sz w:val="17"/>
                <w:szCs w:val="17"/>
                <w:color w:val="auto"/>
              </w:rPr>
            </w:pPr>
          </w:p>
        </w:tc>
        <w:tc>
          <w:tcPr>
            <w:tcW w:w="1720" w:type="dxa"/>
            <w:vAlign w:val="bottom"/>
          </w:tcPr>
          <w:p>
            <w:pPr>
              <w:jc w:val="right"/>
              <w:ind w:right="124"/>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sales</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31,186</w:t>
            </w: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75,753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80,599</w:t>
            </w:r>
          </w:p>
        </w:tc>
      </w:tr>
      <w:tr>
        <w:trPr>
          <w:trHeight w:val="198"/>
        </w:trPr>
        <w:tc>
          <w:tcPr>
            <w:tcW w:w="346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60" w:type="dxa"/>
            <w:vAlign w:val="bottom"/>
          </w:tcPr>
          <w:p>
            <w:pPr>
              <w:jc w:val="right"/>
              <w:spacing w:after="0"/>
              <w:rPr>
                <w:sz w:val="20"/>
                <w:szCs w:val="20"/>
                <w:color w:val="auto"/>
              </w:rPr>
            </w:pPr>
            <w:r>
              <w:rPr>
                <w:rFonts w:ascii="Arial" w:cs="Arial" w:eastAsia="Arial" w:hAnsi="Arial"/>
                <w:sz w:val="15"/>
                <w:szCs w:val="15"/>
                <w:color w:val="auto"/>
              </w:rPr>
              <w:t>2,353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8,112</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20,129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21,058</w:t>
            </w:r>
          </w:p>
        </w:tc>
      </w:tr>
      <w:tr>
        <w:trPr>
          <w:trHeight w:val="207"/>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5,736</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12,281</w:t>
            </w:r>
          </w:p>
        </w:tc>
      </w:tr>
      <w:tr>
        <w:trPr>
          <w:trHeight w:val="148"/>
        </w:trPr>
        <w:tc>
          <w:tcPr>
            <w:tcW w:w="3460" w:type="dxa"/>
            <w:vAlign w:val="bottom"/>
          </w:tcPr>
          <w:p>
            <w:pPr>
              <w:ind w:left="20"/>
              <w:spacing w:after="0" w:line="149" w:lineRule="exact"/>
              <w:rPr>
                <w:sz w:val="20"/>
                <w:szCs w:val="20"/>
                <w:color w:val="auto"/>
              </w:rPr>
            </w:pPr>
            <w:r>
              <w:rPr>
                <w:rFonts w:ascii="Arial" w:cs="Arial" w:eastAsia="Arial" w:hAnsi="Arial"/>
                <w:sz w:val="15"/>
                <w:szCs w:val="15"/>
                <w:color w:val="auto"/>
              </w:rPr>
              <w:t>Income (loss) from continuing operations before</w:t>
            </w: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03"/>
        </w:trPr>
        <w:tc>
          <w:tcPr>
            <w:tcW w:w="3460" w:type="dxa"/>
            <w:vAlign w:val="bottom"/>
          </w:tcPr>
          <w:p>
            <w:pPr>
              <w:ind w:left="20"/>
              <w:spacing w:after="0" w:line="203" w:lineRule="exact"/>
              <w:rPr>
                <w:sz w:val="20"/>
                <w:szCs w:val="20"/>
                <w:color w:val="auto"/>
              </w:rPr>
            </w:pPr>
            <w:r>
              <w:rPr>
                <w:rFonts w:ascii="Arial" w:cs="Arial" w:eastAsia="Arial" w:hAnsi="Arial"/>
                <w:sz w:val="15"/>
                <w:szCs w:val="15"/>
                <w:color w:val="auto"/>
              </w:rPr>
              <w:t xml:space="preserve">income taxes </w:t>
            </w:r>
            <w:r>
              <w:rPr>
                <w:rFonts w:ascii="Arial" w:cs="Arial" w:eastAsia="Arial" w:hAnsi="Arial"/>
                <w:sz w:val="21"/>
                <w:szCs w:val="21"/>
                <w:b w:val="1"/>
                <w:bCs w:val="1"/>
                <w:color w:val="auto"/>
                <w:vertAlign w:val="superscript"/>
              </w:rPr>
              <w:t>(1)</w:t>
            </w:r>
          </w:p>
        </w:tc>
        <w:tc>
          <w:tcPr>
            <w:tcW w:w="1860" w:type="dxa"/>
            <w:vAlign w:val="bottom"/>
          </w:tcPr>
          <w:p>
            <w:pPr>
              <w:jc w:val="right"/>
              <w:spacing w:after="0"/>
              <w:rPr>
                <w:sz w:val="20"/>
                <w:szCs w:val="20"/>
                <w:color w:val="auto"/>
              </w:rPr>
            </w:pPr>
            <w:r>
              <w:rPr>
                <w:rFonts w:ascii="Arial" w:cs="Arial" w:eastAsia="Arial" w:hAnsi="Arial"/>
                <w:sz w:val="15"/>
                <w:szCs w:val="15"/>
                <w:color w:val="auto"/>
              </w:rPr>
              <w:t>(2,406)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5,739</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9,174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12,287</w:t>
            </w:r>
          </w:p>
        </w:tc>
      </w:tr>
      <w:tr>
        <w:trPr>
          <w:trHeight w:val="203"/>
        </w:trPr>
        <w:tc>
          <w:tcPr>
            <w:tcW w:w="3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1,210</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2,357</w:t>
            </w:r>
          </w:p>
        </w:tc>
      </w:tr>
      <w:tr>
        <w:trPr>
          <w:trHeight w:val="267"/>
        </w:trPr>
        <w:tc>
          <w:tcPr>
            <w:tcW w:w="3460" w:type="dxa"/>
            <w:vAlign w:val="bottom"/>
          </w:tcPr>
          <w:p>
            <w:pPr>
              <w:ind w:left="20"/>
              <w:spacing w:after="0"/>
              <w:rPr>
                <w:sz w:val="20"/>
                <w:szCs w:val="20"/>
                <w:color w:val="auto"/>
              </w:rPr>
            </w:pPr>
            <w:r>
              <w:rPr>
                <w:rFonts w:ascii="Arial" w:cs="Arial" w:eastAsia="Arial" w:hAnsi="Arial"/>
                <w:sz w:val="15"/>
                <w:szCs w:val="15"/>
                <w:color w:val="auto"/>
              </w:rPr>
              <w:t xml:space="preserve">Income (loss) from discontinued operations </w:t>
            </w:r>
            <w:r>
              <w:rPr>
                <w:rFonts w:ascii="Arial" w:cs="Arial" w:eastAsia="Arial" w:hAnsi="Arial"/>
                <w:sz w:val="19"/>
                <w:szCs w:val="19"/>
                <w:b w:val="1"/>
                <w:bCs w:val="1"/>
                <w:color w:val="auto"/>
                <w:vertAlign w:val="superscript"/>
              </w:rPr>
              <w:t>(1)</w:t>
            </w:r>
          </w:p>
        </w:tc>
        <w:tc>
          <w:tcPr>
            <w:tcW w:w="1860" w:type="dxa"/>
            <w:vAlign w:val="bottom"/>
          </w:tcPr>
          <w:p>
            <w:pPr>
              <w:jc w:val="right"/>
              <w:spacing w:after="0"/>
              <w:rPr>
                <w:sz w:val="20"/>
                <w:szCs w:val="20"/>
                <w:color w:val="auto"/>
              </w:rPr>
            </w:pPr>
            <w:r>
              <w:rPr>
                <w:rFonts w:ascii="Arial" w:cs="Arial" w:eastAsia="Arial" w:hAnsi="Arial"/>
                <w:sz w:val="15"/>
                <w:szCs w:val="15"/>
                <w:color w:val="auto"/>
              </w:rPr>
              <w:t>(1,309)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4,529</w:t>
            </w:r>
          </w:p>
        </w:tc>
        <w:tc>
          <w:tcPr>
            <w:tcW w:w="1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5"/>
                <w:szCs w:val="15"/>
                <w:color w:val="auto"/>
              </w:rPr>
              <w:t>7,665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9,930</w:t>
            </w:r>
          </w:p>
        </w:tc>
      </w:tr>
    </w:tbl>
    <w:p>
      <w:pPr>
        <w:spacing w:after="0" w:line="191" w:lineRule="exact"/>
        <w:rPr>
          <w:sz w:val="20"/>
          <w:szCs w:val="20"/>
          <w:color w:val="auto"/>
        </w:rPr>
      </w:pPr>
    </w:p>
    <w:p>
      <w:pPr>
        <w:jc w:val="both"/>
        <w:ind w:firstLine="8"/>
        <w:spacing w:after="0" w:line="469" w:lineRule="auto"/>
        <w:tabs>
          <w:tab w:leader="none" w:pos="175" w:val="left"/>
        </w:tabs>
        <w:numPr>
          <w:ilvl w:val="0"/>
          <w:numId w:val="10"/>
        </w:numPr>
        <w:rPr>
          <w:rFonts w:ascii="Arial" w:cs="Arial" w:eastAsia="Arial" w:hAnsi="Arial"/>
          <w:sz w:val="20"/>
          <w:szCs w:val="20"/>
          <w:b w:val="1"/>
          <w:bCs w:val="1"/>
          <w:color w:val="auto"/>
          <w:vertAlign w:val="superscript"/>
        </w:rPr>
      </w:pPr>
      <w:r>
        <w:rPr>
          <w:rFonts w:ascii="Arial" w:cs="Arial" w:eastAsia="Arial" w:hAnsi="Arial"/>
          <w:sz w:val="16"/>
          <w:szCs w:val="16"/>
          <w:color w:val="auto"/>
        </w:rPr>
        <w:t>The results of operations for the periods from July 1, 2021 through disposition, January 1, 2021 through disposition, and the three and nine months ended September 30, 2020, each exclude $0.3 million and $1.7 million and $0.9 million and $2.8 million, respectively, of intercompany interest expense.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summary balance sheet information of Liberty that is presented as discontinued operations as of December 31, 2020 (in thousands):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84"/>
              <w:spacing w:after="0"/>
              <w:rPr>
                <w:sz w:val="20"/>
                <w:szCs w:val="20"/>
                <w:color w:val="auto"/>
              </w:rPr>
            </w:pPr>
            <w:r>
              <w:rPr>
                <w:rFonts w:ascii="Arial" w:cs="Arial" w:eastAsia="Arial" w:hAnsi="Arial"/>
                <w:sz w:val="15"/>
                <w:szCs w:val="15"/>
                <w:b w:val="1"/>
                <w:bCs w:val="1"/>
                <w:color w:val="auto"/>
              </w:rPr>
              <w:t>December 31,</w:t>
            </w:r>
          </w:p>
        </w:tc>
      </w:tr>
      <w:tr>
        <w:trPr>
          <w:trHeight w:val="202"/>
        </w:trPr>
        <w:tc>
          <w:tcPr>
            <w:tcW w:w="7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b w:val="1"/>
                <w:bCs w:val="1"/>
                <w:color w:val="auto"/>
              </w:rPr>
              <w:t>2020</w:t>
            </w:r>
          </w:p>
        </w:tc>
      </w:tr>
      <w:tr>
        <w:trPr>
          <w:trHeight w:val="183"/>
        </w:trPr>
        <w:tc>
          <w:tcPr>
            <w:tcW w:w="7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9"/>
        </w:trPr>
        <w:tc>
          <w:tcPr>
            <w:tcW w:w="772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4,342</w:t>
            </w:r>
          </w:p>
        </w:tc>
      </w:tr>
      <w:tr>
        <w:trPr>
          <w:trHeight w:val="206"/>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Accounts receivable,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18,812</w:t>
            </w:r>
          </w:p>
        </w:tc>
      </w:tr>
      <w:tr>
        <w:trPr>
          <w:trHeight w:val="199"/>
        </w:trPr>
        <w:tc>
          <w:tcPr>
            <w:tcW w:w="7720" w:type="dxa"/>
            <w:vAlign w:val="bottom"/>
          </w:tcPr>
          <w:p>
            <w:pPr>
              <w:spacing w:after="0"/>
              <w:rPr>
                <w:sz w:val="20"/>
                <w:szCs w:val="20"/>
                <w:color w:val="auto"/>
              </w:rPr>
            </w:pPr>
            <w:r>
              <w:rPr>
                <w:rFonts w:ascii="Arial" w:cs="Arial" w:eastAsia="Arial" w:hAnsi="Arial"/>
                <w:sz w:val="15"/>
                <w:szCs w:val="15"/>
                <w:color w:val="auto"/>
              </w:rPr>
              <w:t>Inventories, net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9,406</w:t>
            </w:r>
          </w:p>
        </w:tc>
      </w:tr>
      <w:tr>
        <w:trPr>
          <w:trHeight w:val="206"/>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w:t>
            </w:r>
          </w:p>
        </w:tc>
      </w:tr>
      <w:tr>
        <w:trPr>
          <w:trHeight w:val="192"/>
        </w:trPr>
        <w:tc>
          <w:tcPr>
            <w:tcW w:w="7720" w:type="dxa"/>
            <w:vAlign w:val="bottom"/>
          </w:tcPr>
          <w:p>
            <w:pPr>
              <w:spacing w:after="0"/>
              <w:rPr>
                <w:sz w:val="20"/>
                <w:szCs w:val="20"/>
                <w:color w:val="auto"/>
              </w:rPr>
            </w:pPr>
            <w:r>
              <w:rPr>
                <w:rFonts w:ascii="Arial" w:cs="Arial" w:eastAsia="Arial" w:hAnsi="Arial"/>
                <w:sz w:val="15"/>
                <w:szCs w:val="15"/>
                <w:color w:val="auto"/>
              </w:rPr>
              <w:t>Current assets of discontinued operations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33,505</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0"/>
        </w:trPr>
        <w:tc>
          <w:tcPr>
            <w:tcW w:w="77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Property, plant and equipment,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9,551</w:t>
            </w:r>
          </w:p>
        </w:tc>
      </w:tr>
      <w:tr>
        <w:trPr>
          <w:trHeight w:val="198"/>
        </w:trPr>
        <w:tc>
          <w:tcPr>
            <w:tcW w:w="7720" w:type="dxa"/>
            <w:vAlign w:val="bottom"/>
          </w:tcPr>
          <w:p>
            <w:pPr>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32,828</w:t>
            </w:r>
          </w:p>
        </w:tc>
      </w:tr>
      <w:tr>
        <w:trPr>
          <w:trHeight w:val="207"/>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3,020</w:t>
            </w:r>
          </w:p>
        </w:tc>
      </w:tr>
      <w:tr>
        <w:trPr>
          <w:trHeight w:val="198"/>
        </w:trPr>
        <w:tc>
          <w:tcPr>
            <w:tcW w:w="7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8,474</w:t>
            </w:r>
          </w:p>
        </w:tc>
      </w:tr>
      <w:tr>
        <w:trPr>
          <w:trHeight w:val="221"/>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Non-current assets of discontinued operations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53,873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7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8"/>
        </w:trPr>
        <w:tc>
          <w:tcPr>
            <w:tcW w:w="7720" w:type="dxa"/>
            <w:vAlign w:val="bottom"/>
          </w:tcPr>
          <w:p>
            <w:pPr>
              <w:spacing w:after="0"/>
              <w:rPr>
                <w:sz w:val="20"/>
                <w:szCs w:val="20"/>
                <w:color w:val="auto"/>
              </w:rPr>
            </w:pPr>
            <w:r>
              <w:rPr>
                <w:rFonts w:ascii="Arial" w:cs="Arial" w:eastAsia="Arial" w:hAnsi="Arial"/>
                <w:sz w:val="15"/>
                <w:szCs w:val="15"/>
                <w:color w:val="auto"/>
              </w:rPr>
              <w:t>Accounts payable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7,495</w:t>
            </w:r>
          </w:p>
        </w:tc>
      </w:tr>
      <w:tr>
        <w:trPr>
          <w:trHeight w:val="206"/>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Accrued expenses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4,911</w:t>
            </w:r>
          </w:p>
        </w:tc>
      </w:tr>
      <w:tr>
        <w:trPr>
          <w:trHeight w:val="199"/>
        </w:trPr>
        <w:tc>
          <w:tcPr>
            <w:tcW w:w="7720" w:type="dxa"/>
            <w:vAlign w:val="bottom"/>
          </w:tcPr>
          <w:p>
            <w:pPr>
              <w:spacing w:after="0"/>
              <w:rPr>
                <w:sz w:val="20"/>
                <w:szCs w:val="20"/>
                <w:color w:val="auto"/>
              </w:rPr>
            </w:pPr>
            <w:r>
              <w:rPr>
                <w:rFonts w:ascii="Arial" w:cs="Arial" w:eastAsia="Arial" w:hAnsi="Arial"/>
                <w:sz w:val="15"/>
                <w:szCs w:val="15"/>
                <w:color w:val="auto"/>
              </w:rPr>
              <w:t>Due to related party</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206"/>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2,723</w:t>
            </w:r>
          </w:p>
        </w:tc>
      </w:tr>
      <w:tr>
        <w:trPr>
          <w:trHeight w:val="192"/>
        </w:trPr>
        <w:tc>
          <w:tcPr>
            <w:tcW w:w="7720" w:type="dxa"/>
            <w:vAlign w:val="bottom"/>
          </w:tcPr>
          <w:p>
            <w:pPr>
              <w:spacing w:after="0"/>
              <w:rPr>
                <w:sz w:val="20"/>
                <w:szCs w:val="20"/>
                <w:color w:val="auto"/>
              </w:rPr>
            </w:pPr>
            <w:r>
              <w:rPr>
                <w:rFonts w:ascii="Arial" w:cs="Arial" w:eastAsia="Arial" w:hAnsi="Arial"/>
                <w:sz w:val="15"/>
                <w:szCs w:val="15"/>
                <w:color w:val="auto"/>
              </w:rPr>
              <w:t>Current liabilities of discontinued operations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15,230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0"/>
        </w:trPr>
        <w:tc>
          <w:tcPr>
            <w:tcW w:w="772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Deferred income taxes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1,815</w:t>
            </w:r>
          </w:p>
        </w:tc>
      </w:tr>
      <w:tr>
        <w:trPr>
          <w:trHeight w:val="199"/>
        </w:trPr>
        <w:tc>
          <w:tcPr>
            <w:tcW w:w="7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9,320</w:t>
            </w:r>
          </w:p>
        </w:tc>
      </w:tr>
      <w:tr>
        <w:trPr>
          <w:trHeight w:val="221"/>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Non-current liabilities of discontinued operations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11,135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720" w:type="dxa"/>
            <w:vAlign w:val="bottom"/>
          </w:tcPr>
          <w:p>
            <w:pPr>
              <w:spacing w:after="0"/>
              <w:rPr>
                <w:sz w:val="20"/>
                <w:szCs w:val="20"/>
                <w:color w:val="auto"/>
              </w:rPr>
            </w:pPr>
            <w:r>
              <w:rPr>
                <w:rFonts w:ascii="Arial" w:cs="Arial" w:eastAsia="Arial" w:hAnsi="Arial"/>
                <w:sz w:val="15"/>
                <w:szCs w:val="15"/>
                <w:color w:val="auto"/>
              </w:rPr>
              <w:t>Noncontrolling interest of discontinued operations</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3,836</w:t>
            </w:r>
          </w:p>
        </w:tc>
      </w:tr>
      <w:tr>
        <w:trPr>
          <w:trHeight w:val="24"/>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w:t>
      </w:r>
      <w:r>
        <w:rPr>
          <w:rFonts w:ascii="Arial" w:cs="Arial" w:eastAsia="Arial" w:hAnsi="Arial"/>
          <w:sz w:val="18"/>
          <w:szCs w:val="18"/>
          <w:color w:val="auto"/>
        </w:rPr>
        <w:t>The Company disaggregates revenue by strategic business unit and by geography for each strategic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disaggregation of revenue by reportable segment geography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September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BOA</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Ergo</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Lugano</w:t>
            </w:r>
          </w:p>
        </w:tc>
        <w:tc>
          <w:tcPr>
            <w:tcW w:w="12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Marucci</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ACI</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Altor</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Arnold</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Sterno</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Total</w:t>
            </w:r>
          </w:p>
        </w:tc>
      </w:tr>
      <w:tr>
        <w:trPr>
          <w:trHeight w:val="188"/>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23,182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398,658</w:t>
            </w: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Canada</w:t>
            </w:r>
          </w:p>
        </w:tc>
        <w:tc>
          <w:tcPr>
            <w:tcW w:w="660" w:type="dxa"/>
            <w:vAlign w:val="bottom"/>
          </w:tcPr>
          <w:p>
            <w:pPr>
              <w:jc w:val="right"/>
              <w:spacing w:after="0"/>
              <w:rPr>
                <w:sz w:val="20"/>
                <w:szCs w:val="20"/>
                <w:color w:val="auto"/>
              </w:rPr>
            </w:pPr>
            <w:r>
              <w:rPr>
                <w:rFonts w:ascii="Arial" w:cs="Arial" w:eastAsia="Arial" w:hAnsi="Arial"/>
                <w:sz w:val="13"/>
                <w:szCs w:val="13"/>
                <w:color w:val="auto"/>
              </w:rPr>
              <w:t>2,522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2,735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9,791</w:t>
            </w:r>
          </w:p>
        </w:tc>
      </w:tr>
      <w:tr>
        <w:trPr>
          <w:trHeight w:val="196"/>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14,408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39,610</w:t>
            </w:r>
          </w:p>
        </w:tc>
      </w:tr>
      <w:tr>
        <w:trPr>
          <w:trHeight w:val="182"/>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Asia Pacific</w:t>
            </w:r>
          </w:p>
        </w:tc>
        <w:tc>
          <w:tcPr>
            <w:tcW w:w="660" w:type="dxa"/>
            <w:vAlign w:val="bottom"/>
          </w:tcPr>
          <w:p>
            <w:pPr>
              <w:jc w:val="right"/>
              <w:spacing w:after="0"/>
              <w:rPr>
                <w:sz w:val="20"/>
                <w:szCs w:val="20"/>
                <w:color w:val="auto"/>
              </w:rPr>
            </w:pPr>
            <w:r>
              <w:rPr>
                <w:rFonts w:ascii="Arial" w:cs="Arial" w:eastAsia="Arial" w:hAnsi="Arial"/>
                <w:sz w:val="13"/>
                <w:szCs w:val="13"/>
                <w:color w:val="auto"/>
              </w:rPr>
              <w:t>3,826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13,915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22,963</w:t>
            </w:r>
          </w:p>
        </w:tc>
      </w:tr>
      <w:tr>
        <w:trPr>
          <w:trHeight w:val="155"/>
        </w:trPr>
        <w:tc>
          <w:tcPr>
            <w:tcW w:w="1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0"/>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2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1,549</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17,136</w:t>
            </w:r>
          </w:p>
        </w:tc>
      </w:tr>
      <w:tr>
        <w:trPr>
          <w:trHeight w:val="183"/>
        </w:trPr>
        <w:tc>
          <w:tcPr>
            <w:tcW w:w="120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111,099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39,496</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19,816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10,823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25,040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76,901</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23,182</w:t>
            </w:r>
          </w:p>
        </w:tc>
        <w:tc>
          <w:tcPr>
            <w:tcW w:w="10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44,122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36,852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100,827</w:t>
            </w:r>
          </w:p>
        </w:tc>
        <w:tc>
          <w:tcPr>
            <w:tcW w:w="12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488,158</w:t>
            </w:r>
          </w:p>
        </w:tc>
      </w:tr>
      <w:tr>
        <w:trPr>
          <w:trHeight w:val="27"/>
        </w:trPr>
        <w:tc>
          <w:tcPr>
            <w:tcW w:w="10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240030</wp:posOffset>
            </wp:positionV>
            <wp:extent cx="6943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Three months ended September 30, 2020</w:t>
      </w:r>
    </w:p>
    <w:p>
      <w:pPr>
        <w:spacing w:after="0" w:line="30" w:lineRule="exact"/>
        <w:rPr>
          <w:sz w:val="20"/>
          <w:szCs w:val="20"/>
          <w:color w:val="auto"/>
        </w:rPr>
      </w:pPr>
    </w:p>
    <w:tbl>
      <w:tblPr>
        <w:tblLayout w:type="fixed"/>
        <w:tblInd w:w="160" w:type="dxa"/>
        <w:tblCellMar>
          <w:top w:w="0" w:type="dxa"/>
          <w:left w:w="0" w:type="dxa"/>
          <w:bottom w:w="0" w:type="dxa"/>
          <w:right w:w="0" w:type="dxa"/>
        </w:tblCellMar>
      </w:tblPr>
      <w:tr>
        <w:trPr>
          <w:trHeight w:val="191"/>
        </w:trPr>
        <w:tc>
          <w:tcPr>
            <w:tcW w:w="1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Marucci</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Altor</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80,100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19,340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64,012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22,771</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13,933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92,254</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329,872</w:t>
            </w:r>
          </w:p>
        </w:tc>
      </w:tr>
      <w:tr>
        <w:trPr>
          <w:trHeight w:val="189"/>
        </w:trPr>
        <w:tc>
          <w:tcPr>
            <w:tcW w:w="1840" w:type="dxa"/>
            <w:vAlign w:val="bottom"/>
          </w:tcPr>
          <w:p>
            <w:pPr>
              <w:ind w:left="20"/>
              <w:spacing w:after="0"/>
              <w:rPr>
                <w:sz w:val="20"/>
                <w:szCs w:val="20"/>
                <w:color w:val="auto"/>
              </w:rPr>
            </w:pPr>
            <w:r>
              <w:rPr>
                <w:rFonts w:ascii="Arial" w:cs="Arial" w:eastAsia="Arial" w:hAnsi="Arial"/>
                <w:sz w:val="14"/>
                <w:szCs w:val="14"/>
                <w:color w:val="auto"/>
              </w:rPr>
              <w:t>Canada</w:t>
            </w: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10,446</w:t>
            </w: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23,910</w:t>
            </w:r>
          </w:p>
        </w:tc>
      </w:tr>
      <w:tr>
        <w:trPr>
          <w:trHeight w:val="189"/>
        </w:trPr>
        <w:tc>
          <w:tcPr>
            <w:tcW w:w="18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3,550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9,597</w:t>
            </w: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13,892</w:t>
            </w:r>
          </w:p>
        </w:tc>
      </w:tr>
      <w:tr>
        <w:trPr>
          <w:trHeight w:val="183"/>
        </w:trPr>
        <w:tc>
          <w:tcPr>
            <w:tcW w:w="18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98,406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19,478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19,551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70,629</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22,771</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36,526</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22,619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97,737</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387,717</w:t>
            </w:r>
          </w:p>
        </w:tc>
      </w:tr>
      <w:tr>
        <w:trPr>
          <w:trHeight w:val="20"/>
        </w:trPr>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Nine months ended September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5.11</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BOA</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Ergo</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Lugano</w:t>
            </w:r>
          </w:p>
        </w:tc>
        <w:tc>
          <w:tcPr>
            <w:tcW w:w="1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Marucci</w:t>
            </w:r>
          </w:p>
        </w:tc>
        <w:tc>
          <w:tcPr>
            <w:tcW w:w="12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Velocity</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ACI</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Altor</w:t>
            </w:r>
          </w:p>
        </w:tc>
        <w:tc>
          <w:tcPr>
            <w:tcW w:w="8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Arnold</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Sterno</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Total</w:t>
            </w:r>
          </w:p>
        </w:tc>
      </w:tr>
      <w:tr>
        <w:trPr>
          <w:trHeight w:val="188"/>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United States   $</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262,113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10,438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184,452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105,046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1,107,110</w:t>
            </w:r>
          </w:p>
        </w:tc>
      </w:tr>
      <w:tr>
        <w:trPr>
          <w:trHeight w:val="182"/>
        </w:trPr>
        <w:tc>
          <w:tcPr>
            <w:tcW w:w="1180" w:type="dxa"/>
            <w:vAlign w:val="bottom"/>
            <w:gridSpan w:val="2"/>
          </w:tcPr>
          <w:p>
            <w:pPr>
              <w:ind w:left="20"/>
              <w:spacing w:after="0"/>
              <w:rPr>
                <w:sz w:val="20"/>
                <w:szCs w:val="20"/>
                <w:color w:val="auto"/>
              </w:rPr>
            </w:pPr>
            <w:r>
              <w:rPr>
                <w:rFonts w:ascii="Arial" w:cs="Arial" w:eastAsia="Arial" w:hAnsi="Arial"/>
                <w:sz w:val="13"/>
                <w:szCs w:val="13"/>
                <w:color w:val="auto"/>
              </w:rPr>
              <w:t>Canada</w:t>
            </w:r>
          </w:p>
        </w:tc>
        <w:tc>
          <w:tcPr>
            <w:tcW w:w="640" w:type="dxa"/>
            <w:vAlign w:val="bottom"/>
          </w:tcPr>
          <w:p>
            <w:pPr>
              <w:jc w:val="right"/>
              <w:spacing w:after="0"/>
              <w:rPr>
                <w:sz w:val="20"/>
                <w:szCs w:val="20"/>
                <w:color w:val="auto"/>
              </w:rPr>
            </w:pPr>
            <w:r>
              <w:rPr>
                <w:rFonts w:ascii="Arial" w:cs="Arial" w:eastAsia="Arial" w:hAnsi="Arial"/>
                <w:sz w:val="13"/>
                <w:szCs w:val="13"/>
                <w:color w:val="auto"/>
              </w:rPr>
              <w:t>7,840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8,994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30,816</w:t>
            </w:r>
          </w:p>
        </w:tc>
      </w:tr>
      <w:tr>
        <w:trPr>
          <w:trHeight w:val="196"/>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Europe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121,921</w:t>
            </w:r>
          </w:p>
        </w:tc>
      </w:tr>
      <w:tr>
        <w:trPr>
          <w:trHeight w:val="182"/>
        </w:trPr>
        <w:tc>
          <w:tcPr>
            <w:tcW w:w="1180" w:type="dxa"/>
            <w:vAlign w:val="bottom"/>
            <w:gridSpan w:val="2"/>
          </w:tcPr>
          <w:p>
            <w:pPr>
              <w:ind w:left="20"/>
              <w:spacing w:after="0"/>
              <w:rPr>
                <w:sz w:val="20"/>
                <w:szCs w:val="20"/>
                <w:color w:val="auto"/>
              </w:rPr>
            </w:pPr>
            <w:r>
              <w:rPr>
                <w:rFonts w:ascii="Arial" w:cs="Arial" w:eastAsia="Arial" w:hAnsi="Arial"/>
                <w:sz w:val="13"/>
                <w:szCs w:val="13"/>
                <w:color w:val="auto"/>
              </w:rPr>
              <w:t>Asia Pacific</w:t>
            </w:r>
          </w:p>
        </w:tc>
        <w:tc>
          <w:tcPr>
            <w:tcW w:w="640" w:type="dxa"/>
            <w:vAlign w:val="bottom"/>
          </w:tcPr>
          <w:p>
            <w:pPr>
              <w:jc w:val="right"/>
              <w:spacing w:after="0"/>
              <w:rPr>
                <w:sz w:val="20"/>
                <w:szCs w:val="20"/>
                <w:color w:val="auto"/>
              </w:rPr>
            </w:pPr>
            <w:r>
              <w:rPr>
                <w:rFonts w:ascii="Arial" w:cs="Arial" w:eastAsia="Arial" w:hAnsi="Arial"/>
                <w:sz w:val="13"/>
                <w:szCs w:val="13"/>
                <w:color w:val="auto"/>
              </w:rPr>
              <w:t>11,707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34,619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69,386</w:t>
            </w:r>
          </w:p>
        </w:tc>
      </w:tr>
      <w:tr>
        <w:trPr>
          <w:trHeight w:val="155"/>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0"/>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international</w:t>
            </w: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19,064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17,536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43,033</w:t>
            </w:r>
          </w:p>
        </w:tc>
      </w:tr>
      <w:tr>
        <w:trPr>
          <w:trHeight w:val="183"/>
        </w:trPr>
        <w:tc>
          <w:tcPr>
            <w:tcW w:w="1180" w:type="dxa"/>
            <w:vAlign w:val="bottom"/>
            <w:gridSpan w:val="2"/>
          </w:tcPr>
          <w:p>
            <w:pPr>
              <w:ind w:left="10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321,009</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120,033</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69,100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10,823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86,328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205,891</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67,209</w:t>
            </w:r>
          </w:p>
        </w:tc>
        <w:tc>
          <w:tcPr>
            <w:tcW w:w="12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122,582</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101,893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267,398</w:t>
            </w:r>
          </w:p>
        </w:tc>
        <w:tc>
          <w:tcPr>
            <w:tcW w:w="10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1,372,266</w:t>
            </w:r>
          </w:p>
        </w:tc>
      </w:tr>
      <w:tr>
        <w:trPr>
          <w:trHeight w:val="27"/>
        </w:trPr>
        <w:tc>
          <w:tcPr>
            <w:tcW w:w="10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285115</wp:posOffset>
            </wp:positionH>
            <wp:positionV relativeFrom="page">
              <wp:posOffset>654685</wp:posOffset>
            </wp:positionV>
            <wp:extent cx="6978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015" cy="8255"/>
                    </a:xfrm>
                    <a:prstGeom prst="rect">
                      <a:avLst/>
                    </a:prstGeom>
                    <a:noFill/>
                  </pic:spPr>
                </pic:pic>
              </a:graphicData>
            </a:graphic>
          </wp:anchor>
        </w:drawing>
        <w:t>Nine months ended September 30, 2020</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Ergo</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Marucci</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Velocity</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Altor</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Sterno</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83"/>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223,204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24,375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131,791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67,423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75,544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47,789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246,182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836,044</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26,524</w:t>
            </w: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69,370</w:t>
            </w: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15,784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31,116</w:t>
            </w: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42,326</w:t>
            </w:r>
          </w:p>
        </w:tc>
      </w:tr>
      <w:tr>
        <w:trPr>
          <w:trHeight w:val="183"/>
        </w:trPr>
        <w:tc>
          <w:tcPr>
            <w:tcW w:w="20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281,822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59,171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24,807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148,240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67,423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89,338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76,447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258,132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1,005,380</w:t>
            </w:r>
          </w:p>
        </w:tc>
      </w:tr>
      <w:tr>
        <w:trPr>
          <w:trHeight w:val="21"/>
        </w:trPr>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2021, the Company had ten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2"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3"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BOA,</w:t>
      </w:r>
      <w:r>
        <w:rPr>
          <w:rFonts w:ascii="Arial" w:cs="Arial" w:eastAsia="Arial" w:hAnsi="Arial"/>
          <w:sz w:val="18"/>
          <w:szCs w:val="18"/>
          <w:color w:val="auto"/>
        </w:rPr>
        <w:t xml:space="preserve"> creator of the revolutionary, award-winning, patented BOA Fit System, partners with market-leading brands to make the best gear even better. Delivering fit solutions purpose-built for performance, the BOA Fit System is featured in footwear across snow sports, cycling, hiking/trekking, golf, running, court sports, workwear as well as headwear and medical bracing. The system consists of three integral parts: a micro-adjustable dial, high-tensile lightweight laces, and low friction lace guides creating a superior alternative to laces, buckles, Velcro, and other traditional closure mechanisms. Each unique BOA configuration is engineered for fast, effortless, precision fit, and is backed by The BOA Lifetime Guarantee. BOA is headquartered in Denver, Colorado and has offices in Austria, Greater China, South Korea, and Japan.</w:t>
      </w:r>
    </w:p>
    <w:p>
      <w:pPr>
        <w:spacing w:after="0" w:line="152"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49"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Lugano Diamonds</w:t>
      </w:r>
      <w:r>
        <w:rPr>
          <w:rFonts w:ascii="Arial" w:cs="Arial" w:eastAsia="Arial" w:hAnsi="Arial"/>
          <w:sz w:val="18"/>
          <w:szCs w:val="18"/>
          <w:color w:val="auto"/>
        </w:rPr>
        <w:t xml:space="preserve"> is a leading designer, manufacturer and marketer of high-end, one-of-a-kind jewelry sought after by some of the world’s 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49"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Marucci Sports</w:t>
      </w:r>
      <w:r>
        <w:rPr>
          <w:rFonts w:ascii="Arial" w:cs="Arial" w:eastAsia="Arial" w:hAnsi="Arial"/>
          <w:sz w:val="18"/>
          <w:szCs w:val="18"/>
          <w:color w:val="auto"/>
        </w:rPr>
        <w:t xml:space="preserve"> is a leading designer, manufacturer, and marketer of premium wood and metal baseball bats, fielding gloves, batting gloves, bags, protective gear, sunglasses, on and off-field apparel, and other baseball and softball equipment used by professional and amateur athletes. Marucci also develops and licenses franchises for sports training facilities. Marucci is headquartered in Baton Rouge, Louisiana.</w:t>
      </w:r>
    </w:p>
    <w:p>
      <w:pPr>
        <w:spacing w:after="0" w:line="149" w:lineRule="exact"/>
        <w:rPr>
          <w:rFonts w:ascii="Arial" w:cs="Arial" w:eastAsia="Arial" w:hAnsi="Arial"/>
          <w:sz w:val="18"/>
          <w:szCs w:val="18"/>
          <w:color w:val="auto"/>
        </w:rPr>
      </w:pPr>
    </w:p>
    <w:p>
      <w:pPr>
        <w:jc w:val="both"/>
        <w:ind w:left="420" w:hanging="331"/>
        <w:spacing w:after="0" w:line="254" w:lineRule="auto"/>
        <w:tabs>
          <w:tab w:leader="none" w:pos="4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149" w:lineRule="exact"/>
        <w:rPr>
          <w:rFonts w:ascii="Arial" w:cs="Arial" w:eastAsia="Arial" w:hAnsi="Arial"/>
          <w:sz w:val="18"/>
          <w:szCs w:val="18"/>
          <w:color w:val="auto"/>
        </w:rPr>
      </w:pPr>
    </w:p>
    <w:p>
      <w:pPr>
        <w:jc w:val="both"/>
        <w:ind w:left="420" w:hanging="331"/>
        <w:spacing w:after="0" w:line="256" w:lineRule="auto"/>
        <w:tabs>
          <w:tab w:leader="none" w:pos="412" w:val="left"/>
        </w:tabs>
        <w:numPr>
          <w:ilvl w:val="0"/>
          <w:numId w:val="11"/>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jc w:val="both"/>
        <w:ind w:left="420" w:hanging="331"/>
        <w:spacing w:after="0" w:line="252"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Altor Solutions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Altor provides products to a variety of end markets, including appliances and electronics, pharmaceuticals, health and wellness, automotive, building and other products. In July 2020, Altor acquired the assets of Polyfoam, a Massachusetts-based manufacturer of protective and temperature-sensitive packaging solutions for the medical, pharmaceutical, grocery and food industries, among others. Altor is headquartered in Scottsdale, Arizona and operates 14 molding and fabricating facilities across North America subsequent to the acquisition of Polyfoam.</w:t>
      </w:r>
    </w:p>
    <w:p>
      <w:pPr>
        <w:spacing w:after="0" w:line="153" w:lineRule="exact"/>
        <w:rPr>
          <w:rFonts w:ascii="Arial" w:cs="Arial" w:eastAsia="Arial" w:hAnsi="Arial"/>
          <w:sz w:val="18"/>
          <w:szCs w:val="18"/>
          <w:color w:val="auto"/>
        </w:rPr>
      </w:pPr>
    </w:p>
    <w:p>
      <w:pPr>
        <w:jc w:val="both"/>
        <w:ind w:left="420" w:hanging="331"/>
        <w:spacing w:after="0" w:line="252"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general industrial, motorsport/automotive, oil and gas, medical, energy, reprographics and advertising specialties. Arnold produces high performance permanent magnets (PMAG), precision foil products (Precision Thin Metals or "PTM"), turnkey electric motors ("Ramco")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3" w:lineRule="exact"/>
        <w:rPr>
          <w:rFonts w:ascii="Arial" w:cs="Arial" w:eastAsia="Arial" w:hAnsi="Arial"/>
          <w:sz w:val="18"/>
          <w:szCs w:val="18"/>
          <w:color w:val="auto"/>
        </w:rPr>
      </w:pPr>
    </w:p>
    <w:p>
      <w:pPr>
        <w:jc w:val="both"/>
        <w:ind w:left="420" w:hanging="331"/>
        <w:spacing w:after="0" w:line="253" w:lineRule="auto"/>
        <w:tabs>
          <w:tab w:leader="none" w:pos="41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 Sterno is headquartered in Corona, California.</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5400" w:type="dxa"/>
            <w:vAlign w:val="bottom"/>
          </w:tcPr>
          <w:p>
            <w:pPr>
              <w:spacing w:after="0"/>
              <w:rPr>
                <w:sz w:val="20"/>
                <w:szCs w:val="20"/>
                <w:color w:val="auto"/>
              </w:rPr>
            </w:pPr>
            <w:r>
              <w:rPr>
                <w:rFonts w:ascii="Arial" w:cs="Arial" w:eastAsia="Arial" w:hAnsi="Arial"/>
                <w:sz w:val="15"/>
                <w:szCs w:val="15"/>
                <w:b w:val="1"/>
                <w:bCs w:val="1"/>
                <w:color w:val="auto"/>
              </w:rPr>
              <w:t>Net Revenues</w:t>
            </w:r>
          </w:p>
        </w:tc>
        <w:tc>
          <w:tcPr>
            <w:tcW w:w="140" w:type="dxa"/>
            <w:vAlign w:val="bottom"/>
          </w:tcPr>
          <w:p>
            <w:pPr>
              <w:spacing w:after="0"/>
              <w:rPr>
                <w:sz w:val="17"/>
                <w:szCs w:val="17"/>
                <w:color w:val="auto"/>
              </w:rPr>
            </w:pPr>
          </w:p>
        </w:tc>
        <w:tc>
          <w:tcPr>
            <w:tcW w:w="29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00" w:type="dxa"/>
            <w:vAlign w:val="bottom"/>
          </w:tcPr>
          <w:p>
            <w:pPr>
              <w:spacing w:after="0"/>
              <w:rPr>
                <w:sz w:val="17"/>
                <w:szCs w:val="17"/>
                <w:color w:val="auto"/>
              </w:rPr>
            </w:pPr>
          </w:p>
        </w:tc>
        <w:tc>
          <w:tcPr>
            <w:tcW w:w="2620" w:type="dxa"/>
            <w:vAlign w:val="bottom"/>
            <w:gridSpan w:val="4"/>
          </w:tcPr>
          <w:p>
            <w:pPr>
              <w:jc w:val="right"/>
              <w:ind w:right="39"/>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540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2020</w:t>
            </w:r>
          </w:p>
        </w:tc>
      </w:tr>
      <w:tr>
        <w:trPr>
          <w:trHeight w:val="34"/>
        </w:trPr>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281,822</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BOA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120,033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59,171</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Lugano</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24,807</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Velocity Outdoor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76,901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205,891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148,240</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67,423</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Altor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122,582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89,338</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76,447</w:t>
            </w:r>
          </w:p>
        </w:tc>
      </w:tr>
      <w:tr>
        <w:trPr>
          <w:trHeight w:val="213"/>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267,398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258,132</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segment revenue</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1,005,380</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Corporate and other</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54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consolidated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1,372,266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1,005,380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3" w:name="page24"/>
    <w:bookmarkEnd w:id="23"/>
    <w:tbl>
      <w:tblPr>
        <w:tblLayout w:type="fixed"/>
        <w:tblInd w:w="32" w:type="dxa"/>
        <w:tblCellMar>
          <w:top w:w="0" w:type="dxa"/>
          <w:left w:w="0" w:type="dxa"/>
          <w:bottom w:w="0" w:type="dxa"/>
          <w:right w:w="0" w:type="dxa"/>
        </w:tblCellMar>
      </w:tblPr>
      <w:tr>
        <w:trPr>
          <w:trHeight w:val="218"/>
        </w:trPr>
        <w:tc>
          <w:tcPr>
            <w:tcW w:w="5420" w:type="dxa"/>
            <w:vAlign w:val="bottom"/>
          </w:tcPr>
          <w:p>
            <w:pPr>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9"/>
                <w:szCs w:val="19"/>
                <w:b w:val="1"/>
                <w:bCs w:val="1"/>
                <w:color w:val="auto"/>
                <w:vertAlign w:val="superscript"/>
              </w:rPr>
              <w:t>(1)</w:t>
            </w:r>
          </w:p>
        </w:tc>
        <w:tc>
          <w:tcPr>
            <w:tcW w:w="140" w:type="dxa"/>
            <w:vAlign w:val="bottom"/>
          </w:tcPr>
          <w:p>
            <w:pPr>
              <w:spacing w:after="0"/>
              <w:rPr>
                <w:sz w:val="18"/>
                <w:szCs w:val="18"/>
                <w:color w:val="auto"/>
              </w:rPr>
            </w:pPr>
          </w:p>
        </w:tc>
        <w:tc>
          <w:tcPr>
            <w:tcW w:w="29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2700" w:type="dxa"/>
            <w:vAlign w:val="bottom"/>
            <w:gridSpan w:val="5"/>
          </w:tcPr>
          <w:p>
            <w:pPr>
              <w:jc w:val="right"/>
              <w:ind w:right="19"/>
              <w:spacing w:after="0"/>
              <w:rPr>
                <w:sz w:val="20"/>
                <w:szCs w:val="20"/>
                <w:color w:val="auto"/>
              </w:rPr>
            </w:pPr>
            <w:r>
              <w:rPr>
                <w:rFonts w:ascii="Arial" w:cs="Arial" w:eastAsia="Arial" w:hAnsi="Arial"/>
                <w:sz w:val="15"/>
                <w:szCs w:val="15"/>
                <w:b w:val="1"/>
                <w:bCs w:val="1"/>
                <w:color w:val="auto"/>
              </w:rPr>
              <w:t>Nine months ended September 30,</w:t>
            </w:r>
          </w:p>
        </w:tc>
      </w:tr>
      <w:tr>
        <w:trPr>
          <w:trHeight w:val="196"/>
        </w:trPr>
        <w:tc>
          <w:tcPr>
            <w:tcW w:w="542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5"/>
                <w:szCs w:val="15"/>
                <w:b w:val="1"/>
                <w:bCs w:val="1"/>
                <w:color w:val="auto"/>
              </w:rPr>
              <w:t>2020</w:t>
            </w:r>
          </w:p>
        </w:tc>
      </w:tr>
      <w:tr>
        <w:trPr>
          <w:trHeight w:val="34"/>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17,969</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BOA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Lugano</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(6,478)</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Velocity Outdoor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13,896</w:t>
            </w:r>
          </w:p>
        </w:tc>
      </w:tr>
      <w:tr>
        <w:trPr>
          <w:trHeight w:val="21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18,272</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Altor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11,118</w:t>
            </w:r>
          </w:p>
        </w:tc>
      </w:tr>
      <w:tr>
        <w:trPr>
          <w:trHeight w:val="219"/>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r>
      <w:tr>
        <w:trPr>
          <w:trHeight w:val="213"/>
        </w:trPr>
        <w:tc>
          <w:tcPr>
            <w:tcW w:w="5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16,906</w:t>
            </w:r>
          </w:p>
        </w:tc>
      </w:tr>
      <w:tr>
        <w:trPr>
          <w:trHeight w:val="212"/>
        </w:trPr>
        <w:tc>
          <w:tcPr>
            <w:tcW w:w="5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80,227</w:t>
            </w:r>
          </w:p>
        </w:tc>
      </w:tr>
      <w:tr>
        <w:trPr>
          <w:trHeight w:val="162"/>
        </w:trPr>
        <w:tc>
          <w:tcPr>
            <w:tcW w:w="5420" w:type="dxa"/>
            <w:vAlign w:val="bottom"/>
          </w:tcPr>
          <w:p>
            <w:pPr>
              <w:spacing w:after="0" w:line="162" w:lineRule="exact"/>
              <w:rPr>
                <w:sz w:val="20"/>
                <w:szCs w:val="20"/>
                <w:color w:val="auto"/>
              </w:rPr>
            </w:pPr>
            <w:r>
              <w:rPr>
                <w:rFonts w:ascii="Arial" w:cs="Arial" w:eastAsia="Arial" w:hAnsi="Arial"/>
                <w:sz w:val="16"/>
                <w:szCs w:val="16"/>
                <w:b w:val="1"/>
                <w:bCs w:val="1"/>
                <w:color w:val="auto"/>
              </w:rPr>
              <w:t>Reconciliation of segment profit (loss) to consolidated net income</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6"/>
                <w:szCs w:val="16"/>
                <w:b w:val="1"/>
                <w:bCs w:val="1"/>
                <w:color w:val="auto"/>
              </w:rPr>
              <w:t>before income taxes: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(32,122)</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(2,178)</w:t>
            </w:r>
          </w:p>
        </w:tc>
      </w:tr>
      <w:tr>
        <w:trPr>
          <w:trHeight w:val="219"/>
        </w:trPr>
        <w:tc>
          <w:tcPr>
            <w:tcW w:w="5420" w:type="dxa"/>
            <w:vAlign w:val="bottom"/>
            <w:shd w:val="clear" w:color="auto" w:fill="CCEEFF"/>
          </w:tcPr>
          <w:p>
            <w:pPr>
              <w:spacing w:after="0" w:line="21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(31,420)</w:t>
            </w:r>
          </w:p>
        </w:tc>
      </w:tr>
      <w:tr>
        <w:trPr>
          <w:trHeight w:val="207"/>
        </w:trPr>
        <w:tc>
          <w:tcPr>
            <w:tcW w:w="5420" w:type="dxa"/>
            <w:vAlign w:val="bottom"/>
          </w:tcPr>
          <w:p>
            <w:pPr>
              <w:ind w:left="340"/>
              <w:spacing w:after="0"/>
              <w:rPr>
                <w:sz w:val="20"/>
                <w:szCs w:val="20"/>
                <w:color w:val="auto"/>
              </w:rPr>
            </w:pPr>
            <w:r>
              <w:rPr>
                <w:rFonts w:ascii="Arial" w:cs="Arial" w:eastAsia="Arial" w:hAnsi="Arial"/>
                <w:sz w:val="16"/>
                <w:szCs w:val="16"/>
                <w:color w:val="auto"/>
              </w:rPr>
              <w:t>Total consolidated income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14,507</w:t>
            </w:r>
          </w:p>
        </w:tc>
      </w:tr>
      <w:tr>
        <w:trPr>
          <w:trHeight w:val="23"/>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left="312" w:hanging="312"/>
        <w:spacing w:after="0"/>
        <w:tabs>
          <w:tab w:leader="none" w:pos="312" w:val="left"/>
        </w:tabs>
        <w:numPr>
          <w:ilvl w:val="0"/>
          <w:numId w:val="13"/>
        </w:numPr>
        <w:rPr>
          <w:rFonts w:ascii="Arial" w:cs="Arial" w:eastAsia="Arial" w:hAnsi="Arial"/>
          <w:sz w:val="21"/>
          <w:szCs w:val="21"/>
          <w:b w:val="1"/>
          <w:bCs w:val="1"/>
          <w:color w:val="auto"/>
          <w:vertAlign w:val="superscript"/>
        </w:rPr>
      </w:pPr>
      <w:r>
        <w:rPr>
          <w:rFonts w:ascii="Arial" w:cs="Arial" w:eastAsia="Arial" w:hAnsi="Arial"/>
          <w:sz w:val="16"/>
          <w:szCs w:val="16"/>
          <w:color w:val="auto"/>
        </w:rPr>
        <w:t>Segment profit (loss) represents operating income (loss).</w:t>
      </w:r>
    </w:p>
    <w:p>
      <w:pPr>
        <w:spacing w:after="0" w:line="102" w:lineRule="exact"/>
        <w:rPr>
          <w:rFonts w:ascii="Arial" w:cs="Arial" w:eastAsia="Arial" w:hAnsi="Arial"/>
          <w:sz w:val="21"/>
          <w:szCs w:val="21"/>
          <w:b w:val="1"/>
          <w:bCs w:val="1"/>
          <w:color w:val="auto"/>
          <w:vertAlign w:val="superscript"/>
        </w:rPr>
      </w:pPr>
    </w:p>
    <w:p>
      <w:pPr>
        <w:ind w:left="332" w:right="380" w:hanging="332"/>
        <w:spacing w:after="0" w:line="216" w:lineRule="auto"/>
        <w:tabs>
          <w:tab w:leader="none" w:pos="325" w:val="left"/>
        </w:tabs>
        <w:numPr>
          <w:ilvl w:val="0"/>
          <w:numId w:val="13"/>
        </w:numPr>
        <w:rPr>
          <w:rFonts w:ascii="Arial" w:cs="Arial" w:eastAsia="Arial" w:hAnsi="Arial"/>
          <w:sz w:val="21"/>
          <w:szCs w:val="21"/>
          <w:b w:val="1"/>
          <w:bCs w:val="1"/>
          <w:color w:val="auto"/>
          <w:vertAlign w:val="superscript"/>
        </w:rPr>
      </w:pPr>
      <w:r>
        <w:rPr>
          <w:rFonts w:ascii="Arial" w:cs="Arial" w:eastAsia="Arial" w:hAnsi="Arial"/>
          <w:sz w:val="16"/>
          <w:szCs w:val="16"/>
          <w:color w:val="auto"/>
        </w:rPr>
        <w:t>Primarily relates to management fees expensed and payable to CGM, the loss on debt extinguishment recognized in 2021 and corporate overhead expenses.</w:t>
      </w:r>
    </w:p>
    <w:p>
      <w:pPr>
        <w:spacing w:after="0" w:line="269" w:lineRule="exact"/>
        <w:rPr>
          <w:sz w:val="20"/>
          <w:szCs w:val="20"/>
          <w:color w:val="auto"/>
        </w:rPr>
      </w:pPr>
    </w:p>
    <w:tbl>
      <w:tblPr>
        <w:tblLayout w:type="fixed"/>
        <w:tblInd w:w="112"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Arial" w:cs="Arial" w:eastAsia="Arial" w:hAnsi="Arial"/>
                <w:sz w:val="15"/>
                <w:szCs w:val="15"/>
                <w:b w:val="1"/>
                <w:bCs w:val="1"/>
                <w:color w:val="auto"/>
              </w:rPr>
              <w:t>Depreciation and Amortization Expense</w:t>
            </w:r>
          </w:p>
        </w:tc>
        <w:tc>
          <w:tcPr>
            <w:tcW w:w="140" w:type="dxa"/>
            <w:vAlign w:val="bottom"/>
          </w:tcPr>
          <w:p>
            <w:pPr>
              <w:spacing w:after="0"/>
              <w:rPr>
                <w:sz w:val="17"/>
                <w:szCs w:val="17"/>
                <w:color w:val="auto"/>
              </w:rPr>
            </w:pPr>
          </w:p>
        </w:tc>
        <w:tc>
          <w:tcPr>
            <w:tcW w:w="2900" w:type="dxa"/>
            <w:vAlign w:val="bottom"/>
            <w:gridSpan w:val="5"/>
          </w:tcPr>
          <w:p>
            <w:pPr>
              <w:ind w:left="20"/>
              <w:spacing w:after="0"/>
              <w:rPr>
                <w:sz w:val="20"/>
                <w:szCs w:val="20"/>
                <w:color w:val="auto"/>
              </w:rPr>
            </w:pPr>
            <w:r>
              <w:rPr>
                <w:rFonts w:ascii="Arial" w:cs="Arial" w:eastAsia="Arial" w:hAnsi="Arial"/>
                <w:sz w:val="15"/>
                <w:szCs w:val="15"/>
                <w:b w:val="1"/>
                <w:bCs w:val="1"/>
                <w:color w:val="auto"/>
              </w:rPr>
              <w:t>Three months ended September 30,</w:t>
            </w:r>
          </w:p>
        </w:tc>
        <w:tc>
          <w:tcPr>
            <w:tcW w:w="100" w:type="dxa"/>
            <w:vAlign w:val="bottom"/>
          </w:tcPr>
          <w:p>
            <w:pPr>
              <w:spacing w:after="0"/>
              <w:rPr>
                <w:sz w:val="17"/>
                <w:szCs w:val="17"/>
                <w:color w:val="auto"/>
              </w:rPr>
            </w:pPr>
          </w:p>
        </w:tc>
        <w:tc>
          <w:tcPr>
            <w:tcW w:w="2640" w:type="dxa"/>
            <w:vAlign w:val="bottom"/>
            <w:gridSpan w:val="4"/>
          </w:tcPr>
          <w:p>
            <w:pPr>
              <w:jc w:val="right"/>
              <w:ind w:right="39"/>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5240" w:type="dxa"/>
            <w:vAlign w:val="bottom"/>
            <w:tcBorders>
              <w:top w:val="single" w:sz="8" w:color="auto"/>
            </w:tcBorders>
          </w:tcPr>
          <w:p>
            <w:pPr>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2020</w:t>
            </w:r>
          </w:p>
        </w:tc>
      </w:tr>
      <w:tr>
        <w:trPr>
          <w:trHeight w:val="34"/>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5.11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15,734</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BOA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Lugano</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7,968</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Velocity Outdoor</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9,480</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r>
      <w:tr>
        <w:trPr>
          <w:trHeight w:val="213"/>
        </w:trPr>
        <w:tc>
          <w:tcPr>
            <w:tcW w:w="5240" w:type="dxa"/>
            <w:vAlign w:val="bottom"/>
          </w:tcPr>
          <w:p>
            <w:pPr>
              <w:spacing w:after="0"/>
              <w:rPr>
                <w:sz w:val="20"/>
                <w:szCs w:val="20"/>
                <w:color w:val="auto"/>
              </w:rPr>
            </w:pPr>
            <w:r>
              <w:rPr>
                <w:rFonts w:ascii="Arial" w:cs="Arial" w:eastAsia="Arial" w:hAnsi="Arial"/>
                <w:sz w:val="16"/>
                <w:szCs w:val="16"/>
                <w:color w:val="auto"/>
              </w:rPr>
              <w:t>Altor</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9,286</w:t>
            </w:r>
          </w:p>
        </w:tc>
      </w:tr>
      <w:tr>
        <w:trPr>
          <w:trHeight w:val="21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w:t>
            </w:r>
          </w:p>
        </w:tc>
      </w:tr>
      <w:tr>
        <w:trPr>
          <w:trHeight w:val="213"/>
        </w:trPr>
        <w:tc>
          <w:tcPr>
            <w:tcW w:w="5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16,912</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72,345</w:t>
            </w:r>
          </w:p>
        </w:tc>
      </w:tr>
      <w:tr>
        <w:trPr>
          <w:trHeight w:val="215"/>
        </w:trPr>
        <w:tc>
          <w:tcPr>
            <w:tcW w:w="5240" w:type="dxa"/>
            <w:vAlign w:val="bottom"/>
          </w:tcPr>
          <w:p>
            <w:pPr>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issuance costs and bond premium</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13"/>
        </w:trPr>
        <w:tc>
          <w:tcPr>
            <w:tcW w:w="5240" w:type="dxa"/>
            <w:vAlign w:val="bottom"/>
          </w:tcPr>
          <w:p>
            <w:pPr>
              <w:ind w:left="200"/>
              <w:spacing w:after="0"/>
              <w:rPr>
                <w:sz w:val="20"/>
                <w:szCs w:val="20"/>
                <w:color w:val="auto"/>
              </w:rPr>
            </w:pPr>
            <w:r>
              <w:rPr>
                <w:rFonts w:ascii="Arial" w:cs="Arial" w:eastAsia="Arial" w:hAnsi="Arial"/>
                <w:sz w:val="16"/>
                <w:szCs w:val="16"/>
                <w:color w:val="auto"/>
              </w:rPr>
              <w:t>Consolidated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74,001</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15"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gridSpan w:val="5"/>
          </w:tcPr>
          <w:p>
            <w:pPr>
              <w:ind w:left="600"/>
              <w:spacing w:after="0"/>
              <w:rPr>
                <w:sz w:val="20"/>
                <w:szCs w:val="20"/>
                <w:color w:val="auto"/>
              </w:rPr>
            </w:pPr>
            <w:r>
              <w:rPr>
                <w:rFonts w:ascii="Arial" w:cs="Arial" w:eastAsia="Arial" w:hAnsi="Arial"/>
                <w:sz w:val="15"/>
                <w:szCs w:val="15"/>
                <w:b w:val="1"/>
                <w:bCs w:val="1"/>
                <w:color w:val="auto"/>
              </w:rPr>
              <w:t>Accounts Receivable</w:t>
            </w:r>
          </w:p>
        </w:tc>
        <w:tc>
          <w:tcPr>
            <w:tcW w:w="160" w:type="dxa"/>
            <w:vAlign w:val="bottom"/>
          </w:tcPr>
          <w:p>
            <w:pPr>
              <w:spacing w:after="0"/>
              <w:rPr>
                <w:sz w:val="17"/>
                <w:szCs w:val="17"/>
                <w:color w:val="auto"/>
              </w:rPr>
            </w:pPr>
          </w:p>
        </w:tc>
        <w:tc>
          <w:tcPr>
            <w:tcW w:w="2920" w:type="dxa"/>
            <w:vAlign w:val="bottom"/>
            <w:gridSpan w:val="4"/>
          </w:tcPr>
          <w:p>
            <w:pPr>
              <w:jc w:val="right"/>
              <w:ind w:right="780"/>
              <w:spacing w:after="0"/>
              <w:rPr>
                <w:sz w:val="20"/>
                <w:szCs w:val="20"/>
                <w:color w:val="auto"/>
              </w:rPr>
            </w:pPr>
            <w:r>
              <w:rPr>
                <w:rFonts w:ascii="Arial" w:cs="Arial" w:eastAsia="Arial" w:hAnsi="Arial"/>
                <w:sz w:val="15"/>
                <w:szCs w:val="15"/>
                <w:b w:val="1"/>
                <w:bCs w:val="1"/>
                <w:color w:val="auto"/>
              </w:rPr>
              <w:t>Identifiable Assets</w:t>
            </w:r>
          </w:p>
        </w:tc>
      </w:tr>
      <w:tr>
        <w:trPr>
          <w:trHeight w:val="192"/>
        </w:trPr>
        <w:tc>
          <w:tcPr>
            <w:tcW w:w="48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September 30,</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December 31,</w:t>
            </w:r>
          </w:p>
        </w:tc>
      </w:tr>
      <w:tr>
        <w:trPr>
          <w:trHeight w:val="21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2021 </w:t>
            </w:r>
            <w:r>
              <w:rPr>
                <w:rFonts w:ascii="Arial" w:cs="Arial" w:eastAsia="Arial" w:hAnsi="Arial"/>
                <w:sz w:val="19"/>
                <w:szCs w:val="19"/>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20"/>
              <w:spacing w:after="0" w:line="211" w:lineRule="exact"/>
              <w:rPr>
                <w:sz w:val="20"/>
                <w:szCs w:val="20"/>
                <w:color w:val="auto"/>
              </w:rPr>
            </w:pPr>
            <w:r>
              <w:rPr>
                <w:rFonts w:ascii="Arial" w:cs="Arial" w:eastAsia="Arial" w:hAnsi="Arial"/>
                <w:sz w:val="15"/>
                <w:szCs w:val="15"/>
                <w:b w:val="1"/>
                <w:bCs w:val="1"/>
                <w:color w:val="auto"/>
              </w:rPr>
              <w:t xml:space="preserve">2020 </w:t>
            </w:r>
            <w:r>
              <w:rPr>
                <w:rFonts w:ascii="Arial" w:cs="Arial" w:eastAsia="Arial" w:hAnsi="Arial"/>
                <w:sz w:val="19"/>
                <w:szCs w:val="19"/>
                <w:b w:val="1"/>
                <w:bCs w:val="1"/>
                <w:color w:val="auto"/>
                <w:vertAlign w:val="superscript"/>
              </w:rPr>
              <w:t>(1)</w:t>
            </w:r>
          </w:p>
        </w:tc>
      </w:tr>
      <w:tr>
        <w:trPr>
          <w:trHeight w:val="20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354,033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BOA</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262,747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269,438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Lugano</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129,116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41,892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191,180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28,932</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Altor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158,885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164,800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75,958</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Sterno</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251,307</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doubtful accounts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258,941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213,695</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1,655,877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1,556,057</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Corporate and other identifiable assets</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8,213</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discontinued operations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87,378</w:t>
            </w:r>
          </w:p>
        </w:tc>
      </w:tr>
      <w:tr>
        <w:trPr>
          <w:trHeight w:val="209"/>
        </w:trPr>
        <w:tc>
          <w:tcPr>
            <w:tcW w:w="4800" w:type="dxa"/>
            <w:vAlign w:val="bottom"/>
          </w:tcPr>
          <w:p>
            <w:pPr>
              <w:ind w:left="220"/>
              <w:spacing w:after="0"/>
              <w:rPr>
                <w:sz w:val="20"/>
                <w:szCs w:val="20"/>
                <w:color w:val="auto"/>
              </w:rPr>
            </w:pPr>
            <w:r>
              <w:rPr>
                <w:rFonts w:ascii="Arial" w:cs="Arial" w:eastAsia="Arial" w:hAnsi="Arial"/>
                <w:sz w:val="16"/>
                <w:szCs w:val="16"/>
                <w:color w:val="auto"/>
              </w:rPr>
              <w:t>Consolidated 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258,941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213,695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1,669,149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1,651,648</w:t>
            </w:r>
          </w:p>
        </w:tc>
      </w:tr>
      <w:tr>
        <w:trPr>
          <w:trHeight w:val="23"/>
        </w:trPr>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6">
        <w:r>
          <w:rPr>
            <w:rFonts w:ascii="Arial" w:cs="Arial" w:eastAsia="Arial" w:hAnsi="Arial"/>
            <w:sz w:val="16"/>
            <w:szCs w:val="16"/>
            <w:u w:val="single" w:color="auto"/>
            <w:color w:val="0000FF"/>
          </w:rPr>
          <w:t>Note G - "Goodwill and Other Intangible Assets"</w:t>
        </w:r>
      </w:hyperlink>
      <w:r>
        <w:rPr>
          <w:rFonts w:ascii="Arial" w:cs="Arial" w:eastAsia="Arial" w:hAnsi="Arial"/>
          <w:sz w:val="16"/>
          <w:szCs w:val="16"/>
          <w:color w:val="auto"/>
        </w:rPr>
        <w: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Property, plant and equipment is comprised of the following at September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03"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212,815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196,292</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53,211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47,092</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49,287</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10,817</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15,713</w:t>
            </w:r>
          </w:p>
        </w:tc>
      </w:tr>
      <w:tr>
        <w:trPr>
          <w:trHeight w:val="209"/>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352,501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319,201</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(156,083)</w:t>
            </w:r>
          </w:p>
        </w:tc>
      </w:tr>
      <w:tr>
        <w:trPr>
          <w:trHeight w:val="207"/>
        </w:trPr>
        <w:tc>
          <w:tcPr>
            <w:tcW w:w="4740" w:type="dxa"/>
            <w:vAlign w:val="bottom"/>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169,507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163,118</w:t>
            </w:r>
          </w:p>
        </w:tc>
      </w:tr>
      <w:tr>
        <w:trPr>
          <w:trHeight w:val="23"/>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Depreciation expense was $10.4 million and $28.9 million for the three and nine months ended September 30, 2021, respectively and $8.4 million and $24.5 million for the three and nine months ended September 30, 2020, respectively.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September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76,831</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14,978</w:t>
            </w: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283,380</w:t>
            </w:r>
          </w:p>
        </w:tc>
      </w:tr>
      <w:tr>
        <w:trPr>
          <w:trHeight w:val="21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(21,222)</w:t>
            </w:r>
          </w:p>
        </w:tc>
      </w:tr>
      <w:tr>
        <w:trPr>
          <w:trHeight w:val="235"/>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486,596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353,967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Arnold reporting unit required additional quantitative testing because we could not conclude that the fair value of the reporting unit exceeded its carrying value based on qualitative factors alone. For the reporting units that were tested only on a qualitative basis for the 2021 annual impairment testing, the results of the qualitative analysis indicated that it is more likely than not that the fair value exceeded the carrying value of these reporting units.</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quantitative test of Arnold was performed using an income approach to determine the fair value of the reporting unit. The discount rate used in the income approach was 13.0% and the results of the quantitative impairment testing indicated that the fair value of the Arnold reporting unit exceeded the carrying value by 272%.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Impairment Testing</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used a qualitative approach to test goodwill for impairment in the prior year. We determined that the Ergobaby, Altor Solutions and Velocity reporting units required additional quantitative testing because we could not conclude that the fair value of the reporting unit exceeded its carrying value based on qualitative factors alone. For the reporting units that were tested only on a qualitative basis for the 2020 annual impairment testing, the results of the qualitative analysis indicated that it is more likely than not that the fair value exceeded the carrying value of these reporting units.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quantitative tests of Ergobaby, Altor Solutions and Velocity were performed using an income approach to determine the fair value of the reporting units. For Ergobaby, the discount rate used in the income approach was 15.9% and the results of the quantitative impairment testing indicated that the fair value of the Ergobaby reporting unit exceeded the carrying value by 14.0%. For Altor Solutions, the discount rate used in the income approach was 13.3%, and the results of the quantitative impairment testing indicated that the fair value of the Altor Solutions reporting unit exceeded the carrying value by 3.8%. For Velocity, the discount rate used in the income approach was 12.8%, and the results of the quantitative impairment testing indicated that the fair value of the Velocity reporting unit exceeded the carrying value by 16.4%.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A summary of the net carrying value of goodwill at September 30, 2021 and December 31, 2020,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Pr>
          <w:p>
            <w:pPr>
              <w:spacing w:after="0"/>
              <w:rPr>
                <w:sz w:val="14"/>
                <w:szCs w:val="14"/>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2"/>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ind w:left="140"/>
              <w:spacing w:after="0"/>
              <w:rPr>
                <w:sz w:val="20"/>
                <w:szCs w:val="20"/>
                <w:color w:val="auto"/>
              </w:rPr>
            </w:pPr>
            <w:r>
              <w:rPr>
                <w:rFonts w:ascii="Arial" w:cs="Arial" w:eastAsia="Arial" w:hAnsi="Arial"/>
                <w:sz w:val="15"/>
                <w:szCs w:val="15"/>
                <w:b w:val="1"/>
                <w:bCs w:val="1"/>
                <w:color w:val="auto"/>
              </w:rPr>
              <w:t>September 30, 2021</w:t>
            </w:r>
          </w:p>
        </w:tc>
        <w:tc>
          <w:tcPr>
            <w:tcW w:w="260" w:type="dxa"/>
            <w:vAlign w:val="bottom"/>
          </w:tcPr>
          <w:p>
            <w:pPr>
              <w:spacing w:after="0"/>
              <w:rPr>
                <w:sz w:val="17"/>
                <w:szCs w:val="17"/>
                <w:color w:val="auto"/>
              </w:rPr>
            </w:pPr>
          </w:p>
        </w:tc>
        <w:tc>
          <w:tcPr>
            <w:tcW w:w="1940" w:type="dxa"/>
            <w:vAlign w:val="bottom"/>
          </w:tcPr>
          <w:p>
            <w:pPr>
              <w:jc w:val="right"/>
              <w:ind w:right="321"/>
              <w:spacing w:after="0"/>
              <w:rPr>
                <w:sz w:val="20"/>
                <w:szCs w:val="20"/>
                <w:color w:val="auto"/>
              </w:rPr>
            </w:pPr>
            <w:r>
              <w:rPr>
                <w:rFonts w:ascii="Arial" w:cs="Arial" w:eastAsia="Arial" w:hAnsi="Arial"/>
                <w:sz w:val="15"/>
                <w:szCs w:val="15"/>
                <w:b w:val="1"/>
                <w:bCs w:val="1"/>
                <w:color w:val="auto"/>
              </w:rPr>
              <w:t>December 31, 2020</w:t>
            </w: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969,948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790,920</w:t>
            </w:r>
          </w:p>
        </w:tc>
      </w:tr>
      <w:tr>
        <w:trPr>
          <w:trHeight w:val="213"/>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r>
      <w:tr>
        <w:trPr>
          <w:trHeight w:val="23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912,203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733,175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nine months ended September 30, 2021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 at January 1,</w:t>
            </w:r>
          </w:p>
        </w:tc>
        <w:tc>
          <w:tcPr>
            <w:tcW w:w="240" w:type="dxa"/>
            <w:vAlign w:val="bottom"/>
          </w:tcPr>
          <w:p>
            <w:pPr>
              <w:spacing w:after="0"/>
              <w:rPr>
                <w:sz w:val="14"/>
                <w:szCs w:val="14"/>
                <w:color w:val="auto"/>
              </w:rPr>
            </w:pPr>
          </w:p>
        </w:tc>
        <w:tc>
          <w:tcPr>
            <w:tcW w:w="13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right"/>
              <w:ind w:right="40"/>
              <w:spacing w:after="0"/>
              <w:rPr>
                <w:sz w:val="20"/>
                <w:szCs w:val="20"/>
                <w:color w:val="auto"/>
              </w:rPr>
            </w:pPr>
            <w:r>
              <w:rPr>
                <w:rFonts w:ascii="Arial" w:cs="Arial" w:eastAsia="Arial" w:hAnsi="Arial"/>
                <w:sz w:val="14"/>
                <w:szCs w:val="14"/>
                <w:b w:val="1"/>
                <w:bCs w:val="1"/>
                <w:color w:val="auto"/>
              </w:rPr>
              <w:t>Balance at September 30,</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color w:val="auto"/>
              </w:rPr>
              <w:t>5.11</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92,966</w:t>
            </w:r>
          </w:p>
        </w:tc>
        <w:tc>
          <w:tcPr>
            <w:tcW w:w="1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92,966</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BOA</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254,153</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63,531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61,448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158,780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Marucci</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68,170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68,170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30,079</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ACI</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58,019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58,019</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75,369</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Arnold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26,903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49,234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35"/>
        </w:trPr>
        <w:tc>
          <w:tcPr>
            <w:tcW w:w="3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733,175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912,203</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340" w:hanging="332"/>
        <w:spacing w:after="0" w:line="190" w:lineRule="auto"/>
        <w:tabs>
          <w:tab w:leader="none" w:pos="375" w:val="left"/>
        </w:tabs>
        <w:numPr>
          <w:ilvl w:val="0"/>
          <w:numId w:val="15"/>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2021 and 2020. Results of the qualitative analysis indicate that it is more likely than not that the fair value of the reporting units that maintain indefinite lived intangible assets exceeded the carrying value. The Ergobaby reporting unit has an indefinite lived trade name that was tested in conjunction with the goodwill impairment test at March 31, 2020. The results of the quantitative impairment testing indicated that the trade name was not impaired.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Other intangible assets are comprised of the following at September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28"/>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right"/>
              <w:ind w:right="87"/>
              <w:spacing w:after="0" w:line="129" w:lineRule="exact"/>
              <w:rPr>
                <w:sz w:val="20"/>
                <w:szCs w:val="20"/>
                <w:color w:val="auto"/>
              </w:rPr>
            </w:pPr>
            <w:r>
              <w:rPr>
                <w:rFonts w:ascii="Arial" w:cs="Arial" w:eastAsia="Arial" w:hAnsi="Arial"/>
                <w:sz w:val="14"/>
                <w:szCs w:val="14"/>
                <w:b w:val="1"/>
                <w:bCs w:val="1"/>
                <w:color w:val="auto"/>
              </w:rPr>
              <w:t>Gross Carrying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08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Net 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147"/>
              <w:spacing w:after="0" w:line="129"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tcPr>
          <w:p>
            <w:pPr>
              <w:jc w:val="right"/>
              <w:ind w:right="127"/>
              <w:spacing w:after="0" w:line="129" w:lineRule="exact"/>
              <w:rPr>
                <w:sz w:val="20"/>
                <w:szCs w:val="20"/>
                <w:color w:val="auto"/>
              </w:rPr>
            </w:pPr>
            <w:r>
              <w:rPr>
                <w:rFonts w:ascii="Arial" w:cs="Arial" w:eastAsia="Arial" w:hAnsi="Arial"/>
                <w:sz w:val="14"/>
                <w:szCs w:val="14"/>
                <w:b w:val="1"/>
                <w:bCs w:val="1"/>
                <w:color w:val="auto"/>
              </w:rPr>
              <w:t>Net Carrying</w:t>
            </w:r>
          </w:p>
        </w:tc>
      </w:tr>
      <w:tr>
        <w:trPr>
          <w:trHeight w:val="187"/>
        </w:trPr>
        <w:tc>
          <w:tcPr>
            <w:tcW w:w="2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r>
      <w:tr>
        <w:trPr>
          <w:trHeight w:val="19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534,536</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(206,621)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534,536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357,120</w:t>
            </w:r>
          </w:p>
        </w:tc>
      </w:tr>
      <w:tr>
        <w:trPr>
          <w:trHeight w:val="198"/>
        </w:trPr>
        <w:tc>
          <w:tcPr>
            <w:tcW w:w="2660" w:type="dxa"/>
            <w:vAlign w:val="bottom"/>
          </w:tcPr>
          <w:p>
            <w:pPr>
              <w:ind w:left="2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155,821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(37,424)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118,397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148,397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(28,557)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119,840</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358,775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275,676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358,758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(65,258)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293,500</w:t>
            </w:r>
          </w:p>
        </w:tc>
      </w:tr>
      <w:tr>
        <w:trPr>
          <w:trHeight w:val="163"/>
        </w:trPr>
        <w:tc>
          <w:tcPr>
            <w:tcW w:w="2660" w:type="dxa"/>
            <w:vAlign w:val="bottom"/>
          </w:tcPr>
          <w:p>
            <w:pPr>
              <w:ind w:left="20"/>
              <w:spacing w:after="0" w:line="163" w:lineRule="exact"/>
              <w:rPr>
                <w:sz w:val="20"/>
                <w:szCs w:val="20"/>
                <w:color w:val="auto"/>
              </w:rPr>
            </w:pPr>
            <w:r>
              <w:rPr>
                <w:rFonts w:ascii="Arial" w:cs="Arial" w:eastAsia="Arial" w:hAnsi="Arial"/>
                <w:sz w:val="15"/>
                <w:szCs w:val="15"/>
                <w:color w:val="auto"/>
              </w:rPr>
              <w:t>Licensing and non-compete</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3"/>
        </w:trPr>
        <w:tc>
          <w:tcPr>
            <w:tcW w:w="2660" w:type="dxa"/>
            <w:vAlign w:val="bottom"/>
          </w:tcPr>
          <w:p>
            <w:pPr>
              <w:ind w:left="20"/>
              <w:spacing w:after="0"/>
              <w:rPr>
                <w:sz w:val="20"/>
                <w:szCs w:val="20"/>
                <w:color w:val="auto"/>
              </w:rPr>
            </w:pPr>
            <w:r>
              <w:rPr>
                <w:rFonts w:ascii="Arial" w:cs="Arial" w:eastAsia="Arial" w:hAnsi="Arial"/>
                <w:sz w:val="15"/>
                <w:szCs w:val="15"/>
                <w:color w:val="auto"/>
              </w:rPr>
              <w:t>agreements</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3,702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3,702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220</w:t>
            </w:r>
          </w:p>
        </w:tc>
      </w:tr>
      <w:tr>
        <w:trPr>
          <w:trHeight w:val="20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Distributor relations and other</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1,054,794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(331,419)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723,375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1,045,603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(274,923)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770,680</w:t>
            </w:r>
          </w:p>
        </w:tc>
      </w:tr>
      <w:tr>
        <w:trPr>
          <w:trHeight w:val="168"/>
        </w:trPr>
        <w:tc>
          <w:tcPr>
            <w:tcW w:w="2660" w:type="dxa"/>
            <w:vAlign w:val="bottom"/>
            <w:shd w:val="clear" w:color="auto" w:fill="CCEEFF"/>
          </w:tcPr>
          <w:p>
            <w:pPr>
              <w:ind w:left="20"/>
              <w:spacing w:after="0" w:line="168" w:lineRule="exact"/>
              <w:rPr>
                <w:sz w:val="20"/>
                <w:szCs w:val="20"/>
                <w:color w:val="auto"/>
              </w:rPr>
            </w:pPr>
            <w:r>
              <w:rPr>
                <w:rFonts w:ascii="Arial" w:cs="Arial" w:eastAsia="Arial" w:hAnsi="Arial"/>
                <w:sz w:val="15"/>
                <w:szCs w:val="15"/>
                <w:color w:val="auto"/>
              </w:rPr>
              <w:t>Trade names, not subject to</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56,965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56,965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56,965</w:t>
            </w: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In-process research and development </w:t>
            </w:r>
            <w:r>
              <w:rPr>
                <w:rFonts w:ascii="Arial" w:cs="Arial" w:eastAsia="Arial" w:hAnsi="Arial"/>
                <w:sz w:val="18"/>
                <w:szCs w:val="18"/>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9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6,500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6,500</w:t>
            </w:r>
          </w:p>
        </w:tc>
      </w:tr>
      <w:tr>
        <w:trPr>
          <w:trHeight w:val="191"/>
        </w:trPr>
        <w:tc>
          <w:tcPr>
            <w:tcW w:w="2660" w:type="dxa"/>
            <w:vAlign w:val="bottom"/>
          </w:tcPr>
          <w:p>
            <w:pPr>
              <w:ind w:left="360"/>
              <w:spacing w:after="0"/>
              <w:rPr>
                <w:sz w:val="20"/>
                <w:szCs w:val="20"/>
                <w:color w:val="auto"/>
              </w:rPr>
            </w:pPr>
            <w:r>
              <w:rPr>
                <w:rFonts w:ascii="Arial" w:cs="Arial" w:eastAsia="Arial" w:hAnsi="Arial"/>
                <w:sz w:val="15"/>
                <w:szCs w:val="15"/>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1,111,759</w:t>
            </w:r>
          </w:p>
        </w:tc>
        <w:tc>
          <w:tcPr>
            <w:tcW w:w="3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(331,419)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780,340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7"/>
              <w:spacing w:after="0"/>
              <w:rPr>
                <w:sz w:val="20"/>
                <w:szCs w:val="20"/>
                <w:color w:val="auto"/>
              </w:rPr>
            </w:pPr>
            <w:r>
              <w:rPr>
                <w:rFonts w:ascii="Arial" w:cs="Arial" w:eastAsia="Arial" w:hAnsi="Arial"/>
                <w:sz w:val="15"/>
                <w:szCs w:val="15"/>
                <w:color w:val="auto"/>
              </w:rPr>
              <w:t>1,109,068</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(274,923)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834,145</w:t>
            </w:r>
          </w:p>
        </w:tc>
      </w:tr>
      <w:tr>
        <w:trPr>
          <w:trHeight w:val="26"/>
        </w:trPr>
        <w:tc>
          <w:tcPr>
            <w:tcW w:w="2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191" w:lineRule="exact"/>
        <w:rPr>
          <w:sz w:val="20"/>
          <w:szCs w:val="20"/>
          <w:color w:val="auto"/>
        </w:rPr>
      </w:pPr>
    </w:p>
    <w:p>
      <w:pPr>
        <w:ind w:right="80" w:firstLine="8"/>
        <w:spacing w:after="0" w:line="245" w:lineRule="auto"/>
        <w:tabs>
          <w:tab w:leader="none" w:pos="167" w:val="left"/>
        </w:tabs>
        <w:numPr>
          <w:ilvl w:val="0"/>
          <w:numId w:val="16"/>
        </w:numPr>
        <w:rPr>
          <w:rFonts w:ascii="Arial" w:cs="Arial" w:eastAsia="Arial" w:hAnsi="Arial"/>
          <w:sz w:val="19"/>
          <w:szCs w:val="19"/>
          <w:b w:val="1"/>
          <w:bCs w:val="1"/>
          <w:color w:val="auto"/>
          <w:vertAlign w:val="superscript"/>
        </w:rPr>
      </w:pPr>
      <w:r>
        <w:rPr>
          <w:rFonts w:ascii="Arial" w:cs="Arial" w:eastAsia="Arial" w:hAnsi="Arial"/>
          <w:sz w:val="15"/>
          <w:szCs w:val="15"/>
          <w:color w:val="auto"/>
        </w:rPr>
        <w:t>In-process research and development is considered indefinite lived until the underlying technology becomes viable, at which point the intangible asset will be amortized over the expected useful life. The Company determined that the in-process research and development technology asset acquired in the BOA acquisition achieved viability in the second quarter of 2021, and will be amortized over a ten-year period.</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Amortization expense related to intangible assets was $19.1 million and $56.5 million for the three and nine months ended September 30, 2021, respectively, and $15.2 million and $43.5 million for the three and nine months ended September 30, 2020, respectively.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Estimated charges to amortization expense of intangible assets for the remainder of 2021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2800" w:type="dxa"/>
        <w:tblCellMar>
          <w:top w:w="0" w:type="dxa"/>
          <w:left w:w="0" w:type="dxa"/>
          <w:bottom w:w="0" w:type="dxa"/>
          <w:right w:w="0" w:type="dxa"/>
        </w:tblCellMar>
      </w:tblPr>
      <w:tr>
        <w:trPr>
          <w:trHeight w:val="218"/>
        </w:trPr>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r>
      <w:tr>
        <w:trPr>
          <w:trHeight w:val="37"/>
        </w:trPr>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6"/>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64,986</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Marucci, BOA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nine months ended September 30, 2021 and the year ended December 31, 2020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4" w:lineRule="exact"/>
        <w:rPr>
          <w:sz w:val="20"/>
          <w:szCs w:val="20"/>
          <w:color w:val="auto"/>
        </w:rPr>
      </w:pPr>
    </w:p>
    <w:tbl>
      <w:tblPr>
        <w:tblLayout w:type="fixed"/>
        <w:tblInd w:w="1280" w:type="dxa"/>
        <w:tblCellMar>
          <w:top w:w="0" w:type="dxa"/>
          <w:left w:w="0" w:type="dxa"/>
          <w:bottom w:w="0" w:type="dxa"/>
          <w:right w:w="0" w:type="dxa"/>
        </w:tblCellMar>
      </w:tblPr>
      <w:tr>
        <w:trPr>
          <w:trHeight w:val="172"/>
        </w:trPr>
        <w:tc>
          <w:tcPr>
            <w:tcW w:w="4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Warranty liability</w:t>
            </w:r>
          </w:p>
        </w:tc>
        <w:tc>
          <w:tcPr>
            <w:tcW w:w="200" w:type="dxa"/>
            <w:vAlign w:val="bottom"/>
          </w:tcPr>
          <w:p>
            <w:pPr>
              <w:spacing w:after="0"/>
              <w:rPr>
                <w:sz w:val="15"/>
                <w:szCs w:val="15"/>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15"/>
                <w:szCs w:val="15"/>
                <w:color w:val="auto"/>
              </w:rPr>
            </w:pPr>
          </w:p>
        </w:tc>
        <w:tc>
          <w:tcPr>
            <w:tcW w:w="1760" w:type="dxa"/>
            <w:vAlign w:val="bottom"/>
          </w:tcPr>
          <w:p>
            <w:pPr>
              <w:jc w:val="right"/>
              <w:ind w:right="60"/>
              <w:spacing w:after="0"/>
              <w:rPr>
                <w:sz w:val="20"/>
                <w:szCs w:val="20"/>
                <w:color w:val="auto"/>
              </w:rPr>
            </w:pPr>
            <w:r>
              <w:rPr>
                <w:rFonts w:ascii="Arial" w:cs="Arial" w:eastAsia="Arial" w:hAnsi="Arial"/>
                <w:sz w:val="15"/>
                <w:szCs w:val="15"/>
                <w:b w:val="1"/>
                <w:bCs w:val="1"/>
                <w:color w:val="auto"/>
              </w:rPr>
              <w:t>Year ended December</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b w:val="1"/>
                <w:bCs w:val="1"/>
                <w:color w:val="auto"/>
              </w:rPr>
              <w:t>31, 2020</w:t>
            </w:r>
          </w:p>
        </w:tc>
        <w:tc>
          <w:tcPr>
            <w:tcW w:w="0" w:type="dxa"/>
            <w:vAlign w:val="bottom"/>
          </w:tcPr>
          <w:p>
            <w:pPr>
              <w:spacing w:after="0"/>
              <w:rPr>
                <w:sz w:val="1"/>
                <w:szCs w:val="1"/>
                <w:color w:val="auto"/>
              </w:rPr>
            </w:pPr>
          </w:p>
        </w:tc>
      </w:tr>
      <w:tr>
        <w:trPr>
          <w:trHeight w:val="88"/>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Provision for warranties issued during the period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Fulfillment of warranty obligations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b w:val="1"/>
                <w:bCs w:val="1"/>
                <w:color w:val="auto"/>
                <w:vertAlign w:val="superscript"/>
              </w:rPr>
              <w:t>(1)</w:t>
            </w:r>
          </w:p>
        </w:tc>
        <w:tc>
          <w:tcPr>
            <w:tcW w:w="20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32"/>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6"/>
          <w:szCs w:val="26"/>
          <w:b w:val="1"/>
          <w:bCs w:val="1"/>
          <w:color w:val="auto"/>
          <w:vertAlign w:val="superscript"/>
        </w:rPr>
      </w:pPr>
      <w:r>
        <w:rPr>
          <w:rFonts w:ascii="Arial" w:cs="Arial" w:eastAsia="Arial" w:hAnsi="Arial"/>
          <w:sz w:val="16"/>
          <w:szCs w:val="16"/>
          <w:color w:val="auto"/>
        </w:rPr>
        <w:t>Represents the warranty liabilities recorded in relation to the Marucci and BOA acquisitions in 2020.</w:t>
      </w:r>
    </w:p>
    <w:p>
      <w:pPr>
        <w:spacing w:after="0" w:line="200" w:lineRule="exact"/>
        <w:rPr>
          <w:rFonts w:ascii="Arial" w:cs="Arial" w:eastAsia="Arial" w:hAnsi="Arial"/>
          <w:sz w:val="26"/>
          <w:szCs w:val="26"/>
          <w:b w:val="1"/>
          <w:bCs w:val="1"/>
          <w:color w:val="auto"/>
          <w:vertAlign w:val="superscript"/>
        </w:rPr>
      </w:pPr>
    </w:p>
    <w:p>
      <w:pPr>
        <w:spacing w:after="0" w:line="200" w:lineRule="exact"/>
        <w:rPr>
          <w:rFonts w:ascii="Arial" w:cs="Arial" w:eastAsia="Arial" w:hAnsi="Arial"/>
          <w:sz w:val="26"/>
          <w:szCs w:val="26"/>
          <w:b w:val="1"/>
          <w:bCs w:val="1"/>
          <w:color w:val="auto"/>
          <w:vertAlign w:val="superscript"/>
        </w:rPr>
      </w:pPr>
    </w:p>
    <w:p>
      <w:pPr>
        <w:spacing w:after="0" w:line="228" w:lineRule="exact"/>
        <w:rPr>
          <w:rFonts w:ascii="Arial" w:cs="Arial" w:eastAsia="Arial" w:hAnsi="Arial"/>
          <w:sz w:val="26"/>
          <w:szCs w:val="26"/>
          <w:b w:val="1"/>
          <w:bCs w:val="1"/>
          <w:color w:val="auto"/>
          <w:vertAlign w:val="superscript"/>
        </w:rPr>
      </w:pPr>
    </w:p>
    <w:p>
      <w:pPr>
        <w:ind w:left="5540"/>
        <w:spacing w:after="0"/>
        <w:rPr>
          <w:rFonts w:ascii="Arial" w:cs="Arial" w:eastAsia="Arial" w:hAnsi="Arial"/>
          <w:sz w:val="26"/>
          <w:szCs w:val="26"/>
          <w:b w:val="1"/>
          <w:bCs w:val="1"/>
          <w:color w:val="auto"/>
          <w:vertAlign w:val="superscript"/>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Note I —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(as previously restated and amended) among the Company, the lenders from time to time party thereto (the “Lenders”), and Bank of America, N.A., as Administrative Agent. The 2021 Credit Facility is secured by all of the assets of the Company, including all of its equity interests in, and loans to, its consolidated subsidiaries. The 2021 Credit Facility provides for revolving loans, swing line loans and letters of credit (the “2021 Revolving Credit Facility”)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2021 Credit Facility.</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borrow, prepay and reborrow principal under the 2021 Revolving Credit Facility from time to time during its term. Advances under the 2021 Revolving Credit Facility can be either Eurodollar rate loans or base rate loans. Eurodollar rate revolving loans bear interest on the outstanding principal amount thereof for each interest period at a rate per annum based on the London Interbank Offered Rate or a Successor Rate, as defined, (the “Eurodollar Rate”) for such interest period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Eurodollar Rate plus 1.0% (the “Base Rate”), plus a margin ranging from 0.50% to 1.50%, based on the Company's Consolidated Total Leverage Ratio.</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2021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2021 Revolving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2021 Revolving Credit Facility was approximately $465.0 million at September 30, 2021. Letters of credit outstanding at September 30, 2021 totaled approximately $1.0 million. At September 30, 2021, the Company was in compliance with all covenants as defined in the 2021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18, 2018, the Company entered into an Amended and Restated Credit Agreement (the "2018 Credit Facility"). The 2018 Credit Facility provided for (i) revolving loans, swing line loans and letters of credit (the “2018 Revolving Credit Facility”) up to a maximum aggregate amount of $600 million, and (ii) a $ 500 million term loan (the “2018 Term Loan”). The Company repaid the outstanding amounts under the 2018 Term Loan in 2019, and used a portion of the proceeds from the issuance of the 2029 Senior Notes to repay the amount outstanding under the 2018 Revolving Credit Facility in March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"Trustee"). The Notes bear interest at the rate of 5.250% per annum and will mature on April 15, 2029. Interest on the Notes is payable in cash on April 15th and October 15th of each year. The first interest payment date on the 2029 Senior Notes will be October 15, 2021. The 2029 Notes are general unsecured obligations of the Company and are not guaranteed by our subsidiaries.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below. The Indenture contains several restrictive covenants including, but not limited to, limitations on the following: (i) the incurrence of additional indebtedness, (ii) payment of dividends or other restricted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 w:name="page30"/>
    <w:bookmarkEnd w:id="29"/>
    <w:p>
      <w:pPr>
        <w:jc w:val="both"/>
        <w:spacing w:after="0" w:line="256" w:lineRule="auto"/>
        <w:rPr>
          <w:sz w:val="20"/>
          <w:szCs w:val="20"/>
          <w:color w:val="auto"/>
        </w:rPr>
      </w:pPr>
      <w:r>
        <w:rPr>
          <w:rFonts w:ascii="Arial" w:cs="Arial" w:eastAsia="Arial" w:hAnsi="Arial"/>
          <w:sz w:val="18"/>
          <w:szCs w:val="18"/>
          <w:color w:val="auto"/>
        </w:rPr>
        <w:t>payments, (iii) the purchase, redemption or retirement of capital stock or subordinated debt, (iv) asset sales, mergers or consolidations, (v) transactions with affiliates, (vi) incurring liens, (vii) entering into sale-leaseback transactions, (viii) providing subsidiary guarantees and (ix) making certain investments, subject in each case to certain exceptions.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2026 Senior Notes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2026 Senior Notes bore interest at 8.000% per annum and were scheduled to mature on May 1, 2026. On March 2, 2021, pursuant to an indenture, dated as of April 18, 2018 between the Company and U.S. Bank National Association, as trustee ("Trustee"), the Trustee delivered redemption notices, on behalf of the Company, to holders of the Company’s 2026 Senior Notes to redeem the 2026 Senior Notes on April 1, 2021. The principal amount of the 2026 Senior Notes redeemed was $ 600 million, which represented all of the outstanding principal of the 2026 Senior Notes. The 2026 Senior Notes were redeemed at 100% of their principal, plus an applicable premium, and accrued and unpaid interest as of the redemption date. On March 23, 2021, the proceeds required for the redemption of the 2026 Senior Notes, the applicable premium and accrued interest totaling $647.7 million was irrevocably deposited with the Trustee and held by the Trustee until the date of redemption, April 1, 2021. The redemption of the 2026 Senior Notes resulted in a Loss on Debt Extinguishment of approximately $33.3 million, which is comprised of the premium paid for early redemption of the 2026 Senior Notes, and the expensing of the deferred financing costs and bond premium associated with the 2026 Senior Notes.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September 30, 2021 and 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0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2020</w:t>
            </w:r>
          </w:p>
        </w:tc>
      </w:tr>
      <w:tr>
        <w:trPr>
          <w:trHeight w:val="21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134,000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307,000</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premiums and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7"/>
        </w:trPr>
        <w:tc>
          <w:tcPr>
            <w:tcW w:w="596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1,122,721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899,460</w:t>
            </w:r>
          </w:p>
        </w:tc>
      </w:tr>
      <w:tr>
        <w:trPr>
          <w:trHeight w:val="23"/>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2029 Senior Notes consisted of the following carrying value and estimated fair value (in thousands):</w:t>
      </w:r>
    </w:p>
    <w:p>
      <w:pPr>
        <w:spacing w:after="0" w:line="16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3100" w:type="dxa"/>
            <w:vAlign w:val="bottom"/>
            <w:gridSpan w:val="3"/>
            <w:vMerge w:val="restart"/>
          </w:tcPr>
          <w:p>
            <w:pPr>
              <w:jc w:val="right"/>
              <w:ind w:right="71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107"/>
        </w:trPr>
        <w:tc>
          <w:tcPr>
            <w:tcW w:w="1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rPr>
              <w:t>Hierarchy</w:t>
            </w:r>
          </w:p>
        </w:tc>
        <w:tc>
          <w:tcPr>
            <w:tcW w:w="310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980" w:type="dxa"/>
            <w:vAlign w:val="bottom"/>
          </w:tcPr>
          <w:p>
            <w:pPr>
              <w:spacing w:after="0"/>
              <w:rPr>
                <w:sz w:val="3"/>
                <w:szCs w:val="3"/>
                <w:color w:val="auto"/>
              </w:rPr>
            </w:pPr>
          </w:p>
        </w:tc>
        <w:tc>
          <w:tcPr>
            <w:tcW w:w="13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vMerge w:val="restart"/>
          </w:tcPr>
          <w:p>
            <w:pPr>
              <w:spacing w:after="0"/>
              <w:rPr>
                <w:sz w:val="3"/>
                <w:szCs w:val="3"/>
                <w:color w:val="auto"/>
              </w:rPr>
            </w:pPr>
          </w:p>
        </w:tc>
        <w:tc>
          <w:tcPr>
            <w:tcW w:w="12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vMerge w:val="restart"/>
          </w:tcPr>
          <w:p>
            <w:pPr>
              <w:spacing w:after="0"/>
              <w:rPr>
                <w:sz w:val="3"/>
                <w:szCs w:val="3"/>
                <w:color w:val="auto"/>
              </w:rPr>
            </w:pPr>
          </w:p>
        </w:tc>
        <w:tc>
          <w:tcPr>
            <w:tcW w:w="15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Senior Notes</w:t>
            </w:r>
          </w:p>
        </w:tc>
        <w:tc>
          <w:tcPr>
            <w:tcW w:w="1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April 15, 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5.250 %</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2029 Senior Notes offering in March 2021, the Company recorded $12.0 million in deferred financing costs. The net deferred financing costs associated with the Company's 2026 Senior Notes were $ 7.2 million at March 31, 2021, and were expensed on April 1, 2021, the date of the redemption of the 2026 Senior Notes. In connection with entering into the 2021 Credit Facility, the Company recorded $5.4 million in deferred financing costs.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Company can borrow, repay and reborrow principal under the Revolving Credit Facility, the debt issuance costs associated with the Revolving Credit Facility have been classified as other non-current assets in the accompanying condensed consolidated balance sheet. The debt issuance costs associated with the Senior Notes are classified as a reduction of long-term debt in the accompanying condensed consolidated balance sheet.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jc w:val="both"/>
        <w:spacing w:after="0" w:line="261" w:lineRule="auto"/>
        <w:rPr>
          <w:sz w:val="20"/>
          <w:szCs w:val="20"/>
          <w:color w:val="auto"/>
        </w:rPr>
      </w:pPr>
      <w:r>
        <w:rPr>
          <w:rFonts w:ascii="Arial" w:cs="Arial" w:eastAsia="Arial" w:hAnsi="Arial"/>
          <w:sz w:val="18"/>
          <w:szCs w:val="18"/>
          <w:color w:val="auto"/>
        </w:rPr>
        <w:t>The following table summarizes unamortized premiums and debt issuance costs at September 30, 2021 and December 31, 2020, and the balance sheet classification in each of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2021</w:t>
            </w:r>
          </w:p>
        </w:tc>
        <w:tc>
          <w:tcPr>
            <w:tcW w:w="180" w:type="dxa"/>
            <w:vAlign w:val="bottom"/>
          </w:tcPr>
          <w:p>
            <w:pPr>
              <w:spacing w:after="0"/>
              <w:rPr>
                <w:sz w:val="17"/>
                <w:szCs w:val="17"/>
                <w:color w:val="auto"/>
              </w:rPr>
            </w:pPr>
          </w:p>
        </w:tc>
        <w:tc>
          <w:tcPr>
            <w:tcW w:w="1760" w:type="dxa"/>
            <w:vAlign w:val="bottom"/>
          </w:tcPr>
          <w:p>
            <w:pPr>
              <w:jc w:val="right"/>
              <w:ind w:right="204"/>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23,465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16,466</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(6,121)</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Unamortized premiums and debt issuance costs, net</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18,256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Balance sheet classification: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2,805</w:t>
            </w:r>
          </w:p>
        </w:tc>
        <w:tc>
          <w:tcPr>
            <w:tcW w:w="0" w:type="dxa"/>
            <w:vAlign w:val="bottom"/>
          </w:tcPr>
          <w:p>
            <w:pPr>
              <w:spacing w:after="0"/>
              <w:rPr>
                <w:sz w:val="1"/>
                <w:szCs w:val="1"/>
                <w:color w:val="auto"/>
              </w:rPr>
            </w:pPr>
          </w:p>
        </w:tc>
      </w:tr>
      <w:tr>
        <w:trPr>
          <w:trHeight w:val="19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Long-term debt</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11,279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7,540</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18,256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common shares and the Company is authorized to issue a corresponding number of trust interests. The Company will at all times have the identical number of trust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7, 2021, the Company filed a prospectus supplement pursuant to which the Company may, but has no obligation to, issue and sell up to $500 million common shares of the Trust in amounts and at times to be determined by the Company. Actual sales will depend on a variety of factors to be determined by us from time to time, including, market conditions, the trading price of Trust common shares and determinations by us regarding appropriate sources of funding. The Company incurred $0.3 million in costs related to this offering.</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this offering, the Company entered into an At Market Issuance Sales Agreement (the “Sales Agreement”) with B. Riley Securities, Inc. and Goldman Sachs &amp; Co. LLC (each a “Sales Agent” and, collectively, the “Sales Agents”). The Sales Agreement provides that the Company may offer and sell Trust common shares from time to time through the Sales Agents up to $500 million, in amounts and at times to be determined by the Company. Pursuant to the Sales Agreement, the shares may be offered and sold through each Sales Agent, acting separately, in ordinary brokers’ transactions, to or through a market maker, on or through the New York Stock Exchange or any other market venue where the securities may be traded, in the over-the-counter market, in privately negotiated transactions, in transactions that are deemed to be “at the market offerings” as defined in Rule 415 under the Securities Act or through a combination of any such methods of sale.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and nine months ended September 30, 2021, the Company sold 630,108 Trust common shares under the Sales Agreement. For the same period, the Company received total net proceeds of approximately $18.8 million from these sales, and incurred approximately $0.3 million in commissions payable to the Sales Agents.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May 2020, the Company completed an offering of 5,000,000 Trust common shares at a public offering price of $17.60 per share. The proceeds to the Company, after deducting the underwriter's discount and offering costs, totaled approximately $83.9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September 30, 2021,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 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and at September 30, 2021,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fifteen-year anniversary of ACI occurred in May 2021 which represented a Holding Event. The Company declared and paid a distribution to the Holders of $ 12.1 million in July 2021.The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$ 3.3 million related to the Liberty Holding Event and the profit allocation payment of $2.0 million related to the Ergobaby Holding Event were both paid in January 2021. The five-year anniversary of the acquisition of Sterno Products occurred in October 2019 which represented a Holding Event. The Company declared and paid a distribution to the Holders of $9.1 million in February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Event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Sale of Liberty in August 2021 qualified as a Sale Event under the Company's LLC Agreement. During the fourth quarter of 2021, the Company's Board declared a distribution to the Allocation Member of $16.8 million. The distribution will be paid in the fourth quarter of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table reconciles net income (loss) attributable to Holdings to net loss attributable to the common shares of Holdings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w:t>
            </w:r>
          </w:p>
        </w:tc>
        <w:tc>
          <w:tcPr>
            <w:tcW w:w="260" w:type="dxa"/>
            <w:vAlign w:val="bottom"/>
          </w:tcPr>
          <w:p>
            <w:pPr>
              <w:spacing w:after="0"/>
              <w:rPr>
                <w:sz w:val="14"/>
                <w:szCs w:val="14"/>
                <w:color w:val="auto"/>
              </w:rPr>
            </w:pPr>
          </w:p>
        </w:tc>
        <w:tc>
          <w:tcPr>
            <w:tcW w:w="2180" w:type="dxa"/>
            <w:vAlign w:val="bottom"/>
            <w:gridSpan w:val="4"/>
          </w:tcPr>
          <w:p>
            <w:pPr>
              <w:jc w:val="right"/>
              <w:ind w:right="444"/>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ind w:left="560"/>
              <w:spacing w:after="0"/>
              <w:rPr>
                <w:sz w:val="20"/>
                <w:szCs w:val="20"/>
                <w:color w:val="auto"/>
              </w:rPr>
            </w:pPr>
            <w:r>
              <w:rPr>
                <w:rFonts w:ascii="Arial" w:cs="Arial" w:eastAsia="Arial" w:hAnsi="Arial"/>
                <w:sz w:val="15"/>
                <w:szCs w:val="15"/>
                <w:b w:val="1"/>
                <w:bCs w:val="1"/>
                <w:color w:val="auto"/>
              </w:rPr>
              <w:t>September 30,</w:t>
            </w:r>
          </w:p>
        </w:tc>
        <w:tc>
          <w:tcPr>
            <w:tcW w:w="260" w:type="dxa"/>
            <w:vAlign w:val="bottom"/>
          </w:tcPr>
          <w:p>
            <w:pPr>
              <w:spacing w:after="0"/>
              <w:rPr>
                <w:sz w:val="17"/>
                <w:szCs w:val="17"/>
                <w:color w:val="auto"/>
              </w:rPr>
            </w:pPr>
          </w:p>
        </w:tc>
        <w:tc>
          <w:tcPr>
            <w:tcW w:w="2180" w:type="dxa"/>
            <w:vAlign w:val="bottom"/>
            <w:gridSpan w:val="4"/>
          </w:tcPr>
          <w:p>
            <w:pPr>
              <w:jc w:val="right"/>
              <w:ind w:right="604"/>
              <w:spacing w:after="0"/>
              <w:rPr>
                <w:sz w:val="20"/>
                <w:szCs w:val="20"/>
                <w:color w:val="auto"/>
              </w:rPr>
            </w:pPr>
            <w:r>
              <w:rPr>
                <w:rFonts w:ascii="Arial" w:cs="Arial" w:eastAsia="Arial" w:hAnsi="Arial"/>
                <w:sz w:val="15"/>
                <w:szCs w:val="15"/>
                <w:b w:val="1"/>
                <w:bCs w:val="1"/>
                <w:color w:val="auto"/>
              </w:rPr>
              <w:t>September 30,</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from continuing operations attributable to Holdings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12,576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5,010</w:t>
            </w: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Less: Distributions paid - Allocation Interests</w:t>
            </w:r>
          </w:p>
        </w:tc>
        <w:tc>
          <w:tcPr>
            <w:tcW w:w="28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17,289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9,087</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Distributions paid - Preferred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18,136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17,633</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Accrued distributions - Preferred Shares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2,869</w:t>
            </w:r>
          </w:p>
        </w:tc>
        <w:tc>
          <w:tcPr>
            <w:tcW w:w="0" w:type="dxa"/>
            <w:vAlign w:val="bottom"/>
          </w:tcPr>
          <w:p>
            <w:pPr>
              <w:spacing w:after="0"/>
              <w:rPr>
                <w:sz w:val="1"/>
                <w:szCs w:val="1"/>
                <w:color w:val="auto"/>
              </w:rPr>
            </w:pPr>
          </w:p>
        </w:tc>
      </w:tr>
      <w:tr>
        <w:trPr>
          <w:trHeight w:val="160"/>
        </w:trPr>
        <w:tc>
          <w:tcPr>
            <w:tcW w:w="59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Net income (loss) from continuing operations attributable to common shares of</w:t>
            </w: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(4,470)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5,964</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(25,718)</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(24,579)</w:t>
            </w:r>
          </w:p>
        </w:tc>
        <w:tc>
          <w:tcPr>
            <w:tcW w:w="0" w:type="dxa"/>
            <w:vAlign w:val="bottom"/>
          </w:tcPr>
          <w:p>
            <w:pPr>
              <w:spacing w:after="0"/>
              <w:rPr>
                <w:sz w:val="1"/>
                <w:szCs w:val="1"/>
                <w:color w:val="auto"/>
              </w:rPr>
            </w:pPr>
          </w:p>
        </w:tc>
      </w:tr>
      <w:tr>
        <w:trPr>
          <w:trHeight w:val="194"/>
        </w:trPr>
        <w:tc>
          <w:tcPr>
            <w:tcW w:w="5980" w:type="dxa"/>
            <w:vAlign w:val="bottom"/>
            <w:tcBorders>
              <w:bottom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Holdings</w:t>
            </w: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and nine months ended September 30, 2021 and 2020 reflects the incremental increase during the period in the profit allocation distribution to Holders related to Holding Events.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Basic and diluted earnings per share for the three and nine months ended September 30, 2021 and 2020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ind w:left="200"/>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Pr>
          <w:p>
            <w:pPr>
              <w:spacing w:after="0"/>
              <w:rPr>
                <w:sz w:val="15"/>
                <w:szCs w:val="15"/>
                <w:color w:val="auto"/>
              </w:rPr>
            </w:pPr>
          </w:p>
        </w:tc>
        <w:tc>
          <w:tcPr>
            <w:tcW w:w="2020" w:type="dxa"/>
            <w:vAlign w:val="bottom"/>
            <w:gridSpan w:val="4"/>
          </w:tcPr>
          <w:p>
            <w:pPr>
              <w:jc w:val="right"/>
              <w:ind w:right="344"/>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ind w:left="480"/>
              <w:spacing w:after="0"/>
              <w:rPr>
                <w:sz w:val="20"/>
                <w:szCs w:val="20"/>
                <w:color w:val="auto"/>
              </w:rPr>
            </w:pPr>
            <w:r>
              <w:rPr>
                <w:rFonts w:ascii="Arial" w:cs="Arial" w:eastAsia="Arial" w:hAnsi="Arial"/>
                <w:sz w:val="15"/>
                <w:szCs w:val="15"/>
                <w:b w:val="1"/>
                <w:bCs w:val="1"/>
                <w:color w:val="auto"/>
              </w:rPr>
              <w:t>September 30,</w:t>
            </w:r>
          </w:p>
        </w:tc>
        <w:tc>
          <w:tcPr>
            <w:tcW w:w="200" w:type="dxa"/>
            <w:vAlign w:val="bottom"/>
          </w:tcPr>
          <w:p>
            <w:pPr>
              <w:spacing w:after="0"/>
              <w:rPr>
                <w:sz w:val="17"/>
                <w:szCs w:val="17"/>
                <w:color w:val="auto"/>
              </w:rPr>
            </w:pPr>
          </w:p>
        </w:tc>
        <w:tc>
          <w:tcPr>
            <w:tcW w:w="2020" w:type="dxa"/>
            <w:vAlign w:val="bottom"/>
            <w:gridSpan w:val="4"/>
          </w:tcPr>
          <w:p>
            <w:pPr>
              <w:jc w:val="right"/>
              <w:ind w:right="484"/>
              <w:spacing w:after="0"/>
              <w:rPr>
                <w:sz w:val="20"/>
                <w:szCs w:val="20"/>
                <w:color w:val="auto"/>
              </w:rPr>
            </w:pPr>
            <w:r>
              <w:rPr>
                <w:rFonts w:ascii="Arial" w:cs="Arial" w:eastAsia="Arial" w:hAnsi="Arial"/>
                <w:sz w:val="15"/>
                <w:szCs w:val="15"/>
                <w:b w:val="1"/>
                <w:bCs w:val="1"/>
                <w:color w:val="auto"/>
              </w:rPr>
              <w:t>September 30,</w:t>
            </w:r>
          </w:p>
        </w:tc>
      </w:tr>
      <w:tr>
        <w:trPr>
          <w:trHeight w:val="196"/>
        </w:trPr>
        <w:tc>
          <w:tcPr>
            <w:tcW w:w="64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r>
      <w:tr>
        <w:trPr>
          <w:trHeight w:val="196"/>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from continuing operations attributable to common shares of Holdings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(24,579)</w:t>
            </w:r>
          </w:p>
        </w:tc>
      </w:tr>
      <w:tr>
        <w:trPr>
          <w:trHeight w:val="199"/>
        </w:trPr>
        <w:tc>
          <w:tcPr>
            <w:tcW w:w="6440" w:type="dxa"/>
            <w:vAlign w:val="bottom"/>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3,779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3,874</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 from continuing operations attributable to common shares of Holdings</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(29,912)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(28,453)</w:t>
            </w:r>
          </w:p>
        </w:tc>
      </w:tr>
      <w:tr>
        <w:trPr>
          <w:trHeight w:val="148"/>
        </w:trPr>
        <w:tc>
          <w:tcPr>
            <w:tcW w:w="6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attributable to Holdings</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79,888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9,404</w:t>
            </w:r>
          </w:p>
        </w:tc>
      </w:tr>
      <w:tr>
        <w:trPr>
          <w:trHeight w:val="198"/>
        </w:trPr>
        <w:tc>
          <w:tcPr>
            <w:tcW w:w="6440" w:type="dxa"/>
            <w:vAlign w:val="bottom"/>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3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624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1,260</w:t>
            </w:r>
          </w:p>
        </w:tc>
      </w:tr>
      <w:tr>
        <w:trPr>
          <w:trHeight w:val="200"/>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Income from discontinued operations attributable to common shares of Holdings</w:t>
            </w: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71,581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3,683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79,888</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8,144</w:t>
            </w:r>
          </w:p>
        </w:tc>
      </w:tr>
      <w:tr>
        <w:trPr>
          <w:trHeight w:val="162"/>
        </w:trPr>
        <w:tc>
          <w:tcPr>
            <w:tcW w:w="6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and diluted weighted average common shares outstanding</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64,900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64,936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62,556</w:t>
            </w:r>
          </w:p>
        </w:tc>
      </w:tr>
      <w:tr>
        <w:trPr>
          <w:trHeight w:val="162"/>
        </w:trPr>
        <w:tc>
          <w:tcPr>
            <w:tcW w:w="6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Basic and fully diluted income (loss) per common share attributable to Holdings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644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(0.13)</w:t>
            </w:r>
          </w:p>
        </w:tc>
        <w:tc>
          <w:tcPr>
            <w:tcW w:w="100" w:type="dxa"/>
            <w:vAlign w:val="bottom"/>
          </w:tcPr>
          <w:p>
            <w:pPr>
              <w:spacing w:after="0"/>
              <w:rPr>
                <w:sz w:val="17"/>
                <w:szCs w:val="17"/>
                <w:color w:val="auto"/>
              </w:rPr>
            </w:pPr>
          </w:p>
        </w:tc>
        <w:tc>
          <w:tcPr>
            <w:tcW w:w="38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(0.46)</w:t>
            </w:r>
          </w:p>
        </w:tc>
        <w:tc>
          <w:tcPr>
            <w:tcW w:w="12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(0.46)</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Discontinued operations</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0.13</w:t>
            </w:r>
          </w:p>
        </w:tc>
      </w:tr>
      <w:tr>
        <w:trPr>
          <w:trHeight w:val="196"/>
        </w:trPr>
        <w:tc>
          <w:tcPr>
            <w:tcW w:w="644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0.97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(0.33)</w:t>
            </w:r>
          </w:p>
        </w:tc>
      </w:tr>
      <w:tr>
        <w:trPr>
          <w:trHeight w:val="25"/>
        </w:trPr>
        <w:tc>
          <w:tcPr>
            <w:tcW w:w="6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240"/>
          </w:cols>
          <w:pgMar w:left="320" w:top="1118" w:right="339" w:bottom="1440" w:gutter="0" w:footer="0" w:header="0"/>
        </w:sectPr>
      </w:pP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80" w:type="dxa"/>
            <w:vAlign w:val="bottom"/>
            <w:vMerge w:val="restart"/>
          </w:tcPr>
          <w:p>
            <w:pPr>
              <w:ind w:left="15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6"/>
                <w:szCs w:val="16"/>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Cash Distribution per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Trust Common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line="203" w:lineRule="exact"/>
              <w:rPr>
                <w:sz w:val="20"/>
                <w:szCs w:val="20"/>
                <w:color w:val="auto"/>
              </w:rPr>
            </w:pPr>
            <w:r>
              <w:rPr>
                <w:rFonts w:ascii="Arial" w:cs="Arial" w:eastAsia="Arial" w:hAnsi="Arial"/>
                <w:sz w:val="16"/>
                <w:szCs w:val="16"/>
                <w:color w:val="auto"/>
              </w:rPr>
              <w:t xml:space="preserve">July 1, 2021 - September 30, 2021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August 3, 2021 </w:t>
            </w:r>
            <w:r>
              <w:rPr>
                <w:rFonts w:ascii="Arial" w:cs="Arial" w:eastAsia="Arial" w:hAnsi="Arial"/>
                <w:sz w:val="20"/>
                <w:szCs w:val="20"/>
                <w:b w:val="1"/>
                <w:bCs w:val="1"/>
                <w:color w:val="auto"/>
                <w:vertAlign w:val="superscript"/>
              </w:rPr>
              <w:t>(2)</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2021 - June 30,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2021 - March 31,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2020 - December 31,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1, 2020 - September 30,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1, 2020 - June 30,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1, 2020 - March 31,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1, 2019 - December 31, 2019</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A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July 30, 2021 - September 29, 2021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2021 - July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2021 - April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2020 - January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2020 - September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2020 - July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2020 - April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2019 - January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0.453125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Series B Preferred Shares:</w:t>
            </w: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ind w:left="20"/>
              <w:spacing w:after="0" w:line="219" w:lineRule="exact"/>
              <w:rPr>
                <w:sz w:val="20"/>
                <w:szCs w:val="20"/>
                <w:color w:val="auto"/>
              </w:rPr>
            </w:pPr>
            <w:r>
              <w:rPr>
                <w:rFonts w:ascii="Arial" w:cs="Arial" w:eastAsia="Arial" w:hAnsi="Arial"/>
                <w:sz w:val="16"/>
                <w:szCs w:val="16"/>
                <w:color w:val="auto"/>
              </w:rPr>
              <w:t xml:space="preserve">July 30, 2021 - September 29, 2021 </w:t>
            </w:r>
            <w:r>
              <w:rPr>
                <w:rFonts w:ascii="Arial" w:cs="Arial" w:eastAsia="Arial" w:hAnsi="Arial"/>
                <w:sz w:val="20"/>
                <w:szCs w:val="20"/>
                <w:b w:val="1"/>
                <w:bCs w:val="1"/>
                <w:color w:val="auto"/>
                <w:vertAlign w:val="superscript"/>
              </w:rPr>
              <w:t>(1)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2021 - July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2021 - April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2020 - January 29, 2021</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July 30, 2020 - September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April 30, 2020 - July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January 30, 2020 - April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October 30, 2019 - January 29, 2020</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0.4921875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-3680460</wp:posOffset>
            </wp:positionV>
            <wp:extent cx="709803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-3423285</wp:posOffset>
            </wp:positionV>
            <wp:extent cx="709803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-3166110</wp:posOffset>
            </wp:positionV>
            <wp:extent cx="709803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-2908935</wp:posOffset>
            </wp:positionV>
            <wp:extent cx="709803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-2651760</wp:posOffset>
            </wp:positionV>
            <wp:extent cx="709803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-2419985</wp:posOffset>
            </wp:positionV>
            <wp:extent cx="709803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-2162810</wp:posOffset>
            </wp:positionV>
            <wp:extent cx="709803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-1905635</wp:posOffset>
            </wp:positionV>
            <wp:extent cx="709803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-1648460</wp:posOffset>
            </wp:positionV>
            <wp:extent cx="7098030"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12827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-1391920</wp:posOffset>
            </wp:positionV>
            <wp:extent cx="709803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-1031240</wp:posOffset>
            </wp:positionV>
            <wp:extent cx="709803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-774065</wp:posOffset>
            </wp:positionV>
            <wp:extent cx="709803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-516890</wp:posOffset>
            </wp:positionV>
            <wp:extent cx="709803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-259715</wp:posOffset>
            </wp:positionV>
            <wp:extent cx="709803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41"/>
              <w:spacing w:after="0"/>
              <w:rPr>
                <w:sz w:val="20"/>
                <w:szCs w:val="20"/>
                <w:color w:val="auto"/>
              </w:rPr>
            </w:pPr>
            <w:r>
              <w:rPr>
                <w:rFonts w:ascii="Arial" w:cs="Arial" w:eastAsia="Arial" w:hAnsi="Arial"/>
                <w:sz w:val="16"/>
                <w:szCs w:val="16"/>
                <w:b w:val="1"/>
                <w:bCs w:val="1"/>
                <w:color w:val="auto"/>
              </w:rPr>
              <w:t>Total Cash</w:t>
            </w:r>
          </w:p>
        </w:tc>
        <w:tc>
          <w:tcPr>
            <w:tcW w:w="1780" w:type="dxa"/>
            <w:vAlign w:val="bottom"/>
            <w:vMerge w:val="restart"/>
          </w:tcPr>
          <w:p>
            <w:pPr>
              <w:jc w:val="right"/>
              <w:ind w:right="341"/>
              <w:spacing w:after="0"/>
              <w:rPr>
                <w:sz w:val="20"/>
                <w:szCs w:val="20"/>
                <w:color w:val="auto"/>
              </w:rPr>
            </w:pPr>
            <w:r>
              <w:rPr>
                <w:rFonts w:ascii="Arial" w:cs="Arial" w:eastAsia="Arial" w:hAnsi="Arial"/>
                <w:sz w:val="16"/>
                <w:szCs w:val="16"/>
                <w:b w:val="1"/>
                <w:bCs w:val="1"/>
                <w:color w:val="auto"/>
              </w:rPr>
              <w:t>Record Date</w:t>
            </w:r>
          </w:p>
        </w:tc>
        <w:tc>
          <w:tcPr>
            <w:tcW w:w="100" w:type="dxa"/>
            <w:vAlign w:val="bottom"/>
            <w:vMerge w:val="restart"/>
          </w:tcPr>
          <w:p>
            <w:pPr>
              <w:spacing w:after="0"/>
              <w:rPr>
                <w:sz w:val="16"/>
                <w:szCs w:val="16"/>
                <w:color w:val="auto"/>
              </w:rPr>
            </w:pPr>
          </w:p>
        </w:tc>
        <w:tc>
          <w:tcPr>
            <w:tcW w:w="178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194"/>
        </w:trPr>
        <w:tc>
          <w:tcPr>
            <w:tcW w:w="1500" w:type="dxa"/>
            <w:vAlign w:val="bottom"/>
          </w:tcPr>
          <w:p>
            <w:pPr>
              <w:jc w:val="right"/>
              <w:ind w:right="461"/>
              <w:spacing w:after="0"/>
              <w:rPr>
                <w:sz w:val="20"/>
                <w:szCs w:val="20"/>
                <w:color w:val="auto"/>
              </w:rPr>
            </w:pPr>
            <w:r>
              <w:rPr>
                <w:rFonts w:ascii="Arial" w:cs="Arial" w:eastAsia="Arial" w:hAnsi="Arial"/>
                <w:sz w:val="16"/>
                <w:szCs w:val="16"/>
                <w:b w:val="1"/>
                <w:bCs w:val="1"/>
                <w:color w:val="auto"/>
                <w:w w:val="95"/>
              </w:rPr>
              <w:t>Distributions</w:t>
            </w: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23,742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57,112</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August 31, 2021</w:t>
            </w:r>
          </w:p>
        </w:tc>
        <w:tc>
          <w:tcPr>
            <w:tcW w:w="1780" w:type="dxa"/>
            <w:vAlign w:val="bottom"/>
          </w:tcPr>
          <w:p>
            <w:pPr>
              <w:jc w:val="right"/>
              <w:spacing w:after="0"/>
              <w:rPr>
                <w:sz w:val="20"/>
                <w:szCs w:val="20"/>
                <w:color w:val="auto"/>
              </w:rPr>
            </w:pPr>
            <w:r>
              <w:rPr>
                <w:rFonts w:ascii="Arial" w:cs="Arial" w:eastAsia="Arial" w:hAnsi="Arial"/>
                <w:sz w:val="16"/>
                <w:szCs w:val="16"/>
                <w:color w:val="auto"/>
              </w:rPr>
              <w:t>September 7,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22,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22,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23,364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July 23,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21,564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23,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21,564</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16,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23, 2020</w:t>
            </w:r>
          </w:p>
        </w:tc>
        <w:tc>
          <w:tcPr>
            <w:tcW w:w="0" w:type="dxa"/>
            <w:vAlign w:val="bottom"/>
          </w:tcPr>
          <w:p>
            <w:pPr>
              <w:spacing w:after="0"/>
              <w:rPr>
                <w:sz w:val="1"/>
                <w:szCs w:val="1"/>
                <w:color w:val="auto"/>
              </w:rPr>
            </w:pPr>
          </w:p>
        </w:tc>
      </w:tr>
      <w:tr>
        <w:trPr>
          <w:trHeight w:val="567"/>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1,813</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2020</w:t>
            </w:r>
          </w:p>
        </w:tc>
        <w:tc>
          <w:tcPr>
            <w:tcW w:w="0" w:type="dxa"/>
            <w:vAlign w:val="bottom"/>
          </w:tcPr>
          <w:p>
            <w:pPr>
              <w:spacing w:after="0"/>
              <w:rPr>
                <w:sz w:val="1"/>
                <w:szCs w:val="1"/>
                <w:color w:val="auto"/>
              </w:rPr>
            </w:pPr>
          </w:p>
        </w:tc>
      </w:tr>
      <w:tr>
        <w:trPr>
          <w:trHeight w:val="567"/>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2021</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2021</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October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October 30,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July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July 30,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April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April 30, 2020</w:t>
            </w:r>
          </w:p>
        </w:tc>
        <w:tc>
          <w:tcPr>
            <w:tcW w:w="0" w:type="dxa"/>
            <w:vAlign w:val="bottom"/>
          </w:tcPr>
          <w:p>
            <w:pPr>
              <w:spacing w:after="0"/>
              <w:rPr>
                <w:sz w:val="1"/>
                <w:szCs w:val="1"/>
                <w:color w:val="auto"/>
              </w:rPr>
            </w:pPr>
          </w:p>
        </w:tc>
      </w:tr>
      <w:tr>
        <w:trPr>
          <w:trHeight w:val="203"/>
        </w:trPr>
        <w:tc>
          <w:tcPr>
            <w:tcW w:w="1500" w:type="dxa"/>
            <w:vAlign w:val="bottom"/>
          </w:tcPr>
          <w:p>
            <w:pPr>
              <w:jc w:val="right"/>
              <w:ind w:right="101"/>
              <w:spacing w:after="0"/>
              <w:rPr>
                <w:sz w:val="20"/>
                <w:szCs w:val="20"/>
                <w:color w:val="auto"/>
              </w:rPr>
            </w:pPr>
            <w:r>
              <w:rPr>
                <w:rFonts w:ascii="Arial" w:cs="Arial" w:eastAsia="Arial" w:hAnsi="Arial"/>
                <w:sz w:val="16"/>
                <w:szCs w:val="16"/>
                <w:color w:val="auto"/>
              </w:rPr>
              <w:t>1,969</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15, 2020</w:t>
            </w:r>
          </w:p>
        </w:tc>
        <w:tc>
          <w:tcPr>
            <w:tcW w:w="1780" w:type="dxa"/>
            <w:vAlign w:val="bottom"/>
          </w:tcPr>
          <w:p>
            <w:pPr>
              <w:jc w:val="right"/>
              <w:spacing w:after="0"/>
              <w:rPr>
                <w:sz w:val="20"/>
                <w:szCs w:val="20"/>
                <w:color w:val="auto"/>
              </w:rPr>
            </w:pPr>
            <w:r>
              <w:rPr>
                <w:rFonts w:ascii="Arial" w:cs="Arial" w:eastAsia="Arial" w:hAnsi="Arial"/>
                <w:sz w:val="16"/>
                <w:szCs w:val="16"/>
                <w:color w:val="auto"/>
              </w:rPr>
              <w:t>January 30, 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-3911600</wp:posOffset>
            </wp:positionV>
            <wp:extent cx="1165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40"/>
            <w:col w:w="5180"/>
          </w:cols>
          <w:pgMar w:left="320" w:top="1118"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34" w:name="page35"/>
    <w:bookmarkEnd w:id="34"/>
    <w:tbl>
      <w:tblPr>
        <w:tblLayout w:type="fixed"/>
        <w:tblInd w:w="40" w:type="dxa"/>
        <w:tblCellMar>
          <w:top w:w="0" w:type="dxa"/>
          <w:left w:w="0" w:type="dxa"/>
          <w:bottom w:w="0" w:type="dxa"/>
          <w:right w:w="0" w:type="dxa"/>
        </w:tblCellMar>
      </w:tblPr>
      <w:tr>
        <w:trPr>
          <w:trHeight w:val="20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Series C Preferred Shares:</w:t>
            </w:r>
          </w:p>
        </w:tc>
        <w:tc>
          <w:tcPr>
            <w:tcW w:w="10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3240" w:type="dxa"/>
            <w:vAlign w:val="bottom"/>
            <w:gridSpan w:val="2"/>
          </w:tcPr>
          <w:p>
            <w:pPr>
              <w:ind w:left="20"/>
              <w:spacing w:after="0" w:line="203" w:lineRule="exact"/>
              <w:rPr>
                <w:sz w:val="20"/>
                <w:szCs w:val="20"/>
                <w:color w:val="auto"/>
              </w:rPr>
            </w:pPr>
            <w:r>
              <w:rPr>
                <w:rFonts w:ascii="Arial" w:cs="Arial" w:eastAsia="Arial" w:hAnsi="Arial"/>
                <w:sz w:val="16"/>
                <w:szCs w:val="16"/>
                <w:color w:val="auto"/>
              </w:rPr>
              <w:t xml:space="preserve">July 30, 2021 - September 29, 2021 </w:t>
            </w:r>
            <w:r>
              <w:rPr>
                <w:rFonts w:ascii="Arial" w:cs="Arial" w:eastAsia="Arial" w:hAnsi="Arial"/>
                <w:sz w:val="20"/>
                <w:szCs w:val="20"/>
                <w:b w:val="1"/>
                <w:bCs w:val="1"/>
                <w:color w:val="auto"/>
                <w:vertAlign w:val="superscript"/>
              </w:rPr>
              <w:t>(1)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October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2021</w:t>
            </w:r>
          </w:p>
        </w:tc>
      </w:tr>
      <w:tr>
        <w:trPr>
          <w:trHeight w:val="20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30, 2021 - July 29, 2021</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2021</w:t>
            </w:r>
          </w:p>
        </w:tc>
      </w:tr>
      <w:tr>
        <w:trPr>
          <w:trHeight w:val="203"/>
        </w:trPr>
        <w:tc>
          <w:tcPr>
            <w:tcW w:w="1260" w:type="dxa"/>
            <w:vAlign w:val="bottom"/>
          </w:tcPr>
          <w:p>
            <w:pPr>
              <w:ind w:left="20"/>
              <w:spacing w:after="0"/>
              <w:rPr>
                <w:sz w:val="20"/>
                <w:szCs w:val="20"/>
                <w:color w:val="auto"/>
              </w:rPr>
            </w:pPr>
            <w:r>
              <w:rPr>
                <w:rFonts w:ascii="Arial" w:cs="Arial" w:eastAsia="Arial" w:hAnsi="Arial"/>
                <w:sz w:val="16"/>
                <w:szCs w:val="16"/>
                <w:color w:val="auto"/>
                <w:w w:val="98"/>
              </w:rPr>
              <w:t>January 30, 2021</w:t>
            </w:r>
          </w:p>
        </w:tc>
        <w:tc>
          <w:tcPr>
            <w:tcW w:w="1980" w:type="dxa"/>
            <w:vAlign w:val="bottom"/>
          </w:tcPr>
          <w:p>
            <w:pPr>
              <w:ind w:left="20"/>
              <w:spacing w:after="0"/>
              <w:rPr>
                <w:sz w:val="20"/>
                <w:szCs w:val="20"/>
                <w:color w:val="auto"/>
              </w:rPr>
            </w:pPr>
            <w:r>
              <w:rPr>
                <w:rFonts w:ascii="Arial" w:cs="Arial" w:eastAsia="Arial" w:hAnsi="Arial"/>
                <w:sz w:val="16"/>
                <w:szCs w:val="16"/>
                <w:color w:val="auto"/>
              </w:rPr>
              <w:t>- April 29, 2021</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2021</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2021</w:t>
            </w:r>
          </w:p>
        </w:tc>
      </w:tr>
      <w:tr>
        <w:trPr>
          <w:trHeight w:val="203"/>
        </w:trPr>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October 30, 2020</w:t>
            </w:r>
          </w:p>
        </w:tc>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January 29, 2021</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2021</w:t>
            </w:r>
          </w:p>
        </w:tc>
      </w:tr>
      <w:tr>
        <w:trPr>
          <w:trHeight w:val="20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July 30, 2020 - September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October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October 30, 2020</w:t>
            </w:r>
          </w:p>
        </w:tc>
      </w:tr>
      <w:tr>
        <w:trPr>
          <w:trHeight w:val="20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30, 2020 - July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July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July 30, 2020</w:t>
            </w:r>
          </w:p>
        </w:tc>
      </w:tr>
      <w:tr>
        <w:trPr>
          <w:trHeight w:val="203"/>
        </w:trPr>
        <w:tc>
          <w:tcPr>
            <w:tcW w:w="1260" w:type="dxa"/>
            <w:vAlign w:val="bottom"/>
          </w:tcPr>
          <w:p>
            <w:pPr>
              <w:ind w:left="20"/>
              <w:spacing w:after="0"/>
              <w:rPr>
                <w:sz w:val="20"/>
                <w:szCs w:val="20"/>
                <w:color w:val="auto"/>
              </w:rPr>
            </w:pPr>
            <w:r>
              <w:rPr>
                <w:rFonts w:ascii="Arial" w:cs="Arial" w:eastAsia="Arial" w:hAnsi="Arial"/>
                <w:sz w:val="16"/>
                <w:szCs w:val="16"/>
                <w:color w:val="auto"/>
                <w:w w:val="98"/>
              </w:rPr>
              <w:t>January 30, 2020</w:t>
            </w:r>
          </w:p>
        </w:tc>
        <w:tc>
          <w:tcPr>
            <w:tcW w:w="1980" w:type="dxa"/>
            <w:vAlign w:val="bottom"/>
          </w:tcPr>
          <w:p>
            <w:pPr>
              <w:ind w:left="20"/>
              <w:spacing w:after="0"/>
              <w:rPr>
                <w:sz w:val="20"/>
                <w:szCs w:val="20"/>
                <w:color w:val="auto"/>
              </w:rPr>
            </w:pPr>
            <w:r>
              <w:rPr>
                <w:rFonts w:ascii="Arial" w:cs="Arial" w:eastAsia="Arial" w:hAnsi="Arial"/>
                <w:sz w:val="16"/>
                <w:szCs w:val="16"/>
                <w:color w:val="auto"/>
              </w:rPr>
              <w:t>- April 29, 2020</w:t>
            </w:r>
          </w:p>
        </w:tc>
        <w:tc>
          <w:tcPr>
            <w:tcW w:w="1000" w:type="dxa"/>
            <w:vAlign w:val="bottom"/>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0.4921875</w:t>
            </w:r>
          </w:p>
        </w:tc>
        <w:tc>
          <w:tcPr>
            <w:tcW w:w="80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81"/>
              <w:spacing w:after="0"/>
              <w:rPr>
                <w:sz w:val="20"/>
                <w:szCs w:val="20"/>
                <w:color w:val="auto"/>
              </w:rPr>
            </w:pPr>
            <w:r>
              <w:rPr>
                <w:rFonts w:ascii="Arial" w:cs="Arial" w:eastAsia="Arial" w:hAnsi="Arial"/>
                <w:sz w:val="16"/>
                <w:szCs w:val="16"/>
                <w:color w:val="auto"/>
              </w:rPr>
              <w:t>2,264</w:t>
            </w:r>
          </w:p>
        </w:tc>
        <w:tc>
          <w:tcPr>
            <w:tcW w:w="1900" w:type="dxa"/>
            <w:vAlign w:val="bottom"/>
          </w:tcPr>
          <w:p>
            <w:pPr>
              <w:jc w:val="right"/>
              <w:ind w:right="241"/>
              <w:spacing w:after="0"/>
              <w:rPr>
                <w:sz w:val="20"/>
                <w:szCs w:val="20"/>
                <w:color w:val="auto"/>
              </w:rPr>
            </w:pPr>
            <w:r>
              <w:rPr>
                <w:rFonts w:ascii="Arial" w:cs="Arial" w:eastAsia="Arial" w:hAnsi="Arial"/>
                <w:sz w:val="16"/>
                <w:szCs w:val="16"/>
                <w:color w:val="auto"/>
              </w:rPr>
              <w:t>April 15, 2020</w:t>
            </w:r>
          </w:p>
        </w:tc>
        <w:tc>
          <w:tcPr>
            <w:tcW w:w="1580" w:type="dxa"/>
            <w:vAlign w:val="bottom"/>
          </w:tcPr>
          <w:p>
            <w:pPr>
              <w:jc w:val="right"/>
              <w:spacing w:after="0"/>
              <w:rPr>
                <w:sz w:val="20"/>
                <w:szCs w:val="20"/>
                <w:color w:val="auto"/>
              </w:rPr>
            </w:pPr>
            <w:r>
              <w:rPr>
                <w:rFonts w:ascii="Arial" w:cs="Arial" w:eastAsia="Arial" w:hAnsi="Arial"/>
                <w:sz w:val="16"/>
                <w:szCs w:val="16"/>
                <w:color w:val="auto"/>
              </w:rPr>
              <w:t>April 30, 2020</w:t>
            </w:r>
          </w:p>
        </w:tc>
      </w:tr>
      <w:tr>
        <w:trPr>
          <w:trHeight w:val="20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20, 2019 - January 29, 2020</w:t>
            </w:r>
          </w:p>
        </w:tc>
        <w:tc>
          <w:tcPr>
            <w:tcW w:w="100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0.38281</w:t>
            </w:r>
          </w:p>
        </w:tc>
        <w:tc>
          <w:tcPr>
            <w:tcW w:w="800" w:type="dxa"/>
            <w:vAlign w:val="bottom"/>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1,531</w:t>
            </w:r>
          </w:p>
        </w:tc>
        <w:tc>
          <w:tcPr>
            <w:tcW w:w="19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January 15,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30, 2020</w:t>
            </w:r>
          </w:p>
        </w:tc>
      </w:tr>
    </w:tbl>
    <w:p>
      <w:pPr>
        <w:spacing w:after="0" w:line="140" w:lineRule="exact"/>
        <w:rPr>
          <w:sz w:val="20"/>
          <w:szCs w:val="20"/>
          <w:color w:val="auto"/>
        </w:rPr>
      </w:pPr>
    </w:p>
    <w:p>
      <w:pPr>
        <w:spacing w:after="0"/>
        <w:tabs>
          <w:tab w:leader="none" w:pos="206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October 5, 2021.</w:t>
      </w:r>
    </w:p>
    <w:p>
      <w:pPr>
        <w:spacing w:after="0" w:line="158" w:lineRule="exact"/>
        <w:rPr>
          <w:sz w:val="20"/>
          <w:szCs w:val="20"/>
          <w:color w:val="auto"/>
        </w:rPr>
      </w:pPr>
    </w:p>
    <w:p>
      <w:pPr>
        <w:jc w:val="both"/>
        <w:ind w:firstLine="8"/>
        <w:spacing w:after="0" w:line="307" w:lineRule="auto"/>
        <w:tabs>
          <w:tab w:leader="none" w:pos="224" w:val="left"/>
        </w:tabs>
        <w:numPr>
          <w:ilvl w:val="0"/>
          <w:numId w:val="18"/>
        </w:numPr>
        <w:rPr>
          <w:rFonts w:ascii="Arial" w:cs="Arial" w:eastAsia="Arial" w:hAnsi="Arial"/>
          <w:sz w:val="26"/>
          <w:szCs w:val="26"/>
          <w:b w:val="1"/>
          <w:bCs w:val="1"/>
          <w:color w:val="auto"/>
          <w:vertAlign w:val="superscript"/>
        </w:rPr>
      </w:pPr>
      <w:r>
        <w:rPr>
          <w:rFonts w:ascii="Arial" w:cs="Arial" w:eastAsia="Arial" w:hAnsi="Arial"/>
          <w:sz w:val="17"/>
          <w:szCs w:val="17"/>
          <w:color w:val="auto"/>
        </w:rPr>
        <w:t>On August 3, 2021, in order to offset a portion of the tax liability to the shareholders as a result of the election to cause the Trust to be treated as a corporation for U.S. federal income tax purposes, the Company's Board of Directors declared a special cash distribution on the Trust’s common shares. A distribution of $57.1 million was made on August 31, 2021 to Trust common shareholders. The Company expects that subsequent distributions to the Trust common shareholders will be reduced from $0.36 per share to reflect the effect of the Trust being taxed as a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September 30, 2021 and December 31, 2020:</w:t>
      </w:r>
    </w:p>
    <w:p>
      <w:pPr>
        <w:spacing w:after="0" w:line="38"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4400" w:type="dxa"/>
            <w:vAlign w:val="bottom"/>
          </w:tcPr>
          <w:p>
            <w:pPr>
              <w:spacing w:after="0"/>
              <w:rPr>
                <w:sz w:val="18"/>
                <w:szCs w:val="18"/>
                <w:color w:val="auto"/>
              </w:rPr>
            </w:pPr>
          </w:p>
        </w:tc>
        <w:tc>
          <w:tcPr>
            <w:tcW w:w="2440" w:type="dxa"/>
            <w:vAlign w:val="bottom"/>
            <w:gridSpan w:val="3"/>
          </w:tcPr>
          <w:p>
            <w:pPr>
              <w:jc w:val="center"/>
              <w:ind w:left="340"/>
              <w:spacing w:after="0"/>
              <w:rPr>
                <w:sz w:val="20"/>
                <w:szCs w:val="20"/>
                <w:color w:val="auto"/>
              </w:rPr>
            </w:pPr>
            <w:r>
              <w:rPr>
                <w:rFonts w:ascii="Arial" w:cs="Arial" w:eastAsia="Arial" w:hAnsi="Arial"/>
                <w:sz w:val="15"/>
                <w:szCs w:val="15"/>
                <w:b w:val="1"/>
                <w:bCs w:val="1"/>
                <w:color w:val="auto"/>
                <w:w w:val="99"/>
              </w:rPr>
              <w:t xml:space="preserve">% Ownership </w:t>
            </w:r>
            <w:r>
              <w:rPr>
                <w:rFonts w:ascii="Arial" w:cs="Arial" w:eastAsia="Arial" w:hAnsi="Arial"/>
                <w:sz w:val="19"/>
                <w:szCs w:val="19"/>
                <w:b w:val="1"/>
                <w:bCs w:val="1"/>
                <w:color w:val="auto"/>
                <w:w w:val="99"/>
                <w:vertAlign w:val="superscript"/>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244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5"/>
                <w:szCs w:val="15"/>
                <w:b w:val="1"/>
                <w:bCs w:val="1"/>
                <w:color w:val="auto"/>
              </w:rPr>
              <w:t>September 30, 2021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46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980" w:type="dxa"/>
            <w:vAlign w:val="bottom"/>
          </w:tcPr>
          <w:p>
            <w:pPr>
              <w:jc w:val="center"/>
              <w:ind w:left="344"/>
              <w:spacing w:after="0" w:line="142" w:lineRule="exact"/>
              <w:rPr>
                <w:sz w:val="20"/>
                <w:szCs w:val="20"/>
                <w:color w:val="auto"/>
              </w:rPr>
            </w:pPr>
            <w:r>
              <w:rPr>
                <w:rFonts w:ascii="Arial" w:cs="Arial" w:eastAsia="Arial" w:hAnsi="Arial"/>
                <w:sz w:val="15"/>
                <w:szCs w:val="15"/>
                <w:b w:val="1"/>
                <w:bCs w:val="1"/>
                <w:color w:val="auto"/>
              </w:rPr>
              <w:t>Fully</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Primary</w:t>
            </w:r>
          </w:p>
        </w:tc>
        <w:tc>
          <w:tcPr>
            <w:tcW w:w="1440" w:type="dxa"/>
            <w:vAlign w:val="bottom"/>
          </w:tcPr>
          <w:p>
            <w:pPr>
              <w:jc w:val="right"/>
              <w:ind w:right="460"/>
              <w:spacing w:after="0" w:line="142" w:lineRule="exact"/>
              <w:rPr>
                <w:sz w:val="20"/>
                <w:szCs w:val="20"/>
                <w:color w:val="auto"/>
              </w:rPr>
            </w:pPr>
            <w:r>
              <w:rPr>
                <w:rFonts w:ascii="Arial" w:cs="Arial" w:eastAsia="Arial" w:hAnsi="Arial"/>
                <w:sz w:val="15"/>
                <w:szCs w:val="15"/>
                <w:b w:val="1"/>
                <w:bCs w:val="1"/>
                <w:color w:val="auto"/>
              </w:rPr>
              <w:t>Fully</w:t>
            </w: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980" w:type="dxa"/>
            <w:vAlign w:val="bottom"/>
          </w:tcPr>
          <w:p>
            <w:pPr>
              <w:jc w:val="center"/>
              <w:ind w:left="344"/>
              <w:spacing w:after="0"/>
              <w:rPr>
                <w:sz w:val="20"/>
                <w:szCs w:val="20"/>
                <w:color w:val="auto"/>
              </w:rPr>
            </w:pPr>
            <w:r>
              <w:rPr>
                <w:rFonts w:ascii="Arial" w:cs="Arial" w:eastAsia="Arial" w:hAnsi="Arial"/>
                <w:sz w:val="15"/>
                <w:szCs w:val="15"/>
                <w:b w:val="1"/>
                <w:bCs w:val="1"/>
                <w:color w:val="auto"/>
              </w:rPr>
              <w:t>Diluted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4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BOA</w:t>
            </w:r>
          </w:p>
        </w:tc>
        <w:tc>
          <w:tcPr>
            <w:tcW w:w="1340" w:type="dxa"/>
            <w:vAlign w:val="bottom"/>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Lugano</w:t>
            </w: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Arial" w:cs="Arial" w:eastAsia="Arial" w:hAnsi="Arial"/>
                <w:sz w:val="16"/>
                <w:szCs w:val="16"/>
                <w:color w:val="auto"/>
              </w:rPr>
              <w:t>n/a</w:t>
            </w: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Marucci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Altor</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17" w:lineRule="auto"/>
        <w:tabs>
          <w:tab w:leader="none" w:pos="477" w:val="left"/>
        </w:tabs>
        <w:numPr>
          <w:ilvl w:val="0"/>
          <w:numId w:val="19"/>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5" w:name="page36"/>
    <w:bookmarkEnd w:id="35"/>
    <w:tbl>
      <w:tblPr>
        <w:tblLayout w:type="fixed"/>
        <w:tblInd w:w="860" w:type="dxa"/>
        <w:tblCellMar>
          <w:top w:w="0" w:type="dxa"/>
          <w:left w:w="0" w:type="dxa"/>
          <w:bottom w:w="0" w:type="dxa"/>
          <w:right w:w="0" w:type="dxa"/>
        </w:tblCellMar>
      </w:tblPr>
      <w:tr>
        <w:trPr>
          <w:trHeight w:val="20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00"/>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184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2021</w:t>
            </w:r>
          </w:p>
        </w:tc>
        <w:tc>
          <w:tcPr>
            <w:tcW w:w="180" w:type="dxa"/>
            <w:vAlign w:val="bottom"/>
          </w:tcPr>
          <w:p>
            <w:pPr>
              <w:spacing w:after="0"/>
              <w:rPr>
                <w:sz w:val="17"/>
                <w:szCs w:val="17"/>
                <w:color w:val="auto"/>
              </w:rPr>
            </w:pPr>
          </w:p>
        </w:tc>
        <w:tc>
          <w:tcPr>
            <w:tcW w:w="1720" w:type="dxa"/>
            <w:vAlign w:val="bottom"/>
          </w:tcPr>
          <w:p>
            <w:pPr>
              <w:jc w:val="right"/>
              <w:ind w:right="179"/>
              <w:spacing w:after="0"/>
              <w:rPr>
                <w:sz w:val="20"/>
                <w:szCs w:val="20"/>
                <w:color w:val="auto"/>
              </w:rPr>
            </w:pPr>
            <w:r>
              <w:rPr>
                <w:rFonts w:ascii="Arial" w:cs="Arial" w:eastAsia="Arial" w:hAnsi="Arial"/>
                <w:sz w:val="15"/>
                <w:szCs w:val="15"/>
                <w:b w:val="1"/>
                <w:bCs w:val="1"/>
                <w:color w:val="auto"/>
              </w:rPr>
              <w:t>December 31, 2020</w:t>
            </w: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14,567</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BOA</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26,695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61,625</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27,408</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Lugano</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68,272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11,386</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Velocity Outdoor</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4,077</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ACI</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(7,175)</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Altor</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2,901</w:t>
            </w:r>
          </w:p>
        </w:tc>
      </w:tr>
      <w:tr>
        <w:trPr>
          <w:trHeight w:val="219"/>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r>
      <w:tr>
        <w:trPr>
          <w:trHeight w:val="213"/>
        </w:trPr>
        <w:tc>
          <w:tcPr>
            <w:tcW w:w="5620" w:type="dxa"/>
            <w:vAlign w:val="bottom"/>
          </w:tcPr>
          <w:p>
            <w:pPr>
              <w:spacing w:after="0"/>
              <w:rPr>
                <w:sz w:val="20"/>
                <w:szCs w:val="20"/>
                <w:color w:val="auto"/>
              </w:rPr>
            </w:pPr>
            <w:r>
              <w:rPr>
                <w:rFonts w:ascii="Arial" w:cs="Arial" w:eastAsia="Arial" w:hAnsi="Arial"/>
                <w:sz w:val="16"/>
                <w:szCs w:val="16"/>
                <w:color w:val="auto"/>
              </w:rPr>
              <w:t>Sterno</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Allocation Interests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56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158,816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116,288</w:t>
            </w:r>
          </w:p>
        </w:tc>
      </w:tr>
      <w:tr>
        <w:trPr>
          <w:trHeight w:val="2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 - Repurchase of Noncontrolling Interest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September 2021, BOA repurchased shares of its issued and outstanding common shares from its largest minority shareholder for a total payment of $ 48.0 million, which BOA financed by borrowing under their intercompany credit facility with the Company (the "BOA Credit Agreement"). The BOA Credit Agreement was amended to (i) provide for additional term loan borrowings of $38.0 million, and (ii) consent to the repurchase of the shares from the minority shareholder. The transaction was accounted for in accordance with ASC 810 - Consolidation, whereby the carrying amount of the noncontrolling interest was adjusted to reflect the change in the ownership interest in BOA that occurred as a result of the share repurchase. The difference between the fair value of the consideration paid of $48.0 million and the amount by which the noncontrolling interest was adjusted of $39.4 million was recognized in equity attributable to the Company.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September 30,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80" w:type="dxa"/>
            <w:vAlign w:val="bottom"/>
            <w:tcBorders>
              <w:top w:val="single" w:sz="8" w:color="auto"/>
              <w:bottom w:val="single" w:sz="8" w:color="auto"/>
            </w:tcBorders>
            <w:gridSpan w:val="9"/>
          </w:tcPr>
          <w:p>
            <w:pPr>
              <w:jc w:val="right"/>
              <w:ind w:right="79"/>
              <w:spacing w:after="0"/>
              <w:rPr>
                <w:sz w:val="20"/>
                <w:szCs w:val="20"/>
                <w:color w:val="auto"/>
              </w:rPr>
            </w:pPr>
            <w:r>
              <w:rPr>
                <w:rFonts w:ascii="Arial" w:cs="Arial" w:eastAsia="Arial" w:hAnsi="Arial"/>
                <w:sz w:val="15"/>
                <w:szCs w:val="15"/>
                <w:b w:val="1"/>
                <w:bCs w:val="1"/>
                <w:color w:val="auto"/>
              </w:rPr>
              <w:t>Fair Value Measurements at September 30, 2021</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80"/>
              <w:spacing w:after="0" w:line="142" w:lineRule="exact"/>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Level 1</w:t>
            </w:r>
          </w:p>
        </w:tc>
        <w:tc>
          <w:tcPr>
            <w:tcW w:w="28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2"/>
                <w:szCs w:val="1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Value</w:t>
            </w: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26"/>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acquisition.</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20"/>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w:t>
      </w:r>
    </w:p>
    <w:p>
      <w:pPr>
        <w:spacing w:after="0" w:line="189"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680" w:type="dxa"/>
            <w:vAlign w:val="bottom"/>
            <w:tcBorders>
              <w:top w:val="single" w:sz="8" w:color="auto"/>
              <w:bottom w:val="single" w:sz="8" w:color="auto"/>
            </w:tcBorders>
            <w:gridSpan w:val="9"/>
          </w:tcPr>
          <w:p>
            <w:pPr>
              <w:jc w:val="right"/>
              <w:ind w:right="99"/>
              <w:spacing w:after="0"/>
              <w:rPr>
                <w:sz w:val="20"/>
                <w:szCs w:val="20"/>
                <w:color w:val="auto"/>
              </w:rPr>
            </w:pPr>
            <w:r>
              <w:rPr>
                <w:rFonts w:ascii="Arial" w:cs="Arial" w:eastAsia="Arial" w:hAnsi="Arial"/>
                <w:sz w:val="15"/>
                <w:szCs w:val="15"/>
                <w:b w:val="1"/>
                <w:bCs w:val="1"/>
                <w:color w:val="auto"/>
              </w:rPr>
              <w:t>Fair Value Measurements at December 31, 2020</w:t>
            </w:r>
          </w:p>
        </w:tc>
        <w:tc>
          <w:tcPr>
            <w:tcW w:w="1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2" w:lineRule="exact"/>
              <w:rPr>
                <w:sz w:val="20"/>
                <w:szCs w:val="20"/>
                <w:color w:val="auto"/>
              </w:rPr>
            </w:pPr>
            <w:r>
              <w:rPr>
                <w:rFonts w:ascii="Arial" w:cs="Arial" w:eastAsia="Arial" w:hAnsi="Arial"/>
                <w:sz w:val="15"/>
                <w:szCs w:val="15"/>
                <w:b w:val="1"/>
                <w:bCs w:val="1"/>
                <w:color w:val="auto"/>
              </w:rPr>
              <w:t>Carrying</w:t>
            </w: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Level 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vMerge w:val="restart"/>
          </w:tcPr>
          <w:p>
            <w:pPr>
              <w:jc w:val="right"/>
              <w:ind w:right="38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Value</w:t>
            </w: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spacing w:after="0"/>
              <w:rPr>
                <w:sz w:val="20"/>
                <w:szCs w:val="20"/>
                <w:color w:val="auto"/>
              </w:rPr>
            </w:pPr>
            <w:r>
              <w:rPr>
                <w:rFonts w:ascii="Arial" w:cs="Arial" w:eastAsia="Arial" w:hAnsi="Arial"/>
                <w:sz w:val="16"/>
                <w:szCs w:val="16"/>
                <w:i w:val="1"/>
                <w:iCs w:val="1"/>
                <w:color w:val="auto"/>
              </w:rPr>
              <w:t>Liabilities:</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 xml:space="preserve">Contingent consideration - acquisition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1"/>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recorded at fair value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36" w:name="page37"/>
    <w:bookmarkEnd w:id="36"/>
    <w:p>
      <w:pPr>
        <w:ind w:left="320" w:hanging="312"/>
        <w:spacing w:after="0"/>
        <w:tabs>
          <w:tab w:leader="none" w:pos="32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 Liberty was sold on July 16, 2021.</w:t>
      </w:r>
    </w:p>
    <w:p>
      <w:pPr>
        <w:spacing w:after="0" w:line="48" w:lineRule="exact"/>
        <w:rPr>
          <w:rFonts w:ascii="Arial" w:cs="Arial" w:eastAsia="Arial" w:hAnsi="Arial"/>
          <w:sz w:val="21"/>
          <w:szCs w:val="21"/>
          <w:b w:val="1"/>
          <w:bCs w:val="1"/>
          <w:color w:val="auto"/>
          <w:vertAlign w:val="superscript"/>
        </w:rPr>
      </w:pPr>
    </w:p>
    <w:p>
      <w:pPr>
        <w:ind w:left="320" w:hanging="312"/>
        <w:spacing w:after="0" w:line="193" w:lineRule="auto"/>
        <w:tabs>
          <w:tab w:leader="none" w:pos="32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potential earn-out payable as additional purchase price consideration by Altor in connection with the acquisition of Polyfoam.</w:t>
      </w:r>
    </w:p>
    <w:p>
      <w:pPr>
        <w:spacing w:after="0" w:line="2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2020 through September 30,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Level 3</w:t>
            </w:r>
          </w:p>
        </w:tc>
      </w:tr>
      <w:tr>
        <w:trPr>
          <w:trHeight w:val="214"/>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Increase in the fair value of put option of noncontrolling shareholder - Liberty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9"/>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in the fair value of put option of noncontrolling shareholder - 5.11</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Contingent consideration - Polyfoam</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r>
      <w:tr>
        <w:trPr>
          <w:trHeight w:val="213"/>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r>
      <w:tr>
        <w:trPr>
          <w:trHeight w:val="213"/>
        </w:trPr>
        <w:tc>
          <w:tcPr>
            <w:tcW w:w="7220" w:type="dxa"/>
            <w:vAlign w:val="bottom"/>
          </w:tcPr>
          <w:p>
            <w:pPr>
              <w:spacing w:after="0"/>
              <w:rPr>
                <w:sz w:val="20"/>
                <w:szCs w:val="20"/>
                <w:color w:val="auto"/>
              </w:rPr>
            </w:pPr>
            <w:r>
              <w:rPr>
                <w:rFonts w:ascii="Arial" w:cs="Arial" w:eastAsia="Arial" w:hAnsi="Arial"/>
                <w:sz w:val="16"/>
                <w:szCs w:val="16"/>
                <w:color w:val="auto"/>
              </w:rPr>
              <w:t>Termination of put option of noncontrolling shareholder - Liberty</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Increase in the fair value of put option of noncontrolling shareholder - 5.11</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7220" w:type="dxa"/>
            <w:vAlign w:val="bottom"/>
          </w:tcPr>
          <w:p>
            <w:pPr>
              <w:spacing w:after="0"/>
              <w:rPr>
                <w:sz w:val="20"/>
                <w:szCs w:val="20"/>
                <w:color w:val="auto"/>
              </w:rPr>
            </w:pPr>
            <w:r>
              <w:rPr>
                <w:rFonts w:ascii="Arial" w:cs="Arial" w:eastAsia="Arial" w:hAnsi="Arial"/>
                <w:sz w:val="16"/>
                <w:szCs w:val="16"/>
                <w:color w:val="auto"/>
              </w:rPr>
              <w:t>Balance at September 30, 2021</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w:t>
            </w:r>
          </w:p>
        </w:tc>
      </w:tr>
      <w:tr>
        <w:trPr>
          <w:trHeight w:val="21"/>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assets or liabilities measured on a non-recurring basis during the quarter ended September 30, 2021 and December 31, 2020,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September 1, 2021, the Company’s parent (i.e., the Trust) elected to be treated as a corporation for U.S federal income tax purposes. Prior to September 1, 2021, the Company’s items of income, gain, loss and deduction flowed through to owners of the parent Trust without being subject to entity level income taxes. Consequently, the Company’s earnings did not reflect a provision for income taxes except those for foreign, state, city and local income taxes incurred at the entity level. From and after September 1, 2021, the parent Trust will be subject to entity-level U.S. federal, state, and local corporate income taxes on the Company’s earnings that flow through to the Trust.</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its annual effective tax rate each fiscal quarter and applies that estimated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the annual estimated effective tax rate for each interim period requires certain assumptions, estimates, and significant judgment, including with respect to the projected operating income for the year, projections of income earned and taxes incurred in various jurisdictions, permanent and temporary differences and the likelihood of recovering deferred tax assets. The accounting estimates used to compute the provision for income taxes may change as new events occur, as additional information is obtained, as our tax structure changes or as the tax laws change. Certain foreign operations are subject to foreign income taxation under existing provisions of the laws of those jurisdictions.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7" w:name="page38"/>
    <w:bookmarkEnd w:id="37"/>
    <w:p>
      <w:pPr>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nine months ended September 30, 2021 and 2020 is as follows:</w:t>
      </w:r>
    </w:p>
    <w:p>
      <w:pPr>
        <w:spacing w:after="0" w:line="150" w:lineRule="exact"/>
        <w:rPr>
          <w:sz w:val="20"/>
          <w:szCs w:val="20"/>
          <w:color w:val="auto"/>
        </w:rPr>
      </w:pPr>
    </w:p>
    <w:p>
      <w:pPr>
        <w:ind w:left="7520"/>
        <w:spacing w:after="0"/>
        <w:rPr>
          <w:sz w:val="20"/>
          <w:szCs w:val="20"/>
          <w:color w:val="auto"/>
        </w:rPr>
      </w:pPr>
      <w:r>
        <w:rPr>
          <w:rFonts w:ascii="Arial" w:cs="Arial" w:eastAsia="Arial" w:hAnsi="Arial"/>
          <w:sz w:val="15"/>
          <w:szCs w:val="15"/>
          <w:b w:val="1"/>
          <w:bCs w:val="1"/>
          <w:color w:val="auto"/>
        </w:rPr>
        <w:t>Nine months ended September 30,</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63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5"/>
                <w:szCs w:val="15"/>
                <w:b w:val="1"/>
                <w:bCs w:val="1"/>
                <w:color w:val="auto"/>
              </w:rPr>
              <w:t>2020</w:t>
            </w:r>
          </w:p>
        </w:tc>
      </w:tr>
      <w:tr>
        <w:trPr>
          <w:trHeight w:val="210"/>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 Federal 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State income taxes (net of Federal benefits)</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6.8</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income taxes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r>
      <w:tr>
        <w:trPr>
          <w:trHeight w:val="162"/>
        </w:trPr>
        <w:tc>
          <w:tcPr>
            <w:tcW w:w="7500" w:type="dxa"/>
            <w:vAlign w:val="bottom"/>
            <w:gridSpan w:val="2"/>
          </w:tcPr>
          <w:p>
            <w:pPr>
              <w:spacing w:after="0" w:line="162" w:lineRule="exact"/>
              <w:rPr>
                <w:sz w:val="20"/>
                <w:szCs w:val="20"/>
                <w:color w:val="auto"/>
              </w:rPr>
            </w:pPr>
            <w:r>
              <w:rPr>
                <w:rFonts w:ascii="Arial" w:cs="Arial" w:eastAsia="Arial" w:hAnsi="Arial"/>
                <w:sz w:val="16"/>
                <w:szCs w:val="16"/>
                <w:color w:val="auto"/>
              </w:rPr>
              <w:t>Expenses of Compass Group Diversified Holdings LLC representing a pass through to</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16"/>
        </w:trPr>
        <w:tc>
          <w:tcPr>
            <w:tcW w:w="75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1"/>
                <w:szCs w:val="21"/>
                <w:color w:val="auto"/>
                <w:vertAlign w:val="superscript"/>
              </w:rPr>
              <w:t>(1)</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15.4</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 of subsidiary employee stock options</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Credit utilization</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(3.6)</w:t>
            </w:r>
          </w:p>
        </w:tc>
      </w:tr>
      <w:tr>
        <w:trPr>
          <w:trHeight w:val="219"/>
        </w:trPr>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Non-recognition of NOL carryforwards at subsidiaries</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r>
      <w:tr>
        <w:trPr>
          <w:trHeight w:val="213"/>
        </w:trPr>
        <w:tc>
          <w:tcPr>
            <w:tcW w:w="7500" w:type="dxa"/>
            <w:vAlign w:val="bottom"/>
            <w:gridSpan w:val="2"/>
          </w:tcPr>
          <w:p>
            <w:pPr>
              <w:spacing w:after="0"/>
              <w:rPr>
                <w:sz w:val="20"/>
                <w:szCs w:val="20"/>
                <w:color w:val="auto"/>
              </w:rPr>
            </w:pPr>
            <w:r>
              <w:rPr>
                <w:rFonts w:ascii="Arial" w:cs="Arial" w:eastAsia="Arial" w:hAnsi="Arial"/>
                <w:sz w:val="16"/>
                <w:szCs w:val="16"/>
                <w:color w:val="auto"/>
              </w:rPr>
              <w:t>Effect of Tax Act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8.6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r>
      <w:tr>
        <w:trPr>
          <w:trHeight w:val="209"/>
        </w:trPr>
        <w:tc>
          <w:tcPr>
            <w:tcW w:w="7500" w:type="dxa"/>
            <w:vAlign w:val="bottom"/>
            <w:gridSpan w:val="2"/>
          </w:tcPr>
          <w:p>
            <w:pPr>
              <w:ind w:left="340"/>
              <w:spacing w:after="0"/>
              <w:rPr>
                <w:sz w:val="20"/>
                <w:szCs w:val="20"/>
                <w:color w:val="auto"/>
              </w:rPr>
            </w:pPr>
            <w:r>
              <w:rPr>
                <w:rFonts w:ascii="Arial" w:cs="Arial" w:eastAsia="Arial" w:hAnsi="Arial"/>
                <w:sz w:val="16"/>
                <w:szCs w:val="16"/>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6"/>
                <w:szCs w:val="16"/>
                <w:color w:val="auto"/>
              </w:rPr>
              <w:t>54.6 %</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42.2 %</w:t>
            </w:r>
          </w:p>
        </w:tc>
      </w:tr>
      <w:tr>
        <w:trPr>
          <w:trHeight w:val="23"/>
        </w:trPr>
        <w:tc>
          <w:tcPr>
            <w:tcW w:w="6300" w:type="dxa"/>
            <w:vAlign w:val="bottom"/>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r>
    </w:tbl>
    <w:p>
      <w:pPr>
        <w:spacing w:after="0" w:line="326" w:lineRule="exact"/>
        <w:rPr>
          <w:sz w:val="20"/>
          <w:szCs w:val="20"/>
          <w:color w:val="auto"/>
        </w:rPr>
      </w:pPr>
    </w:p>
    <w:p>
      <w:pPr>
        <w:ind w:left="340" w:hanging="332"/>
        <w:spacing w:after="0" w:line="216" w:lineRule="auto"/>
        <w:tabs>
          <w:tab w:leader="none" w:pos="379" w:val="left"/>
        </w:tabs>
        <w:numPr>
          <w:ilvl w:val="0"/>
          <w:numId w:val="22"/>
        </w:numPr>
        <w:rPr>
          <w:rFonts w:ascii="Arial" w:cs="Arial" w:eastAsia="Arial" w:hAnsi="Arial"/>
          <w:sz w:val="21"/>
          <w:szCs w:val="21"/>
          <w:b w:val="1"/>
          <w:bCs w:val="1"/>
          <w:color w:val="auto"/>
          <w:vertAlign w:val="superscript"/>
        </w:rPr>
      </w:pPr>
      <w:r>
        <w:rPr>
          <w:rFonts w:ascii="Arial" w:cs="Arial" w:eastAsia="Arial" w:hAnsi="Arial"/>
          <w:sz w:val="16"/>
          <w:szCs w:val="16"/>
          <w:color w:val="auto"/>
        </w:rPr>
        <w:t>The effective income tax rate for the nine months ended September 30, 2021 and 2020 includes a loss at the Company's parent, which was taxed as a partnership through August 31, 2021. Beginning September 1, 2021, the Company’s parent is taxed as a corporation.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unfunded liability of $2.8 million is recognized in the consolidated balance sheet as a component of other non-current liabilities at September 30, 2021. Net periodic benefit cost consists of the following for the three and nine months ended September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3040" w:type="dxa"/>
            <w:vAlign w:val="bottom"/>
            <w:gridSpan w:val="6"/>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120" w:type="dxa"/>
            <w:vAlign w:val="bottom"/>
          </w:tcPr>
          <w:p>
            <w:pPr>
              <w:spacing w:after="0"/>
              <w:rPr>
                <w:sz w:val="17"/>
                <w:szCs w:val="17"/>
                <w:color w:val="auto"/>
              </w:rPr>
            </w:pPr>
          </w:p>
        </w:tc>
        <w:tc>
          <w:tcPr>
            <w:tcW w:w="2680" w:type="dxa"/>
            <w:vAlign w:val="bottom"/>
            <w:gridSpan w:val="4"/>
          </w:tcPr>
          <w:p>
            <w:pPr>
              <w:jc w:val="right"/>
              <w:ind w:right="80"/>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54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2020</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Amortization of unrecognized loss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curtailment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r>
      <w:tr>
        <w:trPr>
          <w:trHeight w:val="23"/>
        </w:trPr>
        <w:tc>
          <w:tcPr>
            <w:tcW w:w="5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per the terms of the pension agreement, Arnold contributed $0.2 million to the plan. For the remainder of 2021, the expected contribution to the plan will be approximately $0.1 million.</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September 30, 2021 were considered Level 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Leases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was not a material component of our total lease expense for the three and nine months ended September 30, 2021 and 2020. The Company recognized $8.2 million and $24.3 million in the three and nine months ended September 30, 2021, respectively, and $7.5 million and $21.8 million in the three and nine months ended September 30, 2020, respectively, in expense related to operating leases in the condensed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September 30, 2021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(excluding nine months ended September 30, 2021)</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2022</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29,078</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22,128</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2024</w:t>
            </w:r>
          </w:p>
        </w:tc>
        <w:tc>
          <w:tcPr>
            <w:tcW w:w="8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17,971</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14,612</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30,081</w:t>
            </w: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117,639</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w:t>
            </w:r>
          </w:p>
        </w:tc>
      </w:tr>
      <w:tr>
        <w:trPr>
          <w:trHeight w:val="23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110,113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lease accounting guidance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448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2360" w:type="dxa"/>
            <w:vAlign w:val="bottom"/>
            <w:gridSpan w:val="2"/>
          </w:tcPr>
          <w:p>
            <w:pPr>
              <w:ind w:left="400"/>
              <w:spacing w:after="0"/>
              <w:rPr>
                <w:sz w:val="20"/>
                <w:szCs w:val="20"/>
                <w:color w:val="auto"/>
              </w:rPr>
            </w:pPr>
            <w:r>
              <w:rPr>
                <w:rFonts w:ascii="Arial" w:cs="Arial" w:eastAsia="Arial" w:hAnsi="Arial"/>
                <w:sz w:val="15"/>
                <w:szCs w:val="15"/>
                <w:b w:val="1"/>
                <w:bCs w:val="1"/>
                <w:color w:val="auto"/>
              </w:rPr>
              <w:t>September 30, 2021</w:t>
            </w:r>
          </w:p>
        </w:tc>
        <w:tc>
          <w:tcPr>
            <w:tcW w:w="2260" w:type="dxa"/>
            <w:vAlign w:val="bottom"/>
          </w:tcPr>
          <w:p>
            <w:pPr>
              <w:jc w:val="right"/>
              <w:ind w:right="341"/>
              <w:spacing w:after="0"/>
              <w:rPr>
                <w:sz w:val="20"/>
                <w:szCs w:val="20"/>
                <w:color w:val="auto"/>
              </w:rPr>
            </w:pPr>
            <w:r>
              <w:rPr>
                <w:rFonts w:ascii="Arial" w:cs="Arial" w:eastAsia="Arial" w:hAnsi="Arial"/>
                <w:sz w:val="15"/>
                <w:szCs w:val="15"/>
                <w:b w:val="1"/>
                <w:bCs w:val="1"/>
                <w:color w:val="auto"/>
              </w:rPr>
              <w:t>September 30, 2020</w:t>
            </w:r>
          </w:p>
        </w:tc>
      </w:tr>
      <w:tr>
        <w:trPr>
          <w:trHeight w:val="20"/>
        </w:trPr>
        <w:tc>
          <w:tcPr>
            <w:tcW w:w="222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10"/>
        </w:trPr>
        <w:tc>
          <w:tcPr>
            <w:tcW w:w="448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2260" w:type="dxa"/>
            <w:vAlign w:val="bottom"/>
          </w:tcPr>
          <w:p>
            <w:pPr>
              <w:jc w:val="right"/>
              <w:spacing w:after="0"/>
              <w:rPr>
                <w:sz w:val="20"/>
                <w:szCs w:val="20"/>
                <w:color w:val="auto"/>
              </w:rPr>
            </w:pPr>
            <w:r>
              <w:rPr>
                <w:rFonts w:ascii="Arial" w:cs="Arial" w:eastAsia="Arial" w:hAnsi="Arial"/>
                <w:sz w:val="16"/>
                <w:szCs w:val="16"/>
                <w:color w:val="auto"/>
              </w:rPr>
              <w:t>7.62 %</w:t>
            </w: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7.65 %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portion, operating lease liabilities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180" w:type="dxa"/>
            <w:vAlign w:val="bottom"/>
            <w:gridSpan w:val="2"/>
          </w:tcPr>
          <w:p>
            <w:pPr>
              <w:ind w:left="40"/>
              <w:spacing w:after="0"/>
              <w:rPr>
                <w:sz w:val="20"/>
                <w:szCs w:val="20"/>
                <w:color w:val="auto"/>
              </w:rPr>
            </w:pPr>
            <w:r>
              <w:rPr>
                <w:rFonts w:ascii="Arial" w:cs="Arial" w:eastAsia="Arial" w:hAnsi="Arial"/>
                <w:sz w:val="15"/>
                <w:szCs w:val="15"/>
                <w:b w:val="1"/>
                <w:bCs w:val="1"/>
                <w:color w:val="auto"/>
              </w:rPr>
              <w:t>Line Item in the Company’s Consolidated</w:t>
            </w:r>
          </w:p>
        </w:tc>
        <w:tc>
          <w:tcPr>
            <w:tcW w:w="220" w:type="dxa"/>
            <w:vAlign w:val="bottom"/>
          </w:tcPr>
          <w:p>
            <w:pPr>
              <w:spacing w:after="0"/>
              <w:rPr>
                <w:sz w:val="15"/>
                <w:szCs w:val="15"/>
                <w:color w:val="auto"/>
              </w:rPr>
            </w:pPr>
          </w:p>
        </w:tc>
        <w:tc>
          <w:tcPr>
            <w:tcW w:w="1840" w:type="dxa"/>
            <w:vAlign w:val="bottom"/>
            <w:vMerge w:val="restart"/>
          </w:tcPr>
          <w:p>
            <w:pPr>
              <w:jc w:val="right"/>
              <w:ind w:right="240"/>
              <w:spacing w:after="0"/>
              <w:rPr>
                <w:sz w:val="20"/>
                <w:szCs w:val="20"/>
                <w:color w:val="auto"/>
              </w:rPr>
            </w:pPr>
            <w:r>
              <w:rPr>
                <w:rFonts w:ascii="Arial" w:cs="Arial" w:eastAsia="Arial" w:hAnsi="Arial"/>
                <w:sz w:val="15"/>
                <w:szCs w:val="15"/>
                <w:b w:val="1"/>
                <w:bCs w:val="1"/>
                <w:color w:val="auto"/>
              </w:rPr>
              <w:t>September 30, 2021</w:t>
            </w:r>
          </w:p>
        </w:tc>
        <w:tc>
          <w:tcPr>
            <w:tcW w:w="8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vMerge w:val="restart"/>
          </w:tcPr>
          <w:p>
            <w:pPr>
              <w:jc w:val="right"/>
              <w:ind w:right="26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202"/>
        </w:trPr>
        <w:tc>
          <w:tcPr>
            <w:tcW w:w="3080" w:type="dxa"/>
            <w:vAlign w:val="bottom"/>
            <w:tcBorders>
              <w:bottom w:val="single" w:sz="8" w:color="auto"/>
            </w:tcBorders>
          </w:tcPr>
          <w:p>
            <w:pPr>
              <w:ind w:left="1020"/>
              <w:spacing w:after="0"/>
              <w:rPr>
                <w:sz w:val="20"/>
                <w:szCs w:val="20"/>
                <w:color w:val="auto"/>
              </w:rPr>
            </w:pPr>
            <w:r>
              <w:rPr>
                <w:rFonts w:ascii="Arial" w:cs="Arial" w:eastAsia="Arial" w:hAnsi="Arial"/>
                <w:sz w:val="15"/>
                <w:szCs w:val="15"/>
                <w:b w:val="1"/>
                <w:bCs w:val="1"/>
                <w:color w:val="auto"/>
              </w:rPr>
              <w:t>Balance Sheet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96,956</w:t>
            </w:r>
          </w:p>
        </w:tc>
        <w:tc>
          <w:tcPr>
            <w:tcW w:w="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92,131</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25,423</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22,754</w:t>
            </w:r>
          </w:p>
        </w:tc>
        <w:tc>
          <w:tcPr>
            <w:tcW w:w="0" w:type="dxa"/>
            <w:vAlign w:val="bottom"/>
          </w:tcPr>
          <w:p>
            <w:pPr>
              <w:spacing w:after="0"/>
              <w:rPr>
                <w:sz w:val="1"/>
                <w:szCs w:val="1"/>
                <w:color w:val="auto"/>
              </w:rPr>
            </w:pPr>
          </w:p>
        </w:tc>
      </w:tr>
      <w:tr>
        <w:trPr>
          <w:trHeight w:val="216"/>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84,690</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75,822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-407035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-132715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80"/>
          </w:cols>
          <w:pgMar w:left="320" w:top="1048" w:right="33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tcPr>
          <w:p>
            <w:pPr>
              <w:ind w:left="14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Pr>
          <w:p>
            <w:pPr>
              <w:spacing w:after="0"/>
              <w:rPr>
                <w:sz w:val="14"/>
                <w:szCs w:val="14"/>
                <w:color w:val="auto"/>
              </w:rPr>
            </w:pPr>
          </w:p>
        </w:tc>
        <w:tc>
          <w:tcPr>
            <w:tcW w:w="1940" w:type="dxa"/>
            <w:vAlign w:val="bottom"/>
          </w:tcPr>
          <w:p>
            <w:pPr>
              <w:jc w:val="right"/>
              <w:ind w:right="301"/>
              <w:spacing w:after="0"/>
              <w:rPr>
                <w:sz w:val="20"/>
                <w:szCs w:val="20"/>
                <w:color w:val="auto"/>
              </w:rPr>
            </w:pPr>
            <w:r>
              <w:rPr>
                <w:rFonts w:ascii="Arial" w:cs="Arial" w:eastAsia="Arial" w:hAnsi="Arial"/>
                <w:sz w:val="15"/>
                <w:szCs w:val="15"/>
                <w:b w:val="1"/>
                <w:bCs w:val="1"/>
                <w:color w:val="auto"/>
              </w:rPr>
              <w:t>Nine months ended</w:t>
            </w:r>
          </w:p>
        </w:tc>
      </w:tr>
      <w:tr>
        <w:trPr>
          <w:trHeight w:val="202"/>
        </w:trPr>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2021</w:t>
            </w:r>
          </w:p>
        </w:tc>
        <w:tc>
          <w:tcPr>
            <w:tcW w:w="240" w:type="dxa"/>
            <w:vAlign w:val="bottom"/>
          </w:tcPr>
          <w:p>
            <w:pPr>
              <w:spacing w:after="0"/>
              <w:rPr>
                <w:sz w:val="17"/>
                <w:szCs w:val="17"/>
                <w:color w:val="auto"/>
              </w:rPr>
            </w:pPr>
          </w:p>
        </w:tc>
        <w:tc>
          <w:tcPr>
            <w:tcW w:w="1940" w:type="dxa"/>
            <w:vAlign w:val="bottom"/>
          </w:tcPr>
          <w:p>
            <w:pPr>
              <w:jc w:val="right"/>
              <w:ind w:right="301"/>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213"/>
        </w:trPr>
        <w:tc>
          <w:tcPr>
            <w:tcW w:w="640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21,053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22,816</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0"/>
        </w:trPr>
        <w:tc>
          <w:tcPr>
            <w:tcW w:w="640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13,633</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9,913</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entered into the MSA with CGM effective May 16, 2006. The MSA provides for, among other things, CGM to perform services for the Company in exchange for a management fee paid quarterly and equal to 0.5% of the Company's adjusted net assets, as defined in the MSA.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due to the unprecedented uncertainty as a result of the COVID-19 pandemic,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CGM has also entered into a waiver of the MSA for a period through December 31, 2021 to receive a 1% annual management fee related to BOA, rather than the 2% called for under the MSA. In the first quarter of 2021, the Company and CGM entered into a waiver agreement whereby CGM agreed to waive the portion of the management fee related to the amount of the proceeds deposited with the Trustee that was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Lugano, which was acquired in September 2021, entered into an Integration Services Agreement ("ISA") with CGM whereby Lugano will pay CGM an integration services fee of $2.3 million quarterly over a twelve month period as services are rendered, beginning in the quarter ended December 31, 2021. BOA, which was acquired in October 2020, entered into an ISA with CGM whereby BOA will pay CGM an integration service fee of $4.4 million quarterly over a twelve month period as services are rendered, beginning in the quarter ended December 31, 2020. Marucci Sports, which was acquired in April 2020, entered into an ISA with CGM. Marucci paid CGM an integration service fee of $2.0 million quarterly over a twelve month period as services are rendered, beginning in the quarter ended September 30, 2020.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 In August 2021, the Company completed a recapitalization of 5.11 whereby the Company entered into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intercompany loan agreement with 5.11 (the "5.11 Loan Agreement"). The 5.11 Loan Agreement was amended to provide for additional term loan borrowings of $55.0 million to fund a distribution to shareholders. The Company owned 97.7% of the outstanding shares of 5.11 on the date of the distribution and received $53.7 million. The remaining amount of the distribution went to minority shareholders.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5.11 purchased approximately $0.1 million and $0.9 million during the three and nine months ended September 30, 2021, respectively, and $0.7 million and $2.3 million during the three and nine months ended September 30, 2020, respectively, in inventory from the vendor.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$11.2 million and $32.8 million in purchases from this supplier during the three and nine months ended September 30, 2021,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Plymouth Foam,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5, 2021, Altor acquired Plymouth Foam, LLC (“Plymouth”), a manufacturer of protective packaging and componentry, for an enterprise value of approximately $ 56.0 million, excluding customary closing adjustments. The acquisition and related transaction costs were funded through an additional term loan of $52.0 million under the Altor intercompany credit agreement and a draw on the existing Altor intercompany revolving credit facility with the Company. Altor paid approximately $0.4 million in transaction fees in connection with the acquisition of Plymouth. Plymouth was founded in 1978 and is based in Plymouth, Wisconsin. Plymouth supplies a wide array of high value products, including custom protective packaging, cold chain packaging and internal components made from expanded polystyrene and expanded polypropylene. Plymouth’s complementary product portfolio will allow Altor to be able to further expand its business and capabilities.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Advanced Circuits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13, 2021, the Company, as the representative (the “Sellers Representative”) of the holders (the “Sellers”) of stock and options of Compass AC Holdings, Inc. (“Advanced Circuits”), a majority owned subsidiary of the Company, entered into a definitive Agreement and Plan of Merger (the “Agreement”) with Tempo Automation, Inc. (“Buyer”), Aspen Acquisition Sub, Inc. (“Merger Sub”) and Advanced Circuits, pursuant to which Buyer will acquire all of the issued and outstanding securities of Advanced Circuits, the parent company of the operating entity, Advanced Circuits, Inc., through a merger of Merger Sub with and into Advanced Circuits, with Advanced Circuits surviving the merger and becoming a wholly owned subsidiary of Buyer (the “Merger”). Under the terms of the Agreement, the Sellers will receive consideration in the amount of $310 million, composed of $240 million in cash and $70 million in common stock of a publicly traded special purpose acquisition company (“SPAC”) selected by Buyer to acquire Buyer (the “SPAC Transaction”) upon the closing of the transaction, excluding certain working capital and other adjustments. In addition, the Sellers may receive 2.4 million additional shares of SPAC common stock within five years, subject to SPAC stock price performance. The Company owns approximately 67% of the outstanding stock of Advanced Circuits on a fully diluted basis and expects to receive approximately 77% of the gross consideration payable under the Agreement. This amount is in respect of the Company’s outstanding loans to Advanced Circuits and its equity interests in Advanced Circuits. The closing of the transaction is expected to occur in the first quarter of 2022, however, there can be no assurances that all of the conditions to closing, which include the closing of the SPAC transaction, will be satisfied.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Lizard Skins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22, 2021, Marucci Sports acquired Lizard Skins, LLC ("Lizard Skins"), an industry leading provider of sporting goods accessories that revolve around the hand-to-grip interface, for an enterprise value of approximately $47.0 million, excluding customary closing adjustments. The acquisition and related transaction costs were funded through an additional term loan of $44.1 million under the Marucci inter-company credit agreement with the Company, a draw on the existing Marucci revolving credit facility with the Company, and rollover equity from the selling shareholders of Lizard Skins. Marucci issued 11,915 shares to the selling shareholders in exchange for the rollover equity, which represents an ownership interest of approximately 1% in Marucci. Marucci paid approximately $ 1.4 million in transaction expenses in connection with the acquisition of Lizard Skins. Lizard Skins is a designer and seller of branded grip products, protective equipment, bags and apparel for use in baseball, cycling, hockey, Esports and lacrosse. The acquisition of Lizard Skins will allow Marucci to build on its leading position in diamond sports while simultaneously developing Marucci's presence in new sports markets such as hockey and cycling.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2020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ten businesses, or operating segments, at September 30, 2021. The segments are as follows: 5.11 Acquisition Corp. ("5.11"), Boa Holdings Inc. ("BOA"), The Ergo Baby Carrier, Inc. ("Ergobaby"), Lugano Holdings, Inc., Inc. ("Lugano Diamond" or "Lugano"), Marucci Sports, LLC ("Marucci" or "Marucci Sports"), Velocity Outdoor, Inc. ("Velocity Outdoor" or "Velocity"), Compass AC Holdings, Inc. ("ACI" or "Advanced Circuits"), FFI Compass, Inc. ("Altor Solutions" or "Altor" (formerly "Foam Fabricators")), AMT Acquisition Corporation ("Arnold"), and The Sterno Group, LLC ("Sterno").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September 30, 2021 as follows:</w:t>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204"/>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bottom w:val="single" w:sz="8" w:color="auto"/>
            </w:tcBorders>
            <w:gridSpan w:val="3"/>
          </w:tcPr>
          <w:p>
            <w:pPr>
              <w:ind w:left="420"/>
              <w:spacing w:after="0"/>
              <w:rPr>
                <w:sz w:val="20"/>
                <w:szCs w:val="20"/>
                <w:color w:val="auto"/>
              </w:rPr>
            </w:pPr>
            <w:r>
              <w:rPr>
                <w:rFonts w:ascii="Arial" w:cs="Arial" w:eastAsia="Arial" w:hAnsi="Arial"/>
                <w:sz w:val="15"/>
                <w:szCs w:val="15"/>
                <w:b w:val="1"/>
                <w:bCs w:val="1"/>
                <w:color w:val="auto"/>
              </w:rPr>
              <w:t>Ownership Interest - September 30, 2021</w:t>
            </w:r>
          </w:p>
        </w:tc>
      </w:tr>
      <w:tr>
        <w:trPr>
          <w:trHeight w:val="202"/>
        </w:trPr>
        <w:tc>
          <w:tcPr>
            <w:tcW w:w="2240" w:type="dxa"/>
            <w:vAlign w:val="bottom"/>
            <w:tcBorders>
              <w:bottom w:val="single" w:sz="8" w:color="auto"/>
            </w:tcBorders>
          </w:tcPr>
          <w:p>
            <w:pPr>
              <w:ind w:left="78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62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Diluted</w:t>
            </w:r>
          </w:p>
        </w:tc>
      </w:tr>
      <w:tr>
        <w:trPr>
          <w:trHeight w:val="210"/>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67.6%</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60.0%</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72.7%</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840" w:type="dxa"/>
            <w:vAlign w:val="bottom"/>
          </w:tcPr>
          <w:p>
            <w:pPr>
              <w:jc w:val="center"/>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88.1%</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87.1%</w:t>
            </w: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840" w:type="dxa"/>
            <w:vAlign w:val="bottom"/>
          </w:tcPr>
          <w:p>
            <w:pPr>
              <w:jc w:val="center"/>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88.4%</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88.0%</w:t>
            </w:r>
          </w:p>
        </w:tc>
      </w:tr>
      <w:tr>
        <w:trPr>
          <w:trHeight w:val="213"/>
        </w:trPr>
        <w:tc>
          <w:tcPr>
            <w:tcW w:w="2340" w:type="dxa"/>
            <w:vAlign w:val="bottom"/>
            <w:gridSpan w:val="2"/>
          </w:tcPr>
          <w:p>
            <w:pPr>
              <w:ind w:left="20"/>
              <w:spacing w:after="0"/>
              <w:rPr>
                <w:sz w:val="20"/>
                <w:szCs w:val="20"/>
                <w:color w:val="auto"/>
              </w:rPr>
            </w:pPr>
            <w:r>
              <w:rPr>
                <w:rFonts w:ascii="Arial" w:cs="Arial" w:eastAsia="Arial" w:hAnsi="Arial"/>
                <w:sz w:val="16"/>
                <w:szCs w:val="16"/>
                <w:color w:val="auto"/>
              </w:rPr>
              <w:t>Altor Solutions</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840" w:type="dxa"/>
            <w:vAlign w:val="bottom"/>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91.5%</w:t>
            </w:r>
          </w:p>
        </w:tc>
      </w:tr>
      <w:tr>
        <w:trPr>
          <w:trHeight w:val="21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Marucci Sports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20, 2020</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83.8%</w:t>
            </w:r>
          </w:p>
        </w:tc>
      </w:tr>
      <w:tr>
        <w:trPr>
          <w:trHeight w:val="216"/>
        </w:trPr>
        <w:tc>
          <w:tcPr>
            <w:tcW w:w="23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BOA </w:t>
            </w:r>
            <w:r>
              <w:rPr>
                <w:rFonts w:ascii="Arial" w:cs="Arial" w:eastAsia="Arial" w:hAnsi="Arial"/>
                <w:sz w:val="21"/>
                <w:szCs w:val="21"/>
                <w:b w:val="1"/>
                <w:bCs w:val="1"/>
                <w:color w:val="auto"/>
                <w:vertAlign w:val="superscript"/>
              </w:rPr>
              <w:t>(1)</w:t>
            </w:r>
          </w:p>
        </w:tc>
        <w:tc>
          <w:tcPr>
            <w:tcW w:w="210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16, 2020</w:t>
            </w:r>
          </w:p>
        </w:tc>
        <w:tc>
          <w:tcPr>
            <w:tcW w:w="1840" w:type="dxa"/>
            <w:vAlign w:val="bottom"/>
          </w:tcPr>
          <w:p>
            <w:pPr>
              <w:jc w:val="center"/>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rPr>
              <w:t>83.7%</w:t>
            </w:r>
          </w:p>
        </w:tc>
      </w:tr>
      <w:tr>
        <w:trPr>
          <w:trHeight w:val="21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Lugano</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3, 2021</w:t>
            </w: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60.0%</w:t>
            </w:r>
          </w:p>
        </w:tc>
      </w:tr>
    </w:tbl>
    <w:p>
      <w:pPr>
        <w:spacing w:after="0" w:line="177" w:lineRule="exact"/>
        <w:rPr>
          <w:sz w:val="20"/>
          <w:szCs w:val="20"/>
          <w:color w:val="auto"/>
        </w:rPr>
      </w:pPr>
    </w:p>
    <w:p>
      <w:pPr>
        <w:ind w:firstLine="8"/>
        <w:spacing w:after="0" w:line="210" w:lineRule="auto"/>
        <w:tabs>
          <w:tab w:leader="none" w:pos="189" w:val="left"/>
        </w:tabs>
        <w:numPr>
          <w:ilvl w:val="0"/>
          <w:numId w:val="23"/>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the third quarter of 2021, BOA repurchased shares of its issued and outstanding common shares from its largest minority shareholder for a total payment of $48 million, which increased the Company's primary ownership interest in BOA to 92.7%.</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jc w:val="both"/>
        <w:spacing w:after="0" w:line="254" w:lineRule="auto"/>
        <w:rPr>
          <w:sz w:val="20"/>
          <w:szCs w:val="20"/>
          <w:color w:val="auto"/>
        </w:rPr>
      </w:pPr>
      <w:r>
        <w:rPr>
          <w:rFonts w:ascii="Arial" w:cs="Arial" w:eastAsia="Arial" w:hAnsi="Arial"/>
          <w:sz w:val="18"/>
          <w:szCs w:val="18"/>
          <w:color w:val="auto"/>
        </w:rPr>
        <w:t>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BOA - </w:t>
      </w:r>
      <w:r>
        <w:rPr>
          <w:rFonts w:ascii="Arial" w:cs="Arial" w:eastAsia="Arial" w:hAnsi="Arial"/>
          <w:sz w:val="18"/>
          <w:szCs w:val="18"/>
          <w:color w:val="auto"/>
        </w:rPr>
        <w:t>BOA Technology, creator of the revolutionary, award-winning, patented BOA Fit System, partners with market-leading brands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best gear even better. Delivering fit solutions purpose-built for performance, the BOA Fit System is featured in footwear across snow sports, cycling, hiking/trekking, golf, running, court sports, workwear as well as headwear and medical bracing. The system consists of three integral parts: a micro-adjustable dial, high-tensile lightweight laces, and low friction lace guides creating a superior alternative to laces, buckles, Velcro, and other traditional closure mechanisms. Each unique BOA configuration is engineered for fast, effortless, precision fit, and is backed by The BOA Lifetime Guarantee. BOA is headquartered in Denver, Colorado and has offices in Austria, Greater China, South Korea, and Japan.</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swaddlers, nursing pillows, and related products that fit into families’ daily lives seamlessly, comfortably and safely. Historically, Ergobaby derives more than 50% of its sales from outside of the United States.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Lugano </w:t>
      </w:r>
      <w:r>
        <w:rPr>
          <w:rFonts w:ascii="Arial" w:cs="Arial" w:eastAsia="Arial" w:hAnsi="Arial"/>
          <w:sz w:val="18"/>
          <w:szCs w:val="18"/>
          <w:color w:val="auto"/>
        </w:rPr>
        <w:t>- Lugano is a leading designer, manufacturer and marketer of high-end, one-of-a-kind jewelry sought after by some of the world’s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discerning clientele. Lugano conducts sales via its own retail salons as well as pop-up showrooms at Lugano-hosted or sponsored events in partnership with influential organizations in the equestrian, art and philanthropic community. Lugano is headquartered in Newport Beach, California.</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Marucci Sports - </w:t>
      </w:r>
      <w:r>
        <w:rPr>
          <w:rFonts w:ascii="Arial" w:cs="Arial" w:eastAsia="Arial" w:hAnsi="Arial"/>
          <w:sz w:val="18"/>
          <w:szCs w:val="18"/>
          <w:color w:val="auto"/>
        </w:rPr>
        <w:t>Founded in 2009, Marucci is a leading designer, manufacturer, and marketer of premium wood and metal baseball bats,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fielding gloves, batting gloves, bags, protective gear, sunglasses, on and off-field apparel, and other baseball and softball equipment used by professional and amateur athletes. Marucci also develops sports training facilities that may be licensed franchises or corporate owned. Marucci is headquartered in Baton Rouge, Louisiana.</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 Advanced Circuits is headquartered in Aurora, Colorado.</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Altor Solutions </w:t>
      </w:r>
      <w:r>
        <w:rPr>
          <w:rFonts w:ascii="Arial" w:cs="Arial" w:eastAsia="Arial" w:hAnsi="Arial"/>
          <w:sz w:val="18"/>
          <w:szCs w:val="18"/>
          <w:color w:val="auto"/>
        </w:rPr>
        <w:t>- Founded in 1957 and headquartered in Scottsdale, Arizona, Altor Solutions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Altor operates 14 molding and fabricating facilities across North America and provides products to a variety of end-markets, including appliances and electronics, pharmaceuticals, health and wellness, automotive, building products and others. In July 2020, Altor Solutions acquired the assets of Polyfoam, a Massachusetts-based manufacturer of protective and temperature-sensitive packaging solutions for the medical, pharmaceutical, grocery and food industries, among others.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turnkey electric motors ("Ramco")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LLC ("Sterno Products"), Sterno Home Inc.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 and Rimports Inc. ("Rimports"). Sterno is a leading manufacturer and marketer of portable food warming systems, creative indoor and outdoor lighting, and home fragrance solutions for the foodservice industry and consumer markets. Sterno offers a broad range of wick and gel chafing systems,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 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Trends Impacting Our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2020, the World Health Organization categorized COVID-19 as a pandemic. The emergence of COVID-19 and new variants of the virus around the world continue to present significant risks to our business. The economic and health conditions in the United States and across most of the globe have continued to change since the beginning of the pandemic and the ultimate impact of COVID-19 on our business is dependent on future developments, including the duration of the pandemic, the emergence of variants of the virus and the related length of its impact on the global economy, which are highly uncertain and difficult to accurately predict. The public health situation, global response measures and corresponding impacts on various markets remain fluid and uncertain. The health of our team and various stakeholders is our highest priority, and we have taken multiple steps to provide support and a safe work environment.</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anticipates that COVID-19 will continue to impact the results of operations, including a potential decrease in gross margins, operating income and Adjusted EBITDA at certain of its niche industrial businesses for the remainder of 2021. These niche industrial businesses have experienced operating constraints as their end markets have been more significantly impacted by the pandemic. For example, the Company expects the Sterno Products division of Sterno to continue to be negatively impacted by the Delta variant of COVID-19 during the remaining months of 2021 and potentially into early 2022 due to that division's reliance on the food service industry. However, we expect the diversification of our group of businesses, particularly the continued strong performance in our consumer branded businesses, to offset the potential decline in operating results from the COVID-19 pandemic experienced by certain of these niche industrial businesses.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Supply Chain Trends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disruption in the global supply chain due to transportation delays and U.S. port congestion are expected to continue during the fourth quarter of 2021 and continue to place constraints on several of our businesses. Surges in demand and shifts in shopping patterns related to COVID-19, as well as other factors, have continued to strain the global supply chain network, which has resulted in carrier-imposed capacity restrictions, carrier delays, and longer lead times. U.S. ports that have been unable to keep pace with unprecedented inbound container volume, which has led to shipping and unloading backlogs. The situation has been further exacerbated by COVID-19 protocols at many port locations. Due to the backlog at the ports and other supply chain disruptions, most of our businesses are experiencing shortages in materials and products, and significant increases in freight costs. Many of our companies are relying on expensive air freight to import goods to meet customer demand. We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44" w:name="page45"/>
    <w:bookmarkEnd w:id="44"/>
    <w:p>
      <w:pPr>
        <w:jc w:val="both"/>
        <w:spacing w:after="0" w:line="252" w:lineRule="auto"/>
        <w:rPr>
          <w:sz w:val="20"/>
          <w:szCs w:val="20"/>
          <w:color w:val="auto"/>
        </w:rPr>
      </w:pPr>
      <w:r>
        <w:rPr>
          <w:rFonts w:ascii="Arial" w:cs="Arial" w:eastAsia="Arial" w:hAnsi="Arial"/>
          <w:sz w:val="18"/>
          <w:szCs w:val="18"/>
          <w:color w:val="auto"/>
        </w:rPr>
        <w:t>are also seeing the availability of raw materials, components and finished goods impacted by the supply chain challenges which has led to shortages of certain materials and led to pressure on revenue growth. In addition, the closure of certain Asian manufacturing facilities as a result of a lack of COVID-19 vaccines, local government quarantine efforts and electricity shortages have impacted our ability to import products timely. Further, in the U.S., the surge in demand along with COVID-19 related government stimulus and rising hourly labor wages, are creating labor shortages and higher labor costs. We expect these cost trends to continue through the remainder of 2021 and into the first half of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areas of focus for the remainder of 2021, which are generally applicable to each of our businesses, include:</w:t>
      </w:r>
    </w:p>
    <w:p>
      <w:pPr>
        <w:spacing w:after="0" w:line="117"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sales growth through a combination of new product development, increasing distribution, new customer acquisitions and international expansion;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Raising prices on our goods due to rising input costs to preserve operating margins,</w:t>
      </w:r>
    </w:p>
    <w:p>
      <w:pPr>
        <w:spacing w:after="0" w:line="3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Taking market share, where possible, in each of our niche market leading companies, generally at the expense of less well capitalized competitors;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Striving for excellence in supply chain management, manufacturing and technological capabilities;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pursue expense reduction and cost savings in lower margin business lines or in response to lower production volume;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grow through disciplined, strategic acquisitions and rigorous integration processes; and</w:t>
      </w:r>
    </w:p>
    <w:p>
      <w:pPr>
        <w:spacing w:after="0" w:line="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Driving free cash flow through increased net income and effective working capital management, enabling continued investment in our businesses.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Liberty Safe</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16, 2021, the Company, as majority stockholder of Liberty Safe Holding Corporation (“Liberty”) and as Sellers Representative, entered into a definitive Stock Purchase Agreement (the “Liberty Purchase Agreement”) with Independence Buyer, Inc. (“Liberty Buyer”), Liberty and the other holders of stock and options of Liberty to sell to Liberty Buyer all of the issued and outstanding securities of Liberty, the parent company of the operating entity, Liberty Safe and Security Products, Inc. On August 3, 2021, Liberty Buyer completed the acquisition of Liberty pursuant to the Liberty Purchase Agreement, as amended. The sale price of Liberty was based on an aggregate total enterprise value of $147.5 million, and is subject to customary adjustments. After the allocation of the sale proceeds to Liberty's non-controlling shareholders, the repayment of intercompany loans to the Company (including accrued interest) of $26.5 million, and the payment of transaction expenses of approximately $4.5 million, the Company received approximately $128 million of total proceeds from the sale at closing. The Company recognized a gain on the sale of Liberty of $72.7 million in the third quarter of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Tax Reclassification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3, 2021, the shareholders of CODI approved amendments to the Second Amended and Restated Trust Agreement of the Trust and the Fifth Amended and Restated Operating Agreement of the Company to allow the Company’s Board of Directors (the “Board”) to cause the Trust to elect to be treated as a corporation for U.S. federal income tax purposes (the “tax reclassification”) and, at its discretion in the future, cause the Trust to be converted to a corporation. Following the shareholder vote, the Board resolved to cause the Trust to elect to be treated as a corporation for U.S. federal income tax purposes. Such election became effective September 1, 2021, prior to which the Trust had been taxed as a partnership for U.S. federal income tax purposes since January 1, 2007.</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tax reclassification resulted in a taxable gain to the Trust for U.S. federal income tax purposes of approximately $328 million, which gain will be allocated and passed through to the Trust’s common shareholders of record as of the close of business on August 31, 2021. This taxable gain will be reported on the Trust’s final 2021 Schedule K-1 and created current tax liability for those shareholders. Consequently, the Trust paid a special distribution of $0.88 cents per share on September 7, 2021 to Trust common shareholders of record as of the close of business on August 31, 2021 that was intended to cover or partially cover the taxable income incurred by those shareholders.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tax reclassification, determinations, declarations, and payments of distributions to holders of Trust common shares will continue to be at the sole discretion of the Board. Historically, our distribution policy has been to make regular distributions on outstanding common shares, and we expect to continue this policy of making regular distributions. However, because the Trust will incur entity level income taxes following the tax reclassification, we expect to reduce our annual distribution from the current $1.44 per Trust common share per year to approximately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$1.00 per Trust common share per year. Our distribution policy may be changed at any time at the discretion of the Board.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issue final Schedule K-1s with respect to our final taxable period as a partnership beginning January 1, 2021 and ending August 31, 2021, the last day on which the Trust was treated as a partnership for U.S. federal income tax purposes. Thereafter, items of income, gain loss, and deduction will not flow through to Trust shareholders and the Trust will no longer issue Schedule K-1s. Common shareholders will no longer be allocated taxable income as a result of their investment in the Trust; however, distributions treated as dividends for tax purposes will be reported on Form 1099-DIV and such dividends will be taxable to Trust shareholders.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description addresses only certain U.S. federal income tax consequences of the tax reclassification applicable to shareholders generally. We do not provide tax advice and nothing herein should be considered as such. Each shareholder should consult its tax advisor concerning the particular U.S. federal income, U.S. federal estate or gift, state, local, foreign and other tax consequences of the tax reclassification.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5.11 IPO</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10, 2021, our subsidiary 5.11 ABR Corp. confidentially submitted a draft registration statement on Form S-1 to the SEC relating to the proposed initial public offering of its common stock. The number of shares of 5.11 ABR Corp.’s common stock to be offered and the price range for the proposed offering have not yet been determined. Whether the initial public offering commences is dependent on market and other conditions and the initial public offering cannot be commenced, if at all, until after the SEC completes its review process.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Lugano Diamonds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September 3, 2021, the Company, through its newly formed acquisition subsidiaries, Lugano Holding, Inc., a Delaware corporation (“Lugano Holdings”), and Lugano Buyer, Inc., a Delaware corporation (“Lugano Buyer”) and a wholly-owned subsidiary of Lugano Holdings, acquired the issued and outstanding shares of stock of Lugano Diamonds and Jewelry Inc. ("Lugano") other than the Rollover Shares described below (the “Lugano Transaction”). The Lugano Transaction was effectuated pursuant to a Stock Purchase Agreement (the “Lugano Purchase Agreement”), also dated September 3, 2021, by and among Lugano Buyer, the Sellers named therein (“Sellers”) and Mordechai Haim Ferder in his individual capacity and as initial representative of the Sellers. Immediately following consummation of the Seller Contribution, Lugano Holdings contributed the Rollover Shares to Lugano Buyer. Based in Newport Beach, California and founded in 2004, Lugano makes one-of-a-kind jewelry for some of the world’s most discerning clientele. In addition to its product offerings, Lugano frequently partners with local, influential organizations to host and sponsor more than 70 equestrian, social and charity events throughout the year.</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made loans to, and purchased a 60% equity interest in, Lugano. The purchase price, including proceeds from noncontrolling shareholders and net of transaction costs, was $265.7 million. The selling shareholders invested in the transaction along with the Company, representing 40% initial noncontrolling interest on both a primary and fully diluted basis. The fair value of the noncontrolling interest was determined based on the enterprise value of the acquired entity multiplied by the ratio of the number of shares acquired by the minority holders to total shares. The transaction was accounted for as a business combination. CGM acted as an advisor to the Company in the acquisition and will continue to provide integration services during the first year of the Company's ownership of Lugano. CGM will receive integration service fees of $2.3 million payable quarterly over a twelve month period as services are rendered which payments began in the quarter ended December 31, 2021. The Company incurred $1.8 million of transaction costs in conjunction with the Lugano acquisition, which was included in selling, general and administrative expense in the consolidated statements of operations during the third quarter of 2021. The Company funded the acquisition with cash on hand and a $120 million draw on its 2021 Revolving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Offering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7, 2021, we filed a prospectus supplement pursuant to which we may, but we have no obligation to, issue and sell up to $500 million shares of the common shares of the Trust in amounts and at times to be determined by us. Actual sales will depend on a variety of factors to be determined by us from time to time, including, market conditions, the trading price of Trust common shares and determinations by us regarding appropriate sources of funding. In connection with this offering, we entered into an At Market Issuance Sales Agreement with B. Riley Securities, Inc. (“B. Riley”) and Goldman Sachs &amp; Co. LLC (“Goldman”) pursuant to which we may sell common shares of the Trust having an aggregate offering price of up to $500 million, from time to time through B. Riley and Goldman, acting as sales agents and/or principals. We sold 630,108 Trust common shares during the quarter ended September 30, 2021 and received net proceeds of approximately $18.8 million. We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6" w:name="page47"/>
    <w:bookmarkEnd w:id="46"/>
    <w:p>
      <w:pPr>
        <w:ind w:right="1120"/>
        <w:spacing w:after="0" w:line="406" w:lineRule="auto"/>
        <w:rPr>
          <w:sz w:val="20"/>
          <w:szCs w:val="20"/>
          <w:color w:val="auto"/>
        </w:rPr>
      </w:pPr>
      <w:r>
        <w:rPr>
          <w:rFonts w:ascii="Arial" w:cs="Arial" w:eastAsia="Arial" w:hAnsi="Arial"/>
          <w:sz w:val="18"/>
          <w:szCs w:val="18"/>
          <w:color w:val="auto"/>
        </w:rPr>
        <w:t xml:space="preserve">incurred approximately $0.3 million in commissions payable to the Sales Agents during the quarter ended September 30, 2021. </w:t>
      </w:r>
      <w:r>
        <w:rPr>
          <w:rFonts w:ascii="Arial" w:cs="Arial" w:eastAsia="Arial" w:hAnsi="Arial"/>
          <w:sz w:val="18"/>
          <w:szCs w:val="18"/>
          <w:i w:val="1"/>
          <w:iCs w:val="1"/>
          <w:color w:val="auto"/>
        </w:rPr>
        <w:t>Issuance of Senior Notes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Senior Notes due 2029 (the "2029 Notes" or "2029 Senior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Notes bear interest at the rate of 5.250% per annum and will mature on April 15, 2029. Interest on the 2029 Notes is payable in cash on April 15th and October 15th of each year. The first interest payment date on the 2029 Senior Notes will be October 15, 2021. The proceeds from the sale of the 2029 Notes was used to repay debt outstanding under the 2018 Credit Facility in connection with entering into the 2021 Credit Facility, and to redeem our 8.000% Senior Notes due 2026 (the “2026 Notes”).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entered into a Second Amended and Restated Credit Agreement (the "2021 Credit Facility") to amend and restate the 2018 Credit Facility. The 2021 Credit Facility provides for revolving loans, swing line loans and letters of credit (the “2021 Revolving Credit Facility”)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“Reconciliation of Non-GAAP Financial Measures” for further discussion of our non-GAAP financial measures and related reconciliations.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and nine months ended September 30, 2021 and September 30, 2020, and components of the results of operations as well as those components presented as a percent of net revenues, for each of our businesses on a stand-alone basis. For the acquisitions of Marucci in April 2020, BOA in October 2020 and Lugano in September 2021, the pro forma results of operations for the Marucci, BOA and Lugano business segments have been prepared as if we purchased those businesses on January 1, 2020. Where appropriate, relevant pro forma adjustments are reflected as part of the historical operating results of Marucci, BOA and Lugano. We believe this is the most meaningful comparison for the operating results of acquired business segments. The consolidated results of operations reflect the operating results of Marucci and BOA from the date of acquisition.</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first quarter of 2020, we began to see the impacts of COVID-19 on certain of our businesses, markets and operations, particularly those that were most affected by governmental “stay-at home” orders which led to reduced consumer traffic and either a closure of stores by some retailers or a focus on items that were deemed essential. The effect of the COVID-19 pandemic in the second quarter of 2020 was more significant, as many of our businesses saw a significant decrease in sales. In the third quarter of 2020, most of our branded consumer products businesses began to recover as retail stores reopened and consumer demand rebounded, with increased sales and operating income, while our niche industrial businesses continued to experience reduced sales and operating income. The effects of the pandemic on our results of operations in the prior year will impact the comparisons of the three and nine months ended 2021 versus the prior year. In response to reductions in revenue resulting from the pandemic, our businesses took a number of steps to address the effects of COVID-19, including reducing variable costs and payroll, and adjusting production levels to "right-size" inventory levels, while in the current period, spending levels reflect a return to more normal levels. The ultimate impact of COVID-19 on our business 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jc w:val="both"/>
        <w:spacing w:after="0" w:line="256" w:lineRule="auto"/>
        <w:rPr>
          <w:sz w:val="20"/>
          <w:szCs w:val="20"/>
          <w:color w:val="auto"/>
        </w:rPr>
      </w:pPr>
      <w:r>
        <w:rPr>
          <w:rFonts w:ascii="Arial" w:cs="Arial" w:eastAsia="Arial" w:hAnsi="Arial"/>
          <w:sz w:val="18"/>
          <w:szCs w:val="18"/>
          <w:color w:val="auto"/>
        </w:rPr>
        <w:t>dependent on future developments, including the duration of the pandemic and the related length of its impact on the global economy, which are highly uncertain and cannot be accurately predicted at this time. The following results of operations at each of our businesses are not necessarily indicative of the results to be expected for a full year.</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and nine months ended September 30, 2021 and 2020:</w:t>
      </w:r>
    </w:p>
    <w:p>
      <w:pPr>
        <w:spacing w:after="0" w:line="1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4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b w:val="1"/>
                <w:bCs w:val="1"/>
                <w:color w:val="auto"/>
              </w:rPr>
              <w:t>Three months ended</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Nine months ended</w:t>
            </w:r>
          </w:p>
        </w:tc>
        <w:tc>
          <w:tcPr>
            <w:tcW w:w="840" w:type="dxa"/>
            <w:vAlign w:val="bottom"/>
            <w:tcBorders>
              <w:bottom w:val="single" w:sz="8" w:color="auto"/>
            </w:tcBorders>
          </w:tcPr>
          <w:p>
            <w:pPr>
              <w:spacing w:after="0"/>
              <w:rPr>
                <w:sz w:val="17"/>
                <w:szCs w:val="17"/>
                <w:color w:val="auto"/>
              </w:rPr>
            </w:pPr>
          </w:p>
        </w:tc>
      </w:tr>
      <w:tr>
        <w:trPr>
          <w:trHeight w:val="200"/>
        </w:trPr>
        <w:tc>
          <w:tcPr>
            <w:tcW w:w="4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gridSpan w:val="3"/>
          </w:tcPr>
          <w:p>
            <w:pPr>
              <w:ind w:left="80"/>
              <w:spacing w:after="0"/>
              <w:rPr>
                <w:sz w:val="20"/>
                <w:szCs w:val="20"/>
                <w:color w:val="auto"/>
              </w:rPr>
            </w:pPr>
            <w:r>
              <w:rPr>
                <w:rFonts w:ascii="Arial" w:cs="Arial" w:eastAsia="Arial" w:hAnsi="Arial"/>
                <w:sz w:val="15"/>
                <w:szCs w:val="15"/>
                <w:b w:val="1"/>
                <w:bCs w:val="1"/>
                <w:color w:val="auto"/>
              </w:rPr>
              <w:t>September 30, 2021</w:t>
            </w: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rPr>
              <w:t>September 30, 2020</w:t>
            </w:r>
          </w:p>
        </w:tc>
        <w:tc>
          <w:tcPr>
            <w:tcW w:w="100" w:type="dxa"/>
            <w:vAlign w:val="bottom"/>
          </w:tcPr>
          <w:p>
            <w:pPr>
              <w:spacing w:after="0"/>
              <w:rPr>
                <w:sz w:val="17"/>
                <w:szCs w:val="17"/>
                <w:color w:val="auto"/>
              </w:rPr>
            </w:pPr>
          </w:p>
        </w:tc>
        <w:tc>
          <w:tcPr>
            <w:tcW w:w="172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2021</w:t>
            </w:r>
          </w:p>
        </w:tc>
        <w:tc>
          <w:tcPr>
            <w:tcW w:w="158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50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488,158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2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387,717</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1,372,266</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1,005,380</w:t>
            </w:r>
          </w:p>
        </w:tc>
      </w:tr>
      <w:tr>
        <w:trPr>
          <w:trHeight w:val="198"/>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revenues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296,027</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242,045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818,307</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635,763</w:t>
            </w: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Gross profit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192,131</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145,672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553,959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369,617</w:t>
            </w:r>
          </w:p>
        </w:tc>
      </w:tr>
      <w:tr>
        <w:trPr>
          <w:trHeight w:val="199"/>
        </w:trPr>
        <w:tc>
          <w:tcPr>
            <w:tcW w:w="418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50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118,818</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90,785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337,815</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252,448</w:t>
            </w:r>
          </w:p>
        </w:tc>
      </w:tr>
      <w:tr>
        <w:trPr>
          <w:trHeight w:val="20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Fees to manager</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12,398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34,504</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23,061</w:t>
            </w:r>
          </w:p>
        </w:tc>
      </w:tr>
      <w:tr>
        <w:trPr>
          <w:trHeight w:val="19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of intangibles</w:t>
            </w: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19,056</w:t>
            </w: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15,222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56,502</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43,506</w:t>
            </w: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income</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41,859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30,131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125,138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50,602</w:t>
            </w:r>
          </w:p>
        </w:tc>
      </w:tr>
      <w:tr>
        <w:trPr>
          <w:trHeight w:val="198"/>
        </w:trPr>
        <w:tc>
          <w:tcPr>
            <w:tcW w:w="41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(13,855)</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(12,351)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(42,607)</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(32,122)</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debt issuance costs</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r>
      <w:tr>
        <w:trPr>
          <w:trHeight w:val="198"/>
        </w:trPr>
        <w:tc>
          <w:tcPr>
            <w:tcW w:w="4180" w:type="dxa"/>
            <w:vAlign w:val="bottom"/>
          </w:tcPr>
          <w:p>
            <w:pPr>
              <w:ind w:left="20"/>
              <w:spacing w:after="0"/>
              <w:rPr>
                <w:sz w:val="20"/>
                <w:szCs w:val="20"/>
                <w:color w:val="auto"/>
              </w:rPr>
            </w:pPr>
            <w:r>
              <w:rPr>
                <w:rFonts w:ascii="Arial" w:cs="Arial" w:eastAsia="Arial" w:hAnsi="Arial"/>
                <w:sz w:val="15"/>
                <w:szCs w:val="15"/>
                <w:color w:val="auto"/>
              </w:rPr>
              <w:t>Loss on debt extinguishment</w:t>
            </w:r>
          </w:p>
        </w:tc>
        <w:tc>
          <w:tcPr>
            <w:tcW w:w="5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(33,305)</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1,031</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(2,178)</w:t>
            </w:r>
          </w:p>
        </w:tc>
      </w:tr>
      <w:tr>
        <w:trPr>
          <w:trHeight w:val="192"/>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Income from continuing operations before income taxes</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28,276</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16,670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45,153</w:t>
            </w: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14,507</w:t>
            </w: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9,556</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24,662</w:t>
            </w:r>
          </w:p>
        </w:tc>
        <w:tc>
          <w:tcPr>
            <w:tcW w:w="1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6,120</w:t>
            </w: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Net income from continuing operations</w:t>
            </w:r>
          </w:p>
        </w:tc>
        <w:tc>
          <w:tcPr>
            <w:tcW w:w="5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18,720</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16,274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20,491</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8,387</w:t>
            </w:r>
          </w:p>
        </w:tc>
      </w:tr>
      <w:tr>
        <w:trPr>
          <w:trHeight w:val="25"/>
        </w:trPr>
        <w:tc>
          <w:tcPr>
            <w:tcW w:w="4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Consolidated net revenues for the three months ended September 30, 2021 increased by approximately $100.4 million, or 25.9%, compared to the corresponding period in 2020. Our BOA business, which we acquired in October 2020, contributed $39.5 million in net revenue during the third quarter of 2021, and our Lugano business, which we acquired in September 2021, contributed $10.8 million in net revenue in the third quarter of 2021. During the three months ended September 30, 2021 compared to 2020, we also saw significant increases in net sales at 5.11 ($ 12.7 million increase), Marucci ($5.5 million increase), Velocity Outdoor ($6.3 million increase), Arnold ($14.2 million increase), Altor Solutions ($7.6 million increase) and Sterno ($3.1 million increase). During the comparable period in 2020, the onset of the COVID-19 pandemic resulted in the implementation of various measures to help control the spread of the virus, including quarantines, "shelter-in-place" and "stay-at-home" orders, that severely impacted our businesses and led to a steep drop-off in revenue during the quarter. Refer to "Results of Operations - Business Segments" for a more detailed analysis of net revenues by business segment.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consolidated basis, cost of revenues increased approximately $54.0 million during the three months ended September 30, 2021 compared to the corresponding period in 2020. Our BOA business contributed $15.5 million of the increase, and our Lugano business contributed $5.1 million of the increase in net revenues for the quarter ended September 30, 2021. We also saw notable increases in cost of revenues at 5.11 ($4.6 million increase), Marucci ($2.0 million increase), Velocity ($4.5 million increase), Arnold ($8.3 million increase), Altor ($ 7.1 million increase) and Sterno ($6.3 million increase) that correspond to the revenue increases noted above. Gross profit as a percentage of net revenues was approximately 39.4% in the three months ended September 30, 2021 compared to 37.6% in the three months ended September 30, 2020. The increase in gross profit as a percentage of net sales in the quarter ended September 30, 2021 as compared to the quarter ended September 30, 2020 primarily related to the increase in net revenue at our branded consumer businesses, which have higher gross margins than our niche industrial businesses. The gross margins at both our branded consumer businesses and our niche industrial businesses have been impacted by global supply chain constraints, increased costs of materials and components, and increased costs of labor that is leading to pressure on revenue and costs. The impact from these factors has been mostly offset by gains in operating efficiencies and price increases to our customers. Refer to "Results of Operations - Business Segments" for a more detailed analysis of gross profit by business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Consolidated selling, general and administrative expense increased approximately $28.0 million during the three months ended September 30, 2021, compared to the corresponding period in 2020. A portion of the increase in the third quarter of 2021 is due to our BOA acquisition in the prior year and our Lugano acquisition in the current year. $12.7 million of the increase is attributable to BOA, which was acquired in October 2020, and $3.5 million of the increase is attributable to Lugano, including $1.8 million in transaction costs related to the acquisition of Lugano in the current quarter. We also saw an increase in selling, general and administrative expense at several of our subsidiaries versus the prior year quarter as spending on variable expenses was reduced in the prior year in response to the impact of the COVID-19 pandemic, with the current quarter spend reflecting more normal levels. Refer to "Results of Operations - Business Segments" for a more detailed analysis of selling, general and administrative expense by business segment. At the corporate level, general and administrative expense was $3.7 million in the third quarter of 2021 and $3.0 million in the third quarter of 2020. The increase in expense at the corporate level in the current quarter is primarily attributable to professional fees incurred for the tax reclassification at the Trust.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September 30, 2021, we incurred approximately $12.4 million in management fees as compared to $9.5 million in fees in the three months ended September 30, 2020. The increase in Management fees is primarily attributable to our acquisition of BOA in October 2020 and Lugano in September 2021, offset by our sale of Liberty in August 2021. CGM has entered into a waiver of the MSA for a period through December 31, 2021 to receive a 1% annual management fee related to BOA, rather than the 2% called for under the MSA, which resulted in a lower management fee paid in the third quarter of 2021 than would have normally been due.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Amortization expense for the three months ended September 30, 2021 increased $3.8 million as compared to the three months ended September 30, 2020 as a result of the amortization expense associated with the intangibles that were recognized in conjunction with the purchase price allocation for BOA, which was acquired in October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$13.9 million for the three months ended September 30, 2021 compared to $12.4 million for the comparable period in 2020, an increase of $1.5 million. The increase in interest expense for the quarter reflects the higher amount outstanding on our Senior Notes during the quarter after we redeemed our 8.000% 2026 Senior Notes and issued $1,000.0 million in 5.250% 2029 Senior Notes in March of 2021, as well as a higher average amount outstanding under our Revolving Credit Facility during the third quarter of 2021 as compared to the third quarter of 2020.</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September 30, 2021, we recorded $1.0 million in other income as compared to $ 0.5 million in other expense in the quarter ended September 30, 2020, a decrease in expense of $1.5 million. Other income (expense) in typically reflects the movement in foreign currency at our businesses with international operations, gains or (losses) realized on the sale of property, plant and equipment, and expenses incurred or income earned that are not considered a part of our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had an income tax provision of $ 9.6 million during the three months ended September 30, 2021 compared to an income tax provision of $0.4 million during the same period in 2020. Our income before income taxes for the quarter ended September 30, 2021 increased by approximately $ 11.6 million as compared to the prior year quarter ended September 30, 2020, driven by the acquisitions of BOA in the fourth quarter of 2020 and Lugano in the current quarter, and an increase in earnings at several of our businesses during the quarter, particularly 5.11 and Velocity. Our tax provision increased $9.2 million as the tax provision reflects an annual effective tax rate at our subsidiaries, the effect of state and local taxes and the related allocation of income, and the losses at our parent company, which was previously currently taxed as a partnership.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On September 1, 2021, the Trust elected to “check-the-box” to have the Trust treated as a corporation for U.S. federal income tax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did not have a material impact on our consolidated tax provision in the third quarter.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nine months ended September 30, 2021 increased by approximately $366.9 million, or 36.5%, compared to the corresponding period in 2020. Our Marucci business, which we acquired in April 2020, contributed $ 61.5 million in incremental net revenue during the nine months ended September 30, 2021, and our BOA business, which we acquired in October 2020, contributed $120.0 million in net revenue during the first three quarters of 2021. Our Lugano business, which we acquired in September 2021, contributed $ 10.8 million to the increase in net revenue. During the nine months ended September 30, 2021 compared to 2020, we also saw significant increases in net sales at 5.11 ($39.2 million increase), Ergobaby ($ 9.9 million increase), Velocity Outdoor ($ 57.7 million increase), Arnold ($25.4 million increase), Altor Solutions ($33.2 million increase), and Sterno ($9.3 million increase). Refer to "Results of Operations - Business Segments" for a more detailed analysis of net revenues by business segment.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 consolidated basis, cost of revenues increased approximately $ 182.5 million during the nine months ended September 30, 2021 compared to the corresponding period in 2020. Our Marucci and BOA businesses contributed $69.1 million of the increase, and we saw notable increases in cost of revenues at 5.11 ($12.0 million increase), Velocity ($35.5 million increase), Arnold ($15.6 million increase), Altor ($29.4 million increase) and Sterno ( $12.8 million increase), that correspond to the revenue increases noted above. Gross profit as a percentage of net revenues was approximately 40.4% in the nine months ended September 30, 2021 compared to 36.8% in the nine months ended September 30, 2020. The increase in gross profit as a percentage of net sales in the nine months ended September 30, 2021 as compared to the nine months ended September 30, 2020 primarily related to the increase in net revenue at our branded consumer businesses, which have higher gross margins than our niche industrial businesses. The gross margins at our niche industrial businesses have been impacted by global supply chain constraints and increased costs of materials and components. The impact from these factors has been mostly offset by gains in operating efficiencies and price increases to our customers. Refer to "Results of Operations - Business Segments" for a more detailed analysis of gross profit by business segment.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Consolidated selling, general and administrative expense increased approximately $85.4 million during the nine months ended September 30, 2021, compared to the corresponding period in 2020. A majority of the increase in 2021 is due to our Marucci and BOA acquisitions in the prior year, and our Lugano acquisition in 2021. $14.1 million of the increase is attributable to our Marucci business, which was acquired in April 2020, and $36.5 million of the increase is attributable to BOA, which was acquired in October 2020. $3.5 million of the increase is attributable to Lugano, including $1.8 million in transaction costs related to the acquisition of Lugano in the current year. We also saw an increase in selling, general and administrative expense at several of our subsidiaries versus the prior year quarter as spending on variable expenses was reduced in the prior year in response to the impact of the COVID-19 pandemic, with the current year spend reflecting more normal levels of selling, general and administrative spend. Refer to "Results of Operations - Business Segments" for a more detailed analysis of selling, general and administrative expense by business segment. At the corporate level, general and administrative expense was $11.7 million in the nine months ended September 30, 2021 and $10.0 million in the nine months ended September 30, 2020. The increase in corporate general and administrative expense during 2021 is primarily due to increased professional fees associated with our election for the Trust to be treated as a corporation for U.S. federal income tax purposes, and an increase in variable spending that had been reduced in the prior year as a result of the COVID-19 pandemic.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nine months ended September 30, 2021, we incurred approximately $34.5 million in management fees as compared to $23.1 million in fees in the nine months ended September 30, 2020. The increase in Management fees is primarily attributable to our acquisition of Marucci in April 2020, BOA in October 2020 and Lugano in 2021, offset by our sale of Liberty in August 2021. CGM has entered into a waiver of the MSA for a period through December 31, 2021 to receive a 1% annual management fee related to BOA, rather than the 2% called for under the MSA, which resulted in a lower management fee paid during 2021 than would have normally been due. In the first quarter of 2020, as a proactive measure to provide the Company with additional liquidity in light of the onset of the COVID-19 pandemic, the Company drew $200 million down on the 2018 Revolving Credit Facility. The Company and CGM entered a waiver agreement whereby CGM agreed to waive the portion of the management fee attributable to cash balances at March 31, 2020 which reduced the amount of Management fee that would have been paid in the first quarter of 2020. Additionally, as a result of an expected decline in earnings and cash flows in the second quarter of 2020 in light of the COVID-19 pandemic, CGM agreed to waive 50% of the management fee calculated at June 30, 2020. In the first quarter of 2021, the Company and CGM entered into a waiver agreement whereby CGM agreed to waive the portion of the management fee related to the amount of the proceeds deposited with the Trustee that was in excess of the amount payable related to the 2026 Senior Notes at March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Amortization expense for the nine months ended September 30, 2021 increased $13.0 million as compared to the nine months ended September 30, 2020 as a result of the amortization expense associated with the intangibles that were recognized in conjunction with the purchase price allocation for Marucci, which was acquired in April 2020, and BOA, which was acquired in October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recorded interest expense totaling $42.6 million for the nine months ended September 30, 2021 compared to $ 32.1 million for the comparable period in 2020, an increase of $10.5 million. The increase in interest expense in the current year reflects the higher amount outstanding on our Senior Notes during the current year after we redeemed $600.0 million of our 8.000% 2026 Senior Notes and issued $1000.0 million of 5.250% 2029 Senior Notes in March of 2021, as well as an increase in the average amount outstanding under our Revolving Credit Facility during the first nine months of 2021. The average amount outstanding on our Revolving Credit Facility year-to-date in 2021 was approximately $121 million, while the average amount outstanding during the nine months ended September 30, 2020 was $38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2021, we recorded $1.9 million in other expense as compared to $2.2 million in other expense in the nine months ended September 30, 2020, a decrease in expense of $0.3 million. Other income (expense) in typically reflects the movement in foreign currency at our businesses with international</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jc w:val="both"/>
        <w:ind w:right="20"/>
        <w:spacing w:after="0" w:line="261" w:lineRule="auto"/>
        <w:rPr>
          <w:sz w:val="20"/>
          <w:szCs w:val="20"/>
          <w:color w:val="auto"/>
        </w:rPr>
      </w:pPr>
      <w:r>
        <w:rPr>
          <w:rFonts w:ascii="Arial" w:cs="Arial" w:eastAsia="Arial" w:hAnsi="Arial"/>
          <w:sz w:val="18"/>
          <w:szCs w:val="18"/>
          <w:color w:val="auto"/>
        </w:rPr>
        <w:t>operations, gains or (losses) realized on the sale of property, plant and equipment, and expenses incurred that are not considered a part of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$24.7 million during the nine months ended September 30, 2021 compared to an income tax provision of $6.1 million during the same period in 2020. Our income before income taxes for the nine months ended September 30, 2021 increased by approximately $30.6 million as compared to the prior year nine months ended September 30, 2020, and our tax provision increased $18.5 million as the tax provision reflects an annual effective tax rate at our subsidiaries, the effect of state and local taxes and the related allocation of income, and the losses at our parent company, which was previously taxed as a partnership.</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On September 1, 2021, the Trust elected to “check-the-box” to have the Trust treated as a corporation for U.S. federal income tax purposes.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election did not have a material impact on our consolidated tax provision in the nine months ended September 30,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311"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1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1"/>
                <w:szCs w:val="21"/>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1"/>
                <w:szCs w:val="21"/>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1"/>
                <w:szCs w:val="21"/>
                <w:color w:val="auto"/>
              </w:rPr>
            </w:pPr>
          </w:p>
        </w:tc>
        <w:tc>
          <w:tcPr>
            <w:tcW w:w="1760" w:type="dxa"/>
            <w:vAlign w:val="bottom"/>
            <w:gridSpan w:val="2"/>
          </w:tcPr>
          <w:p>
            <w:pPr>
              <w:jc w:val="right"/>
              <w:ind w:right="124"/>
              <w:spacing w:after="0"/>
              <w:rPr>
                <w:sz w:val="20"/>
                <w:szCs w:val="20"/>
                <w:color w:val="auto"/>
              </w:rPr>
            </w:pPr>
            <w:r>
              <w:rPr>
                <w:rFonts w:ascii="Arial" w:cs="Arial" w:eastAsia="Arial" w:hAnsi="Arial"/>
                <w:sz w:val="16"/>
                <w:szCs w:val="16"/>
                <w:b w:val="1"/>
                <w:bCs w:val="1"/>
                <w:color w:val="auto"/>
              </w:rPr>
              <w:t>September 30, 2020</w:t>
            </w:r>
          </w:p>
        </w:tc>
      </w:tr>
      <w:tr>
        <w:trPr>
          <w:trHeight w:val="253"/>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111,099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98,406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321,009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281,822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59,332</w:t>
            </w:r>
          </w:p>
        </w:tc>
        <w:tc>
          <w:tcPr>
            <w:tcW w:w="860" w:type="dxa"/>
            <w:vAlign w:val="bottom"/>
          </w:tcPr>
          <w:p>
            <w:pPr>
              <w:jc w:val="right"/>
              <w:spacing w:after="0"/>
              <w:rPr>
                <w:sz w:val="20"/>
                <w:szCs w:val="20"/>
                <w:color w:val="auto"/>
              </w:rPr>
            </w:pPr>
            <w:r>
              <w:rPr>
                <w:rFonts w:ascii="Arial" w:cs="Arial" w:eastAsia="Arial" w:hAnsi="Arial"/>
                <w:sz w:val="15"/>
                <w:szCs w:val="15"/>
                <w:color w:val="auto"/>
              </w:rPr>
              <w:t>53.4 %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51,264</w:t>
            </w:r>
          </w:p>
        </w:tc>
        <w:tc>
          <w:tcPr>
            <w:tcW w:w="840" w:type="dxa"/>
            <w:vAlign w:val="bottom"/>
          </w:tcPr>
          <w:p>
            <w:pPr>
              <w:jc w:val="right"/>
              <w:spacing w:after="0"/>
              <w:rPr>
                <w:sz w:val="20"/>
                <w:szCs w:val="20"/>
                <w:color w:val="auto"/>
              </w:rPr>
            </w:pPr>
            <w:r>
              <w:rPr>
                <w:rFonts w:ascii="Arial" w:cs="Arial" w:eastAsia="Arial" w:hAnsi="Arial"/>
                <w:sz w:val="15"/>
                <w:szCs w:val="15"/>
                <w:color w:val="auto"/>
              </w:rPr>
              <w:t>52.1 %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03"/>
              <w:spacing w:after="0"/>
              <w:rPr>
                <w:sz w:val="20"/>
                <w:szCs w:val="20"/>
                <w:color w:val="auto"/>
              </w:rPr>
            </w:pPr>
            <w:r>
              <w:rPr>
                <w:rFonts w:ascii="Arial" w:cs="Arial" w:eastAsia="Arial" w:hAnsi="Arial"/>
                <w:sz w:val="15"/>
                <w:szCs w:val="15"/>
                <w:color w:val="auto"/>
              </w:rPr>
              <w:t>170,048</w:t>
            </w:r>
          </w:p>
        </w:tc>
        <w:tc>
          <w:tcPr>
            <w:tcW w:w="860" w:type="dxa"/>
            <w:vAlign w:val="bottom"/>
          </w:tcPr>
          <w:p>
            <w:pPr>
              <w:jc w:val="right"/>
              <w:spacing w:after="0"/>
              <w:rPr>
                <w:sz w:val="20"/>
                <w:szCs w:val="20"/>
                <w:color w:val="auto"/>
              </w:rPr>
            </w:pPr>
            <w:r>
              <w:rPr>
                <w:rFonts w:ascii="Arial" w:cs="Arial" w:eastAsia="Arial" w:hAnsi="Arial"/>
                <w:sz w:val="15"/>
                <w:szCs w:val="15"/>
                <w:color w:val="auto"/>
              </w:rPr>
              <w:t>53.0 %</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142,842</w:t>
            </w:r>
          </w:p>
        </w:tc>
        <w:tc>
          <w:tcPr>
            <w:tcW w:w="820" w:type="dxa"/>
            <w:vAlign w:val="bottom"/>
          </w:tcPr>
          <w:p>
            <w:pPr>
              <w:jc w:val="right"/>
              <w:spacing w:after="0"/>
              <w:rPr>
                <w:sz w:val="20"/>
                <w:szCs w:val="20"/>
                <w:color w:val="auto"/>
              </w:rPr>
            </w:pPr>
            <w:r>
              <w:rPr>
                <w:rFonts w:ascii="Arial" w:cs="Arial" w:eastAsia="Arial" w:hAnsi="Arial"/>
                <w:sz w:val="15"/>
                <w:szCs w:val="15"/>
                <w:color w:val="auto"/>
              </w:rPr>
              <w:t>50.7 %</w:t>
            </w:r>
          </w:p>
        </w:tc>
      </w:tr>
      <w:tr>
        <w:trPr>
          <w:trHeight w:val="273"/>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46,788</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40,147</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134,773</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117,564</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41.7 %</w:t>
            </w:r>
          </w:p>
        </w:tc>
      </w:tr>
      <w:tr>
        <w:trPr>
          <w:trHeight w:val="177"/>
        </w:trPr>
        <w:tc>
          <w:tcPr>
            <w:tcW w:w="130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300" w:type="dxa"/>
            <w:vAlign w:val="bottom"/>
          </w:tcPr>
          <w:p>
            <w:pPr>
              <w:ind w:left="20"/>
              <w:spacing w:after="0"/>
              <w:rPr>
                <w:sz w:val="20"/>
                <w:szCs w:val="20"/>
                <w:color w:val="auto"/>
              </w:rPr>
            </w:pPr>
            <w:r>
              <w:rPr>
                <w:rFonts w:ascii="Arial" w:cs="Arial" w:eastAsia="Arial" w:hAnsi="Arial"/>
                <w:sz w:val="16"/>
                <w:szCs w:val="16"/>
                <w:color w:val="auto"/>
              </w:rPr>
              <w:t>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83"/>
              <w:spacing w:after="0"/>
              <w:rPr>
                <w:sz w:val="20"/>
                <w:szCs w:val="20"/>
                <w:color w:val="auto"/>
              </w:rPr>
            </w:pPr>
            <w:r>
              <w:rPr>
                <w:rFonts w:ascii="Arial" w:cs="Arial" w:eastAsia="Arial" w:hAnsi="Arial"/>
                <w:sz w:val="15"/>
                <w:szCs w:val="15"/>
                <w:color w:val="auto"/>
              </w:rPr>
              <w:t>10,088</w:t>
            </w:r>
          </w:p>
        </w:tc>
        <w:tc>
          <w:tcPr>
            <w:tcW w:w="860" w:type="dxa"/>
            <w:vAlign w:val="bottom"/>
          </w:tcPr>
          <w:p>
            <w:pPr>
              <w:jc w:val="right"/>
              <w:spacing w:after="0"/>
              <w:rPr>
                <w:sz w:val="20"/>
                <w:szCs w:val="20"/>
                <w:color w:val="auto"/>
              </w:rPr>
            </w:pPr>
            <w:r>
              <w:rPr>
                <w:rFonts w:ascii="Arial" w:cs="Arial" w:eastAsia="Arial" w:hAnsi="Arial"/>
                <w:sz w:val="15"/>
                <w:szCs w:val="15"/>
                <w:color w:val="auto"/>
              </w:rPr>
              <w:t>9.1 %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8,681</w:t>
            </w:r>
          </w:p>
        </w:tc>
        <w:tc>
          <w:tcPr>
            <w:tcW w:w="840" w:type="dxa"/>
            <w:vAlign w:val="bottom"/>
          </w:tcPr>
          <w:p>
            <w:pPr>
              <w:jc w:val="right"/>
              <w:spacing w:after="0"/>
              <w:rPr>
                <w:sz w:val="20"/>
                <w:szCs w:val="20"/>
                <w:color w:val="auto"/>
              </w:rPr>
            </w:pPr>
            <w:r>
              <w:rPr>
                <w:rFonts w:ascii="Arial" w:cs="Arial" w:eastAsia="Arial" w:hAnsi="Arial"/>
                <w:sz w:val="15"/>
                <w:szCs w:val="15"/>
                <w:color w:val="auto"/>
              </w:rPr>
              <w:t>8.8 %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03"/>
              <w:spacing w:after="0"/>
              <w:rPr>
                <w:sz w:val="20"/>
                <w:szCs w:val="20"/>
                <w:color w:val="auto"/>
              </w:rPr>
            </w:pPr>
            <w:r>
              <w:rPr>
                <w:rFonts w:ascii="Arial" w:cs="Arial" w:eastAsia="Arial" w:hAnsi="Arial"/>
                <w:sz w:val="15"/>
                <w:szCs w:val="15"/>
                <w:color w:val="auto"/>
              </w:rPr>
              <w:t>27,893</w:t>
            </w:r>
          </w:p>
        </w:tc>
        <w:tc>
          <w:tcPr>
            <w:tcW w:w="860" w:type="dxa"/>
            <w:vAlign w:val="bottom"/>
          </w:tcPr>
          <w:p>
            <w:pPr>
              <w:jc w:val="right"/>
              <w:spacing w:after="0"/>
              <w:rPr>
                <w:sz w:val="20"/>
                <w:szCs w:val="20"/>
                <w:color w:val="auto"/>
              </w:rPr>
            </w:pPr>
            <w:r>
              <w:rPr>
                <w:rFonts w:ascii="Arial" w:cs="Arial" w:eastAsia="Arial" w:hAnsi="Arial"/>
                <w:sz w:val="15"/>
                <w:szCs w:val="15"/>
                <w:color w:val="auto"/>
              </w:rPr>
              <w:t>8.7 %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63"/>
              <w:spacing w:after="0"/>
              <w:rPr>
                <w:sz w:val="20"/>
                <w:szCs w:val="20"/>
                <w:color w:val="auto"/>
              </w:rPr>
            </w:pPr>
            <w:r>
              <w:rPr>
                <w:rFonts w:ascii="Arial" w:cs="Arial" w:eastAsia="Arial" w:hAnsi="Arial"/>
                <w:sz w:val="15"/>
                <w:szCs w:val="15"/>
                <w:color w:val="auto"/>
              </w:rPr>
              <w:t>17,969</w:t>
            </w:r>
          </w:p>
        </w:tc>
        <w:tc>
          <w:tcPr>
            <w:tcW w:w="820" w:type="dxa"/>
            <w:vAlign w:val="bottom"/>
          </w:tcPr>
          <w:p>
            <w:pPr>
              <w:jc w:val="right"/>
              <w:spacing w:after="0"/>
              <w:rPr>
                <w:sz w:val="20"/>
                <w:szCs w:val="20"/>
                <w:color w:val="auto"/>
              </w:rPr>
            </w:pPr>
            <w:r>
              <w:rPr>
                <w:rFonts w:ascii="Arial" w:cs="Arial" w:eastAsia="Arial" w:hAnsi="Arial"/>
                <w:sz w:val="15"/>
                <w:szCs w:val="15"/>
                <w:color w:val="auto"/>
              </w:rPr>
              <w:t>6.4 %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September 30, 2021 were $111.1 million as compared to net sales of $98.4 million for the three months ended September 30, 2020, an increase of $12.7 million, or 12.9%. This increase is due in part to e-commerce and retail sales growth of $7.7 million, up 19% from the prior year comparable period. Retail sales grew largely due to fourteen new retail store openings since September 2020 (bringing the total store count to eighty-five as of September 30, 2021) as well as positive growth in same-store sales for the three months ended September 30, 2021 as compared to the same period last year which was negatively impacted by the effects of the COVID-19 pandemic, as certain of our retail locations had to temporarily close. Net sales were also positively impacted by domestic wholesale sales growth of $4.7 million, up 13% from the prior year comparable period which was negatively impacted by the effects of the COVID-19 pandemic.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53.4% in the three months ended September 30, 2021 as compared to 52.1% for the three months ended September 30, 2020. Growth in gross profit percentage was driven by channel mix as direct to consumer sales, which realize higher gross profit than wholesale sales, grew versus the prior period. Growth in gross profit percentage was also favorably impacted by a domestic price increase which went into effect early in July 2021, partially offset by an increase in freight charges during the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three months ended September 30, 2021 was $46.8 million, or 42.1% of net sales compared to $40.1 million, or 40.8% of net sales for the comparable period in 2020. The increase in selling, general and administrative expense for the three months ended September 30, 2021 as compared to the prior year comparable period was driven by the costs associated with additional retail stores (eighty-five opened at September 30, 2021 versus seventy-one opened at September 30, 2020 during the comparable period), as well as additional sales and marketing spend to drive digital sales. For the three months ended September 30, 2020, management significantly reduced variable expenses, including payroll, bonus, travel and entertainment, and sales and marketing, as a response to decreased sales from the effects of the COVID-19</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color w:val="auto"/>
        </w:rPr>
        <w:t>pandemic. While management continues to control and reduce variable expenses, payroll and bonus for the three months ended September 30, 2021 were not reduced, thereby increasing selling, general and administrative expense as compared to the three months ended September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2021 was $ 10.1 million, an increase of $1.4 million when compared to income from operations of $8.7 million for the same period in 2020, based on the factors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sales for the nine months ended September 30, 2021 were $321.0 million as compared to net sales of $281.8 million for the nine months ended September 30, 2020, an increase of $39.2 million, or 13.9%. This increase is due primarily to e-commerce and retail sales growth of $28.6 million, up 27% from the prior year comparable period. Retail sales grew largely due to fourteen new retail store openings since September 2020 (bringing the total store count to eighty-five as of September 30, 2021) as well as positive growth in same-store sales for the nine months ended September 30, 2021 as compared to the same period last year which was negatively impacted by the effects of the COVID-19 pandemic. Net sales were also positively impacted by domestic wholesale sales growth of $13.3 million, up 13% from the prior year comparable period which was negatively impacted by the effects of the COVID-19 pandemic, as certain of our retail stores had to temporarily close. The increase in sales from our retail and e-commerce channels was partially offset by a decrease of $8.0 million in sales in our direct to agency business (DTA) as we fulfilled a large contract in 2020 which did not repeat in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was 53.0% in the nine months ended September 30, 2021 as compared to 50.7% for the nine months ended September 30, 2020. Growth in gross profit percentage was driven by channel mix as direct to consumer sales, which realize higher gross profit than wholesale sales, grew versus the prior period. Growth in gross profit percentage was also favorably impacted as in the nine months ended September 30, 2020, we recorded a duty drawback accrual (which increased cost of goods sold) for audited duty drawback claims which was not repeated for the comparable period in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for the nine months ended September 30, 2021 was $134.8 million, or 42.0% of net sales compared to $117.6 million, or 41.7% of net sales for the comparable period in 2020. The increase in selling, general and administrative expense for the nine months ended September 30, 2021 as compared to the prior year comparable period was driven by the costs associated with additional retail stores (eighty-five open in 2021 versus seventy-one open in 2020 during the comparable period), as well as additional sales and marketing spend to drive digital sales. For the nine months ended September 30, 2020, management significantly reduced variable expenses, including payroll, bonus, travel and entertainment, and sales and marketing, as a response to decreased sales from the effects of the COVID-19 pandemic. While management continues to control and reduce variable expenses, payroll and bonus for year-to-date 2021 increased in correlation with the increase in net sales.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$27.9 million, an increase of $9.9 million when compared to income from operations of $18.0 million for the same period in 2020,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BOA for the three and nine months ended September 30, 2020 as if we had acquired the business on January 1, 2020. The results of operations that follows include relevant pro-forma adjustments for pre-acquisition periods and explanations where applicable. The operating results for BOA have been included in the consolidated results of operation from the date of acquisition in October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3" w:name="page54"/>
    <w:bookmarkEnd w:id="53"/>
    <w:tbl>
      <w:tblPr>
        <w:tblLayout w:type="fixed"/>
        <w:tblInd w:w="40" w:type="dxa"/>
        <w:tblCellMar>
          <w:top w:w="0" w:type="dxa"/>
          <w:left w:w="0" w:type="dxa"/>
          <w:bottom w:w="0" w:type="dxa"/>
          <w:right w:w="0" w:type="dxa"/>
        </w:tblCellMar>
      </w:tblPr>
      <w:tr>
        <w:trPr>
          <w:trHeight w:val="218"/>
        </w:trPr>
        <w:tc>
          <w:tcPr>
            <w:tcW w:w="2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Borders>
              <w:bottom w:val="single" w:sz="8" w:color="auto"/>
            </w:tcBorders>
          </w:tcPr>
          <w:p>
            <w:pPr>
              <w:spacing w:after="0"/>
              <w:rPr>
                <w:sz w:val="18"/>
                <w:szCs w:val="18"/>
                <w:color w:val="auto"/>
              </w:rPr>
            </w:pPr>
          </w:p>
        </w:tc>
      </w:tr>
      <w:tr>
        <w:trPr>
          <w:trHeight w:val="212"/>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204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 2020</w:t>
            </w:r>
          </w:p>
        </w:tc>
      </w:tr>
      <w:tr>
        <w:trPr>
          <w:trHeight w:val="210"/>
        </w:trPr>
        <w:tc>
          <w:tcPr>
            <w:tcW w:w="20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Pro forma</w:t>
            </w:r>
          </w:p>
        </w:tc>
        <w:tc>
          <w:tcPr>
            <w:tcW w:w="104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Pro forma</w:t>
            </w:r>
          </w:p>
        </w:tc>
        <w:tc>
          <w:tcPr>
            <w:tcW w:w="1080" w:type="dxa"/>
            <w:vAlign w:val="bottom"/>
            <w:tcBorders>
              <w:top w:val="single" w:sz="8" w:color="auto"/>
              <w:bottom w:val="single" w:sz="8" w:color="CCEEFF"/>
            </w:tcBorders>
          </w:tcPr>
          <w:p>
            <w:pPr>
              <w:spacing w:after="0"/>
              <w:rPr>
                <w:sz w:val="18"/>
                <w:szCs w:val="18"/>
                <w:color w:val="auto"/>
              </w:rPr>
            </w:pPr>
          </w:p>
        </w:tc>
      </w:tr>
      <w:tr>
        <w:trPr>
          <w:trHeight w:val="197"/>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39,496</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26,141</w:t>
            </w:r>
          </w:p>
        </w:tc>
        <w:tc>
          <w:tcPr>
            <w:tcW w:w="104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8"/>
              </w:rPr>
              <w:t>100.0%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120,033</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77,173</w:t>
            </w:r>
          </w:p>
        </w:tc>
        <w:tc>
          <w:tcPr>
            <w:tcW w:w="108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rPr>
              <w:t>100.0%</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23,950</w:t>
            </w:r>
          </w:p>
        </w:tc>
        <w:tc>
          <w:tcPr>
            <w:tcW w:w="920" w:type="dxa"/>
            <w:vAlign w:val="bottom"/>
          </w:tcPr>
          <w:p>
            <w:pPr>
              <w:jc w:val="center"/>
              <w:spacing w:after="0"/>
              <w:rPr>
                <w:sz w:val="20"/>
                <w:szCs w:val="20"/>
                <w:color w:val="auto"/>
              </w:rPr>
            </w:pPr>
            <w:r>
              <w:rPr>
                <w:rFonts w:ascii="Arial" w:cs="Arial" w:eastAsia="Arial" w:hAnsi="Arial"/>
                <w:sz w:val="15"/>
                <w:szCs w:val="15"/>
                <w:color w:val="auto"/>
                <w:w w:val="98"/>
              </w:rPr>
              <w:t>60.6%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
              <w:spacing w:after="0"/>
              <w:rPr>
                <w:sz w:val="20"/>
                <w:szCs w:val="20"/>
                <w:color w:val="auto"/>
              </w:rPr>
            </w:pPr>
            <w:r>
              <w:rPr>
                <w:rFonts w:ascii="Arial" w:cs="Arial" w:eastAsia="Arial" w:hAnsi="Arial"/>
                <w:sz w:val="15"/>
                <w:szCs w:val="15"/>
                <w:color w:val="auto"/>
              </w:rPr>
              <w:t>16,380</w:t>
            </w:r>
          </w:p>
        </w:tc>
        <w:tc>
          <w:tcPr>
            <w:tcW w:w="1040" w:type="dxa"/>
            <w:vAlign w:val="bottom"/>
          </w:tcPr>
          <w:p>
            <w:pPr>
              <w:jc w:val="center"/>
              <w:ind w:left="24"/>
              <w:spacing w:after="0"/>
              <w:rPr>
                <w:sz w:val="20"/>
                <w:szCs w:val="20"/>
                <w:color w:val="auto"/>
              </w:rPr>
            </w:pPr>
            <w:r>
              <w:rPr>
                <w:rFonts w:ascii="Arial" w:cs="Arial" w:eastAsia="Arial" w:hAnsi="Arial"/>
                <w:sz w:val="15"/>
                <w:szCs w:val="15"/>
                <w:color w:val="auto"/>
                <w:w w:val="98"/>
              </w:rPr>
              <w:t>62.7%</w:t>
            </w:r>
          </w:p>
        </w:tc>
        <w:tc>
          <w:tcPr>
            <w:tcW w:w="12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3"/>
              <w:spacing w:after="0"/>
              <w:rPr>
                <w:sz w:val="20"/>
                <w:szCs w:val="20"/>
                <w:color w:val="auto"/>
              </w:rPr>
            </w:pPr>
            <w:r>
              <w:rPr>
                <w:rFonts w:ascii="Arial" w:cs="Arial" w:eastAsia="Arial" w:hAnsi="Arial"/>
                <w:sz w:val="15"/>
                <w:szCs w:val="15"/>
                <w:color w:val="auto"/>
              </w:rPr>
              <w:t>74,491</w:t>
            </w:r>
          </w:p>
        </w:tc>
        <w:tc>
          <w:tcPr>
            <w:tcW w:w="940" w:type="dxa"/>
            <w:vAlign w:val="bottom"/>
          </w:tcPr>
          <w:p>
            <w:pPr>
              <w:jc w:val="center"/>
              <w:spacing w:after="0"/>
              <w:rPr>
                <w:sz w:val="20"/>
                <w:szCs w:val="20"/>
                <w:color w:val="auto"/>
              </w:rPr>
            </w:pPr>
            <w:r>
              <w:rPr>
                <w:rFonts w:ascii="Arial" w:cs="Arial" w:eastAsia="Arial" w:hAnsi="Arial"/>
                <w:sz w:val="15"/>
                <w:szCs w:val="15"/>
                <w:color w:val="auto"/>
              </w:rPr>
              <w:t>62.1%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46,292</w:t>
            </w:r>
          </w:p>
        </w:tc>
        <w:tc>
          <w:tcPr>
            <w:tcW w:w="1080" w:type="dxa"/>
            <w:vAlign w:val="bottom"/>
          </w:tcPr>
          <w:p>
            <w:pPr>
              <w:jc w:val="center"/>
              <w:ind w:left="44"/>
              <w:spacing w:after="0"/>
              <w:rPr>
                <w:sz w:val="20"/>
                <w:szCs w:val="20"/>
                <w:color w:val="auto"/>
              </w:rPr>
            </w:pPr>
            <w:r>
              <w:rPr>
                <w:rFonts w:ascii="Arial" w:cs="Arial" w:eastAsia="Arial" w:hAnsi="Arial"/>
                <w:sz w:val="15"/>
                <w:szCs w:val="15"/>
                <w:color w:val="auto"/>
              </w:rPr>
              <w:t>60.0%</w:t>
            </w: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12,696</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32.1%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9,556</w:t>
            </w:r>
          </w:p>
        </w:tc>
        <w:tc>
          <w:tcPr>
            <w:tcW w:w="104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8"/>
              </w:rPr>
              <w:t>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36,450</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30.4%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27,127</w:t>
            </w:r>
          </w:p>
        </w:tc>
        <w:tc>
          <w:tcPr>
            <w:tcW w:w="108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rPr>
              <w:t>35.2%</w:t>
            </w:r>
          </w:p>
        </w:tc>
      </w:tr>
      <w:tr>
        <w:trPr>
          <w:trHeight w:val="213"/>
        </w:trPr>
        <w:tc>
          <w:tcPr>
            <w:tcW w:w="2020" w:type="dxa"/>
            <w:vAlign w:val="bottom"/>
          </w:tcPr>
          <w:p>
            <w:pPr>
              <w:ind w:left="20"/>
              <w:spacing w:after="0"/>
              <w:rPr>
                <w:sz w:val="20"/>
                <w:szCs w:val="20"/>
                <w:color w:val="auto"/>
              </w:rPr>
            </w:pPr>
            <w:r>
              <w:rPr>
                <w:rFonts w:ascii="Arial" w:cs="Arial" w:eastAsia="Arial" w:hAnsi="Arial"/>
                <w:sz w:val="16"/>
                <w:szCs w:val="16"/>
                <w:color w:val="auto"/>
              </w:rPr>
              <w:t>Amortization expense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03"/>
              <w:spacing w:after="0"/>
              <w:rPr>
                <w:sz w:val="20"/>
                <w:szCs w:val="20"/>
                <w:color w:val="auto"/>
              </w:rPr>
            </w:pPr>
            <w:r>
              <w:rPr>
                <w:rFonts w:ascii="Arial" w:cs="Arial" w:eastAsia="Arial" w:hAnsi="Arial"/>
                <w:sz w:val="15"/>
                <w:szCs w:val="15"/>
                <w:color w:val="auto"/>
              </w:rPr>
              <w:t>3,913</w:t>
            </w:r>
          </w:p>
        </w:tc>
        <w:tc>
          <w:tcPr>
            <w:tcW w:w="920" w:type="dxa"/>
            <w:vAlign w:val="bottom"/>
          </w:tcPr>
          <w:p>
            <w:pPr>
              <w:jc w:val="center"/>
              <w:spacing w:after="0"/>
              <w:rPr>
                <w:sz w:val="20"/>
                <w:szCs w:val="20"/>
                <w:color w:val="auto"/>
              </w:rPr>
            </w:pPr>
            <w:r>
              <w:rPr>
                <w:rFonts w:ascii="Arial" w:cs="Arial" w:eastAsia="Arial" w:hAnsi="Arial"/>
                <w:sz w:val="15"/>
                <w:szCs w:val="15"/>
                <w:color w:val="auto"/>
                <w:w w:val="99"/>
              </w:rPr>
              <w:t>9.9%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
              <w:spacing w:after="0"/>
              <w:rPr>
                <w:sz w:val="20"/>
                <w:szCs w:val="20"/>
                <w:color w:val="auto"/>
              </w:rPr>
            </w:pPr>
            <w:r>
              <w:rPr>
                <w:rFonts w:ascii="Arial" w:cs="Arial" w:eastAsia="Arial" w:hAnsi="Arial"/>
                <w:sz w:val="15"/>
                <w:szCs w:val="15"/>
                <w:color w:val="auto"/>
              </w:rPr>
              <w:t>3,810</w:t>
            </w:r>
          </w:p>
        </w:tc>
        <w:tc>
          <w:tcPr>
            <w:tcW w:w="1040" w:type="dxa"/>
            <w:vAlign w:val="bottom"/>
          </w:tcPr>
          <w:p>
            <w:pPr>
              <w:jc w:val="center"/>
              <w:ind w:left="24"/>
              <w:spacing w:after="0"/>
              <w:rPr>
                <w:sz w:val="20"/>
                <w:szCs w:val="20"/>
                <w:color w:val="auto"/>
              </w:rPr>
            </w:pPr>
            <w:r>
              <w:rPr>
                <w:rFonts w:ascii="Arial" w:cs="Arial" w:eastAsia="Arial" w:hAnsi="Arial"/>
                <w:sz w:val="15"/>
                <w:szCs w:val="15"/>
                <w:color w:val="auto"/>
                <w:w w:val="98"/>
              </w:rPr>
              <w:t>14.6%</w:t>
            </w:r>
          </w:p>
        </w:tc>
        <w:tc>
          <w:tcPr>
            <w:tcW w:w="12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123"/>
              <w:spacing w:after="0"/>
              <w:rPr>
                <w:sz w:val="20"/>
                <w:szCs w:val="20"/>
                <w:color w:val="auto"/>
              </w:rPr>
            </w:pPr>
            <w:r>
              <w:rPr>
                <w:rFonts w:ascii="Arial" w:cs="Arial" w:eastAsia="Arial" w:hAnsi="Arial"/>
                <w:sz w:val="15"/>
                <w:szCs w:val="15"/>
                <w:color w:val="auto"/>
              </w:rPr>
              <w:t>11,493</w:t>
            </w:r>
          </w:p>
        </w:tc>
        <w:tc>
          <w:tcPr>
            <w:tcW w:w="940" w:type="dxa"/>
            <w:vAlign w:val="bottom"/>
          </w:tcPr>
          <w:p>
            <w:pPr>
              <w:jc w:val="center"/>
              <w:spacing w:after="0"/>
              <w:rPr>
                <w:sz w:val="20"/>
                <w:szCs w:val="20"/>
                <w:color w:val="auto"/>
              </w:rPr>
            </w:pPr>
            <w:r>
              <w:rPr>
                <w:rFonts w:ascii="Arial" w:cs="Arial" w:eastAsia="Arial" w:hAnsi="Arial"/>
                <w:sz w:val="15"/>
                <w:szCs w:val="15"/>
                <w:color w:val="auto"/>
              </w:rPr>
              <w:t>9.6%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11,430</w:t>
            </w:r>
          </w:p>
        </w:tc>
        <w:tc>
          <w:tcPr>
            <w:tcW w:w="1080" w:type="dxa"/>
            <w:vAlign w:val="bottom"/>
          </w:tcPr>
          <w:p>
            <w:pPr>
              <w:jc w:val="center"/>
              <w:ind w:left="44"/>
              <w:spacing w:after="0"/>
              <w:rPr>
                <w:sz w:val="20"/>
                <w:szCs w:val="20"/>
                <w:color w:val="auto"/>
              </w:rPr>
            </w:pPr>
            <w:r>
              <w:rPr>
                <w:rFonts w:ascii="Arial" w:cs="Arial" w:eastAsia="Arial" w:hAnsi="Arial"/>
                <w:sz w:val="15"/>
                <w:szCs w:val="15"/>
                <w:color w:val="auto"/>
              </w:rPr>
              <w:t>14.8%</w:t>
            </w: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7,091</w:t>
            </w:r>
          </w:p>
        </w:tc>
        <w:tc>
          <w:tcPr>
            <w:tcW w:w="9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8"/>
              </w:rPr>
              <w:t>18.0%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2,764</w:t>
            </w:r>
          </w:p>
        </w:tc>
        <w:tc>
          <w:tcPr>
            <w:tcW w:w="104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8"/>
              </w:rPr>
              <w:t>10.6%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25,798</w:t>
            </w:r>
          </w:p>
        </w:tc>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21.5%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6,985</w:t>
            </w:r>
          </w:p>
        </w:tc>
        <w:tc>
          <w:tcPr>
            <w:tcW w:w="108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9"/>
              </w:rPr>
              <w:t>9.1%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BOA January 1, 2020:</w:t>
      </w:r>
    </w:p>
    <w:p>
      <w:pPr>
        <w:spacing w:after="0" w:line="88" w:lineRule="exact"/>
        <w:rPr>
          <w:sz w:val="20"/>
          <w:szCs w:val="20"/>
          <w:color w:val="auto"/>
        </w:rPr>
      </w:pPr>
    </w:p>
    <w:p>
      <w:pPr>
        <w:ind w:left="660" w:right="120" w:hanging="328"/>
        <w:spacing w:after="0" w:line="252" w:lineRule="auto"/>
        <w:tabs>
          <w:tab w:leader="none" w:pos="648"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Amortization expense associated with the intangible assets recorded in connection with the purchase price allocation for BOA of $3.7 million and $11.2 million, respectively, for the three and nine months ended September 30, 2020.</w:t>
      </w:r>
    </w:p>
    <w:p>
      <w:pPr>
        <w:spacing w:after="0" w:line="45" w:lineRule="exact"/>
        <w:rPr>
          <w:rFonts w:ascii="Arial" w:cs="Arial" w:eastAsia="Arial" w:hAnsi="Arial"/>
          <w:sz w:val="16"/>
          <w:szCs w:val="16"/>
          <w:i w:val="1"/>
          <w:iCs w:val="1"/>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pro forma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September 30, 2021 were $39.5 million as compared to net sales of $26.1 million for the three months ended September 30, 2020, an increase of $ 13.4 million, or 51.1%. This increase is due to underlying category and BOA momentum within key markets including Snow Sports, Cycling, Athletic and Workwear. The three factors primarily impacting growth rates were market share gains in key categories, consumer participation increases as well as accelerated production ordering by BOA’s customers due to longer lead times resulting from overall global supply chain constraints.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was 60.6% in the three months ended September 30, 2021 as compared to 62.7% for the three months ended September 30, 2020. The decrease in gross profit as a percentage of net sales was driven by product mix.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2021 was $12.7 million, or 32.1% of net sales compared to $9.6 million, or 36.6% of net sales for the comparable period in 2020. Selling general and administrative expense in the current quarter includes $ 1.1 million in integration services fees paid to CGM. The remainder of the increase in selling, general, and administrative expense is due to increased employee costs related to BOA's bonus plan, incremental headcount and marketing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2021 was $7.1 million, an increase of $4.3 million when compared to income from operations of $2.8 million for the same period in 2020, based on the factors described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pro forma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September 30, 2021 were $120.0 million as compared to net sales of $77.2 million for the nine months ended September 30, 2020, an increase of $ 42.9 million, or 55.5%. This increase is due to underlying category and BOA momentum within key markets including Snow Sports, Cycling, Athletic, Outdoor &amp; Workwear. The three factors primarily impacting growth rates were market share gains in key categories, consumer participation increases as well as accelerated production ordering by BOA’s customers due to longer lead times resulting from overall global supply chain constraints.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62.1% in the nine months ended September 30, 2021 as compared to 60.0% for the nine months ended September 30, 2020. Growth in gross profit as a percentage of net sales was driven by manufacturing overhead leverage, cost engineering and targeted price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nine months ended September 30, 2021 was $36.5 million, or 30.4% of net sales compared to $27.1 million, or 35.2% of net sales for the comparable period in 2020. Selling general and administrative expense in the current year includes $ 3.3 million in integration services fees paid to CGM. The remainder of the increase in selling, general, and administrative expense is due to increased employee costs related to BOA's bonus plan, incremental headcount and marketing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$25.8 million, an increase of $18.8 million when compared to income from operations of $7.0 million for the same period in 2020, based on the factors described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Ergobaby</w:t>
      </w:r>
    </w:p>
    <w:p>
      <w:pPr>
        <w:sectPr>
          <w:pgSz w:w="11900" w:h="16838" w:orient="portrait"/>
          <w:cols w:equalWidth="0" w:num="1">
            <w:col w:w="11240"/>
          </w:cols>
          <w:pgMar w:left="320" w:top="1052" w:right="339" w:bottom="1440" w:gutter="0" w:footer="0" w:header="0"/>
        </w:sectPr>
      </w:pPr>
    </w:p>
    <w:p>
      <w:pPr>
        <w:spacing w:after="0" w:line="311" w:lineRule="exact"/>
        <w:rPr>
          <w:sz w:val="20"/>
          <w:szCs w:val="20"/>
          <w:color w:val="auto"/>
        </w:rPr>
      </w:pPr>
    </w:p>
    <w:p>
      <w:pPr>
        <w:jc w:val="center"/>
        <w:ind w:left="24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23495</wp:posOffset>
            </wp:positionV>
            <wp:extent cx="24174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3" w:lineRule="exact"/>
        <w:rPr>
          <w:sz w:val="20"/>
          <w:szCs w:val="20"/>
          <w:color w:val="auto"/>
        </w:rPr>
      </w:pPr>
    </w:p>
    <w:p>
      <w:pPr>
        <w:ind w:left="2480"/>
        <w:spacing w:after="0"/>
        <w:tabs>
          <w:tab w:leader="none" w:pos="4440" w:val="left"/>
        </w:tabs>
        <w:rPr>
          <w:sz w:val="20"/>
          <w:szCs w:val="20"/>
          <w:color w:val="auto"/>
        </w:rPr>
      </w:pPr>
      <w:r>
        <w:rPr>
          <w:rFonts w:ascii="Arial" w:cs="Arial" w:eastAsia="Arial" w:hAnsi="Arial"/>
          <w:sz w:val="16"/>
          <w:szCs w:val="16"/>
          <w:b w:val="1"/>
          <w:bCs w:val="1"/>
          <w:color w:val="auto"/>
        </w:rPr>
        <w:t>September 30, 2021</w:t>
      </w:r>
      <w:r>
        <w:rPr>
          <w:sz w:val="20"/>
          <w:szCs w:val="20"/>
          <w:color w:val="auto"/>
        </w:rPr>
        <w:tab/>
      </w:r>
      <w:r>
        <w:rPr>
          <w:rFonts w:ascii="Arial" w:cs="Arial" w:eastAsia="Arial" w:hAnsi="Arial"/>
          <w:sz w:val="16"/>
          <w:szCs w:val="16"/>
          <w:b w:val="1"/>
          <w:bCs w:val="1"/>
          <w:color w:val="auto"/>
        </w:rPr>
        <w:t>September 30, 2020</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23495</wp:posOffset>
            </wp:positionV>
            <wp:extent cx="24860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53"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b w:val="1"/>
          <w:bCs w:val="1"/>
          <w:color w:val="auto"/>
        </w:rPr>
        <w:t>September 30, 2021</w:t>
      </w:r>
      <w:r>
        <w:rPr>
          <w:sz w:val="20"/>
          <w:szCs w:val="20"/>
          <w:color w:val="auto"/>
        </w:rPr>
        <w:tab/>
      </w:r>
      <w:r>
        <w:rPr>
          <w:rFonts w:ascii="Arial" w:cs="Arial" w:eastAsia="Arial" w:hAnsi="Arial"/>
          <w:sz w:val="16"/>
          <w:szCs w:val="16"/>
          <w:b w:val="1"/>
          <w:bCs w:val="1"/>
          <w:color w:val="auto"/>
        </w:rPr>
        <w:t>September 30, 2020</w:t>
      </w:r>
    </w:p>
    <w:p>
      <w:pPr>
        <w:spacing w:after="0" w:line="31" w:lineRule="exact"/>
        <w:rPr>
          <w:sz w:val="20"/>
          <w:szCs w:val="20"/>
          <w:color w:val="auto"/>
        </w:rPr>
      </w:pPr>
    </w:p>
    <w:p>
      <w:pPr>
        <w:sectPr>
          <w:pgSz w:w="11900" w:h="16838" w:orient="portrait"/>
          <w:cols w:equalWidth="0" w:num="2">
            <w:col w:w="5960" w:space="500"/>
            <w:col w:w="4780"/>
          </w:cols>
          <w:pgMar w:left="320" w:top="1052" w:right="339" w:bottom="1440" w:gutter="0" w:footer="0" w:header="0"/>
          <w:type w:val="continuous"/>
        </w:sectPr>
      </w:pPr>
    </w:p>
    <w:tbl>
      <w:tblPr>
        <w:tblLayout w:type="fixed"/>
        <w:tblInd w:w="1040" w:type="dxa"/>
        <w:tblCellMar>
          <w:top w:w="0" w:type="dxa"/>
          <w:left w:w="0" w:type="dxa"/>
          <w:bottom w:w="0" w:type="dxa"/>
          <w:right w:w="0" w:type="dxa"/>
        </w:tblCellMar>
      </w:tblPr>
      <w:tr>
        <w:trPr>
          <w:trHeight w:val="256"/>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19,816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19,478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69,100</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100.0 %</w:t>
            </w:r>
          </w:p>
        </w:tc>
        <w:tc>
          <w:tcPr>
            <w:tcW w:w="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59,171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13,121</w:t>
            </w:r>
          </w:p>
        </w:tc>
        <w:tc>
          <w:tcPr>
            <w:tcW w:w="820" w:type="dxa"/>
            <w:vAlign w:val="bottom"/>
          </w:tcPr>
          <w:p>
            <w:pPr>
              <w:jc w:val="right"/>
              <w:spacing w:after="0"/>
              <w:rPr>
                <w:sz w:val="20"/>
                <w:szCs w:val="20"/>
                <w:color w:val="auto"/>
              </w:rPr>
            </w:pPr>
            <w:r>
              <w:rPr>
                <w:rFonts w:ascii="Arial" w:cs="Arial" w:eastAsia="Arial" w:hAnsi="Arial"/>
                <w:sz w:val="16"/>
                <w:szCs w:val="16"/>
                <w:color w:val="auto"/>
              </w:rPr>
              <w:t>66.2 %</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12,766</w:t>
            </w:r>
          </w:p>
        </w:tc>
        <w:tc>
          <w:tcPr>
            <w:tcW w:w="820" w:type="dxa"/>
            <w:vAlign w:val="bottom"/>
          </w:tcPr>
          <w:p>
            <w:pPr>
              <w:jc w:val="right"/>
              <w:spacing w:after="0"/>
              <w:rPr>
                <w:sz w:val="20"/>
                <w:szCs w:val="20"/>
                <w:color w:val="auto"/>
              </w:rPr>
            </w:pPr>
            <w:r>
              <w:rPr>
                <w:rFonts w:ascii="Arial" w:cs="Arial" w:eastAsia="Arial" w:hAnsi="Arial"/>
                <w:sz w:val="16"/>
                <w:szCs w:val="16"/>
                <w:color w:val="auto"/>
              </w:rPr>
              <w:t>65.5 %</w:t>
            </w:r>
          </w:p>
        </w:tc>
        <w:tc>
          <w:tcPr>
            <w:tcW w:w="16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45,977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66.5 %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38,708</w:t>
            </w:r>
          </w:p>
        </w:tc>
        <w:tc>
          <w:tcPr>
            <w:tcW w:w="840" w:type="dxa"/>
            <w:vAlign w:val="bottom"/>
          </w:tcPr>
          <w:p>
            <w:pPr>
              <w:jc w:val="right"/>
              <w:spacing w:after="0"/>
              <w:rPr>
                <w:sz w:val="20"/>
                <w:szCs w:val="20"/>
                <w:color w:val="auto"/>
              </w:rPr>
            </w:pPr>
            <w:r>
              <w:rPr>
                <w:rFonts w:ascii="Arial" w:cs="Arial" w:eastAsia="Arial" w:hAnsi="Arial"/>
                <w:sz w:val="16"/>
                <w:szCs w:val="16"/>
                <w:color w:val="auto"/>
              </w:rPr>
              <w:t>65.4 %</w:t>
            </w:r>
          </w:p>
        </w:tc>
      </w:tr>
      <w:tr>
        <w:trPr>
          <w:trHeight w:val="27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10,892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8,447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33,869</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49.0 %</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26,897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246</w:t>
            </w:r>
          </w:p>
        </w:tc>
        <w:tc>
          <w:tcPr>
            <w:tcW w:w="820" w:type="dxa"/>
            <w:vAlign w:val="bottom"/>
          </w:tcPr>
          <w:p>
            <w:pPr>
              <w:jc w:val="right"/>
              <w:spacing w:after="0"/>
              <w:rPr>
                <w:sz w:val="20"/>
                <w:szCs w:val="20"/>
                <w:color w:val="auto"/>
              </w:rPr>
            </w:pPr>
            <w:r>
              <w:rPr>
                <w:rFonts w:ascii="Arial" w:cs="Arial" w:eastAsia="Arial" w:hAnsi="Arial"/>
                <w:sz w:val="16"/>
                <w:szCs w:val="16"/>
                <w:color w:val="auto"/>
              </w:rPr>
              <w:t>1.2 %</w:t>
            </w:r>
          </w:p>
        </w:tc>
        <w:tc>
          <w:tcPr>
            <w:tcW w:w="1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2,363</w:t>
            </w:r>
          </w:p>
        </w:tc>
        <w:tc>
          <w:tcPr>
            <w:tcW w:w="820" w:type="dxa"/>
            <w:vAlign w:val="bottom"/>
          </w:tcPr>
          <w:p>
            <w:pPr>
              <w:jc w:val="right"/>
              <w:spacing w:after="0"/>
              <w:rPr>
                <w:sz w:val="20"/>
                <w:szCs w:val="20"/>
                <w:color w:val="auto"/>
              </w:rPr>
            </w:pPr>
            <w:r>
              <w:rPr>
                <w:rFonts w:ascii="Arial" w:cs="Arial" w:eastAsia="Arial" w:hAnsi="Arial"/>
                <w:sz w:val="16"/>
                <w:szCs w:val="16"/>
                <w:color w:val="auto"/>
              </w:rPr>
              <w:t>12.1 %</w:t>
            </w:r>
          </w:p>
        </w:tc>
        <w:tc>
          <w:tcPr>
            <w:tcW w:w="16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5,964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8.6 %</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5,943</w:t>
            </w:r>
          </w:p>
        </w:tc>
        <w:tc>
          <w:tcPr>
            <w:tcW w:w="84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September 30, 2021 were $19.8 million, an increase of $0.3 million, or 1.7%, compared to the same period in 2020. During the three months ended September 30, 2021, international sales were approximately $11.7 million, representing a decrease of $1.4 million over the corresponding period in 2020, primarily as a result of delayed production of distributor orders due to COVID-19 restrictions that led to sales orders being fulfilled in the fourth quarter of 2021. Domestic sales were $8.2 million in the third quarter of 2021, reflecting an increase of $1.8 million compared to the corresponding period in 2020. The increase in domestic sales was primarily attributable to strong e-commerce and key accounts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was 66.2% for the three months ended September 30, 2021, as compared to 65.5% for the three months ended September 30, 2020. The increase in gross profit as a percentage of sales was due to the mix of sales channels.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increased $2.4 million quarter over quarter, with expense of $10.9 million, or 55.0% of net sales for the three months ended September 30, 2021 as compared to $8.4 million or 43.4% of net sales for the same period of 2020. The increase in selling, general and administrative expense in the three months ended September 30, 2021 as compared to the comparable period in the prior year is due to increased variable expenses related to sales and payroll accruals, as well as increases in marketing spend to support e-commerce and product launches.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September 30, 2021 decreased $2.1 million, compared to the same period in 2020, based on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2021 were $69.1 million, an increase of $9.9 million, or 16.8%, compared to the same period in 2020. During the nine months ended September 30, 2021, international sales were approximately $43.1 million, representing an increase of $ 3.6 million over the corresponding period in 2020 as a result of increased sales in EMEA direct territories. Domestic sales were $26.0 million in the nine months ended September 30, 2021, reflecting an increase of $ 6.3 million compared to the corresponding period in 2020. The increase in domestic sales was primarily attributable to strong key accounts sales and e-commerce sales across both the Ergo and Tula brands.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profit as a percentage of net sales was 66.5% for the nine months ended September 30, 2021, as compared to 65.4% for the nine months ended September 30, 2020. The increase in gross profit as a percentage of sales was due to the mix of sales channels.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increased $7.0 million quarter over quarter, with expense of $33.9 million, or 49.0% of net sales for the nine months ended September 30, 2021 as compared to $ 26.9 million or 45.5% of net sales for the same period of 2020. The increase in selling, general and administrative expense in the nine months ended September 30, 2021 as compared to the comparable period in the prior year is due to increased variable expenses related to sales, payroll accruals, and timing of marketing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 was $6.0 million for both the nine months ended September 30, 2021 and 2020 based on the factors noted above.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Lugano</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following results of operations, we provide comparative pro forma results of operations for Lugano for the three and nine months ended September 30, 2021 and 2020 as if we had acquired the business on January 1, 2020. The purchase price allocation for Lugano has not been prepared, therefore the pro forma amounts for Lugano reflect only the historical results of operations prior to our ownership period and do not reflect additional pro forma depreciation expense and amortization expense that will be recorded once the purchase price allocation has been allocated to property and equipment and intangible assets. The operating results for Lugano have been included in the consolidated results of operation from the date of acquisition in September 2021.</w:t>
      </w:r>
    </w:p>
    <w:p>
      <w:pPr>
        <w:spacing w:after="0" w:line="272" w:lineRule="exact"/>
        <w:rPr>
          <w:sz w:val="20"/>
          <w:szCs w:val="20"/>
          <w:color w:val="auto"/>
        </w:rPr>
      </w:pPr>
    </w:p>
    <w:tbl>
      <w:tblPr>
        <w:tblLayout w:type="fixed"/>
        <w:tblInd w:w="104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960" w:type="dxa"/>
            <w:vAlign w:val="bottom"/>
            <w:tcBorders>
              <w:bottom w:val="single" w:sz="8" w:color="auto"/>
            </w:tcBorders>
          </w:tcPr>
          <w:p>
            <w:pPr>
              <w:spacing w:after="0"/>
              <w:rPr>
                <w:sz w:val="18"/>
                <w:szCs w:val="18"/>
                <w:color w:val="auto"/>
              </w:rPr>
            </w:pPr>
          </w:p>
        </w:tc>
      </w:tr>
      <w:tr>
        <w:trPr>
          <w:trHeight w:val="237"/>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0"/>
                <w:szCs w:val="20"/>
                <w:color w:val="auto"/>
              </w:rPr>
            </w:pPr>
          </w:p>
        </w:tc>
        <w:tc>
          <w:tcPr>
            <w:tcW w:w="188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0"/>
                <w:szCs w:val="20"/>
                <w:color w:val="auto"/>
              </w:rPr>
            </w:pPr>
          </w:p>
        </w:tc>
        <w:tc>
          <w:tcPr>
            <w:tcW w:w="17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2020</w:t>
            </w:r>
          </w:p>
        </w:tc>
      </w:tr>
      <w:tr>
        <w:trPr>
          <w:trHeight w:val="290"/>
        </w:trPr>
        <w:tc>
          <w:tcPr>
            <w:tcW w:w="128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Pro forma</w:t>
            </w:r>
          </w:p>
        </w:tc>
        <w:tc>
          <w:tcPr>
            <w:tcW w:w="980" w:type="dxa"/>
            <w:vAlign w:val="bottom"/>
            <w:tcBorders>
              <w:top w:val="single" w:sz="8" w:color="auto"/>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Pro forma</w:t>
            </w:r>
          </w:p>
        </w:tc>
        <w:tc>
          <w:tcPr>
            <w:tcW w:w="980" w:type="dxa"/>
            <w:vAlign w:val="bottom"/>
            <w:tcBorders>
              <w:top w:val="single" w:sz="8" w:color="auto"/>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Pro forma</w:t>
            </w:r>
          </w:p>
        </w:tc>
        <w:tc>
          <w:tcPr>
            <w:tcW w:w="940" w:type="dxa"/>
            <w:vAlign w:val="bottom"/>
            <w:tcBorders>
              <w:top w:val="single" w:sz="8" w:color="auto"/>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Pro forma</w:t>
            </w:r>
          </w:p>
        </w:tc>
        <w:tc>
          <w:tcPr>
            <w:tcW w:w="960" w:type="dxa"/>
            <w:vAlign w:val="bottom"/>
            <w:tcBorders>
              <w:top w:val="single" w:sz="8" w:color="auto"/>
              <w:bottom w:val="single" w:sz="8" w:color="CCEEFF"/>
            </w:tcBorders>
          </w:tcPr>
          <w:p>
            <w:pPr>
              <w:spacing w:after="0"/>
              <w:rPr>
                <w:sz w:val="24"/>
                <w:szCs w:val="24"/>
                <w:color w:val="auto"/>
              </w:rPr>
            </w:pPr>
          </w:p>
        </w:tc>
      </w:tr>
      <w:tr>
        <w:trPr>
          <w:trHeight w:val="29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14,884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71,058</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307"/>
        </w:trPr>
        <w:tc>
          <w:tcPr>
            <w:tcW w:w="1280" w:type="dxa"/>
            <w:vAlign w:val="bottom"/>
          </w:tcPr>
          <w:p>
            <w:pPr>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9,046</w:t>
            </w:r>
          </w:p>
        </w:tc>
        <w:tc>
          <w:tcPr>
            <w:tcW w:w="980" w:type="dxa"/>
            <w:vAlign w:val="bottom"/>
          </w:tcPr>
          <w:p>
            <w:pPr>
              <w:jc w:val="right"/>
              <w:spacing w:after="0"/>
              <w:rPr>
                <w:sz w:val="20"/>
                <w:szCs w:val="20"/>
                <w:color w:val="auto"/>
              </w:rPr>
            </w:pPr>
            <w:r>
              <w:rPr>
                <w:rFonts w:ascii="Arial" w:cs="Arial" w:eastAsia="Arial" w:hAnsi="Arial"/>
                <w:sz w:val="16"/>
                <w:szCs w:val="16"/>
                <w:color w:val="auto"/>
              </w:rPr>
              <w:t>48.4 %</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7,379</w:t>
            </w:r>
          </w:p>
        </w:tc>
        <w:tc>
          <w:tcPr>
            <w:tcW w:w="980" w:type="dxa"/>
            <w:vAlign w:val="bottom"/>
          </w:tcPr>
          <w:p>
            <w:pPr>
              <w:jc w:val="right"/>
              <w:spacing w:after="0"/>
              <w:rPr>
                <w:sz w:val="20"/>
                <w:szCs w:val="20"/>
                <w:color w:val="auto"/>
              </w:rPr>
            </w:pPr>
            <w:r>
              <w:rPr>
                <w:rFonts w:ascii="Arial" w:cs="Arial" w:eastAsia="Arial" w:hAnsi="Arial"/>
                <w:sz w:val="16"/>
                <w:szCs w:val="16"/>
                <w:color w:val="auto"/>
              </w:rPr>
              <w:t>49.6 %</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34,978</w:t>
            </w:r>
          </w:p>
        </w:tc>
        <w:tc>
          <w:tcPr>
            <w:tcW w:w="940" w:type="dxa"/>
            <w:vAlign w:val="bottom"/>
          </w:tcPr>
          <w:p>
            <w:pPr>
              <w:jc w:val="right"/>
              <w:spacing w:after="0"/>
              <w:rPr>
                <w:sz w:val="20"/>
                <w:szCs w:val="20"/>
                <w:color w:val="auto"/>
              </w:rPr>
            </w:pPr>
            <w:r>
              <w:rPr>
                <w:rFonts w:ascii="Arial" w:cs="Arial" w:eastAsia="Arial" w:hAnsi="Arial"/>
                <w:sz w:val="16"/>
                <w:szCs w:val="16"/>
                <w:color w:val="auto"/>
              </w:rPr>
              <w:t>49.2 %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22,583</w:t>
            </w:r>
          </w:p>
        </w:tc>
        <w:tc>
          <w:tcPr>
            <w:tcW w:w="960" w:type="dxa"/>
            <w:vAlign w:val="bottom"/>
          </w:tcPr>
          <w:p>
            <w:pPr>
              <w:jc w:val="right"/>
              <w:spacing w:after="0"/>
              <w:rPr>
                <w:sz w:val="20"/>
                <w:szCs w:val="20"/>
                <w:color w:val="auto"/>
              </w:rPr>
            </w:pPr>
            <w:r>
              <w:rPr>
                <w:rFonts w:ascii="Arial" w:cs="Arial" w:eastAsia="Arial" w:hAnsi="Arial"/>
                <w:sz w:val="16"/>
                <w:szCs w:val="16"/>
                <w:color w:val="auto"/>
              </w:rPr>
              <w:t>49.0 %</w:t>
            </w:r>
          </w:p>
        </w:tc>
      </w:tr>
      <w:tr>
        <w:trPr>
          <w:trHeight w:val="314"/>
        </w:trPr>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r>
      <w:tr>
        <w:trPr>
          <w:trHeight w:val="177"/>
        </w:trPr>
        <w:tc>
          <w:tcPr>
            <w:tcW w:w="1280" w:type="dxa"/>
            <w:vAlign w:val="bottom"/>
          </w:tcPr>
          <w:p>
            <w:pPr>
              <w:spacing w:after="0" w:line="178" w:lineRule="exact"/>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5"/>
        </w:trPr>
        <w:tc>
          <w:tcPr>
            <w:tcW w:w="1280" w:type="dxa"/>
            <w:vAlign w:val="bottom"/>
          </w:tcPr>
          <w:p>
            <w:pPr>
              <w:spacing w:after="0"/>
              <w:rPr>
                <w:sz w:val="20"/>
                <w:szCs w:val="20"/>
                <w:color w:val="auto"/>
              </w:rPr>
            </w:pPr>
            <w:r>
              <w:rPr>
                <w:rFonts w:ascii="Arial" w:cs="Arial" w:eastAsia="Arial" w:hAnsi="Arial"/>
                <w:sz w:val="16"/>
                <w:szCs w:val="16"/>
                <w:color w:val="auto"/>
              </w:rPr>
              <w:t>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5,253</w:t>
            </w:r>
          </w:p>
        </w:tc>
        <w:tc>
          <w:tcPr>
            <w:tcW w:w="980" w:type="dxa"/>
            <w:vAlign w:val="bottom"/>
          </w:tcPr>
          <w:p>
            <w:pPr>
              <w:jc w:val="right"/>
              <w:spacing w:after="0"/>
              <w:rPr>
                <w:sz w:val="20"/>
                <w:szCs w:val="20"/>
                <w:color w:val="auto"/>
              </w:rPr>
            </w:pPr>
            <w:r>
              <w:rPr>
                <w:rFonts w:ascii="Arial" w:cs="Arial" w:eastAsia="Arial" w:hAnsi="Arial"/>
                <w:sz w:val="16"/>
                <w:szCs w:val="16"/>
                <w:color w:val="auto"/>
              </w:rPr>
              <w:t>28.1 %</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4,329</w:t>
            </w:r>
          </w:p>
        </w:tc>
        <w:tc>
          <w:tcPr>
            <w:tcW w:w="980" w:type="dxa"/>
            <w:vAlign w:val="bottom"/>
          </w:tcPr>
          <w:p>
            <w:pPr>
              <w:jc w:val="right"/>
              <w:spacing w:after="0"/>
              <w:rPr>
                <w:sz w:val="20"/>
                <w:szCs w:val="20"/>
                <w:color w:val="auto"/>
              </w:rPr>
            </w:pPr>
            <w:r>
              <w:rPr>
                <w:rFonts w:ascii="Arial" w:cs="Arial" w:eastAsia="Arial" w:hAnsi="Arial"/>
                <w:sz w:val="16"/>
                <w:szCs w:val="16"/>
                <w:color w:val="auto"/>
              </w:rPr>
              <w:t>29.1 %</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23,254</w:t>
            </w:r>
          </w:p>
        </w:tc>
        <w:tc>
          <w:tcPr>
            <w:tcW w:w="940" w:type="dxa"/>
            <w:vAlign w:val="bottom"/>
          </w:tcPr>
          <w:p>
            <w:pPr>
              <w:jc w:val="right"/>
              <w:spacing w:after="0"/>
              <w:rPr>
                <w:sz w:val="20"/>
                <w:szCs w:val="20"/>
                <w:color w:val="auto"/>
              </w:rPr>
            </w:pPr>
            <w:r>
              <w:rPr>
                <w:rFonts w:ascii="Arial" w:cs="Arial" w:eastAsia="Arial" w:hAnsi="Arial"/>
                <w:sz w:val="16"/>
                <w:szCs w:val="16"/>
                <w:color w:val="auto"/>
              </w:rPr>
              <w:t>32.7 %</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13,278</w:t>
            </w:r>
          </w:p>
        </w:tc>
        <w:tc>
          <w:tcPr>
            <w:tcW w:w="960" w:type="dxa"/>
            <w:vAlign w:val="bottom"/>
          </w:tcPr>
          <w:p>
            <w:pPr>
              <w:jc w:val="right"/>
              <w:spacing w:after="0"/>
              <w:rPr>
                <w:sz w:val="20"/>
                <w:szCs w:val="20"/>
                <w:color w:val="auto"/>
              </w:rPr>
            </w:pPr>
            <w:r>
              <w:rPr>
                <w:rFonts w:ascii="Arial" w:cs="Arial" w:eastAsia="Arial" w:hAnsi="Arial"/>
                <w:sz w:val="16"/>
                <w:szCs w:val="16"/>
                <w:color w:val="auto"/>
              </w:rPr>
              <w:t>28.8 %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Lugano January 1, 2020:</w:t>
      </w:r>
    </w:p>
    <w:p>
      <w:pPr>
        <w:spacing w:after="0" w:line="88"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ind w:right="680" w:firstLine="676"/>
        <w:spacing w:after="0" w:line="419" w:lineRule="auto"/>
        <w:rPr>
          <w:sz w:val="20"/>
          <w:szCs w:val="20"/>
          <w:color w:val="auto"/>
        </w:rPr>
      </w:pPr>
      <w:r>
        <w:rPr>
          <w:rFonts w:ascii="Arial" w:cs="Arial" w:eastAsia="Arial" w:hAnsi="Arial"/>
          <w:sz w:val="18"/>
          <w:szCs w:val="18"/>
          <w:b w:val="1"/>
          <w:bCs w:val="1"/>
          <w:i w:val="1"/>
          <w:iCs w:val="1"/>
          <w:color w:val="auto"/>
        </w:rPr>
        <w:t xml:space="preserve">Pro forma three months ended September 30, 2021 compared to Pro forma three months ended September 30, 2020 </w:t>
      </w:r>
      <w:r>
        <w:rPr>
          <w:rFonts w:ascii="Arial" w:cs="Arial" w:eastAsia="Arial" w:hAnsi="Arial"/>
          <w:sz w:val="18"/>
          <w:szCs w:val="18"/>
          <w:i w:val="1"/>
          <w:iCs w:val="1"/>
          <w:u w:val="single" w:color="auto"/>
          <w:color w:val="auto"/>
        </w:rPr>
        <w:t>Net sales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Net sales for the quarter ended September 30, 2021 increased approximately $3.8 million, or 25.5%, to $18.7 million, compared to the corresponding quarter ended September 30, 2020. Lugano sells high-end jewelry primarily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8"/>
          <w:szCs w:val="18"/>
          <w:color w:val="auto"/>
        </w:rPr>
        <w:t>through retail salons in California, Florida and Colorado, and via pop-up showrooms at multiple equestrian, social and charitable functions each year. The effects of the COVID-19 pandemic in the prior year severely impacted both the operations of the retail salons and the number of events attended by Lugano which led to reduced net sales as compared to the current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48.4% and 49.6% for the quarters ended September 30, 2021 and September 30, 2020, respectively. Lugano has an extensive network of suppliers through which they procure high quality diamonds and gemstones, which make up a significant percentage of the cost of sales. The uniqueness of the Lugano jewelry can lead to fluctuations in margins from period to period based on what designs are sold during the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was $3.6 million for the three months ended September 30, 2021 as compared to $2.9 million in selling, general and administrative expense in the three months ended September 30, 2020. Selling, general and administrative expense represented 19.3% of net sales in the three months ended September 30, 2021 and 19.2% of net sales for the same period of 2020. The effects of the COVID-19 pandemic in the prior year led to a reduction in variable costs, particularly marketing spend, in the three months ended September 30, 2020. The selling, general and administrative expense in the current quarter reflects a more normalized level of spending.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three months ended September 30, 2021 to $5.3 million, as compared to $4.3 million in the corresponding period in 2020. This increase was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 forma 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nine months ended September 30, 2021 increased approximately $25.0 million, or 54.2%, to $71.1 million, compared to the corresponding nine months ended September 30, 2020. Lugano sells high-end jewelry primarily through retail salons in California, Florida and Colorado, and via pop-up showrooms at multiple equestrian, social and charitable functions each year. The effects of the COVID-19 pandemic in the prior year severely impacted both the operations of the retail salons and the number of events attended by Lugano which led to reduced revenue as compared to the current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totaled approximately 49.2% and 49.0% for the nine months ended September 30, 2021 and September 30, 2020, respectively. The increase in gross profit as a percentage of net sales during the nine months ended September 30, 2021 compared to the same period in 2020 is primarily attributable to sales mix, as the uniqueness of the Lugano jewelry can lead to fluctuations in margins from period to period based on what designs are sold during the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expense was $11.2 million for the nine months ended September 30, 2021 as compared to $8.7 million in selling, general and administrative expense in the nine months ended September 30, 2020. Selling, general and administrative expense represented 15.7% of net sales in the nine months ended September 30, 2021 and 19.0% of net sales for the same period of 2020. The effects of the COVID-19 pandemic in the prior year led to a reduction in variable costs, particularly marketing spend, in the nine months ended September 30, 2020. The selling, general and administrative expense in the current year reflects a more normalized level of spending.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nine months ended September 30, 2021 to $23.3 million, as compared to $13.3 million in the corresponding period in 2020. This increase was a result of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Marucci Sports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following results of operations, we provide comparative pro forma results of operations for Marucci for the three and nine months ended September 30, 2020 as if we had acquired the business on January 1, 2020. The results of operations that follows include relevant pro-forma adjustments for pre-acquisition periods and explanations where applicable. The operating results for Marucci have been included in the consolidated results of operation from the date of acquisition in April 2020.</w:t>
      </w:r>
    </w:p>
    <w:p>
      <w:pPr>
        <w:spacing w:after="0" w:line="268"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1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tcBorders>
              <w:bottom w:val="single" w:sz="8" w:color="auto"/>
            </w:tcBorders>
          </w:tcPr>
          <w:p>
            <w:pPr>
              <w:spacing w:after="0"/>
              <w:rPr>
                <w:sz w:val="18"/>
                <w:szCs w:val="18"/>
                <w:color w:val="auto"/>
              </w:rPr>
            </w:pPr>
          </w:p>
        </w:tc>
      </w:tr>
      <w:tr>
        <w:trPr>
          <w:trHeight w:val="237"/>
        </w:trPr>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0"/>
                <w:szCs w:val="20"/>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0"/>
                <w:szCs w:val="20"/>
                <w:color w:val="auto"/>
              </w:rPr>
            </w:pPr>
          </w:p>
        </w:tc>
        <w:tc>
          <w:tcPr>
            <w:tcW w:w="168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September 30, 2020</w:t>
            </w:r>
          </w:p>
        </w:tc>
      </w:tr>
      <w:tr>
        <w:trPr>
          <w:trHeight w:val="250"/>
        </w:trPr>
        <w:tc>
          <w:tcPr>
            <w:tcW w:w="1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860" w:type="dxa"/>
            <w:vAlign w:val="bottom"/>
            <w:tcBorders>
              <w:top w:val="single" w:sz="8" w:color="auto"/>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840" w:type="dxa"/>
            <w:vAlign w:val="bottom"/>
            <w:tcBorders>
              <w:top w:val="single" w:sz="8" w:color="auto"/>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Pro forma</w:t>
            </w:r>
          </w:p>
        </w:tc>
        <w:tc>
          <w:tcPr>
            <w:tcW w:w="940" w:type="dxa"/>
            <w:vAlign w:val="bottom"/>
            <w:tcBorders>
              <w:top w:val="single" w:sz="8" w:color="auto"/>
              <w:bottom w:val="single" w:sz="8" w:color="CCEEFF"/>
            </w:tcBorders>
          </w:tcPr>
          <w:p>
            <w:pPr>
              <w:spacing w:after="0"/>
              <w:rPr>
                <w:sz w:val="21"/>
                <w:szCs w:val="21"/>
                <w:color w:val="auto"/>
              </w:rPr>
            </w:pPr>
          </w:p>
        </w:tc>
      </w:tr>
      <w:tr>
        <w:trPr>
          <w:trHeight w:val="253"/>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25,040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19,551</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86,328</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47,308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4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14,226</w:t>
            </w:r>
          </w:p>
        </w:tc>
        <w:tc>
          <w:tcPr>
            <w:tcW w:w="840" w:type="dxa"/>
            <w:vAlign w:val="bottom"/>
          </w:tcPr>
          <w:p>
            <w:pPr>
              <w:jc w:val="right"/>
              <w:spacing w:after="0"/>
              <w:rPr>
                <w:sz w:val="20"/>
                <w:szCs w:val="20"/>
                <w:color w:val="auto"/>
              </w:rPr>
            </w:pPr>
            <w:r>
              <w:rPr>
                <w:rFonts w:ascii="Arial" w:cs="Arial" w:eastAsia="Arial" w:hAnsi="Arial"/>
                <w:sz w:val="15"/>
                <w:szCs w:val="15"/>
                <w:color w:val="auto"/>
              </w:rPr>
              <w:t>56.8 %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10,688</w:t>
            </w:r>
          </w:p>
        </w:tc>
        <w:tc>
          <w:tcPr>
            <w:tcW w:w="800" w:type="dxa"/>
            <w:vAlign w:val="bottom"/>
          </w:tcPr>
          <w:p>
            <w:pPr>
              <w:jc w:val="right"/>
              <w:spacing w:after="0"/>
              <w:rPr>
                <w:sz w:val="20"/>
                <w:szCs w:val="20"/>
                <w:color w:val="auto"/>
              </w:rPr>
            </w:pPr>
            <w:r>
              <w:rPr>
                <w:rFonts w:ascii="Arial" w:cs="Arial" w:eastAsia="Arial" w:hAnsi="Arial"/>
                <w:sz w:val="15"/>
                <w:szCs w:val="15"/>
                <w:color w:val="auto"/>
              </w:rPr>
              <w:t>54.7 %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48,389</w:t>
            </w:r>
          </w:p>
        </w:tc>
        <w:tc>
          <w:tcPr>
            <w:tcW w:w="840" w:type="dxa"/>
            <w:vAlign w:val="bottom"/>
          </w:tcPr>
          <w:p>
            <w:pPr>
              <w:jc w:val="right"/>
              <w:spacing w:after="0"/>
              <w:rPr>
                <w:sz w:val="20"/>
                <w:szCs w:val="20"/>
                <w:color w:val="auto"/>
              </w:rPr>
            </w:pPr>
            <w:r>
              <w:rPr>
                <w:rFonts w:ascii="Arial" w:cs="Arial" w:eastAsia="Arial" w:hAnsi="Arial"/>
                <w:sz w:val="15"/>
                <w:szCs w:val="15"/>
                <w:color w:val="auto"/>
              </w:rPr>
              <w:t>56.1 %</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22,843</w:t>
            </w:r>
          </w:p>
        </w:tc>
        <w:tc>
          <w:tcPr>
            <w:tcW w:w="940" w:type="dxa"/>
            <w:vAlign w:val="bottom"/>
          </w:tcPr>
          <w:p>
            <w:pPr>
              <w:jc w:val="right"/>
              <w:spacing w:after="0"/>
              <w:rPr>
                <w:sz w:val="20"/>
                <w:szCs w:val="20"/>
                <w:color w:val="auto"/>
              </w:rPr>
            </w:pPr>
            <w:r>
              <w:rPr>
                <w:rFonts w:ascii="Arial" w:cs="Arial" w:eastAsia="Arial" w:hAnsi="Arial"/>
                <w:sz w:val="15"/>
                <w:szCs w:val="15"/>
                <w:color w:val="auto"/>
              </w:rPr>
              <w:t>48.3 %</w:t>
            </w:r>
          </w:p>
        </w:tc>
      </w:tr>
      <w:tr>
        <w:trPr>
          <w:trHeight w:val="273"/>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8,851</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7,612</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27,789</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32.2 %</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23,607</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49.9 %</w:t>
            </w:r>
          </w:p>
        </w:tc>
      </w:tr>
      <w:tr>
        <w:trPr>
          <w:trHeight w:val="177"/>
        </w:trPr>
        <w:tc>
          <w:tcPr>
            <w:tcW w:w="1400" w:type="dxa"/>
            <w:vAlign w:val="bottom"/>
          </w:tcPr>
          <w:p>
            <w:pPr>
              <w:ind w:left="20"/>
              <w:spacing w:after="0" w:line="178" w:lineRule="exact"/>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8"/>
        </w:trPr>
        <w:tc>
          <w:tcPr>
            <w:tcW w:w="1400" w:type="dxa"/>
            <w:vAlign w:val="bottom"/>
          </w:tcPr>
          <w:p>
            <w:pPr>
              <w:ind w:left="20"/>
              <w:spacing w:after="0"/>
              <w:rPr>
                <w:sz w:val="20"/>
                <w:szCs w:val="20"/>
                <w:color w:val="auto"/>
              </w:rPr>
            </w:pPr>
            <w:r>
              <w:rPr>
                <w:rFonts w:ascii="Arial" w:cs="Arial" w:eastAsia="Arial" w:hAnsi="Arial"/>
                <w:sz w:val="16"/>
                <w:szCs w:val="16"/>
                <w:color w:val="auto"/>
              </w:rPr>
              <w:t>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1,670</w:t>
            </w:r>
          </w:p>
        </w:tc>
        <w:tc>
          <w:tcPr>
            <w:tcW w:w="840" w:type="dxa"/>
            <w:vAlign w:val="bottom"/>
          </w:tcPr>
          <w:p>
            <w:pPr>
              <w:jc w:val="right"/>
              <w:spacing w:after="0"/>
              <w:rPr>
                <w:sz w:val="20"/>
                <w:szCs w:val="20"/>
                <w:color w:val="auto"/>
              </w:rPr>
            </w:pPr>
            <w:r>
              <w:rPr>
                <w:rFonts w:ascii="Arial" w:cs="Arial" w:eastAsia="Arial" w:hAnsi="Arial"/>
                <w:sz w:val="15"/>
                <w:szCs w:val="15"/>
                <w:color w:val="auto"/>
              </w:rPr>
              <w:t>6.7 %</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3"/>
              <w:spacing w:after="0"/>
              <w:rPr>
                <w:sz w:val="20"/>
                <w:szCs w:val="20"/>
                <w:color w:val="auto"/>
              </w:rPr>
            </w:pPr>
            <w:r>
              <w:rPr>
                <w:rFonts w:ascii="Arial" w:cs="Arial" w:eastAsia="Arial" w:hAnsi="Arial"/>
                <w:sz w:val="15"/>
                <w:szCs w:val="15"/>
                <w:color w:val="auto"/>
              </w:rPr>
              <w:t>1,686</w:t>
            </w:r>
          </w:p>
        </w:tc>
        <w:tc>
          <w:tcPr>
            <w:tcW w:w="800" w:type="dxa"/>
            <w:vAlign w:val="bottom"/>
          </w:tcPr>
          <w:p>
            <w:pPr>
              <w:jc w:val="right"/>
              <w:spacing w:after="0"/>
              <w:rPr>
                <w:sz w:val="20"/>
                <w:szCs w:val="20"/>
                <w:color w:val="auto"/>
              </w:rPr>
            </w:pPr>
            <w:r>
              <w:rPr>
                <w:rFonts w:ascii="Arial" w:cs="Arial" w:eastAsia="Arial" w:hAnsi="Arial"/>
                <w:sz w:val="15"/>
                <w:szCs w:val="15"/>
                <w:color w:val="auto"/>
              </w:rPr>
              <w:t>8.6 %</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103"/>
              <w:spacing w:after="0"/>
              <w:rPr>
                <w:sz w:val="20"/>
                <w:szCs w:val="20"/>
                <w:color w:val="auto"/>
              </w:rPr>
            </w:pPr>
            <w:r>
              <w:rPr>
                <w:rFonts w:ascii="Arial" w:cs="Arial" w:eastAsia="Arial" w:hAnsi="Arial"/>
                <w:sz w:val="15"/>
                <w:szCs w:val="15"/>
                <w:color w:val="auto"/>
              </w:rPr>
              <w:t>4,958</w:t>
            </w:r>
          </w:p>
        </w:tc>
        <w:tc>
          <w:tcPr>
            <w:tcW w:w="840" w:type="dxa"/>
            <w:vAlign w:val="bottom"/>
          </w:tcPr>
          <w:p>
            <w:pPr>
              <w:jc w:val="right"/>
              <w:spacing w:after="0"/>
              <w:rPr>
                <w:sz w:val="20"/>
                <w:szCs w:val="20"/>
                <w:color w:val="auto"/>
              </w:rPr>
            </w:pPr>
            <w:r>
              <w:rPr>
                <w:rFonts w:ascii="Arial" w:cs="Arial" w:eastAsia="Arial" w:hAnsi="Arial"/>
                <w:sz w:val="15"/>
                <w:szCs w:val="15"/>
                <w:color w:val="auto"/>
              </w:rPr>
              <w:t>5.7 %</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3"/>
              <w:spacing w:after="0"/>
              <w:rPr>
                <w:sz w:val="20"/>
                <w:szCs w:val="20"/>
                <w:color w:val="auto"/>
              </w:rPr>
            </w:pPr>
            <w:r>
              <w:rPr>
                <w:rFonts w:ascii="Arial" w:cs="Arial" w:eastAsia="Arial" w:hAnsi="Arial"/>
                <w:sz w:val="15"/>
                <w:szCs w:val="15"/>
                <w:color w:val="auto"/>
              </w:rPr>
              <w:t>4,996</w:t>
            </w:r>
          </w:p>
        </w:tc>
        <w:tc>
          <w:tcPr>
            <w:tcW w:w="940" w:type="dxa"/>
            <w:vAlign w:val="bottom"/>
          </w:tcPr>
          <w:p>
            <w:pPr>
              <w:jc w:val="right"/>
              <w:spacing w:after="0"/>
              <w:rPr>
                <w:sz w:val="20"/>
                <w:szCs w:val="20"/>
                <w:color w:val="auto"/>
              </w:rPr>
            </w:pPr>
            <w:r>
              <w:rPr>
                <w:rFonts w:ascii="Arial" w:cs="Arial" w:eastAsia="Arial" w:hAnsi="Arial"/>
                <w:sz w:val="15"/>
                <w:szCs w:val="15"/>
                <w:color w:val="auto"/>
              </w:rPr>
              <w:t>10.6 %</w:t>
            </w:r>
          </w:p>
        </w:tc>
      </w:tr>
      <w:tr>
        <w:trPr>
          <w:trHeight w:val="180"/>
        </w:trPr>
        <w:tc>
          <w:tcPr>
            <w:tcW w:w="14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1"/>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3,580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1,265</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15,267</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17.7 %</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(6,135)</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include the following pro form adjustments as if we had acquired Marucci January 1, 2020:</w:t>
      </w:r>
    </w:p>
    <w:p>
      <w:pPr>
        <w:spacing w:after="0" w:line="88"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Depreciation expense associated with the increase in depreciable lives of capital assets of $0.2 million for the nine months ended September 30, 2020.</w:t>
      </w:r>
    </w:p>
    <w:p>
      <w:pPr>
        <w:spacing w:after="0" w:line="70" w:lineRule="exact"/>
        <w:rPr>
          <w:rFonts w:ascii="Arial" w:cs="Arial" w:eastAsia="Arial" w:hAnsi="Arial"/>
          <w:sz w:val="15"/>
          <w:szCs w:val="15"/>
          <w:color w:val="auto"/>
        </w:rPr>
      </w:pPr>
    </w:p>
    <w:p>
      <w:pPr>
        <w:ind w:left="660" w:right="160" w:hanging="328"/>
        <w:spacing w:after="0" w:line="252" w:lineRule="auto"/>
        <w:tabs>
          <w:tab w:leader="none" w:pos="64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Amortization expense associated with the intangible assets recorded in connection with the purchase price allocation for Marucci of $0.8 million for the nine months ended September 30, 2020.</w:t>
      </w:r>
    </w:p>
    <w:p>
      <w:pPr>
        <w:spacing w:after="0" w:line="4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Management fees that would have been payable to the Manager during each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September 30, 2021 were $25.0 million, an increase of $5.5 million as compared to net sales of $19.6 million for the three months ended September 30, 2020. During the third quarter of 2020, Marucci saw significant demand after the launch of their CAT9 line of aluminum and composite bats, as well as a return of baseball participation following the shutdown of spring sports during the initial months of the COVID-19 pandemic. During the current quarter, Marucci has continued to see increased customer demand and improved market share in many of Marucci's key product lines including aluminum and wood bats, batting gloves, and bags. The increased sales from these products occurred in both retail and direct channels.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for the quarter ended September 30, 2021 increased $3.5 million as compared to the three months ended September 30, 2020. Gross profit as a percentage of net sales for the three months ended September 30, 2021 was 56.8%, as compared to gross profit as a percentage of sales of 54.7% for the three months ended September 30, 2020. In the prior year, Marucci recorded $1.3 million in amortization of the inventory step-up resulting from the acquisition purchase price allocation. Excluding the effect of the step-up amortization, the gross profit as a percentage of net sales for the three months ended September 30, 2020 was 61.1%. The decrease in gross profit as a percentage of net sales during the quarter ended September 30, 2021 as compared to the quarter ended September 30, 2020 was primarily due to increased freight costs, as delays in Marucci's supply chain led to increased use of air freight to meet increased demand from Marucci's customer base.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2021 was $8.9 million, or 35.3% of net sales compared to $7.6 million, or 38.9% of net sales for the three months ended September 30, 2020. The increase in selling, general and administrative expense for the three months ended September 30, 2021 correlates to the increase in net sales, with increases in credit card expenses, royalties, commissions, business development fees, and other variable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Income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2021 was $3.6 million, an increase of $2.3 million when compared to income from operations of $1.3 million for the same period in 2020, primarily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pro forma nine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nine months ended September 30, 2021 were $86.3 million, an increase of $ 39.0 million as compared to net sales of $ 47.3 million for the nine months ended September 30, 2020. The increase in net sales during the nine months ended September 30, 2021 was primarily due to increased customer demand and market share in many of Marucci's key product lines including aluminum and wood bats, batting gloves, and bags. The increased sales from these products occurred in both retail and direct channels. In the prior year, the shutdown of professional and youth baseball and softball in March as a response to the COVID-19 pandemic led to a significant drop off in demand for product through the first half of 2020, with demand beginning to pick up during the back half of 2020 after the resumption of professional and youth sports.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Gross profit for the quarter ended September 30, 2021 increased $25.5 million as compared to the nine months ended September 30, 2020. Gross profit as a percentage of net sales for the nine months ended September 30, 2021 was 56.1%, as compared to gross profit as a percentage of sales of 48.3% for the nine months ended September 30, 2020. In the prior year, Marucci recorded $4.3 million in amortization of the inventory step-up resulting from the acquisition purchase price allocation. Excluding the effect of the step-up amortization, the gross profit as a percentage of net sales for the nine months ended September 30, 2020 was 57.3%. During the current year, Marucci's facilities in Baton Rouge were damaged by floodwaters, which resulted in the write-off of $1.8 million in inventory. Gross profit as a percentage of net sales during the nine months ended September 30, 2021 was impacted by various factors including a shift of product mix in favor of higher margin products, mainly its aluminum bats, and channel mix, with increased sales through Marucci's higher margin direct-to-consumer and e-commerce channels.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nine months ended September 30, 2021 was $27.8 million, or 32.2% of net sales compared to $23.6 million, or 49.9% of net sales for the nine months ended September 30, 2020. The increase in selling, general and administrative expense for the nine months ended September 30, 2021 correlates to the increase in net sales, with increases in credit card expenses, royalties, commissions, business development fees, and other variable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(loss) from operations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$15.3 million, an increase of $21.4 million when compared to loss from operations of $6.1 million for the same period in 2020, primarily as a result of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1"/>
                <w:szCs w:val="21"/>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1"/>
                <w:szCs w:val="21"/>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1"/>
                <w:szCs w:val="21"/>
                <w:color w:val="auto"/>
              </w:rPr>
            </w:pPr>
          </w:p>
        </w:tc>
        <w:tc>
          <w:tcPr>
            <w:tcW w:w="286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2020</w:t>
            </w:r>
          </w:p>
        </w:tc>
      </w:tr>
      <w:tr>
        <w:trPr>
          <w:trHeight w:val="253"/>
        </w:trPr>
        <w:tc>
          <w:tcPr>
            <w:tcW w:w="1120" w:type="dxa"/>
            <w:vAlign w:val="bottom"/>
          </w:tcPr>
          <w:p>
            <w:pPr>
              <w:spacing w:after="0"/>
              <w:rPr>
                <w:sz w:val="22"/>
                <w:szCs w:val="22"/>
                <w:color w:val="auto"/>
              </w:rPr>
            </w:pPr>
          </w:p>
        </w:tc>
        <w:tc>
          <w:tcPr>
            <w:tcW w:w="1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76,901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70,629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205,891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148,240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120" w:type="dxa"/>
            <w:vAlign w:val="bottom"/>
          </w:tcPr>
          <w:p>
            <w:pPr>
              <w:spacing w:after="0"/>
              <w:rPr>
                <w:sz w:val="22"/>
                <w:szCs w:val="22"/>
                <w:color w:val="auto"/>
              </w:rPr>
            </w:pPr>
          </w:p>
        </w:tc>
      </w:tr>
      <w:tr>
        <w:trPr>
          <w:trHeight w:val="267"/>
        </w:trPr>
        <w:tc>
          <w:tcPr>
            <w:tcW w:w="11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25,436</w:t>
            </w:r>
          </w:p>
        </w:tc>
        <w:tc>
          <w:tcPr>
            <w:tcW w:w="860" w:type="dxa"/>
            <w:vAlign w:val="bottom"/>
          </w:tcPr>
          <w:p>
            <w:pPr>
              <w:jc w:val="right"/>
              <w:spacing w:after="0"/>
              <w:rPr>
                <w:sz w:val="20"/>
                <w:szCs w:val="20"/>
                <w:color w:val="auto"/>
              </w:rPr>
            </w:pPr>
            <w:r>
              <w:rPr>
                <w:rFonts w:ascii="Arial" w:cs="Arial" w:eastAsia="Arial" w:hAnsi="Arial"/>
                <w:sz w:val="15"/>
                <w:szCs w:val="15"/>
                <w:color w:val="auto"/>
              </w:rPr>
              <w:t>33.1 %</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23,680</w:t>
            </w:r>
          </w:p>
        </w:tc>
        <w:tc>
          <w:tcPr>
            <w:tcW w:w="780" w:type="dxa"/>
            <w:vAlign w:val="bottom"/>
          </w:tcPr>
          <w:p>
            <w:pPr>
              <w:jc w:val="right"/>
              <w:spacing w:after="0"/>
              <w:rPr>
                <w:sz w:val="20"/>
                <w:szCs w:val="20"/>
                <w:color w:val="auto"/>
              </w:rPr>
            </w:pPr>
            <w:r>
              <w:rPr>
                <w:rFonts w:ascii="Arial" w:cs="Arial" w:eastAsia="Arial" w:hAnsi="Arial"/>
                <w:sz w:val="15"/>
                <w:szCs w:val="15"/>
                <w:color w:val="auto"/>
              </w:rPr>
              <w:t>33.5 %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03"/>
              <w:spacing w:after="0"/>
              <w:rPr>
                <w:sz w:val="20"/>
                <w:szCs w:val="20"/>
                <w:color w:val="auto"/>
              </w:rPr>
            </w:pPr>
            <w:r>
              <w:rPr>
                <w:rFonts w:ascii="Arial" w:cs="Arial" w:eastAsia="Arial" w:hAnsi="Arial"/>
                <w:sz w:val="15"/>
                <w:szCs w:val="15"/>
                <w:color w:val="auto"/>
              </w:rPr>
              <w:t>66,553</w:t>
            </w:r>
          </w:p>
        </w:tc>
        <w:tc>
          <w:tcPr>
            <w:tcW w:w="840" w:type="dxa"/>
            <w:vAlign w:val="bottom"/>
          </w:tcPr>
          <w:p>
            <w:pPr>
              <w:jc w:val="right"/>
              <w:spacing w:after="0"/>
              <w:rPr>
                <w:sz w:val="20"/>
                <w:szCs w:val="20"/>
                <w:color w:val="auto"/>
              </w:rPr>
            </w:pPr>
            <w:r>
              <w:rPr>
                <w:rFonts w:ascii="Arial" w:cs="Arial" w:eastAsia="Arial" w:hAnsi="Arial"/>
                <w:sz w:val="15"/>
                <w:szCs w:val="15"/>
                <w:color w:val="auto"/>
              </w:rPr>
              <w:t>32.3 %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43"/>
              <w:spacing w:after="0"/>
              <w:rPr>
                <w:sz w:val="20"/>
                <w:szCs w:val="20"/>
                <w:color w:val="auto"/>
              </w:rPr>
            </w:pPr>
            <w:r>
              <w:rPr>
                <w:rFonts w:ascii="Arial" w:cs="Arial" w:eastAsia="Arial" w:hAnsi="Arial"/>
                <w:sz w:val="15"/>
                <w:szCs w:val="15"/>
                <w:color w:val="auto"/>
              </w:rPr>
              <w:t>44,433</w:t>
            </w:r>
          </w:p>
        </w:tc>
        <w:tc>
          <w:tcPr>
            <w:tcW w:w="800" w:type="dxa"/>
            <w:vAlign w:val="bottom"/>
          </w:tcPr>
          <w:p>
            <w:pPr>
              <w:jc w:val="right"/>
              <w:spacing w:after="0"/>
              <w:rPr>
                <w:sz w:val="20"/>
                <w:szCs w:val="20"/>
                <w:color w:val="auto"/>
              </w:rPr>
            </w:pPr>
            <w:r>
              <w:rPr>
                <w:rFonts w:ascii="Arial" w:cs="Arial" w:eastAsia="Arial" w:hAnsi="Arial"/>
                <w:sz w:val="15"/>
                <w:szCs w:val="15"/>
                <w:color w:val="auto"/>
              </w:rPr>
              <w:t>30.0 %</w:t>
            </w:r>
          </w:p>
        </w:tc>
        <w:tc>
          <w:tcPr>
            <w:tcW w:w="1120" w:type="dxa"/>
            <w:vAlign w:val="bottom"/>
          </w:tcPr>
          <w:p>
            <w:pPr>
              <w:spacing w:after="0"/>
              <w:rPr>
                <w:sz w:val="23"/>
                <w:szCs w:val="23"/>
                <w:color w:val="auto"/>
              </w:rPr>
            </w:pPr>
          </w:p>
        </w:tc>
      </w:tr>
      <w:tr>
        <w:trPr>
          <w:trHeight w:val="273"/>
        </w:trPr>
        <w:tc>
          <w:tcPr>
            <w:tcW w:w="1120" w:type="dxa"/>
            <w:vAlign w:val="bottom"/>
          </w:tcPr>
          <w:p>
            <w:pPr>
              <w:spacing w:after="0"/>
              <w:rPr>
                <w:sz w:val="23"/>
                <w:szCs w:val="23"/>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10,123</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10,210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26,290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23,313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15.7 %</w:t>
            </w:r>
          </w:p>
        </w:tc>
        <w:tc>
          <w:tcPr>
            <w:tcW w:w="1120" w:type="dxa"/>
            <w:vAlign w:val="bottom"/>
          </w:tcPr>
          <w:p>
            <w:pPr>
              <w:spacing w:after="0"/>
              <w:rPr>
                <w:sz w:val="23"/>
                <w:szCs w:val="23"/>
                <w:color w:val="auto"/>
              </w:rPr>
            </w:pPr>
          </w:p>
        </w:tc>
      </w:tr>
      <w:tr>
        <w:trPr>
          <w:trHeight w:val="177"/>
        </w:trPr>
        <w:tc>
          <w:tcPr>
            <w:tcW w:w="1120" w:type="dxa"/>
            <w:vAlign w:val="bottom"/>
          </w:tcPr>
          <w:p>
            <w:pPr>
              <w:spacing w:after="0"/>
              <w:rPr>
                <w:sz w:val="15"/>
                <w:szCs w:val="15"/>
                <w:color w:val="auto"/>
              </w:rPr>
            </w:pPr>
          </w:p>
        </w:tc>
        <w:tc>
          <w:tcPr>
            <w:tcW w:w="132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5"/>
        </w:trPr>
        <w:tc>
          <w:tcPr>
            <w:tcW w:w="1120" w:type="dxa"/>
            <w:vAlign w:val="bottom"/>
          </w:tcPr>
          <w:p>
            <w:pPr>
              <w:spacing w:after="0"/>
              <w:rPr>
                <w:sz w:val="16"/>
                <w:szCs w:val="16"/>
                <w:color w:val="auto"/>
              </w:rPr>
            </w:pPr>
          </w:p>
        </w:tc>
        <w:tc>
          <w:tcPr>
            <w:tcW w:w="132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12,905</w:t>
            </w:r>
          </w:p>
        </w:tc>
        <w:tc>
          <w:tcPr>
            <w:tcW w:w="860" w:type="dxa"/>
            <w:vAlign w:val="bottom"/>
          </w:tcPr>
          <w:p>
            <w:pPr>
              <w:jc w:val="right"/>
              <w:spacing w:after="0"/>
              <w:rPr>
                <w:sz w:val="20"/>
                <w:szCs w:val="20"/>
                <w:color w:val="auto"/>
              </w:rPr>
            </w:pPr>
            <w:r>
              <w:rPr>
                <w:rFonts w:ascii="Arial" w:cs="Arial" w:eastAsia="Arial" w:hAnsi="Arial"/>
                <w:sz w:val="15"/>
                <w:szCs w:val="15"/>
                <w:color w:val="auto"/>
              </w:rPr>
              <w:t>16.8 %</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11,062</w:t>
            </w:r>
          </w:p>
        </w:tc>
        <w:tc>
          <w:tcPr>
            <w:tcW w:w="780" w:type="dxa"/>
            <w:vAlign w:val="bottom"/>
          </w:tcPr>
          <w:p>
            <w:pPr>
              <w:jc w:val="right"/>
              <w:spacing w:after="0"/>
              <w:rPr>
                <w:sz w:val="20"/>
                <w:szCs w:val="20"/>
                <w:color w:val="auto"/>
              </w:rPr>
            </w:pPr>
            <w:r>
              <w:rPr>
                <w:rFonts w:ascii="Arial" w:cs="Arial" w:eastAsia="Arial" w:hAnsi="Arial"/>
                <w:sz w:val="15"/>
                <w:szCs w:val="15"/>
                <w:color w:val="auto"/>
              </w:rPr>
              <w:t>15.7 %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03"/>
              <w:spacing w:after="0"/>
              <w:rPr>
                <w:sz w:val="20"/>
                <w:szCs w:val="20"/>
                <w:color w:val="auto"/>
              </w:rPr>
            </w:pPr>
            <w:r>
              <w:rPr>
                <w:rFonts w:ascii="Arial" w:cs="Arial" w:eastAsia="Arial" w:hAnsi="Arial"/>
                <w:sz w:val="15"/>
                <w:szCs w:val="15"/>
                <w:color w:val="auto"/>
              </w:rPr>
              <w:t>33,039</w:t>
            </w:r>
          </w:p>
        </w:tc>
        <w:tc>
          <w:tcPr>
            <w:tcW w:w="840" w:type="dxa"/>
            <w:vAlign w:val="bottom"/>
          </w:tcPr>
          <w:p>
            <w:pPr>
              <w:jc w:val="right"/>
              <w:spacing w:after="0"/>
              <w:rPr>
                <w:sz w:val="20"/>
                <w:szCs w:val="20"/>
                <w:color w:val="auto"/>
              </w:rPr>
            </w:pPr>
            <w:r>
              <w:rPr>
                <w:rFonts w:ascii="Arial" w:cs="Arial" w:eastAsia="Arial" w:hAnsi="Arial"/>
                <w:sz w:val="15"/>
                <w:szCs w:val="15"/>
                <w:color w:val="auto"/>
              </w:rPr>
              <w:t>16.0 %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43"/>
              <w:spacing w:after="0"/>
              <w:rPr>
                <w:sz w:val="20"/>
                <w:szCs w:val="20"/>
                <w:color w:val="auto"/>
              </w:rPr>
            </w:pPr>
            <w:r>
              <w:rPr>
                <w:rFonts w:ascii="Arial" w:cs="Arial" w:eastAsia="Arial" w:hAnsi="Arial"/>
                <w:sz w:val="15"/>
                <w:szCs w:val="15"/>
                <w:color w:val="auto"/>
              </w:rPr>
              <w:t>13,896</w:t>
            </w:r>
          </w:p>
        </w:tc>
        <w:tc>
          <w:tcPr>
            <w:tcW w:w="800" w:type="dxa"/>
            <w:vAlign w:val="bottom"/>
          </w:tcPr>
          <w:p>
            <w:pPr>
              <w:jc w:val="right"/>
              <w:spacing w:after="0"/>
              <w:rPr>
                <w:sz w:val="20"/>
                <w:szCs w:val="20"/>
                <w:color w:val="auto"/>
              </w:rPr>
            </w:pPr>
            <w:r>
              <w:rPr>
                <w:rFonts w:ascii="Arial" w:cs="Arial" w:eastAsia="Arial" w:hAnsi="Arial"/>
                <w:sz w:val="15"/>
                <w:szCs w:val="15"/>
                <w:color w:val="auto"/>
              </w:rPr>
              <w:t>9.4 %</w:t>
            </w:r>
          </w:p>
        </w:tc>
        <w:tc>
          <w:tcPr>
            <w:tcW w:w="1120" w:type="dxa"/>
            <w:vAlign w:val="bottom"/>
          </w:tcPr>
          <w:p>
            <w:pPr>
              <w:spacing w:after="0"/>
              <w:rPr>
                <w:sz w:val="16"/>
                <w:szCs w:val="16"/>
                <w:color w:val="auto"/>
              </w:rPr>
            </w:pPr>
          </w:p>
        </w:tc>
      </w:tr>
      <w:tr>
        <w:trPr>
          <w:trHeight w:val="823"/>
        </w:trPr>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jc w:val="right"/>
              <w:ind w:right="303"/>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1"/>
        </w:trPr>
        <w:tc>
          <w:tcPr>
            <w:tcW w:w="11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September 30, 2021 were $76.9 million, an increase of $6.3 million or 8.9%, compared to the same period in 2020. The increase in net sales for the three months ended September 30, 2021 is primarily due to significant increase in consumer demand across all Velocity Outdoor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quarter ended September 30, 2021 increased $1.8 million as compared to the quarter ended September 30, 2020. Gross profit as a percentage of net sales was consistent quarter over quarter with 33.1% for the three months ended September 30, 2021 as compared to 33.5% in the three months ended September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2021 was $10.1 million, or 13.2% of net sales compared to $10.2 million, or 14.5% of net sales for the three months ended September 30, 2020. The decrease in selling, general and administrative expense as a percentage of net sales for the three months ended September 30, 2021 as compared to the prior period is primarily related to cost containment, partially offset by volume driven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2021 was $12.9 million, an increase of $1.8 million when compared to income from operations of $11.1 million for the same period in 2020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nine months ended September 30, 2021 were $205.9 million, an increase of $57.7 million or 38.9%, compared to the same period in 2020. The increase in net sales for the nine months ended September 30, 2021 is primarily due to significant increase in consumer demand across all Velocity Outdoor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nine months ended September 30, 2021 increased $22.1 million as compared to the nine months ended September 30, 2020. Gross profit as a percentage of net sales was 32.3% for the nine months ended September 30, 2021 as compared to 30.0% in the nine months ended September 30, 2020. The increase in gross profit as a percentage of net sales was primarily attributable to favorable sales product mix.</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nine months ended September 30, 2021 was $26.3 million, or 12.8% of net sales compared to $23.3 million, or 15.7% of net sales for the nine months ended September 30, 2020. The increase in selling, general and administrative expense for the nine months ended September 30, 2021 is primarily related to volume driven expenses that correlate to the increase in sales, as well as additional investments in marketing.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$33.0 million, an increase of $19.1 million when compared to income from operations of $13.9 million for the same period in 2020 based on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1"/>
                <w:szCs w:val="21"/>
                <w:color w:val="auto"/>
              </w:rPr>
            </w:pPr>
          </w:p>
        </w:tc>
        <w:tc>
          <w:tcPr>
            <w:tcW w:w="190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1"/>
                <w:szCs w:val="21"/>
                <w:color w:val="auto"/>
              </w:rPr>
            </w:pPr>
          </w:p>
        </w:tc>
        <w:tc>
          <w:tcPr>
            <w:tcW w:w="17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September 30, 2020</w:t>
            </w:r>
          </w:p>
        </w:tc>
      </w:tr>
      <w:tr>
        <w:trPr>
          <w:trHeight w:val="253"/>
        </w:trPr>
        <w:tc>
          <w:tcPr>
            <w:tcW w:w="1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23,182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22,771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67,209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67,423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7"/>
        </w:trPr>
        <w:tc>
          <w:tcPr>
            <w:tcW w:w="12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10,696</w:t>
            </w:r>
          </w:p>
        </w:tc>
        <w:tc>
          <w:tcPr>
            <w:tcW w:w="860" w:type="dxa"/>
            <w:vAlign w:val="bottom"/>
          </w:tcPr>
          <w:p>
            <w:pPr>
              <w:jc w:val="right"/>
              <w:spacing w:after="0"/>
              <w:rPr>
                <w:sz w:val="20"/>
                <w:szCs w:val="20"/>
                <w:color w:val="auto"/>
              </w:rPr>
            </w:pPr>
            <w:r>
              <w:rPr>
                <w:rFonts w:ascii="Arial" w:cs="Arial" w:eastAsia="Arial" w:hAnsi="Arial"/>
                <w:sz w:val="16"/>
                <w:szCs w:val="16"/>
                <w:color w:val="auto"/>
              </w:rPr>
              <w:t>46.1 %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10,252</w:t>
            </w:r>
          </w:p>
        </w:tc>
        <w:tc>
          <w:tcPr>
            <w:tcW w:w="820" w:type="dxa"/>
            <w:vAlign w:val="bottom"/>
          </w:tcPr>
          <w:p>
            <w:pPr>
              <w:jc w:val="right"/>
              <w:spacing w:after="0"/>
              <w:rPr>
                <w:sz w:val="20"/>
                <w:szCs w:val="20"/>
                <w:color w:val="auto"/>
              </w:rPr>
            </w:pPr>
            <w:r>
              <w:rPr>
                <w:rFonts w:ascii="Arial" w:cs="Arial" w:eastAsia="Arial" w:hAnsi="Arial"/>
                <w:sz w:val="16"/>
                <w:szCs w:val="16"/>
                <w:color w:val="auto"/>
              </w:rPr>
              <w:t>45.0 %</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30,413</w:t>
            </w:r>
          </w:p>
        </w:tc>
        <w:tc>
          <w:tcPr>
            <w:tcW w:w="840" w:type="dxa"/>
            <w:vAlign w:val="bottom"/>
          </w:tcPr>
          <w:p>
            <w:pPr>
              <w:jc w:val="right"/>
              <w:spacing w:after="0"/>
              <w:rPr>
                <w:sz w:val="20"/>
                <w:szCs w:val="20"/>
                <w:color w:val="auto"/>
              </w:rPr>
            </w:pPr>
            <w:r>
              <w:rPr>
                <w:rFonts w:ascii="Arial" w:cs="Arial" w:eastAsia="Arial" w:hAnsi="Arial"/>
                <w:sz w:val="16"/>
                <w:szCs w:val="16"/>
                <w:color w:val="auto"/>
              </w:rPr>
              <w:t>45.3 %</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30,360</w:t>
            </w:r>
          </w:p>
        </w:tc>
        <w:tc>
          <w:tcPr>
            <w:tcW w:w="820" w:type="dxa"/>
            <w:vAlign w:val="bottom"/>
          </w:tcPr>
          <w:p>
            <w:pPr>
              <w:jc w:val="right"/>
              <w:spacing w:after="0"/>
              <w:rPr>
                <w:sz w:val="20"/>
                <w:szCs w:val="20"/>
                <w:color w:val="auto"/>
              </w:rPr>
            </w:pPr>
            <w:r>
              <w:rPr>
                <w:rFonts w:ascii="Arial" w:cs="Arial" w:eastAsia="Arial" w:hAnsi="Arial"/>
                <w:sz w:val="16"/>
                <w:szCs w:val="16"/>
                <w:color w:val="auto"/>
              </w:rPr>
              <w:t>45.0 %</w:t>
            </w:r>
          </w:p>
        </w:tc>
      </w:tr>
      <w:tr>
        <w:trPr>
          <w:trHeight w:val="27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3,771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3,853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11,399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11,490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17.0 %</w:t>
            </w:r>
          </w:p>
        </w:tc>
      </w:tr>
      <w:tr>
        <w:trPr>
          <w:trHeight w:val="177"/>
        </w:trPr>
        <w:tc>
          <w:tcPr>
            <w:tcW w:w="128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28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6,791</w:t>
            </w:r>
          </w:p>
        </w:tc>
        <w:tc>
          <w:tcPr>
            <w:tcW w:w="860" w:type="dxa"/>
            <w:vAlign w:val="bottom"/>
          </w:tcPr>
          <w:p>
            <w:pPr>
              <w:jc w:val="right"/>
              <w:spacing w:after="0"/>
              <w:rPr>
                <w:sz w:val="20"/>
                <w:szCs w:val="20"/>
                <w:color w:val="auto"/>
              </w:rPr>
            </w:pPr>
            <w:r>
              <w:rPr>
                <w:rFonts w:ascii="Arial" w:cs="Arial" w:eastAsia="Arial" w:hAnsi="Arial"/>
                <w:sz w:val="16"/>
                <w:szCs w:val="16"/>
                <w:color w:val="auto"/>
              </w:rPr>
              <w:t>29.3 %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6,205</w:t>
            </w:r>
          </w:p>
        </w:tc>
        <w:tc>
          <w:tcPr>
            <w:tcW w:w="820" w:type="dxa"/>
            <w:vAlign w:val="bottom"/>
          </w:tcPr>
          <w:p>
            <w:pPr>
              <w:jc w:val="right"/>
              <w:spacing w:after="0"/>
              <w:rPr>
                <w:sz w:val="20"/>
                <w:szCs w:val="20"/>
                <w:color w:val="auto"/>
              </w:rPr>
            </w:pPr>
            <w:r>
              <w:rPr>
                <w:rFonts w:ascii="Arial" w:cs="Arial" w:eastAsia="Arial" w:hAnsi="Arial"/>
                <w:sz w:val="16"/>
                <w:szCs w:val="16"/>
                <w:color w:val="auto"/>
              </w:rPr>
              <w:t>27.2 %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18,610</w:t>
            </w:r>
          </w:p>
        </w:tc>
        <w:tc>
          <w:tcPr>
            <w:tcW w:w="840" w:type="dxa"/>
            <w:vAlign w:val="bottom"/>
          </w:tcPr>
          <w:p>
            <w:pPr>
              <w:jc w:val="right"/>
              <w:spacing w:after="0"/>
              <w:rPr>
                <w:sz w:val="20"/>
                <w:szCs w:val="20"/>
                <w:color w:val="auto"/>
              </w:rPr>
            </w:pPr>
            <w:r>
              <w:rPr>
                <w:rFonts w:ascii="Arial" w:cs="Arial" w:eastAsia="Arial" w:hAnsi="Arial"/>
                <w:sz w:val="16"/>
                <w:szCs w:val="16"/>
                <w:color w:val="auto"/>
              </w:rPr>
              <w:t>27.7 %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18,272</w:t>
            </w:r>
          </w:p>
        </w:tc>
        <w:tc>
          <w:tcPr>
            <w:tcW w:w="820" w:type="dxa"/>
            <w:vAlign w:val="bottom"/>
          </w:tcPr>
          <w:p>
            <w:pPr>
              <w:jc w:val="right"/>
              <w:spacing w:after="0"/>
              <w:rPr>
                <w:sz w:val="20"/>
                <w:szCs w:val="20"/>
                <w:color w:val="auto"/>
              </w:rPr>
            </w:pPr>
            <w:r>
              <w:rPr>
                <w:rFonts w:ascii="Arial" w:cs="Arial" w:eastAsia="Arial" w:hAnsi="Arial"/>
                <w:sz w:val="16"/>
                <w:szCs w:val="16"/>
                <w:color w:val="auto"/>
              </w:rPr>
              <w:t>27.1 %</w:t>
            </w:r>
          </w:p>
        </w:tc>
      </w:tr>
    </w:tbl>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September 30, 2021 were $23.2 million, an increase of approximately $0.4 million or 1.8% compared to the three months ended September 30, 2020. The increase in net sales for the quarter ended September 30, 2021 as compared to the quarter ended September 30, 2020 was primarily due to decreased sales in the Quick-Turn Small-Run PCBs product 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increased 110 basis points during the three months ended September 30, 2021 compared to the corresponding period in 2020 (46.1% at September 30, 2021 compared to 45.0% at September 30, 2020)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$3.8 million in the three months ended September 30, 2021 and $3.9 million in the three months ended September 30, 2020. Selling, general and administrative expense represented 16.3% of net sales for the three months ended September 30, 2021 and 16.9% of net sales in the corresponding period in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September 30, 2021 was $ 6.8 million.as compared to $6.2 million the three months ended September 30, 2020, an increase of $0.6 million based on the factors noted above.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sales for the nine months ended September 30, 2021 were $67.2 million, a decrease of approximately $0.2 million or 0.3% compared to the nine months ended September 30,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increased 30 basis points during the nine months ended September 30, 2021 compared to the corresponding period in 2020 (45.3% at September 30, 2021 compared to 45.0% at September 30, 2020)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$11.4 million in the nine months ended September 30, 2021 as compared to $ 11.5 million in the nine months ended September 30, 2020. Selling, general and administrative expense represented 17.0% of net sales for both the nine months ended September 30, 2021 and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approximately $18.6 million compared to $18.3 million in the same period in 2020, an increase of approximately $0.3 million, principally as a result of the factors described above.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Altor Solutions</w:t>
      </w:r>
    </w:p>
    <w:p>
      <w:pPr>
        <w:spacing w:after="0" w:line="257" w:lineRule="exact"/>
        <w:rPr>
          <w:sz w:val="20"/>
          <w:szCs w:val="20"/>
          <w:color w:val="auto"/>
        </w:rPr>
      </w:pPr>
    </w:p>
    <w:tbl>
      <w:tblPr>
        <w:tblLayout w:type="fixed"/>
        <w:tblInd w:w="108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6"/>
                <w:szCs w:val="16"/>
                <w:b w:val="1"/>
                <w:bCs w:val="1"/>
                <w:color w:val="auto"/>
              </w:rPr>
              <w:t>Nine months ended</w:t>
            </w:r>
          </w:p>
        </w:tc>
        <w:tc>
          <w:tcPr>
            <w:tcW w:w="800" w:type="dxa"/>
            <w:vAlign w:val="bottom"/>
            <w:tcBorders>
              <w:bottom w:val="single" w:sz="8" w:color="auto"/>
            </w:tcBorders>
          </w:tcPr>
          <w:p>
            <w:pPr>
              <w:spacing w:after="0"/>
              <w:rPr>
                <w:sz w:val="18"/>
                <w:szCs w:val="18"/>
                <w:color w:val="auto"/>
              </w:rPr>
            </w:pPr>
          </w:p>
        </w:tc>
      </w:tr>
      <w:tr>
        <w:trPr>
          <w:trHeight w:val="250"/>
        </w:trPr>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1"/>
                <w:szCs w:val="21"/>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1"/>
                <w:szCs w:val="21"/>
                <w:color w:val="auto"/>
              </w:rPr>
            </w:pPr>
          </w:p>
        </w:tc>
        <w:tc>
          <w:tcPr>
            <w:tcW w:w="170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September 30, 2020</w:t>
            </w:r>
          </w:p>
        </w:tc>
      </w:tr>
      <w:tr>
        <w:trPr>
          <w:trHeight w:val="253"/>
        </w:trPr>
        <w:tc>
          <w:tcPr>
            <w:tcW w:w="1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44,122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36,526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122,582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89,338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20" w:type="dxa"/>
            <w:vAlign w:val="bottom"/>
          </w:tcPr>
          <w:p>
            <w:pPr>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11,636</w:t>
            </w:r>
          </w:p>
        </w:tc>
        <w:tc>
          <w:tcPr>
            <w:tcW w:w="860" w:type="dxa"/>
            <w:vAlign w:val="bottom"/>
          </w:tcPr>
          <w:p>
            <w:pPr>
              <w:jc w:val="right"/>
              <w:spacing w:after="0"/>
              <w:rPr>
                <w:sz w:val="20"/>
                <w:szCs w:val="20"/>
                <w:color w:val="auto"/>
              </w:rPr>
            </w:pPr>
            <w:r>
              <w:rPr>
                <w:rFonts w:ascii="Arial" w:cs="Arial" w:eastAsia="Arial" w:hAnsi="Arial"/>
                <w:sz w:val="15"/>
                <w:szCs w:val="15"/>
                <w:color w:val="auto"/>
              </w:rPr>
              <w:t>26.4 %</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11,184</w:t>
            </w:r>
          </w:p>
        </w:tc>
        <w:tc>
          <w:tcPr>
            <w:tcW w:w="800" w:type="dxa"/>
            <w:vAlign w:val="bottom"/>
          </w:tcPr>
          <w:p>
            <w:pPr>
              <w:jc w:val="right"/>
              <w:spacing w:after="0"/>
              <w:rPr>
                <w:sz w:val="20"/>
                <w:szCs w:val="20"/>
                <w:color w:val="auto"/>
              </w:rPr>
            </w:pPr>
            <w:r>
              <w:rPr>
                <w:rFonts w:ascii="Arial" w:cs="Arial" w:eastAsia="Arial" w:hAnsi="Arial"/>
                <w:sz w:val="15"/>
                <w:szCs w:val="15"/>
                <w:color w:val="auto"/>
              </w:rPr>
              <w:t>30.6 %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30,978</w:t>
            </w:r>
          </w:p>
        </w:tc>
        <w:tc>
          <w:tcPr>
            <w:tcW w:w="860" w:type="dxa"/>
            <w:vAlign w:val="bottom"/>
          </w:tcPr>
          <w:p>
            <w:pPr>
              <w:jc w:val="right"/>
              <w:spacing w:after="0"/>
              <w:rPr>
                <w:sz w:val="20"/>
                <w:szCs w:val="20"/>
                <w:color w:val="auto"/>
              </w:rPr>
            </w:pPr>
            <w:r>
              <w:rPr>
                <w:rFonts w:ascii="Arial" w:cs="Arial" w:eastAsia="Arial" w:hAnsi="Arial"/>
                <w:sz w:val="15"/>
                <w:szCs w:val="15"/>
                <w:color w:val="auto"/>
              </w:rPr>
              <w:t>25.3 %</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27,165</w:t>
            </w:r>
          </w:p>
        </w:tc>
        <w:tc>
          <w:tcPr>
            <w:tcW w:w="800" w:type="dxa"/>
            <w:vAlign w:val="bottom"/>
          </w:tcPr>
          <w:p>
            <w:pPr>
              <w:jc w:val="right"/>
              <w:spacing w:after="0"/>
              <w:rPr>
                <w:sz w:val="20"/>
                <w:szCs w:val="20"/>
                <w:color w:val="auto"/>
              </w:rPr>
            </w:pPr>
            <w:r>
              <w:rPr>
                <w:rFonts w:ascii="Arial" w:cs="Arial" w:eastAsia="Arial" w:hAnsi="Arial"/>
                <w:sz w:val="15"/>
                <w:szCs w:val="15"/>
                <w:color w:val="auto"/>
              </w:rPr>
              <w:t>30.4 %</w:t>
            </w:r>
          </w:p>
        </w:tc>
      </w:tr>
      <w:tr>
        <w:trPr>
          <w:trHeight w:val="27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SG&amp;A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4,016</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4,134</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11,222</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9,264</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10.4 %</w:t>
            </w:r>
          </w:p>
        </w:tc>
      </w:tr>
      <w:tr>
        <w:trPr>
          <w:trHeight w:val="177"/>
        </w:trPr>
        <w:tc>
          <w:tcPr>
            <w:tcW w:w="1320" w:type="dxa"/>
            <w:vAlign w:val="bottom"/>
          </w:tcPr>
          <w:p>
            <w:pPr>
              <w:spacing w:after="0" w:line="178" w:lineRule="exact"/>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5"/>
        </w:trPr>
        <w:tc>
          <w:tcPr>
            <w:tcW w:w="1320" w:type="dxa"/>
            <w:vAlign w:val="bottom"/>
          </w:tcPr>
          <w:p>
            <w:pPr>
              <w:spacing w:after="0"/>
              <w:rPr>
                <w:sz w:val="20"/>
                <w:szCs w:val="20"/>
                <w:color w:val="auto"/>
              </w:rPr>
            </w:pPr>
            <w:r>
              <w:rPr>
                <w:rFonts w:ascii="Arial" w:cs="Arial" w:eastAsia="Arial" w:hAnsi="Arial"/>
                <w:sz w:val="16"/>
                <w:szCs w:val="16"/>
                <w:color w:val="auto"/>
              </w:rPr>
              <w:t>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63"/>
              <w:spacing w:after="0"/>
              <w:rPr>
                <w:sz w:val="20"/>
                <w:szCs w:val="20"/>
                <w:color w:val="auto"/>
              </w:rPr>
            </w:pPr>
            <w:r>
              <w:rPr>
                <w:rFonts w:ascii="Arial" w:cs="Arial" w:eastAsia="Arial" w:hAnsi="Arial"/>
                <w:sz w:val="15"/>
                <w:szCs w:val="15"/>
                <w:color w:val="auto"/>
              </w:rPr>
              <w:t>5,380</w:t>
            </w:r>
          </w:p>
        </w:tc>
        <w:tc>
          <w:tcPr>
            <w:tcW w:w="860" w:type="dxa"/>
            <w:vAlign w:val="bottom"/>
          </w:tcPr>
          <w:p>
            <w:pPr>
              <w:jc w:val="right"/>
              <w:spacing w:after="0"/>
              <w:rPr>
                <w:sz w:val="20"/>
                <w:szCs w:val="20"/>
                <w:color w:val="auto"/>
              </w:rPr>
            </w:pPr>
            <w:r>
              <w:rPr>
                <w:rFonts w:ascii="Arial" w:cs="Arial" w:eastAsia="Arial" w:hAnsi="Arial"/>
                <w:sz w:val="15"/>
                <w:szCs w:val="15"/>
                <w:color w:val="auto"/>
              </w:rPr>
              <w:t>12.2 %</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4,759</w:t>
            </w:r>
          </w:p>
        </w:tc>
        <w:tc>
          <w:tcPr>
            <w:tcW w:w="800" w:type="dxa"/>
            <w:vAlign w:val="bottom"/>
          </w:tcPr>
          <w:p>
            <w:pPr>
              <w:jc w:val="right"/>
              <w:spacing w:after="0"/>
              <w:rPr>
                <w:sz w:val="20"/>
                <w:szCs w:val="20"/>
                <w:color w:val="auto"/>
              </w:rPr>
            </w:pPr>
            <w:r>
              <w:rPr>
                <w:rFonts w:ascii="Arial" w:cs="Arial" w:eastAsia="Arial" w:hAnsi="Arial"/>
                <w:sz w:val="15"/>
                <w:szCs w:val="15"/>
                <w:color w:val="auto"/>
              </w:rPr>
              <w:t>13.0 %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13,612</w:t>
            </w:r>
          </w:p>
        </w:tc>
        <w:tc>
          <w:tcPr>
            <w:tcW w:w="860" w:type="dxa"/>
            <w:vAlign w:val="bottom"/>
          </w:tcPr>
          <w:p>
            <w:pPr>
              <w:jc w:val="right"/>
              <w:spacing w:after="0"/>
              <w:rPr>
                <w:sz w:val="20"/>
                <w:szCs w:val="20"/>
                <w:color w:val="auto"/>
              </w:rPr>
            </w:pPr>
            <w:r>
              <w:rPr>
                <w:rFonts w:ascii="Arial" w:cs="Arial" w:eastAsia="Arial" w:hAnsi="Arial"/>
                <w:sz w:val="15"/>
                <w:szCs w:val="15"/>
                <w:color w:val="auto"/>
              </w:rPr>
              <w:t>11.1 %</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11,118</w:t>
            </w:r>
          </w:p>
        </w:tc>
        <w:tc>
          <w:tcPr>
            <w:tcW w:w="800" w:type="dxa"/>
            <w:vAlign w:val="bottom"/>
          </w:tcPr>
          <w:p>
            <w:pPr>
              <w:jc w:val="right"/>
              <w:spacing w:after="0"/>
              <w:rPr>
                <w:sz w:val="20"/>
                <w:szCs w:val="20"/>
                <w:color w:val="auto"/>
              </w:rPr>
            </w:pPr>
            <w:r>
              <w:rPr>
                <w:rFonts w:ascii="Arial" w:cs="Arial" w:eastAsia="Arial" w:hAnsi="Arial"/>
                <w:sz w:val="15"/>
                <w:szCs w:val="15"/>
                <w:color w:val="auto"/>
              </w:rPr>
              <w:t>12.4 %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quarter ended September 30, 2021 were $ 44.1 million, an increase of $7.6 million, or 20.8%, compared to the quarter ended September 30, 2020. The increase in net sales during the quarter was due to the acquisition of Polyfoam in July 2020 and organic growth in Altor's appliance and cold chain customer sectors, as well as contractual increases in selling prices during the current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26.4% and 30.6% for the three months ended September 30, 2021 and 2020, respectively. The decrease in gross profit as a percentage of net sales in the quarter ended September 30, 2021 was primarily due to increases in the price of Altor's primary raw material, expanded polystyrene ("EPS"), and increased operating costs, particularly labor.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September 30, 2021 was $4.0 million as compared to $4.1 million for the three months ended September 30, 2020, a decrease of $0.1 million. The decrease in selling, general and administrative expense in the third quarter of 2021 was due to a plant management departures. These positions are not expected to be replaced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$5.4 million in the three months ended September 30, 2021, an increase of $0.6 million as compared to the three months ended September 30, 2020, based on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nine months ended September 30, 2021 were $122.6 million, an increase of $33.2 million, or 37.2%, compared to the quarter ended September 30, 2020. The increase in net sales during the quarter was due to the acquisition of Polyfoam in July 2020, the continued recovery from the effects of the COVID-19 pandemic experienced in the prior year, organic growth and contractual increases in selling prices during the current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25.3% and 30.4% for the nine months ended September 30, 2021 and 2020, respectively. The decrease in gross profit as a percentage of net sales in the nine months ended September 30, 2021 was primarily due to increases in the price of Altor's primary raw material, EPS, during the first three quarters of the year, margin dilution due to the acquisition of Polyfoam, which has historically had lower margins than the legacy business, and increased operating expenses, including labor, utilities and supplies.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nine months ended September 30, 2021 was $11.2 million as compared to $9.3 million for the nine months ended September 30, 2020, an increase of $2.0 million. The increase in selling, general and administrative expense in the first half of 2021 was primarily due to the acquisition of Polyfoam, and increased information technology and professional fees incurred during the current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$ 13.6 million in the nine months ended September 30, 2021, an increase of $2.5 million as compared to the nine months ended September 30, 2020, based on the factors noted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8"/>
        </w:trPr>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50"/>
        </w:trPr>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1"/>
                <w:szCs w:val="21"/>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21"/>
                <w:szCs w:val="21"/>
                <w:color w:val="auto"/>
              </w:rPr>
            </w:pPr>
          </w:p>
        </w:tc>
        <w:tc>
          <w:tcPr>
            <w:tcW w:w="190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1"/>
                <w:szCs w:val="21"/>
                <w:color w:val="auto"/>
              </w:rPr>
            </w:pPr>
          </w:p>
        </w:tc>
        <w:tc>
          <w:tcPr>
            <w:tcW w:w="172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September 30, 2020</w:t>
            </w:r>
          </w:p>
        </w:tc>
      </w:tr>
      <w:tr>
        <w:trPr>
          <w:trHeight w:val="253"/>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36,852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22,619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101,893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76,447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4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83"/>
              <w:spacing w:after="0"/>
              <w:rPr>
                <w:sz w:val="20"/>
                <w:szCs w:val="20"/>
                <w:color w:val="auto"/>
              </w:rPr>
            </w:pPr>
            <w:r>
              <w:rPr>
                <w:rFonts w:ascii="Arial" w:cs="Arial" w:eastAsia="Arial" w:hAnsi="Arial"/>
                <w:sz w:val="15"/>
                <w:szCs w:val="15"/>
                <w:color w:val="auto"/>
              </w:rPr>
              <w:t>10,957</w:t>
            </w:r>
          </w:p>
        </w:tc>
        <w:tc>
          <w:tcPr>
            <w:tcW w:w="840" w:type="dxa"/>
            <w:vAlign w:val="bottom"/>
          </w:tcPr>
          <w:p>
            <w:pPr>
              <w:jc w:val="right"/>
              <w:spacing w:after="0"/>
              <w:rPr>
                <w:sz w:val="20"/>
                <w:szCs w:val="20"/>
                <w:color w:val="auto"/>
              </w:rPr>
            </w:pPr>
            <w:r>
              <w:rPr>
                <w:rFonts w:ascii="Arial" w:cs="Arial" w:eastAsia="Arial" w:hAnsi="Arial"/>
                <w:sz w:val="15"/>
                <w:szCs w:val="15"/>
                <w:color w:val="auto"/>
              </w:rPr>
              <w:t>29.7 %</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163"/>
              <w:spacing w:after="0"/>
              <w:rPr>
                <w:sz w:val="20"/>
                <w:szCs w:val="20"/>
                <w:color w:val="auto"/>
              </w:rPr>
            </w:pPr>
            <w:r>
              <w:rPr>
                <w:rFonts w:ascii="Arial" w:cs="Arial" w:eastAsia="Arial" w:hAnsi="Arial"/>
                <w:sz w:val="15"/>
                <w:szCs w:val="15"/>
                <w:color w:val="auto"/>
              </w:rPr>
              <w:t>4,989</w:t>
            </w:r>
          </w:p>
        </w:tc>
        <w:tc>
          <w:tcPr>
            <w:tcW w:w="780" w:type="dxa"/>
            <w:vAlign w:val="bottom"/>
          </w:tcPr>
          <w:p>
            <w:pPr>
              <w:jc w:val="right"/>
              <w:spacing w:after="0"/>
              <w:rPr>
                <w:sz w:val="20"/>
                <w:szCs w:val="20"/>
                <w:color w:val="auto"/>
              </w:rPr>
            </w:pPr>
            <w:r>
              <w:rPr>
                <w:rFonts w:ascii="Arial" w:cs="Arial" w:eastAsia="Arial" w:hAnsi="Arial"/>
                <w:sz w:val="15"/>
                <w:szCs w:val="15"/>
                <w:color w:val="auto"/>
              </w:rPr>
              <w:t>22.1 %</w:t>
            </w:r>
          </w:p>
        </w:tc>
        <w:tc>
          <w:tcPr>
            <w:tcW w:w="1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28,892</w:t>
            </w:r>
          </w:p>
        </w:tc>
        <w:tc>
          <w:tcPr>
            <w:tcW w:w="860" w:type="dxa"/>
            <w:vAlign w:val="bottom"/>
          </w:tcPr>
          <w:p>
            <w:pPr>
              <w:jc w:val="right"/>
              <w:spacing w:after="0"/>
              <w:rPr>
                <w:sz w:val="20"/>
                <w:szCs w:val="20"/>
                <w:color w:val="auto"/>
              </w:rPr>
            </w:pPr>
            <w:r>
              <w:rPr>
                <w:rFonts w:ascii="Arial" w:cs="Arial" w:eastAsia="Arial" w:hAnsi="Arial"/>
                <w:sz w:val="15"/>
                <w:szCs w:val="15"/>
                <w:color w:val="auto"/>
              </w:rPr>
              <w:t>28.4 %</w:t>
            </w:r>
          </w:p>
        </w:tc>
        <w:tc>
          <w:tcPr>
            <w:tcW w:w="1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19,051</w:t>
            </w:r>
          </w:p>
        </w:tc>
        <w:tc>
          <w:tcPr>
            <w:tcW w:w="820" w:type="dxa"/>
            <w:vAlign w:val="bottom"/>
          </w:tcPr>
          <w:p>
            <w:pPr>
              <w:jc w:val="right"/>
              <w:spacing w:after="0"/>
              <w:rPr>
                <w:sz w:val="20"/>
                <w:szCs w:val="20"/>
                <w:color w:val="auto"/>
              </w:rPr>
            </w:pPr>
            <w:r>
              <w:rPr>
                <w:rFonts w:ascii="Arial" w:cs="Arial" w:eastAsia="Arial" w:hAnsi="Arial"/>
                <w:sz w:val="15"/>
                <w:szCs w:val="15"/>
                <w:color w:val="auto"/>
              </w:rPr>
              <w:t>24.9 %</w:t>
            </w:r>
          </w:p>
        </w:tc>
      </w:tr>
      <w:tr>
        <w:trPr>
          <w:trHeight w:val="273"/>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5,410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14.7 %</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4,549</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20.1 %</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15,982</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15.7 %</w:t>
            </w: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13,645</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17.8 %</w:t>
            </w:r>
          </w:p>
        </w:tc>
      </w:tr>
      <w:tr>
        <w:trPr>
          <w:trHeight w:val="177"/>
        </w:trPr>
        <w:tc>
          <w:tcPr>
            <w:tcW w:w="142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42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83"/>
              <w:spacing w:after="0"/>
              <w:rPr>
                <w:sz w:val="20"/>
                <w:szCs w:val="20"/>
                <w:color w:val="auto"/>
              </w:rPr>
            </w:pPr>
            <w:r>
              <w:rPr>
                <w:rFonts w:ascii="Arial" w:cs="Arial" w:eastAsia="Arial" w:hAnsi="Arial"/>
                <w:sz w:val="15"/>
                <w:szCs w:val="15"/>
                <w:color w:val="auto"/>
              </w:rPr>
              <w:t>4,611</w:t>
            </w:r>
          </w:p>
        </w:tc>
        <w:tc>
          <w:tcPr>
            <w:tcW w:w="840" w:type="dxa"/>
            <w:vAlign w:val="bottom"/>
          </w:tcPr>
          <w:p>
            <w:pPr>
              <w:jc w:val="right"/>
              <w:spacing w:after="0"/>
              <w:rPr>
                <w:sz w:val="20"/>
                <w:szCs w:val="20"/>
                <w:color w:val="auto"/>
              </w:rPr>
            </w:pPr>
            <w:r>
              <w:rPr>
                <w:rFonts w:ascii="Arial" w:cs="Arial" w:eastAsia="Arial" w:hAnsi="Arial"/>
                <w:sz w:val="15"/>
                <w:szCs w:val="15"/>
                <w:color w:val="auto"/>
              </w:rPr>
              <w:t>12.5 %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123"/>
              <w:spacing w:after="0"/>
              <w:rPr>
                <w:sz w:val="20"/>
                <w:szCs w:val="20"/>
                <w:color w:val="auto"/>
              </w:rPr>
            </w:pPr>
            <w:r>
              <w:rPr>
                <w:rFonts w:ascii="Arial" w:cs="Arial" w:eastAsia="Arial" w:hAnsi="Arial"/>
                <w:sz w:val="15"/>
                <w:szCs w:val="15"/>
                <w:color w:val="auto"/>
              </w:rPr>
              <w:t>(495)</w:t>
            </w:r>
          </w:p>
        </w:tc>
        <w:tc>
          <w:tcPr>
            <w:tcW w:w="780" w:type="dxa"/>
            <w:vAlign w:val="bottom"/>
          </w:tcPr>
          <w:p>
            <w:pPr>
              <w:jc w:val="right"/>
              <w:spacing w:after="0"/>
              <w:rPr>
                <w:sz w:val="20"/>
                <w:szCs w:val="20"/>
                <w:color w:val="auto"/>
              </w:rPr>
            </w:pPr>
            <w:r>
              <w:rPr>
                <w:rFonts w:ascii="Arial" w:cs="Arial" w:eastAsia="Arial" w:hAnsi="Arial"/>
                <w:sz w:val="15"/>
                <w:szCs w:val="15"/>
                <w:color w:val="auto"/>
              </w:rPr>
              <w:t>(2.2)%</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103"/>
              <w:spacing w:after="0"/>
              <w:rPr>
                <w:sz w:val="20"/>
                <w:szCs w:val="20"/>
                <w:color w:val="auto"/>
              </w:rPr>
            </w:pPr>
            <w:r>
              <w:rPr>
                <w:rFonts w:ascii="Arial" w:cs="Arial" w:eastAsia="Arial" w:hAnsi="Arial"/>
                <w:sz w:val="15"/>
                <w:szCs w:val="15"/>
                <w:color w:val="auto"/>
              </w:rPr>
              <w:t>10,104</w:t>
            </w:r>
          </w:p>
        </w:tc>
        <w:tc>
          <w:tcPr>
            <w:tcW w:w="860" w:type="dxa"/>
            <w:vAlign w:val="bottom"/>
          </w:tcPr>
          <w:p>
            <w:pPr>
              <w:jc w:val="right"/>
              <w:spacing w:after="0"/>
              <w:rPr>
                <w:sz w:val="20"/>
                <w:szCs w:val="20"/>
                <w:color w:val="auto"/>
              </w:rPr>
            </w:pPr>
            <w:r>
              <w:rPr>
                <w:rFonts w:ascii="Arial" w:cs="Arial" w:eastAsia="Arial" w:hAnsi="Arial"/>
                <w:sz w:val="15"/>
                <w:szCs w:val="15"/>
                <w:color w:val="auto"/>
              </w:rPr>
              <w:t>9.9 %</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2,601</w:t>
            </w:r>
          </w:p>
        </w:tc>
        <w:tc>
          <w:tcPr>
            <w:tcW w:w="820" w:type="dxa"/>
            <w:vAlign w:val="bottom"/>
          </w:tcPr>
          <w:p>
            <w:pPr>
              <w:jc w:val="right"/>
              <w:spacing w:after="0"/>
              <w:rPr>
                <w:sz w:val="20"/>
                <w:szCs w:val="20"/>
                <w:color w:val="auto"/>
              </w:rPr>
            </w:pPr>
            <w:r>
              <w:rPr>
                <w:rFonts w:ascii="Arial" w:cs="Arial" w:eastAsia="Arial" w:hAnsi="Arial"/>
                <w:sz w:val="15"/>
                <w:szCs w:val="15"/>
                <w:color w:val="auto"/>
              </w:rPr>
              <w:t>3.4 %</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September 30, 2021 were approximately $ 36.9 million, an increase of $14.2 million compared to the same period in 2020. International sales were $10.3 million in the three months ended September 30, 2021 and $ 8.7 million in the three months ended September 30, 2020. The increase in net sales is primarily a result of increased demand in defense and industrial markets driven in part by the acquisition of Ramco Electric Motors, Inc. in March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September 30, 2021 was approximately $11.0 million compared to approximately $5.0 million in the same period of 2020. Gross profit as a percentage of net sales increased to 29.7% for the quarter ended September 30, 2021 from 22.1% in the quarter ended September 30, 2020 principally due to increased volume and improved operational efficiencies.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in the three months ended September 30, 2021 was $5.4 million, an increase in expense of approximately $0.9 million compared to $4.5 million for the three months ended September 30, 2020. Selling, general and administrative expense was 14.7% of net sales in the three months ended September 30, 2021 and 20.1% in the three months ended September 30, 2020. The increase in selling general and administrative expense was due to higher staffing related costs, and higher recruiting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(loss)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September 30, 2021 was approximately $4.6 million, an increase of $5.1 million when compared to the same period in 2020, as a result of the factors noted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nine months ended September 30, 2021 were approximately $101.9 million, an increase of $25.4 million compared to the same period in 2020. International sales were $31.9 million in the nine months ended September 30, 2021 and $28.7 million in the nine months ended September 30, 2020. The increase in net sales is primarily a result of increased demand in defense and industrial markets driven in part by the acquisition of Ramco Electric Motors, Inc. in March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nine months ended September 30, 2021 was approximately $28.9 million compared to approximately $19.1 million in the same period of 2020. Gross profit as a percentage of net sales increased to 28.4% for the nine months ended September 30, 2021 from 24.9% in the nine months ended September 30, 2020 principally due to increased volume and operational efficiencies.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 in the nine months ended September 30, 2021 was $16.0 million, an increase in expense of approximately $2.3 million compared to $13.6 million for the nine months ended September 30, 2020. The increase in selling, general and administrative expense during the nine months ended September 30, 2021 as compared to the nine months ended September 30, 2020 is due to higher staffing related costs, acquisition costs, recruiting costs and higher legal and environmental costs partially offset by lower travel related costs. Selling, general and administrative expense was 15.7% of net sales in the nine months ended September 30, 2021 and 17.8% in the nine months ended September 30,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approximately $10.1 million, an increase of $7.5 million when compared to the same period in 2020, 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216"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1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203"/>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37"/>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20"/>
                <w:szCs w:val="20"/>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20"/>
                <w:szCs w:val="20"/>
                <w:color w:val="auto"/>
              </w:rPr>
            </w:pPr>
          </w:p>
        </w:tc>
        <w:tc>
          <w:tcPr>
            <w:tcW w:w="1740" w:type="dxa"/>
            <w:vAlign w:val="bottom"/>
            <w:gridSpan w:val="2"/>
          </w:tcPr>
          <w:p>
            <w:pPr>
              <w:jc w:val="right"/>
              <w:ind w:right="104"/>
              <w:spacing w:after="0"/>
              <w:rPr>
                <w:sz w:val="20"/>
                <w:szCs w:val="20"/>
                <w:color w:val="auto"/>
              </w:rPr>
            </w:pPr>
            <w:r>
              <w:rPr>
                <w:rFonts w:ascii="Arial" w:cs="Arial" w:eastAsia="Arial" w:hAnsi="Arial"/>
                <w:sz w:val="16"/>
                <w:szCs w:val="16"/>
                <w:b w:val="1"/>
                <w:bCs w:val="1"/>
                <w:color w:val="auto"/>
              </w:rPr>
              <w:t>September 30, 2020</w:t>
            </w:r>
          </w:p>
        </w:tc>
      </w:tr>
      <w:tr>
        <w:trPr>
          <w:trHeight w:val="253"/>
        </w:trPr>
        <w:tc>
          <w:tcPr>
            <w:tcW w:w="1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100,827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97,737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267,398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c>
          <w:tcPr>
            <w:tcW w:w="1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258,132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67"/>
        </w:trPr>
        <w:tc>
          <w:tcPr>
            <w:tcW w:w="13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17,627</w:t>
            </w:r>
          </w:p>
        </w:tc>
        <w:tc>
          <w:tcPr>
            <w:tcW w:w="860" w:type="dxa"/>
            <w:vAlign w:val="bottom"/>
          </w:tcPr>
          <w:p>
            <w:pPr>
              <w:jc w:val="right"/>
              <w:spacing w:after="0"/>
              <w:rPr>
                <w:sz w:val="20"/>
                <w:szCs w:val="20"/>
                <w:color w:val="auto"/>
              </w:rPr>
            </w:pPr>
            <w:r>
              <w:rPr>
                <w:rFonts w:ascii="Arial" w:cs="Arial" w:eastAsia="Arial" w:hAnsi="Arial"/>
                <w:sz w:val="15"/>
                <w:szCs w:val="15"/>
                <w:color w:val="auto"/>
              </w:rPr>
              <w:t>17.5 %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20,849</w:t>
            </w:r>
          </w:p>
        </w:tc>
        <w:tc>
          <w:tcPr>
            <w:tcW w:w="800" w:type="dxa"/>
            <w:vAlign w:val="bottom"/>
          </w:tcPr>
          <w:p>
            <w:pPr>
              <w:jc w:val="right"/>
              <w:spacing w:after="0"/>
              <w:rPr>
                <w:sz w:val="20"/>
                <w:szCs w:val="20"/>
                <w:color w:val="auto"/>
              </w:rPr>
            </w:pPr>
            <w:r>
              <w:rPr>
                <w:rFonts w:ascii="Arial" w:cs="Arial" w:eastAsia="Arial" w:hAnsi="Arial"/>
                <w:sz w:val="15"/>
                <w:szCs w:val="15"/>
                <w:color w:val="auto"/>
              </w:rPr>
              <w:t>21.3 %</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3"/>
              <w:spacing w:after="0"/>
              <w:rPr>
                <w:sz w:val="20"/>
                <w:szCs w:val="20"/>
                <w:color w:val="auto"/>
              </w:rPr>
            </w:pPr>
            <w:r>
              <w:rPr>
                <w:rFonts w:ascii="Arial" w:cs="Arial" w:eastAsia="Arial" w:hAnsi="Arial"/>
                <w:sz w:val="15"/>
                <w:szCs w:val="15"/>
                <w:color w:val="auto"/>
              </w:rPr>
              <w:t>53,068</w:t>
            </w:r>
          </w:p>
        </w:tc>
        <w:tc>
          <w:tcPr>
            <w:tcW w:w="840" w:type="dxa"/>
            <w:vAlign w:val="bottom"/>
          </w:tcPr>
          <w:p>
            <w:pPr>
              <w:jc w:val="right"/>
              <w:spacing w:after="0"/>
              <w:rPr>
                <w:sz w:val="20"/>
                <w:szCs w:val="20"/>
                <w:color w:val="auto"/>
              </w:rPr>
            </w:pPr>
            <w:r>
              <w:rPr>
                <w:rFonts w:ascii="Arial" w:cs="Arial" w:eastAsia="Arial" w:hAnsi="Arial"/>
                <w:sz w:val="15"/>
                <w:szCs w:val="15"/>
                <w:color w:val="auto"/>
              </w:rPr>
              <w:t>19.8 %</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56,645</w:t>
            </w:r>
          </w:p>
        </w:tc>
        <w:tc>
          <w:tcPr>
            <w:tcW w:w="820" w:type="dxa"/>
            <w:vAlign w:val="bottom"/>
          </w:tcPr>
          <w:p>
            <w:pPr>
              <w:jc w:val="right"/>
              <w:spacing w:after="0"/>
              <w:rPr>
                <w:sz w:val="20"/>
                <w:szCs w:val="20"/>
                <w:color w:val="auto"/>
              </w:rPr>
            </w:pPr>
            <w:r>
              <w:rPr>
                <w:rFonts w:ascii="Arial" w:cs="Arial" w:eastAsia="Arial" w:hAnsi="Arial"/>
                <w:sz w:val="15"/>
                <w:szCs w:val="15"/>
                <w:color w:val="auto"/>
              </w:rPr>
              <w:t>21.9 %</w:t>
            </w:r>
          </w:p>
        </w:tc>
      </w:tr>
      <w:tr>
        <w:trPr>
          <w:trHeight w:val="273"/>
        </w:trPr>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9,017</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8,797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9.0 %</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24,840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26,605</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r>
      <w:tr>
        <w:trPr>
          <w:trHeight w:val="177"/>
        </w:trPr>
        <w:tc>
          <w:tcPr>
            <w:tcW w:w="1300" w:type="dxa"/>
            <w:vAlign w:val="bottom"/>
          </w:tcPr>
          <w:p>
            <w:pPr>
              <w:ind w:left="20"/>
              <w:spacing w:after="0" w:line="178" w:lineRule="exact"/>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5"/>
        </w:trPr>
        <w:tc>
          <w:tcPr>
            <w:tcW w:w="1300" w:type="dxa"/>
            <w:vAlign w:val="bottom"/>
          </w:tcPr>
          <w:p>
            <w:pPr>
              <w:ind w:left="20"/>
              <w:spacing w:after="0"/>
              <w:rPr>
                <w:sz w:val="20"/>
                <w:szCs w:val="20"/>
                <w:color w:val="auto"/>
              </w:rPr>
            </w:pPr>
            <w:r>
              <w:rPr>
                <w:rFonts w:ascii="Arial" w:cs="Arial" w:eastAsia="Arial" w:hAnsi="Arial"/>
                <w:sz w:val="16"/>
                <w:szCs w:val="16"/>
                <w:color w:val="auto"/>
              </w:rPr>
              <w:t>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4,232</w:t>
            </w:r>
          </w:p>
        </w:tc>
        <w:tc>
          <w:tcPr>
            <w:tcW w:w="860" w:type="dxa"/>
            <w:vAlign w:val="bottom"/>
          </w:tcPr>
          <w:p>
            <w:pPr>
              <w:jc w:val="right"/>
              <w:spacing w:after="0"/>
              <w:rPr>
                <w:sz w:val="20"/>
                <w:szCs w:val="20"/>
                <w:color w:val="auto"/>
              </w:rPr>
            </w:pPr>
            <w:r>
              <w:rPr>
                <w:rFonts w:ascii="Arial" w:cs="Arial" w:eastAsia="Arial" w:hAnsi="Arial"/>
                <w:sz w:val="15"/>
                <w:szCs w:val="15"/>
                <w:color w:val="auto"/>
              </w:rPr>
              <w:t>4.2 %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143"/>
              <w:spacing w:after="0"/>
              <w:rPr>
                <w:sz w:val="20"/>
                <w:szCs w:val="20"/>
                <w:color w:val="auto"/>
              </w:rPr>
            </w:pPr>
            <w:r>
              <w:rPr>
                <w:rFonts w:ascii="Arial" w:cs="Arial" w:eastAsia="Arial" w:hAnsi="Arial"/>
                <w:sz w:val="15"/>
                <w:szCs w:val="15"/>
                <w:color w:val="auto"/>
              </w:rPr>
              <w:t>7,674</w:t>
            </w:r>
          </w:p>
        </w:tc>
        <w:tc>
          <w:tcPr>
            <w:tcW w:w="800" w:type="dxa"/>
            <w:vAlign w:val="bottom"/>
          </w:tcPr>
          <w:p>
            <w:pPr>
              <w:jc w:val="right"/>
              <w:spacing w:after="0"/>
              <w:rPr>
                <w:sz w:val="20"/>
                <w:szCs w:val="20"/>
                <w:color w:val="auto"/>
              </w:rPr>
            </w:pPr>
            <w:r>
              <w:rPr>
                <w:rFonts w:ascii="Arial" w:cs="Arial" w:eastAsia="Arial" w:hAnsi="Arial"/>
                <w:sz w:val="15"/>
                <w:szCs w:val="15"/>
                <w:color w:val="auto"/>
              </w:rPr>
              <w:t>7.9 %</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3"/>
              <w:spacing w:after="0"/>
              <w:rPr>
                <w:sz w:val="20"/>
                <w:szCs w:val="20"/>
                <w:color w:val="auto"/>
              </w:rPr>
            </w:pPr>
            <w:r>
              <w:rPr>
                <w:rFonts w:ascii="Arial" w:cs="Arial" w:eastAsia="Arial" w:hAnsi="Arial"/>
                <w:sz w:val="15"/>
                <w:szCs w:val="15"/>
                <w:color w:val="auto"/>
              </w:rPr>
              <w:t>15,094</w:t>
            </w:r>
          </w:p>
        </w:tc>
        <w:tc>
          <w:tcPr>
            <w:tcW w:w="840" w:type="dxa"/>
            <w:vAlign w:val="bottom"/>
          </w:tcPr>
          <w:p>
            <w:pPr>
              <w:jc w:val="right"/>
              <w:spacing w:after="0"/>
              <w:rPr>
                <w:sz w:val="20"/>
                <w:szCs w:val="20"/>
                <w:color w:val="auto"/>
              </w:rPr>
            </w:pPr>
            <w:r>
              <w:rPr>
                <w:rFonts w:ascii="Arial" w:cs="Arial" w:eastAsia="Arial" w:hAnsi="Arial"/>
                <w:sz w:val="15"/>
                <w:szCs w:val="15"/>
                <w:color w:val="auto"/>
              </w:rPr>
              <w:t>5.6 %</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143"/>
              <w:spacing w:after="0"/>
              <w:rPr>
                <w:sz w:val="20"/>
                <w:szCs w:val="20"/>
                <w:color w:val="auto"/>
              </w:rPr>
            </w:pPr>
            <w:r>
              <w:rPr>
                <w:rFonts w:ascii="Arial" w:cs="Arial" w:eastAsia="Arial" w:hAnsi="Arial"/>
                <w:sz w:val="15"/>
                <w:szCs w:val="15"/>
                <w:color w:val="auto"/>
              </w:rPr>
              <w:t>16,906</w:t>
            </w:r>
          </w:p>
        </w:tc>
        <w:tc>
          <w:tcPr>
            <w:tcW w:w="820" w:type="dxa"/>
            <w:vAlign w:val="bottom"/>
          </w:tcPr>
          <w:p>
            <w:pPr>
              <w:jc w:val="right"/>
              <w:spacing w:after="0"/>
              <w:rPr>
                <w:sz w:val="20"/>
                <w:szCs w:val="20"/>
                <w:color w:val="auto"/>
              </w:rPr>
            </w:pPr>
            <w:r>
              <w:rPr>
                <w:rFonts w:ascii="Arial" w:cs="Arial" w:eastAsia="Arial" w:hAnsi="Arial"/>
                <w:sz w:val="15"/>
                <w:szCs w:val="15"/>
                <w:color w:val="auto"/>
              </w:rPr>
              <w:t>6.5 %</w:t>
            </w: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September 30, 2021 were approximately $100.8 million, an increase of $3.1 million, or 3.2%, compared to the same period in 2020. The net sales variance reflects an increase in sales at Sterno Products as we began to see a return of demand in the food service and hospitality industries during the current quarter. The increase in sales at Sterno Products quarter over quarter was offset by a decrease in sales at Rimports. During the prior year, Rimports saw strong sales growth at the onset of the COVID-19 pandemic since most resellers of Rimports products were not impacted by the retail store closures. Rimports continues to see strong consumer demand for their products at the retail level.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decreased from 21.3% for the three months ended September 30, 2020 to 17.5% for the same period ended September 30, 2021. The decrease in gross profit in the third quarter of 2021 as compared to the third quarter of 2020 was primarily attributable to an increase in reserves at Sterno Home as Sterno transitions away from certain product lines, and increased material and freight costs. These are driven by the strong demand driving metals and chemical inflation combined with higher freight due to disruptions in the global supply chain.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September 30, 2021 was approximately $9.0 million as compared to $8.8 million for the three months ended September 30, 2020, an increase of $0.2 million, reflecting restructuring charges at Sterno Home. Selling, general and administrative expense represented 8.9% of net sales for the three months ended September 30, 2021 and 9.0% for the three months ended September 30,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September 30, 2021 was approximately $4.2 million, a decrease of $3.4 million compared to the three months ended September 30, 2020 based on the factors noted above.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nine months ended September 30, 2021 were approximately $267.4 million, an increase of $9.3 million, or 3.6%, compared to the same period in 2020. The increase in net sales reflects an increase in sales at each of our product groups, Sterno Products, Rimports and Sterno Home as compared to the first nine months of 2020. Sterno Products began to see a return of demand in the food service and hospitality industries, while Rimports has continued to see strong consumer demand for their products at the retail level.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decreased from 21.9% for the nine months ended September 30, 2020 to 19.8% for the same period ended September 30, 2021. The decrease in gross profit in the nine months ended September 30, 2021 as compared to the nine months ended September 30, 2020 was primarily attributable to sales mix, additional inventory reserves recorded in 2021, increases in raw material costs and freight, and the continuing impact of absorbing overheads on the reduced sales volume at Sterno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nine months ended September 30, 2021 was approximately $24.8 million as compared to $26.6 million for the nine months ended September 30, 2020, a decrease of $1.8 million, reflecting lower salaries, commissions, and various cost savings initiatives implemented to address the effects of decreased demand from COVID-19. Selling, general and administrative expense represented 9.3% of net sales for the nine months ended September 30, 2021 and 10.3% for the nine months ended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nine months ended September 30, 2021 was approximately $15.1 million, a decrease of $1.8 million compared to the nine months ended September 30, 2020 based on the factors noted above.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2021, we had approximately $70.2 million of cash and cash equivalents on hand, an increase of $3.8 million as compared to the year ended December 31, 2020.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ind w:left="1180"/>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5"/>
                <w:szCs w:val="15"/>
                <w:color w:val="auto"/>
              </w:rPr>
              <w:t>147,148</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112,872</w:t>
            </w:r>
          </w:p>
        </w:tc>
      </w:tr>
    </w:tbl>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nine months ended September 30, 2021, cash flows provided by operating activities totaled approximately $147.1 million, which represents a $34.3 million increase compared to cash provided by operating activities of $112.9 million during the nine-month period ended September 30, 2020. Cash used in operating activities for working capital for the nine months ended September 30, 2021 was $14.7 million, as compared to cash provided by operating activities for working capital of $9.7 million for the nine months ended September 30, 2020. We typically have a higher usage of cash for working capital in the first half of the year as most of our companies will build up inventories after the fourth quarter. In the current year, several of our businesses had higher inventory levels than normal given longer lead times due to supply chain issues. In the prior year, the onset of the COVID-19 pandemic in March led our businesses to implement a variety of steps to conserve cash and increase liquidity given the uncertainty in the economy, resulting in a lower usage of cash for working capital. The increase in cash used in operating activities for working capital in 2021 is more typical of our liquidity usage, and also reflects the acquisition of Marucci Sports and BOA in the second and fourth quarter, respectively, of the prior year, and Lugano in the third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65" w:name="page66"/>
    <w:bookmarkEnd w:id="65"/>
    <w:p>
      <w:pPr>
        <w:jc w:val="both"/>
        <w:ind w:right="20"/>
        <w:spacing w:after="0" w:line="261" w:lineRule="auto"/>
        <w:rPr>
          <w:sz w:val="20"/>
          <w:szCs w:val="20"/>
          <w:color w:val="auto"/>
        </w:rPr>
      </w:pPr>
      <w:r>
        <w:rPr>
          <w:rFonts w:ascii="Arial" w:cs="Arial" w:eastAsia="Arial" w:hAnsi="Arial"/>
          <w:sz w:val="18"/>
          <w:szCs w:val="18"/>
          <w:color w:val="auto"/>
        </w:rPr>
        <w:t>quarter of the current year. We expect that Lugano will use cash to build inventory over the next twelve months to support its anticipated sales growth.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49"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investing activities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(202,429)</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(236,502)</w:t>
            </w:r>
          </w:p>
        </w:tc>
      </w:tr>
    </w:tbl>
    <w:p>
      <w:pPr>
        <w:spacing w:after="0" w:line="3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used in investing activities for the nine months ended September 30, 2021 totaled $202.4 million, compared to cash used in investing activities of $ 236.5 million in the same period of 2020. Cash flows from Liberty, which are reflected as discontinued operations, totaled $27.5 million in the current period and reflect the effect of the sale transaction. In the current year, our investing activities reflect the acquisition of Lugano for $267.9 million and an add-on acquisition at our Arnold subsidiary for $34.2 million, as well as the proceeds from the sale of our Liberty business. In the prior year, our investing activities reflect the acquisition of Marucci Sports in April 2020. Our spending on capital expenditures increased $ 8.8 million during the nine months ended September 30, 2021 as compared to the nine months ended September 30, 2020, with $ 28.0 million in capital expenditures in 2021 and $19.2 million in capital expenditures in 2020. The additional capital expenditures reflects our acquisitions of Marucci in the second quarter of 2020 and BOA in the fourth quarter of 2020. We expect capital expenditures for the full year of 2021 to be approximately $36 million to $40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303"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5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5"/>
                <w:szCs w:val="15"/>
                <w:b w:val="1"/>
                <w:bCs w:val="1"/>
                <w:color w:val="auto"/>
              </w:rPr>
              <w:t>Nine months ended</w:t>
            </w:r>
          </w:p>
        </w:tc>
      </w:tr>
      <w:tr>
        <w:trPr>
          <w:trHeight w:val="20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Pr>
          <w:p>
            <w:pPr>
              <w:spacing w:after="0"/>
              <w:rPr>
                <w:sz w:val="17"/>
                <w:szCs w:val="17"/>
                <w:color w:val="auto"/>
              </w:rPr>
            </w:pPr>
          </w:p>
        </w:tc>
        <w:tc>
          <w:tcPr>
            <w:tcW w:w="1780" w:type="dxa"/>
            <w:vAlign w:val="bottom"/>
          </w:tcPr>
          <w:p>
            <w:pPr>
              <w:jc w:val="right"/>
              <w:ind w:right="204"/>
              <w:spacing w:after="0"/>
              <w:rPr>
                <w:sz w:val="20"/>
                <w:szCs w:val="20"/>
                <w:color w:val="auto"/>
              </w:rPr>
            </w:pPr>
            <w:r>
              <w:rPr>
                <w:rFonts w:ascii="Arial" w:cs="Arial" w:eastAsia="Arial" w:hAnsi="Arial"/>
                <w:sz w:val="15"/>
                <w:szCs w:val="15"/>
                <w:b w:val="1"/>
                <w:bCs w:val="1"/>
                <w:color w:val="auto"/>
              </w:rPr>
              <w:t>September 30, 2020</w:t>
            </w:r>
          </w:p>
        </w:tc>
      </w:tr>
      <w:tr>
        <w:trPr>
          <w:trHeight w:val="196"/>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financing activities</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54,872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200,395</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used in financing activities totaled approximately $54.9 million during the nine months ended September 30, 2021 compared to cash flows provided by financing activities of $200.4 million during the nine months ended September 30, 2020. During the first quarter of 2021, we completed an offering of $1,000.0 million of our 2029 Senior Notes, and used the proceeds to pay down our 2018 Revolving Credit Facility and pay off the existing 2026 Senior Notes. Financing activities in both periods reflect the payment of our common and preferred share distributions. In the current year, we also paid a special common share distribution of $0.88 cents to our shareholders upon the reclassification of the Trust to a corporation for income tax purposes. In September 2021, we filed a prospectus supplement and entered into a Sales Agreement for an At The Market program pursuant to which we may sell common shares of the Trust. We received $18.5 million in net cash proceeds from the sale of Trust common shares under this program in the current year. During the nine months ended September 30, 2021, we made a distribution to the Allocation Member of $ 17.3 million related to the five-year holding event of our Liberty, Ergobaby and ACI business, while in the prior year, we made a distribution to the Allocation Member of $9.1 million related to the five-year Holding event for our Sterno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6" w:name="page67"/>
    <w:bookmarkEnd w:id="66"/>
    <w:p>
      <w:pPr>
        <w:jc w:val="both"/>
        <w:spacing w:after="0" w:line="254" w:lineRule="auto"/>
        <w:rPr>
          <w:sz w:val="20"/>
          <w:szCs w:val="20"/>
          <w:color w:val="auto"/>
        </w:rPr>
      </w:pPr>
      <w:r>
        <w:rPr>
          <w:rFonts w:ascii="Arial" w:cs="Arial" w:eastAsia="Arial" w:hAnsi="Arial"/>
          <w:sz w:val="18"/>
          <w:szCs w:val="18"/>
          <w:color w:val="auto"/>
        </w:rPr>
        <w:t>In August 2021, we completed a recapitalization at 5.11 whereby the Company entered into an amendment to the intercompany loan agreement with 5.11 (the "5.11 Loan Agreement"). The 5.11 Loan Agreement was amended to provide for additional term loan borrowings of $55.0 million to fund a distribution to shareholders. The Company owned 97.7% of the outstanding shares of 5.11 on the date of the distribution and received $53.7 million. The remaining amount of the distribution went to minority shareholders.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2021, BOA repurchased shares of its issued and outstanding common shares from its largest minority shareholder for a total payment of $ 48.0 million, which BOA financed by borrowing under their intercompany credit facility with the Company (the "BOA Credit Agreement"). The BOA Credit Agreement was amended to (i) provide for additional term loan borrowings of $38.0 million, and (ii) consent to the repurchase of the shares from the minority shareholder.</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2020, we amended the Arnold intercompany credit agreement to increase the revolving credit commitment available under the credit agreement, and to remove the requirement to meet the financial covenants through September 30, 2021. All of our subsidiaries were in compliance with the financial covenants included within their intercompany credit arrangements at September 30, 2021.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the following outstanding loans due from each of our businesses:</w:t>
      </w:r>
    </w:p>
    <w:p>
      <w:pPr>
        <w:spacing w:after="0" w:line="127"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80" w:type="dxa"/>
        <w:tblCellMar>
          <w:top w:w="0" w:type="dxa"/>
          <w:left w:w="0" w:type="dxa"/>
          <w:bottom w:w="0" w:type="dxa"/>
          <w:right w:w="0" w:type="dxa"/>
        </w:tblCellMar>
      </w:tblPr>
      <w:tr>
        <w:trPr>
          <w:trHeight w:val="225"/>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5.11</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179,931</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BOA</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133,745</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Ergobaby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24,326</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Lugano</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113,031</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Marucci</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40,750</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Velocity Outdoor</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101,990</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Advanced Circuits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86,012</w:t>
            </w:r>
          </w:p>
        </w:tc>
      </w:tr>
      <w:tr>
        <w:trPr>
          <w:trHeight w:val="213"/>
        </w:trPr>
        <w:tc>
          <w:tcPr>
            <w:tcW w:w="3240" w:type="dxa"/>
            <w:vAlign w:val="bottom"/>
          </w:tcPr>
          <w:p>
            <w:pPr>
              <w:spacing w:after="0"/>
              <w:rPr>
                <w:sz w:val="20"/>
                <w:szCs w:val="20"/>
                <w:color w:val="auto"/>
              </w:rPr>
            </w:pPr>
            <w:r>
              <w:rPr>
                <w:rFonts w:ascii="Arial" w:cs="Arial" w:eastAsia="Arial" w:hAnsi="Arial"/>
                <w:sz w:val="16"/>
                <w:szCs w:val="16"/>
                <w:color w:val="auto"/>
              </w:rPr>
              <w:t>Altor</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76,387</w:t>
            </w:r>
          </w:p>
        </w:tc>
      </w:tr>
      <w:tr>
        <w:trPr>
          <w:trHeight w:val="219"/>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Arnold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70,542</w:t>
            </w:r>
          </w:p>
        </w:tc>
      </w:tr>
      <w:tr>
        <w:trPr>
          <w:trHeight w:val="213"/>
        </w:trPr>
        <w:tc>
          <w:tcPr>
            <w:tcW w:w="3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Sterno</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207,917</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Total intercompany debt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1,034,631</w:t>
            </w:r>
          </w:p>
        </w:tc>
      </w:tr>
      <w:tr>
        <w:trPr>
          <w:trHeight w:val="209"/>
        </w:trPr>
        <w:tc>
          <w:tcPr>
            <w:tcW w:w="3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Corporate and eliminations</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(1,034,631)</w:t>
            </w:r>
          </w:p>
        </w:tc>
      </w:tr>
      <w:tr>
        <w:trPr>
          <w:trHeight w:val="238"/>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2021 Credit Facility and interest on our Senior Notes;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Facility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23, 2021, we entered into a Second Amended and Restated Credit Agreement to amend and restate the 2018 Credit Facility. The 2021 Credit Facility provides for revolving loans, swing line loans and letters of credit up to a maximum aggregate amount of $600 million and also permits the Company, prior to the applicable maturity date, to increase the revolving loan commitment and/or obtain term loans in an aggregate amount of up to $250 million, subject to certain restrictions and conditions. All amounts outstanding under the 2021 Revolving Credit Facility will become due on March 23, 2026, which is the maturity date of loans advanced under the Revolving Credit Facility.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provided for (i) revolving loans, swing line loans and letters of credit (the “2018 Revolving Credit Facility”) up to a maximum aggregate amount of $600 million, and (ii) a $ 500 million term loan (the “2018 Term Loan”). The 2018 Credit Facility also permitted the Company, prior to the applicable maturity date, to increase the revolving loan commitment and/or obtain term loans in an aggregate amount of up to $250 million, subject to certain restrictions and conditions. In 2019, we repaid the amounts due under the 2018 Term Loan. We used a portion of the proceeds from the issuance of the 2029 Notes offering to pay all amounts outstanding under the 2018 Revolving Credit Facility in March 2021.</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had $465.0 million in net availability under the 2021 Revolving Credit Facility at September 30, 2021. The outstanding borrowings under the 2021 Revolving Credit Facility include $1.0 million of outstanding letters of credit at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2021, we consummated the issuance and sale of $1,000 million aggregate principal amount of our 5.250% 2029 Notes offered pursuant to a private offering to qualified institutional buyers in accordance with Rule 144A under the Securities Act, and to non-U.S. persons under Regulation S under the Securities Act. The Notes were issued pursuant to an indenture, dated as of March 23, 2021 (the “Indenture”), between the Company and U.S. Bank National Association, as trustee. The Notes bear interest at the rate of 5.250% per annum and will mature on April 15, 2029. Interest on the Notes is payable in cash on April 15th and October 15th of each year. The 2029 Notes are general unsecured obligations of the Company and are not guaranteed by our subsidiaries.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proceeds from the sale of the 2029 Notes was used to repay debt outstanding under the 2018 Credit Facility in connection with entering into the 2021 Credit Facility, as described above, and to redeem our 8.000% Senior Notes due 2026 (the “2026 Notes”).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reflects required and actual financial ratios as of September 30, 2021 included as part of the affirmative covenants in our 2021 Credit Facility.</w:t>
      </w:r>
    </w:p>
    <w:p>
      <w:pPr>
        <w:spacing w:after="0" w:line="96"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48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68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20" w:type="dxa"/>
            <w:vAlign w:val="bottom"/>
          </w:tcPr>
          <w:p>
            <w:pPr>
              <w:jc w:val="right"/>
              <w:ind w:right="144"/>
              <w:spacing w:after="0"/>
              <w:rPr>
                <w:sz w:val="20"/>
                <w:szCs w:val="20"/>
                <w:color w:val="auto"/>
              </w:rPr>
            </w:pPr>
            <w:r>
              <w:rPr>
                <w:rFonts w:ascii="Arial" w:cs="Arial" w:eastAsia="Arial" w:hAnsi="Arial"/>
                <w:sz w:val="15"/>
                <w:szCs w:val="15"/>
                <w:b w:val="1"/>
                <w:bCs w:val="1"/>
                <w:color w:val="auto"/>
              </w:rPr>
              <w:t>Actual Ratio</w:t>
            </w:r>
          </w:p>
        </w:tc>
      </w:tr>
      <w:tr>
        <w:trPr>
          <w:trHeight w:val="92"/>
        </w:trPr>
        <w:tc>
          <w:tcPr>
            <w:tcW w:w="414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r>
      <w:tr>
        <w:trPr>
          <w:trHeight w:val="20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Fixed Charge Coverage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5.44:1.0</w:t>
            </w:r>
          </w:p>
        </w:tc>
      </w:tr>
      <w:tr>
        <w:trPr>
          <w:trHeight w:val="198"/>
        </w:trPr>
        <w:tc>
          <w:tcPr>
            <w:tcW w:w="4800" w:type="dxa"/>
            <w:vAlign w:val="bottom"/>
            <w:gridSpan w:val="2"/>
          </w:tcPr>
          <w:p>
            <w:pPr>
              <w:ind w:left="20"/>
              <w:spacing w:after="0"/>
              <w:rPr>
                <w:sz w:val="20"/>
                <w:szCs w:val="20"/>
                <w:color w:val="auto"/>
              </w:rPr>
            </w:pPr>
            <w:r>
              <w:rPr>
                <w:rFonts w:ascii="Arial" w:cs="Arial" w:eastAsia="Arial" w:hAnsi="Arial"/>
                <w:sz w:val="15"/>
                <w:szCs w:val="15"/>
                <w:color w:val="auto"/>
              </w:rPr>
              <w:t>Consolidated Senior Secured Leverage Ratio</w:t>
            </w:r>
          </w:p>
        </w:tc>
        <w:tc>
          <w:tcPr>
            <w:tcW w:w="368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20" w:type="dxa"/>
            <w:vAlign w:val="bottom"/>
          </w:tcPr>
          <w:p>
            <w:pPr>
              <w:jc w:val="right"/>
              <w:spacing w:after="0"/>
              <w:rPr>
                <w:sz w:val="20"/>
                <w:szCs w:val="20"/>
                <w:color w:val="auto"/>
              </w:rPr>
            </w:pPr>
            <w:r>
              <w:rPr>
                <w:rFonts w:ascii="Arial" w:cs="Arial" w:eastAsia="Arial" w:hAnsi="Arial"/>
                <w:sz w:val="15"/>
                <w:szCs w:val="15"/>
                <w:color w:val="auto"/>
              </w:rPr>
              <w:t>0.26:1.0</w:t>
            </w:r>
          </w:p>
        </w:tc>
      </w:tr>
      <w:tr>
        <w:trPr>
          <w:trHeight w:val="207"/>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Total Leverage Ratio</w:t>
            </w:r>
          </w:p>
        </w:tc>
        <w:tc>
          <w:tcPr>
            <w:tcW w:w="36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2.94:1.0</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Nine months ended September 30,</w:t>
            </w:r>
          </w:p>
        </w:tc>
        <w:tc>
          <w:tcPr>
            <w:tcW w:w="560" w:type="dxa"/>
            <w:vAlign w:val="bottom"/>
            <w:tcBorders>
              <w:bottom w:val="single" w:sz="8" w:color="auto"/>
            </w:tcBorders>
          </w:tcPr>
          <w:p>
            <w:pPr>
              <w:spacing w:after="0"/>
              <w:rPr>
                <w:sz w:val="17"/>
                <w:szCs w:val="17"/>
                <w:color w:val="auto"/>
              </w:rPr>
            </w:pPr>
          </w:p>
        </w:tc>
      </w:tr>
      <w:tr>
        <w:trPr>
          <w:trHeight w:val="200"/>
        </w:trPr>
        <w:tc>
          <w:tcPr>
            <w:tcW w:w="54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2020</w:t>
            </w:r>
          </w:p>
        </w:tc>
        <w:tc>
          <w:tcPr>
            <w:tcW w:w="560" w:type="dxa"/>
            <w:vAlign w:val="bottom"/>
            <w:tcBorders>
              <w:bottom w:val="single" w:sz="8" w:color="auto"/>
            </w:tcBorders>
          </w:tcPr>
          <w:p>
            <w:pPr>
              <w:spacing w:after="0"/>
              <w:rPr>
                <w:sz w:val="17"/>
                <w:szCs w:val="17"/>
                <w:color w:val="auto"/>
              </w:rPr>
            </w:pPr>
          </w:p>
        </w:tc>
      </w:tr>
      <w:tr>
        <w:trPr>
          <w:trHeight w:val="196"/>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1140" w:type="dxa"/>
            <w:vAlign w:val="bottom"/>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4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693</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1140" w:type="dxa"/>
            <w:vAlign w:val="bottom"/>
          </w:tcPr>
          <w:p>
            <w:pPr>
              <w:spacing w:after="0"/>
              <w:rPr>
                <w:sz w:val="17"/>
                <w:szCs w:val="17"/>
                <w:color w:val="auto"/>
              </w:rPr>
            </w:pPr>
          </w:p>
        </w:tc>
        <w:tc>
          <w:tcPr>
            <w:tcW w:w="620" w:type="dxa"/>
            <w:vAlign w:val="bottom"/>
          </w:tcPr>
          <w:p>
            <w:pPr>
              <w:jc w:val="right"/>
              <w:ind w:right="4"/>
              <w:spacing w:after="0"/>
              <w:rPr>
                <w:sz w:val="20"/>
                <w:szCs w:val="20"/>
                <w:color w:val="auto"/>
              </w:rPr>
            </w:pPr>
            <w:r>
              <w:rPr>
                <w:rFonts w:ascii="Arial" w:cs="Arial" w:eastAsia="Arial" w:hAnsi="Arial"/>
                <w:sz w:val="15"/>
                <w:szCs w:val="15"/>
                <w:color w:val="auto"/>
              </w:rPr>
              <w:t>39,417</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Arial" w:cs="Arial" w:eastAsia="Arial" w:hAnsi="Arial"/>
                <w:sz w:val="15"/>
                <w:szCs w:val="15"/>
                <w:color w:val="auto"/>
              </w:rPr>
              <w:t>18,400</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728</w:t>
            </w:r>
          </w:p>
        </w:tc>
      </w:tr>
      <w:tr>
        <w:trPr>
          <w:trHeight w:val="198"/>
        </w:trPr>
        <w:tc>
          <w:tcPr>
            <w:tcW w:w="5420" w:type="dxa"/>
            <w:vAlign w:val="bottom"/>
          </w:tcPr>
          <w:p>
            <w:pPr>
              <w:ind w:left="20"/>
              <w:spacing w:after="0"/>
              <w:rPr>
                <w:sz w:val="20"/>
                <w:szCs w:val="20"/>
                <w:color w:val="auto"/>
              </w:rPr>
            </w:pPr>
            <w:r>
              <w:rPr>
                <w:rFonts w:ascii="Arial" w:cs="Arial" w:eastAsia="Arial" w:hAnsi="Arial"/>
                <w:sz w:val="15"/>
                <w:szCs w:val="15"/>
                <w:color w:val="auto"/>
              </w:rPr>
              <w:t>Amortization of bond premium</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interest expense</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w:t>
            </w:r>
          </w:p>
        </w:tc>
      </w:tr>
      <w:tr>
        <w:trPr>
          <w:trHeight w:val="19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income</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r>
      <w:tr>
        <w:trPr>
          <w:trHeight w:val="225"/>
        </w:trPr>
        <w:tc>
          <w:tcPr>
            <w:tcW w:w="5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Interest expense, net</w:t>
            </w:r>
          </w:p>
        </w:tc>
        <w:tc>
          <w:tcPr>
            <w:tcW w:w="1140" w:type="dxa"/>
            <w:vAlign w:val="bottom"/>
            <w:tcBorders>
              <w:bottom w:val="single" w:sz="8" w:color="auto"/>
            </w:tcBorders>
            <w:shd w:val="clear" w:color="auto" w:fill="CCEEFF"/>
          </w:tcPr>
          <w:p>
            <w:pPr>
              <w:jc w:val="right"/>
              <w:ind w:right="96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42,607</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4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19,771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following table provides the effective interest rate of the Company’s outstanding long-term debt at September 30,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December 31,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0" w:type="dxa"/>
            <w:vAlign w:val="bottom"/>
          </w:tcPr>
          <w:p>
            <w:pPr>
              <w:spacing w:after="0"/>
              <w:rPr>
                <w:sz w:val="17"/>
                <w:szCs w:val="17"/>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 2021</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880" w:type="dxa"/>
            <w:vAlign w:val="bottom"/>
            <w:tcBorders>
              <w:bottom w:val="single" w:sz="8" w:color="auto"/>
            </w:tcBorders>
          </w:tcPr>
          <w:p>
            <w:pPr>
              <w:spacing w:after="0"/>
              <w:rPr>
                <w:sz w:val="17"/>
                <w:szCs w:val="17"/>
                <w:color w:val="auto"/>
              </w:rPr>
            </w:pPr>
          </w:p>
        </w:tc>
      </w:tr>
      <w:tr>
        <w:trPr>
          <w:trHeight w:val="187"/>
        </w:trPr>
        <w:tc>
          <w:tcPr>
            <w:tcW w:w="46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r>
      <w:tr>
        <w:trPr>
          <w:trHeight w:val="209"/>
        </w:trPr>
        <w:tc>
          <w:tcPr>
            <w:tcW w:w="4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Senior Notes </w:t>
            </w:r>
            <w:r>
              <w:rPr>
                <w:rFonts w:ascii="Arial" w:cs="Arial" w:eastAsia="Arial" w:hAnsi="Arial"/>
                <w:sz w:val="23"/>
                <w:szCs w:val="23"/>
                <w:color w:val="auto"/>
                <w:vertAlign w:val="superscript"/>
              </w:rPr>
              <w:t>(1)</w:t>
            </w:r>
          </w:p>
        </w:tc>
        <w:tc>
          <w:tcPr>
            <w:tcW w:w="2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1,000,000</w:t>
            </w:r>
          </w:p>
        </w:tc>
        <w:tc>
          <w:tcPr>
            <w:tcW w:w="21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600,000</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000" w:type="dxa"/>
            <w:vAlign w:val="bottom"/>
          </w:tcPr>
          <w:p>
            <w:pPr>
              <w:jc w:val="center"/>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134,000</w:t>
            </w:r>
          </w:p>
        </w:tc>
        <w:tc>
          <w:tcPr>
            <w:tcW w:w="2120" w:type="dxa"/>
            <w:vAlign w:val="bottom"/>
            <w:gridSpan w:val="2"/>
          </w:tcPr>
          <w:p>
            <w:pPr>
              <w:jc w:val="center"/>
              <w:ind w:left="1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307,000</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premiums and debt issuance costs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(11,279)</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6"/>
        </w:trPr>
        <w:tc>
          <w:tcPr>
            <w:tcW w:w="4600" w:type="dxa"/>
            <w:vAlign w:val="bottom"/>
          </w:tcPr>
          <w:p>
            <w:pPr>
              <w:ind w:left="360"/>
              <w:spacing w:after="0"/>
              <w:rPr>
                <w:sz w:val="20"/>
                <w:szCs w:val="20"/>
                <w:color w:val="auto"/>
              </w:rPr>
            </w:pPr>
            <w:r>
              <w:rPr>
                <w:rFonts w:ascii="Arial" w:cs="Arial" w:eastAsia="Arial" w:hAnsi="Arial"/>
                <w:sz w:val="16"/>
                <w:szCs w:val="16"/>
                <w:color w:val="auto"/>
              </w:rPr>
              <w:t>Long-term debt</w:t>
            </w: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1,122,721</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899,460</w:t>
            </w:r>
          </w:p>
        </w:tc>
      </w:tr>
      <w:tr>
        <w:trPr>
          <w:trHeight w:val="24"/>
        </w:trPr>
        <w:tc>
          <w:tcPr>
            <w:tcW w:w="4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ind w:firstLine="8"/>
        <w:spacing w:after="0" w:line="234" w:lineRule="auto"/>
        <w:tabs>
          <w:tab w:leader="none" w:pos="206" w:val="left"/>
        </w:tabs>
        <w:numPr>
          <w:ilvl w:val="0"/>
          <w:numId w:val="28"/>
        </w:numPr>
        <w:rPr>
          <w:rFonts w:ascii="Arial" w:cs="Arial" w:eastAsia="Arial" w:hAnsi="Arial"/>
          <w:sz w:val="23"/>
          <w:szCs w:val="23"/>
          <w:b w:val="1"/>
          <w:bCs w:val="1"/>
          <w:color w:val="auto"/>
          <w:vertAlign w:val="superscript"/>
        </w:rPr>
      </w:pPr>
      <w:r>
        <w:rPr>
          <w:rFonts w:ascii="Arial" w:cs="Arial" w:eastAsia="Arial" w:hAnsi="Arial"/>
          <w:sz w:val="18"/>
          <w:szCs w:val="18"/>
          <w:color w:val="auto"/>
        </w:rPr>
        <w:t>On March 23, 2021, we issued $1,000 million in 5.250% Senior Notes, and used a portion of the proceeds to repay our 8.000% Senior Notes. The 8.000% Senior Notes were redeemed on April 1, 2021, and we paid interest on these through the date of redemption. The effective interest rate for the Senior Notes for the nine months ended September 30, 2021 reflects the interest rate for both the 5.250% and 8.000% Senior Notes.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 items of other income or expense that are material to a subsidiary and non-recurring in nature.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net income (loss)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businesses, provides additional insight into our operating results and provides a measure for evaluating targeted businesses for acquisition.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70" w:name="page71"/>
    <w:bookmarkEnd w:id="70"/>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989330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54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20" w:type="dxa"/>
            <w:vAlign w:val="bottom"/>
            <w:tcBorders>
              <w:top w:val="single" w:sz="8" w:color="auto"/>
            </w:tcBorders>
            <w:vMerge w:val="restart"/>
          </w:tcPr>
          <w:p>
            <w:pPr>
              <w:ind w:left="1700"/>
              <w:spacing w:after="0"/>
              <w:rPr>
                <w:sz w:val="20"/>
                <w:szCs w:val="20"/>
                <w:color w:val="auto"/>
              </w:rPr>
            </w:pPr>
            <w:r>
              <w:rPr>
                <w:rFonts w:ascii="Arial" w:cs="Arial" w:eastAsia="Arial" w:hAnsi="Arial"/>
                <w:sz w:val="14"/>
                <w:szCs w:val="14"/>
                <w:b w:val="1"/>
                <w:bCs w:val="1"/>
                <w:color w:val="auto"/>
              </w:rPr>
              <w:t>Corporate</w:t>
            </w:r>
          </w:p>
        </w:tc>
        <w:tc>
          <w:tcPr>
            <w:tcW w:w="62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rPr>
              <w:t>5.11</w:t>
            </w:r>
          </w:p>
        </w:tc>
        <w:tc>
          <w:tcPr>
            <w:tcW w:w="224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BOA   Ergobaby  Lugano</w:t>
            </w:r>
          </w:p>
        </w:tc>
        <w:tc>
          <w:tcPr>
            <w:tcW w:w="8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Marucci</w:t>
            </w:r>
          </w:p>
        </w:tc>
        <w:tc>
          <w:tcPr>
            <w:tcW w:w="14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Velocity</w:t>
            </w:r>
          </w:p>
        </w:tc>
        <w:tc>
          <w:tcPr>
            <w:tcW w:w="74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Altor</w:t>
            </w:r>
          </w:p>
        </w:tc>
        <w:tc>
          <w:tcPr>
            <w:tcW w:w="780" w:type="dxa"/>
            <w:vAlign w:val="bottom"/>
            <w:tcBorders>
              <w:top w:val="single" w:sz="8" w:color="auto"/>
            </w:tcBorders>
            <w:vMerge w:val="restart"/>
          </w:tcPr>
          <w:p>
            <w:pPr>
              <w:ind w:left="180"/>
              <w:spacing w:after="0"/>
              <w:rPr>
                <w:sz w:val="20"/>
                <w:szCs w:val="20"/>
                <w:color w:val="auto"/>
              </w:rPr>
            </w:pPr>
            <w:r>
              <w:rPr>
                <w:rFonts w:ascii="Arial" w:cs="Arial" w:eastAsia="Arial" w:hAnsi="Arial"/>
                <w:sz w:val="14"/>
                <w:szCs w:val="14"/>
                <w:b w:val="1"/>
                <w:bCs w:val="1"/>
                <w:color w:val="auto"/>
              </w:rPr>
              <w:t>Arnold</w:t>
            </w:r>
          </w:p>
        </w:tc>
        <w:tc>
          <w:tcPr>
            <w:tcW w:w="188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Sterno   Consolidated</w:t>
            </w:r>
          </w:p>
        </w:tc>
        <w:tc>
          <w:tcPr>
            <w:tcW w:w="0" w:type="dxa"/>
            <w:vAlign w:val="bottom"/>
          </w:tcPr>
          <w:p>
            <w:pPr>
              <w:spacing w:after="0"/>
              <w:rPr>
                <w:sz w:val="1"/>
                <w:szCs w:val="1"/>
                <w:color w:val="auto"/>
              </w:rPr>
            </w:pPr>
          </w:p>
        </w:tc>
      </w:tr>
      <w:tr>
        <w:trPr>
          <w:trHeight w:val="175"/>
        </w:trPr>
        <w:tc>
          <w:tcPr>
            <w:tcW w:w="252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Sports</w:t>
            </w:r>
          </w:p>
        </w:tc>
        <w:tc>
          <w:tcPr>
            <w:tcW w:w="1440" w:type="dxa"/>
            <w:vAlign w:val="bottom"/>
          </w:tcPr>
          <w:p>
            <w:pPr>
              <w:ind w:left="200"/>
              <w:spacing w:after="0"/>
              <w:rPr>
                <w:sz w:val="20"/>
                <w:szCs w:val="20"/>
                <w:color w:val="auto"/>
              </w:rPr>
            </w:pPr>
            <w:r>
              <w:rPr>
                <w:rFonts w:ascii="Arial" w:cs="Arial" w:eastAsia="Arial" w:hAnsi="Arial"/>
                <w:sz w:val="14"/>
                <w:szCs w:val="14"/>
                <w:b w:val="1"/>
                <w:bCs w:val="1"/>
                <w:color w:val="auto"/>
              </w:rPr>
              <w:t>Outdoor  ACI</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sectPr>
      </w:pPr>
    </w:p>
    <w:p>
      <w:pPr>
        <w:spacing w:after="0"/>
        <w:tabs>
          <w:tab w:leader="none" w:pos="1520" w:val="left"/>
        </w:tabs>
        <w:rPr>
          <w:sz w:val="20"/>
          <w:szCs w:val="20"/>
          <w:color w:val="auto"/>
        </w:rPr>
      </w:pPr>
      <w:r>
        <w:rPr>
          <w:rFonts w:ascii="Arial" w:cs="Arial" w:eastAsia="Arial" w:hAnsi="Arial"/>
          <w:sz w:val="15"/>
          <w:szCs w:val="15"/>
          <w:b w:val="1"/>
          <w:bCs w:val="1"/>
          <w:color w:val="auto"/>
        </w:rPr>
        <w:t xml:space="preserve">ome </w:t>
      </w:r>
      <w:r>
        <w:rPr>
          <w:rFonts w:ascii="Arial" w:cs="Arial" w:eastAsia="Arial" w:hAnsi="Arial"/>
          <w:sz w:val="19"/>
          <w:szCs w:val="19"/>
          <w:b w:val="1"/>
          <w:bCs w:val="1"/>
          <w:color w:val="auto"/>
          <w:vertAlign w:val="superscript"/>
        </w:rPr>
        <w:t>(1)</w:t>
      </w:r>
      <w:r>
        <w:rPr>
          <w:sz w:val="20"/>
          <w:szCs w:val="20"/>
          <w:color w:val="auto"/>
        </w:rPr>
        <w:tab/>
      </w:r>
      <w:r>
        <w:rPr>
          <w:rFonts w:ascii="Arial" w:cs="Arial" w:eastAsia="Arial" w:hAnsi="Arial"/>
          <w:sz w:val="14"/>
          <w:szCs w:val="14"/>
          <w:color w:val="auto"/>
        </w:rPr>
        <w:t>$</w:t>
      </w:r>
    </w:p>
    <w:p>
      <w:pPr>
        <w:spacing w:after="0"/>
        <w:rPr>
          <w:sz w:val="20"/>
          <w:szCs w:val="20"/>
          <w:color w:val="auto"/>
        </w:rPr>
      </w:pPr>
      <w:r>
        <w:rPr>
          <w:rFonts w:ascii="Arial" w:cs="Arial" w:eastAsia="Arial" w:hAnsi="Arial"/>
          <w:sz w:val="15"/>
          <w:szCs w:val="15"/>
          <w:color w:val="auto"/>
        </w:rPr>
        <w:t>d for: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ision for income taxes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est expense, net</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company interest</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debt extinguishment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eciation and amortization</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on sale of business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 (income) expense</w:t>
      </w:r>
    </w:p>
    <w:p>
      <w:pPr>
        <w:spacing w:after="0" w:line="30" w:lineRule="exact"/>
        <w:rPr>
          <w:sz w:val="20"/>
          <w:szCs w:val="20"/>
          <w:color w:val="auto"/>
        </w:rPr>
      </w:pPr>
    </w:p>
    <w:p>
      <w:pPr>
        <w:ind w:right="220" w:firstLine="33"/>
        <w:spacing w:after="0" w:line="231" w:lineRule="auto"/>
        <w:rPr>
          <w:sz w:val="20"/>
          <w:szCs w:val="20"/>
          <w:color w:val="auto"/>
        </w:rPr>
      </w:pPr>
      <w:r>
        <w:rPr>
          <w:rFonts w:ascii="Arial" w:cs="Arial" w:eastAsia="Arial" w:hAnsi="Arial"/>
          <w:sz w:val="15"/>
          <w:szCs w:val="15"/>
          <w:color w:val="auto"/>
        </w:rPr>
        <w:t>ontrolling shareholder compensation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isition expenses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ration services fee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r</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agement fees</w:t>
      </w:r>
    </w:p>
    <w:p>
      <w:pPr>
        <w:spacing w:after="0" w:line="39" w:lineRule="exact"/>
        <w:rPr>
          <w:sz w:val="20"/>
          <w:szCs w:val="20"/>
          <w:color w:val="auto"/>
        </w:rPr>
      </w:pPr>
    </w:p>
    <w:p>
      <w:pPr>
        <w:ind w:left="40"/>
        <w:spacing w:after="0"/>
        <w:tabs>
          <w:tab w:leader="none" w:pos="1520" w:val="left"/>
        </w:tabs>
        <w:rPr>
          <w:sz w:val="20"/>
          <w:szCs w:val="20"/>
          <w:color w:val="auto"/>
        </w:rPr>
      </w:pPr>
      <w:r>
        <w:rPr>
          <w:rFonts w:ascii="Arial" w:cs="Arial" w:eastAsia="Arial" w:hAnsi="Arial"/>
          <w:sz w:val="15"/>
          <w:szCs w:val="15"/>
          <w:b w:val="1"/>
          <w:bCs w:val="1"/>
          <w:i w:val="1"/>
          <w:iCs w:val="1"/>
          <w:color w:val="auto"/>
        </w:rPr>
        <w:t>d EBITDA</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8,028$</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14,318</w:t>
            </w:r>
          </w:p>
        </w:tc>
        <w:tc>
          <w:tcPr>
            <w:tcW w:w="8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16,908$</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3,071$</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681$</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9,485$</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19,157$</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10,366$</w:t>
            </w:r>
          </w:p>
        </w:tc>
        <w:tc>
          <w:tcPr>
            <w:tcW w:w="1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5,892$</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3,839$</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80" w:type="dxa"/>
            <w:vAlign w:val="bottom"/>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93,236</w:t>
            </w:r>
          </w:p>
        </w:tc>
      </w:tr>
      <w:tr>
        <w:trPr>
          <w:trHeight w:val="405"/>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4,857</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2,165</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1,357</w:t>
            </w:r>
          </w:p>
        </w:tc>
        <w:tc>
          <w:tcPr>
            <w:tcW w:w="8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2,920</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5,381</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2,547</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2,062</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24,662</w:t>
            </w:r>
          </w:p>
        </w:tc>
      </w:tr>
      <w:tr>
        <w:trPr>
          <w:trHeight w:val="202"/>
        </w:trPr>
        <w:tc>
          <w:tcPr>
            <w:tcW w:w="720" w:type="dxa"/>
            <w:vAlign w:val="bottom"/>
          </w:tcPr>
          <w:p>
            <w:pPr>
              <w:jc w:val="right"/>
              <w:spacing w:after="0"/>
              <w:rPr>
                <w:sz w:val="20"/>
                <w:szCs w:val="20"/>
                <w:color w:val="auto"/>
              </w:rPr>
            </w:pPr>
            <w:r>
              <w:rPr>
                <w:rFonts w:ascii="Arial" w:cs="Arial" w:eastAsia="Arial" w:hAnsi="Arial"/>
                <w:sz w:val="14"/>
                <w:szCs w:val="14"/>
                <w:color w:val="auto"/>
              </w:rPr>
              <w:t>42,464</w:t>
            </w:r>
          </w:p>
        </w:tc>
        <w:tc>
          <w:tcPr>
            <w:tcW w:w="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42,607</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(53,234)</w:t>
            </w:r>
          </w:p>
        </w:tc>
        <w:tc>
          <w:tcPr>
            <w:tcW w:w="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8,743</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6,320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1,514</w:t>
            </w:r>
          </w:p>
        </w:tc>
        <w:tc>
          <w:tcPr>
            <w:tcW w:w="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1,890</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5,586</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5,484</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5,075</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4,128</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13,946</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33,305</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33,305</w:t>
            </w:r>
          </w:p>
        </w:tc>
      </w:tr>
      <w:tr>
        <w:trPr>
          <w:trHeight w:val="20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16,762</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15,033</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6,377</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6,377</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9,489</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9,022</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5,822</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16,313</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87,565</w:t>
            </w:r>
          </w:p>
        </w:tc>
      </w:tr>
      <w:tr>
        <w:trPr>
          <w:trHeight w:val="184"/>
        </w:trPr>
        <w:tc>
          <w:tcPr>
            <w:tcW w:w="720" w:type="dxa"/>
            <w:vAlign w:val="bottom"/>
          </w:tcPr>
          <w:p>
            <w:pPr>
              <w:jc w:val="right"/>
              <w:spacing w:after="0"/>
              <w:rPr>
                <w:sz w:val="20"/>
                <w:szCs w:val="20"/>
                <w:color w:val="auto"/>
              </w:rPr>
            </w:pPr>
            <w:r>
              <w:rPr>
                <w:rFonts w:ascii="Arial" w:cs="Arial" w:eastAsia="Arial" w:hAnsi="Arial"/>
                <w:sz w:val="14"/>
                <w:szCs w:val="14"/>
                <w:color w:val="auto"/>
              </w:rPr>
              <w:t>31,205</w:t>
            </w:r>
          </w:p>
        </w:tc>
        <w:tc>
          <w:tcPr>
            <w:tcW w:w="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44,688</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40,426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12,319</w:t>
            </w:r>
          </w:p>
        </w:tc>
        <w:tc>
          <w:tcPr>
            <w:tcW w:w="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1,603</w:t>
            </w:r>
          </w:p>
        </w:tc>
        <w:tc>
          <w:tcPr>
            <w:tcW w:w="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20,677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39,738</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20,055</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22,856</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15,856</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31,952</w:t>
            </w:r>
          </w:p>
        </w:tc>
        <w:tc>
          <w:tcPr>
            <w:tcW w:w="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281,375</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(72,745)</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(72,745)</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881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(883)</w:t>
            </w:r>
          </w:p>
        </w:tc>
        <w:tc>
          <w:tcPr>
            <w:tcW w:w="8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1,906</w:t>
            </w:r>
          </w:p>
        </w:tc>
      </w:tr>
      <w:tr>
        <w:trPr>
          <w:trHeight w:val="351"/>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1,926</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1,655</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1,241</w:t>
            </w:r>
          </w:p>
        </w:tc>
        <w:tc>
          <w:tcPr>
            <w:tcW w:w="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826</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770</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913</w:t>
            </w:r>
          </w:p>
        </w:tc>
        <w:tc>
          <w:tcPr>
            <w:tcW w:w="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8,496</w:t>
            </w:r>
          </w:p>
        </w:tc>
      </w:tr>
      <w:tr>
        <w:trPr>
          <w:trHeight w:val="203"/>
        </w:trPr>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1,827</w:t>
            </w: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310</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2,176</w:t>
            </w:r>
          </w:p>
        </w:tc>
      </w:tr>
      <w:tr>
        <w:trPr>
          <w:trHeight w:val="203"/>
        </w:trPr>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3,300</w:t>
            </w:r>
          </w:p>
        </w:tc>
        <w:tc>
          <w:tcPr>
            <w:tcW w:w="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4,300</w:t>
            </w:r>
          </w:p>
        </w:tc>
      </w:tr>
      <w:tr>
        <w:trPr>
          <w:trHeight w:val="202"/>
        </w:trPr>
        <w:tc>
          <w:tcPr>
            <w:tcW w:w="720" w:type="dxa"/>
            <w:vAlign w:val="bottom"/>
          </w:tcPr>
          <w:p>
            <w:pPr>
              <w:jc w:val="right"/>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(2,300)</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0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30,133</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34,504</w:t>
            </w:r>
          </w:p>
        </w:tc>
      </w:tr>
      <w:tr>
        <w:trPr>
          <w:trHeight w:val="18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(10,569)$</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47,335$</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46,321$</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13,935$</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3,510$</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23,759$</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41,201$</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20,925$</w:t>
            </w: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23,790$</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16,506$</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32,690$</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259,403</w:t>
            </w:r>
          </w:p>
        </w:tc>
      </w:tr>
      <w:tr>
        <w:trPr>
          <w:trHeight w:val="21"/>
        </w:trPr>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-1928495</wp:posOffset>
            </wp:positionV>
            <wp:extent cx="699516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-1671320</wp:posOffset>
            </wp:positionV>
            <wp:extent cx="699516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-1414145</wp:posOffset>
            </wp:positionV>
            <wp:extent cx="699516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-1156970</wp:posOffset>
            </wp:positionV>
            <wp:extent cx="699516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-899795</wp:posOffset>
            </wp:positionV>
            <wp:extent cx="699516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22288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-548005</wp:posOffset>
            </wp:positionV>
            <wp:extent cx="699516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-1167765</wp:posOffset>
            </wp:positionH>
            <wp:positionV relativeFrom="paragraph">
              <wp:posOffset>-290830</wp:posOffset>
            </wp:positionV>
            <wp:extent cx="699516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120"/>
            <w:col w:w="9180"/>
          </w:cols>
          <w:pgMar w:left="220" w:top="1440" w:right="659" w:bottom="1440" w:gutter="0" w:footer="0" w:header="0"/>
          <w:type w:val="continuous"/>
        </w:sectPr>
      </w:pPr>
    </w:p>
    <w:p>
      <w:pPr>
        <w:spacing w:after="0" w:line="342" w:lineRule="exact"/>
        <w:rPr>
          <w:sz w:val="20"/>
          <w:szCs w:val="20"/>
          <w:color w:val="auto"/>
        </w:rPr>
      </w:pPr>
    </w:p>
    <w:p>
      <w:pPr>
        <w:ind w:left="280" w:hanging="172"/>
        <w:spacing w:after="0"/>
        <w:tabs>
          <w:tab w:leader="none" w:pos="280" w:val="left"/>
        </w:tabs>
        <w:numPr>
          <w:ilvl w:val="0"/>
          <w:numId w:val="29"/>
        </w:numPr>
        <w:rPr>
          <w:rFonts w:ascii="Arial" w:cs="Arial" w:eastAsia="Arial" w:hAnsi="Arial"/>
          <w:sz w:val="21"/>
          <w:szCs w:val="21"/>
          <w:b w:val="1"/>
          <w:bCs w:val="1"/>
          <w:color w:val="auto"/>
          <w:vertAlign w:val="superscript"/>
        </w:rPr>
      </w:pPr>
      <w:r>
        <w:rPr>
          <w:rFonts w:ascii="Arial" w:cs="Arial" w:eastAsia="Arial" w:hAnsi="Arial"/>
          <w:sz w:val="16"/>
          <w:szCs w:val="16"/>
          <w:color w:val="auto"/>
        </w:rPr>
        <w:t>Net income does not include income from discontinued operations for the nine months ended September 30, 2021.</w:t>
      </w: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00" w:lineRule="exact"/>
        <w:rPr>
          <w:rFonts w:ascii="Arial" w:cs="Arial" w:eastAsia="Arial" w:hAnsi="Arial"/>
          <w:sz w:val="21"/>
          <w:szCs w:val="21"/>
          <w:b w:val="1"/>
          <w:bCs w:val="1"/>
          <w:color w:val="auto"/>
          <w:vertAlign w:val="superscript"/>
        </w:rPr>
      </w:pPr>
    </w:p>
    <w:p>
      <w:pPr>
        <w:spacing w:after="0" w:line="211" w:lineRule="exact"/>
        <w:rPr>
          <w:rFonts w:ascii="Arial" w:cs="Arial" w:eastAsia="Arial" w:hAnsi="Arial"/>
          <w:sz w:val="21"/>
          <w:szCs w:val="21"/>
          <w:b w:val="1"/>
          <w:bCs w:val="1"/>
          <w:color w:val="auto"/>
          <w:vertAlign w:val="superscript"/>
        </w:rPr>
      </w:pPr>
    </w:p>
    <w:p>
      <w:pPr>
        <w:ind w:left="5640"/>
        <w:spacing w:after="0"/>
        <w:rPr>
          <w:rFonts w:ascii="Arial" w:cs="Arial" w:eastAsia="Arial" w:hAnsi="Arial"/>
          <w:sz w:val="21"/>
          <w:szCs w:val="21"/>
          <w:b w:val="1"/>
          <w:bCs w:val="1"/>
          <w:color w:val="auto"/>
          <w:vertAlign w:val="superscript"/>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220" w:top="1440" w:right="659" w:bottom="1440" w:gutter="0" w:footer="0" w:header="0"/>
          <w:type w:val="continuous"/>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139700</wp:posOffset>
            </wp:positionH>
            <wp:positionV relativeFrom="page">
              <wp:posOffset>1195070</wp:posOffset>
            </wp:positionV>
            <wp:extent cx="65836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520"/>
        <w:spacing w:after="0"/>
        <w:rPr>
          <w:sz w:val="20"/>
          <w:szCs w:val="20"/>
          <w:color w:val="auto"/>
        </w:rPr>
      </w:pPr>
      <w:r>
        <w:rPr>
          <w:rFonts w:ascii="Arial" w:cs="Arial" w:eastAsia="Arial" w:hAnsi="Arial"/>
          <w:sz w:val="18"/>
          <w:szCs w:val="18"/>
          <w:b w:val="1"/>
          <w:bCs w:val="1"/>
          <w:color w:val="auto"/>
        </w:rPr>
        <w:t>Adjusted EBITDA</w:t>
      </w:r>
    </w:p>
    <w:p>
      <w:pPr>
        <w:spacing w:after="0" w:line="32" w:lineRule="exact"/>
        <w:rPr>
          <w:sz w:val="20"/>
          <w:szCs w:val="20"/>
          <w:color w:val="auto"/>
        </w:rPr>
      </w:pPr>
    </w:p>
    <w:p>
      <w:pPr>
        <w:jc w:val="center"/>
        <w:ind w:right="1520"/>
        <w:spacing w:after="0"/>
        <w:rPr>
          <w:sz w:val="20"/>
          <w:szCs w:val="20"/>
          <w:color w:val="auto"/>
        </w:rPr>
      </w:pPr>
      <w:r>
        <w:rPr>
          <w:rFonts w:ascii="Arial" w:cs="Arial" w:eastAsia="Arial" w:hAnsi="Arial"/>
          <w:sz w:val="18"/>
          <w:szCs w:val="18"/>
          <w:b w:val="1"/>
          <w:bCs w:val="1"/>
          <w:color w:val="auto"/>
        </w:rPr>
        <w:t>Nine months ended 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8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4"/>
                <w:szCs w:val="14"/>
                <w:b w:val="1"/>
                <w:bCs w:val="1"/>
                <w:color w:val="auto"/>
              </w:rPr>
              <w:t>Corporate</w:t>
            </w:r>
          </w:p>
        </w:tc>
        <w:tc>
          <w:tcPr>
            <w:tcW w:w="66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860" w:type="dxa"/>
            <w:vAlign w:val="bottom"/>
            <w:tcBorders>
              <w:top w:val="single" w:sz="8" w:color="auto"/>
            </w:tcBorders>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Ergobaby</w:t>
            </w:r>
          </w:p>
        </w:tc>
        <w:tc>
          <w:tcPr>
            <w:tcW w:w="80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Marucci</w:t>
            </w:r>
          </w:p>
        </w:tc>
        <w:tc>
          <w:tcPr>
            <w:tcW w:w="9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Velocity</w:t>
            </w:r>
          </w:p>
        </w:tc>
        <w:tc>
          <w:tcPr>
            <w:tcW w:w="7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ACI</w:t>
            </w:r>
          </w:p>
        </w:tc>
        <w:tc>
          <w:tcPr>
            <w:tcW w:w="70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Altor</w:t>
            </w:r>
          </w:p>
        </w:tc>
        <w:tc>
          <w:tcPr>
            <w:tcW w:w="780" w:type="dxa"/>
            <w:vAlign w:val="bottom"/>
            <w:tcBorders>
              <w:top w:val="single" w:sz="8" w:color="auto"/>
            </w:tcBorders>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Arnold</w:t>
            </w:r>
          </w:p>
        </w:tc>
        <w:tc>
          <w:tcPr>
            <w:tcW w:w="720" w:type="dxa"/>
            <w:vAlign w:val="bottom"/>
            <w:tcBorders>
              <w:top w:val="single" w:sz="8" w:color="auto"/>
            </w:tcBorders>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Sterno</w:t>
            </w:r>
          </w:p>
        </w:tc>
        <w:tc>
          <w:tcPr>
            <w:tcW w:w="1080" w:type="dxa"/>
            <w:vAlign w:val="bottom"/>
            <w:tcBorders>
              <w:top w:val="single" w:sz="8" w:color="auto"/>
            </w:tcBorders>
            <w:gridSpan w:val="3"/>
            <w:vMerge w:val="restart"/>
          </w:tcPr>
          <w:p>
            <w:pPr>
              <w:jc w:val="right"/>
              <w:ind w:right="88"/>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Sports</w:t>
            </w:r>
          </w:p>
        </w:tc>
        <w:tc>
          <w:tcPr>
            <w:tcW w:w="1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Outdoor</w:t>
            </w: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5"/>
                <w:szCs w:val="15"/>
                <w:b w:val="1"/>
                <w:bCs w:val="1"/>
                <w:color w:val="auto"/>
              </w:rPr>
              <w:t xml:space="preserve">ome (loss) </w:t>
            </w:r>
            <w:r>
              <w:rPr>
                <w:rFonts w:ascii="Arial" w:cs="Arial" w:eastAsia="Arial" w:hAnsi="Arial"/>
                <w:sz w:val="19"/>
                <w:szCs w:val="19"/>
                <w:b w:val="1"/>
                <w:bCs w:val="1"/>
                <w:color w:val="auto"/>
                <w:vertAlign w:val="superscript"/>
              </w:rPr>
              <w:t>(1)</w:t>
            </w:r>
          </w:p>
        </w:tc>
        <w:tc>
          <w:tcPr>
            <w:tcW w:w="380" w:type="dxa"/>
            <w:vAlign w:val="bottom"/>
            <w:tcBorders>
              <w:top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5,515$</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(5,344)$</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4,245$</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10,980$</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4,188$</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8,487</w:t>
            </w:r>
          </w:p>
        </w:tc>
        <w:tc>
          <w:tcPr>
            <w:tcW w:w="0" w:type="dxa"/>
            <w:vAlign w:val="bottom"/>
          </w:tcPr>
          <w:p>
            <w:pPr>
              <w:spacing w:after="0"/>
              <w:rPr>
                <w:sz w:val="1"/>
                <w:szCs w:val="1"/>
                <w:color w:val="auto"/>
              </w:rPr>
            </w:pPr>
          </w:p>
        </w:tc>
      </w:t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d for:</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vision (benefit) for income taxes</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202"/>
        </w:trPr>
        <w:tc>
          <w:tcPr>
            <w:tcW w:w="1840" w:type="dxa"/>
            <w:vAlign w:val="bottom"/>
          </w:tcPr>
          <w:p>
            <w:pPr>
              <w:spacing w:after="0"/>
              <w:rPr>
                <w:sz w:val="20"/>
                <w:szCs w:val="20"/>
                <w:color w:val="auto"/>
              </w:rPr>
            </w:pPr>
            <w:r>
              <w:rPr>
                <w:rFonts w:ascii="Arial" w:cs="Arial" w:eastAsia="Arial" w:hAnsi="Arial"/>
                <w:sz w:val="15"/>
                <w:szCs w:val="15"/>
                <w:color w:val="auto"/>
              </w:rPr>
              <w:t>erest expense, net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31,971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32,122</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20"/>
                <w:szCs w:val="20"/>
                <w:color w:val="auto"/>
              </w:rPr>
            </w:pPr>
            <w:r>
              <w:rPr>
                <w:rFonts w:ascii="Arial" w:cs="Arial" w:eastAsia="Arial" w:hAnsi="Arial"/>
                <w:sz w:val="15"/>
                <w:szCs w:val="15"/>
                <w:color w:val="auto"/>
              </w:rPr>
              <w:t>ercompany interest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14,188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preciation and amortization</w:t>
            </w: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16,033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6,152</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9,651</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1,980</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9,473</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74,141</w:t>
            </w: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22,329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20,014</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7,565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33,732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120,870</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5"/>
                <w:szCs w:val="15"/>
                <w:color w:val="auto"/>
              </w:rPr>
              <w:t>in on sale of businesses</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er (income) expense</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2,176</w:t>
            </w:r>
          </w:p>
        </w:tc>
        <w:tc>
          <w:tcPr>
            <w:tcW w:w="0" w:type="dxa"/>
            <w:vAlign w:val="bottom"/>
          </w:tcPr>
          <w:p>
            <w:pPr>
              <w:spacing w:after="0"/>
              <w:rPr>
                <w:sz w:val="1"/>
                <w:szCs w:val="1"/>
                <w:color w:val="auto"/>
              </w:rPr>
            </w:pPr>
          </w:p>
        </w:tc>
      </w:tr>
      <w:tr>
        <w:trPr>
          <w:trHeight w:val="163"/>
        </w:trPr>
        <w:tc>
          <w:tcPr>
            <w:tcW w:w="1840" w:type="dxa"/>
            <w:vAlign w:val="bottom"/>
          </w:tcPr>
          <w:p>
            <w:pPr>
              <w:spacing w:after="0" w:line="163" w:lineRule="exact"/>
              <w:rPr>
                <w:sz w:val="20"/>
                <w:szCs w:val="20"/>
                <w:color w:val="auto"/>
              </w:rPr>
            </w:pPr>
            <w:r>
              <w:rPr>
                <w:rFonts w:ascii="Arial" w:cs="Arial" w:eastAsia="Arial" w:hAnsi="Arial"/>
                <w:sz w:val="15"/>
                <w:szCs w:val="15"/>
                <w:color w:val="auto"/>
              </w:rPr>
              <w:t>ncontrolling shareholder</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3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1,870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748</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771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651</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rPr>
                <w:sz w:val="20"/>
                <w:szCs w:val="20"/>
                <w:color w:val="auto"/>
              </w:rPr>
            </w:pPr>
            <w:r>
              <w:rPr>
                <w:rFonts w:ascii="Arial" w:cs="Arial" w:eastAsia="Arial" w:hAnsi="Arial"/>
                <w:sz w:val="15"/>
                <w:szCs w:val="15"/>
                <w:color w:val="auto"/>
              </w:rPr>
              <w:t>quisition expenses</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20"/>
                <w:szCs w:val="20"/>
                <w:color w:val="auto"/>
              </w:rPr>
            </w:pPr>
            <w:r>
              <w:rPr>
                <w:rFonts w:ascii="Arial" w:cs="Arial" w:eastAsia="Arial" w:hAnsi="Arial"/>
                <w:sz w:val="15"/>
                <w:szCs w:val="15"/>
                <w:color w:val="auto"/>
              </w:rPr>
              <w:t>egration services fee</w:t>
            </w:r>
          </w:p>
        </w:tc>
        <w:tc>
          <w:tcPr>
            <w:tcW w:w="3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er</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02"/>
        </w:trPr>
        <w:tc>
          <w:tcPr>
            <w:tcW w:w="1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nagement fees</w:t>
            </w:r>
          </w:p>
        </w:tc>
        <w:tc>
          <w:tcPr>
            <w:tcW w:w="3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23,061</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40"/>
              <w:spacing w:after="0" w:line="183" w:lineRule="exact"/>
              <w:rPr>
                <w:sz w:val="20"/>
                <w:szCs w:val="20"/>
                <w:color w:val="auto"/>
              </w:rPr>
            </w:pPr>
            <w:r>
              <w:rPr>
                <w:rFonts w:ascii="Arial" w:cs="Arial" w:eastAsia="Arial" w:hAnsi="Arial"/>
                <w:sz w:val="14"/>
                <w:szCs w:val="14"/>
                <w:b w:val="1"/>
                <w:bCs w:val="1"/>
                <w:i w:val="1"/>
                <w:iCs w:val="1"/>
                <w:color w:val="auto"/>
              </w:rPr>
              <w:t xml:space="preserve">d EBITDA </w:t>
            </w:r>
            <w:r>
              <w:rPr>
                <w:rFonts w:ascii="Arial" w:cs="Arial" w:eastAsia="Arial" w:hAnsi="Arial"/>
                <w:sz w:val="21"/>
                <w:szCs w:val="21"/>
                <w:b w:val="1"/>
                <w:bCs w:val="1"/>
                <w:i w:val="1"/>
                <w:iCs w:val="1"/>
                <w:color w:val="auto"/>
                <w:vertAlign w:val="superscript"/>
              </w:rPr>
              <w:t>(2)</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25,039$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20,887$</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34,844$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155,514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hanging="172"/>
        <w:spacing w:after="0"/>
        <w:tabs>
          <w:tab w:leader="none" w:pos="280" w:val="left"/>
        </w:tabs>
        <w:numPr>
          <w:ilvl w:val="0"/>
          <w:numId w:val="30"/>
        </w:numPr>
        <w:rPr>
          <w:rFonts w:ascii="Arial" w:cs="Arial" w:eastAsia="Arial" w:hAnsi="Arial"/>
          <w:sz w:val="21"/>
          <w:szCs w:val="21"/>
          <w:b w:val="1"/>
          <w:bCs w:val="1"/>
          <w:color w:val="auto"/>
          <w:vertAlign w:val="superscript"/>
        </w:rPr>
      </w:pPr>
      <w:r>
        <w:rPr>
          <w:rFonts w:ascii="Arial" w:cs="Arial" w:eastAsia="Arial" w:hAnsi="Arial"/>
          <w:sz w:val="16"/>
          <w:szCs w:val="16"/>
          <w:color w:val="auto"/>
        </w:rPr>
        <w:t>Net income (loss) does not include income from discontinued operations for the nine months ended September 30, 2020.</w:t>
      </w:r>
    </w:p>
    <w:p>
      <w:pPr>
        <w:spacing w:after="0" w:line="215" w:lineRule="exact"/>
        <w:rPr>
          <w:rFonts w:ascii="Arial" w:cs="Arial" w:eastAsia="Arial" w:hAnsi="Arial"/>
          <w:sz w:val="21"/>
          <w:szCs w:val="21"/>
          <w:b w:val="1"/>
          <w:bCs w:val="1"/>
          <w:color w:val="auto"/>
          <w:vertAlign w:val="superscript"/>
        </w:rPr>
      </w:pPr>
    </w:p>
    <w:p>
      <w:pPr>
        <w:ind w:left="100" w:firstLine="8"/>
        <w:spacing w:after="0" w:line="264" w:lineRule="auto"/>
        <w:tabs>
          <w:tab w:leader="none" w:pos="275" w:val="left"/>
        </w:tabs>
        <w:numPr>
          <w:ilvl w:val="0"/>
          <w:numId w:val="30"/>
        </w:numPr>
        <w:rPr>
          <w:rFonts w:ascii="Arial" w:cs="Arial" w:eastAsia="Arial" w:hAnsi="Arial"/>
          <w:sz w:val="20"/>
          <w:szCs w:val="20"/>
          <w:b w:val="1"/>
          <w:bCs w:val="1"/>
          <w:color w:val="auto"/>
          <w:vertAlign w:val="superscript"/>
        </w:rPr>
      </w:pPr>
      <w:r>
        <w:rPr>
          <w:rFonts w:ascii="Arial" w:cs="Arial" w:eastAsia="Arial" w:hAnsi="Arial"/>
          <w:sz w:val="16"/>
          <w:szCs w:val="16"/>
          <w:color w:val="auto"/>
        </w:rPr>
        <w:t>As a result of the sale of Liberty Safe in August 2021, Adjusted EBITDA for the nine months ended September 30, 2020 does not include $13.9 million in Adjusted EBITDA from Liberty.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92075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auto"/>
        </w:rPr>
        <w:t>Reconciliation of Cash Flow Available for Distribution and Reinvestment</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flow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gridSpan w:val="5"/>
          </w:tcPr>
          <w:p>
            <w:pPr>
              <w:ind w:left="114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67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September 30, 2021</w:t>
            </w: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September 30, 2020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100,901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340"/>
              <w:spacing w:after="0"/>
              <w:rPr>
                <w:sz w:val="20"/>
                <w:szCs w:val="20"/>
                <w:color w:val="auto"/>
              </w:rPr>
            </w:pPr>
            <w:r>
              <w:rPr>
                <w:rFonts w:ascii="Arial" w:cs="Arial" w:eastAsia="Arial" w:hAnsi="Arial"/>
                <w:sz w:val="15"/>
                <w:szCs w:val="15"/>
                <w:color w:val="auto"/>
              </w:rPr>
              <w:t>Adjustment to reconcile net income to cash provided by operating activities:</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86,474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Gain on sale of businesses</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(72,745)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Amortization of debt issuance costs and premium</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Loss on debt extinguishment</w:t>
            </w:r>
          </w:p>
        </w:tc>
        <w:tc>
          <w:tcPr>
            <w:tcW w:w="200" w:type="dxa"/>
            <w:vAlign w:val="bottom"/>
          </w:tcPr>
          <w:p>
            <w:pPr>
              <w:spacing w:after="0"/>
              <w:rPr>
                <w:sz w:val="18"/>
                <w:szCs w:val="18"/>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33,305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Noncontrolling shareholder charges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Provision for receivable and inventory reserves</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4,609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4,374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Deferred taxes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541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1,776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6720" w:type="dxa"/>
            <w:vAlign w:val="bottom"/>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Pr>
          <w:p>
            <w:pPr>
              <w:spacing w:after="0"/>
              <w:rPr>
                <w:sz w:val="16"/>
                <w:szCs w:val="16"/>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147,148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112,872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340"/>
              <w:spacing w:after="0"/>
              <w:rPr>
                <w:sz w:val="20"/>
                <w:szCs w:val="20"/>
                <w:color w:val="auto"/>
              </w:rPr>
            </w:pPr>
            <w:r>
              <w:rPr>
                <w:rFonts w:ascii="Arial" w:cs="Arial" w:eastAsia="Arial" w:hAnsi="Arial"/>
                <w:sz w:val="15"/>
                <w:szCs w:val="15"/>
                <w:color w:val="auto"/>
              </w:rPr>
              <w:t>Unused fee on revolving credit facility</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1,207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1,148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6720" w:type="dxa"/>
            <w:vAlign w:val="bottom"/>
            <w:shd w:val="clear" w:color="auto" w:fill="CCEEFF"/>
          </w:tcPr>
          <w:p>
            <w:pPr>
              <w:ind w:left="340"/>
              <w:spacing w:after="0" w:line="234" w:lineRule="exact"/>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6720" w:type="dxa"/>
            <w:vAlign w:val="bottom"/>
          </w:tcPr>
          <w:p>
            <w:pPr>
              <w:ind w:left="340"/>
              <w:spacing w:after="0"/>
              <w:rPr>
                <w:sz w:val="20"/>
                <w:szCs w:val="20"/>
                <w:color w:val="auto"/>
              </w:rPr>
            </w:pPr>
            <w:r>
              <w:rPr>
                <w:rFonts w:ascii="Arial" w:cs="Arial" w:eastAsia="Arial" w:hAnsi="Arial"/>
                <w:sz w:val="15"/>
                <w:szCs w:val="15"/>
                <w:color w:val="auto"/>
              </w:rPr>
              <w:t>Successful acquisition costs</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2,176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2,315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20"/>
              <w:spacing w:after="0"/>
              <w:rPr>
                <w:sz w:val="20"/>
                <w:szCs w:val="20"/>
                <w:color w:val="auto"/>
              </w:rPr>
            </w:pPr>
            <w:r>
              <w:rPr>
                <w:rFonts w:ascii="Arial" w:cs="Arial" w:eastAsia="Arial" w:hAnsi="Arial"/>
                <w:sz w:val="15"/>
                <w:szCs w:val="15"/>
                <w:color w:val="auto"/>
              </w:rPr>
              <w:t>Less:</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Changes in operating assets and liabilities</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720" w:type="dxa"/>
            <w:vAlign w:val="bottom"/>
          </w:tcPr>
          <w:p>
            <w:pPr>
              <w:ind w:left="340"/>
              <w:spacing w:after="0" w:line="203" w:lineRule="exact"/>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21"/>
                <w:szCs w:val="21"/>
                <w:color w:val="auto"/>
                <w:vertAlign w:val="superscript"/>
              </w:rPr>
              <w:t>(2)</w:t>
            </w: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Compass Group Diversified Holdings LLC</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40" w:type="dxa"/>
            <w:vAlign w:val="bottom"/>
            <w:gridSpan w:val="2"/>
          </w:tcPr>
          <w:p>
            <w:pPr>
              <w:ind w:left="900"/>
              <w:spacing w:after="0"/>
              <w:rPr>
                <w:sz w:val="20"/>
                <w:szCs w:val="20"/>
                <w:color w:val="auto"/>
              </w:rPr>
            </w:pPr>
            <w:r>
              <w:rPr>
                <w:rFonts w:ascii="Arial" w:cs="Arial" w:eastAsia="Arial" w:hAnsi="Arial"/>
                <w:sz w:val="15"/>
                <w:szCs w:val="15"/>
                <w:color w:val="auto"/>
              </w:rPr>
              <w:t>5.11</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1,900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897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BOA</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Advanced Circuits</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594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354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Altor Solutions</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Arnold</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4,217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2,761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Ergobaby</w:t>
            </w:r>
          </w:p>
        </w:tc>
        <w:tc>
          <w:tcPr>
            <w:tcW w:w="2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Liberty</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137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438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Lugano</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Marucci Sports</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4,096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680"/>
              <w:spacing w:after="0"/>
              <w:rPr>
                <w:sz w:val="20"/>
                <w:szCs w:val="20"/>
                <w:color w:val="auto"/>
              </w:rPr>
            </w:pPr>
            <w:r>
              <w:rPr>
                <w:rFonts w:ascii="Arial" w:cs="Arial" w:eastAsia="Arial" w:hAnsi="Arial"/>
                <w:sz w:val="15"/>
                <w:szCs w:val="15"/>
                <w:color w:val="auto"/>
              </w:rPr>
              <w:t>Sterno</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680"/>
              <w:spacing w:after="0"/>
              <w:rPr>
                <w:sz w:val="20"/>
                <w:szCs w:val="20"/>
                <w:color w:val="auto"/>
              </w:rPr>
            </w:pPr>
            <w:r>
              <w:rPr>
                <w:rFonts w:ascii="Arial" w:cs="Arial" w:eastAsia="Arial" w:hAnsi="Arial"/>
                <w:sz w:val="15"/>
                <w:szCs w:val="15"/>
                <w:color w:val="auto"/>
              </w:rPr>
              <w:t>Velocity Outdoor</w:t>
            </w:r>
          </w:p>
        </w:tc>
        <w:tc>
          <w:tcPr>
            <w:tcW w:w="200" w:type="dxa"/>
            <w:vAlign w:val="bottom"/>
          </w:tcPr>
          <w:p>
            <w:pPr>
              <w:spacing w:after="0"/>
              <w:rPr>
                <w:sz w:val="17"/>
                <w:szCs w:val="17"/>
                <w:color w:val="auto"/>
              </w:rPr>
            </w:pPr>
          </w:p>
        </w:tc>
        <w:tc>
          <w:tcPr>
            <w:tcW w:w="1800" w:type="dxa"/>
            <w:vAlign w:val="bottom"/>
          </w:tcPr>
          <w:p>
            <w:pPr>
              <w:jc w:val="right"/>
              <w:ind w:right="4"/>
              <w:spacing w:after="0"/>
              <w:rPr>
                <w:sz w:val="20"/>
                <w:szCs w:val="20"/>
                <w:color w:val="auto"/>
              </w:rPr>
            </w:pPr>
            <w:r>
              <w:rPr>
                <w:rFonts w:ascii="Arial" w:cs="Arial" w:eastAsia="Arial" w:hAnsi="Arial"/>
                <w:sz w:val="15"/>
                <w:szCs w:val="15"/>
                <w:color w:val="auto"/>
              </w:rPr>
              <w:t>3,146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2,743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7"/>
                <w:szCs w:val="17"/>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Preferred share distribution</w:t>
            </w: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18,136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135,311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74,653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 w:type="dxa"/>
            <w:vAlign w:val="bottom"/>
          </w:tcPr>
          <w:p>
            <w:pPr>
              <w:spacing w:after="0"/>
              <w:rPr>
                <w:sz w:val="8"/>
                <w:szCs w:val="8"/>
                <w:color w:val="auto"/>
              </w:rPr>
            </w:pPr>
          </w:p>
        </w:tc>
        <w:tc>
          <w:tcPr>
            <w:tcW w:w="6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April 2021/2020</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(21,564)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6720" w:type="dxa"/>
            <w:vAlign w:val="bottom"/>
          </w:tcPr>
          <w:p>
            <w:pPr>
              <w:ind w:left="20"/>
              <w:spacing w:after="0"/>
              <w:rPr>
                <w:sz w:val="20"/>
                <w:szCs w:val="20"/>
                <w:color w:val="auto"/>
              </w:rPr>
            </w:pPr>
            <w:r>
              <w:rPr>
                <w:rFonts w:ascii="Arial" w:cs="Arial" w:eastAsia="Arial" w:hAnsi="Arial"/>
                <w:sz w:val="15"/>
                <w:szCs w:val="15"/>
                <w:color w:val="auto"/>
              </w:rPr>
              <w:t>Distribution paid in July 2021/ 2020</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(23,364)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5"/>
                <w:szCs w:val="15"/>
                <w:color w:val="auto"/>
              </w:rPr>
              <w:t>(23,364)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paid in October 2021/2020</w:t>
            </w:r>
          </w:p>
        </w:tc>
        <w:tc>
          <w:tcPr>
            <w:tcW w:w="20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(23,364)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(70,470)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(68,292)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940" w:type="dxa"/>
            <w:vAlign w:val="bottom"/>
            <w:gridSpan w:val="2"/>
            <w:vMerge w:val="restart"/>
          </w:tcPr>
          <w:p>
            <w:pPr>
              <w:jc w:val="right"/>
              <w:ind w:right="1144"/>
              <w:spacing w:after="0"/>
              <w:rPr>
                <w:sz w:val="20"/>
                <w:szCs w:val="20"/>
                <w:color w:val="auto"/>
              </w:rPr>
            </w:pPr>
            <w:r>
              <w:rPr>
                <w:rFonts w:ascii="Arial" w:cs="Arial" w:eastAsia="Arial" w:hAnsi="Arial"/>
                <w:sz w:val="16"/>
                <w:szCs w:val="16"/>
                <w:color w:val="auto"/>
              </w:rPr>
              <w:t>73</w:t>
            </w: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1"/>
        </w:trPr>
        <w:tc>
          <w:tcPr>
            <w:tcW w:w="69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 w:type="dxa"/>
            <w:vAlign w:val="bottom"/>
            <w:tcBorders>
              <w:bottom w:val="single" w:sz="8" w:color="9A9A9A"/>
            </w:tcBorders>
          </w:tcPr>
          <w:p>
            <w:pPr>
              <w:spacing w:after="0"/>
              <w:rPr>
                <w:sz w:val="14"/>
                <w:szCs w:val="14"/>
                <w:color w:val="auto"/>
              </w:rPr>
            </w:pPr>
          </w:p>
        </w:tc>
        <w:tc>
          <w:tcPr>
            <w:tcW w:w="67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73" w:name="page74"/>
    <w:bookmarkEnd w:id="73"/>
    <w:p>
      <w:pPr>
        <w:ind w:left="420" w:right="20" w:hanging="250"/>
        <w:spacing w:after="0" w:line="216" w:lineRule="auto"/>
        <w:tabs>
          <w:tab w:leader="none" w:pos="348"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fees paid by newly acquired companies to the Manager for integration services performed during the first year of ownership, payable quarterly.</w:t>
      </w:r>
    </w:p>
    <w:p>
      <w:pPr>
        <w:spacing w:after="0" w:line="211" w:lineRule="exact"/>
        <w:rPr>
          <w:rFonts w:ascii="Arial" w:cs="Arial" w:eastAsia="Arial" w:hAnsi="Arial"/>
          <w:sz w:val="21"/>
          <w:szCs w:val="21"/>
          <w:b w:val="1"/>
          <w:bCs w:val="1"/>
          <w:color w:val="auto"/>
          <w:vertAlign w:val="superscript"/>
        </w:rPr>
      </w:pPr>
    </w:p>
    <w:p>
      <w:pPr>
        <w:jc w:val="both"/>
        <w:ind w:left="420" w:hanging="250"/>
        <w:spacing w:after="0" w:line="225" w:lineRule="auto"/>
        <w:tabs>
          <w:tab w:leader="none" w:pos="596" w:val="left"/>
        </w:tabs>
        <w:numPr>
          <w:ilvl w:val="0"/>
          <w:numId w:val="31"/>
        </w:numPr>
        <w:rPr>
          <w:rFonts w:ascii="Arial" w:cs="Arial" w:eastAsia="Arial" w:hAnsi="Arial"/>
          <w:sz w:val="21"/>
          <w:szCs w:val="21"/>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$10.1 million for the nine months ended September 30, 2021 and $9.7 million for the nine months ended September 30, 2020.</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3, 2021, the Company's Board of Directors declared a special cash distribution on the Trust’s common shares in order to offset a portion of the tax liability incurred by the shareholders as a result of the election to cause the Trust to be treated as a corporation for U.S. federal income tax purposes. A distribution of $ 57.1 million was made on September 7, 2021 to Trust common shareholders of record as of the close of business on August 31, 2021. The Company expects that subsequent quarterly distributions to the Trust common shareholders will be reduced from $0.36 per share to $0.25 per share to reflect the effect of the Trust being taxed as a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entered into the MSA with CGM effective May 16, 2006. The MSA provides for, among other things, CGM to perform services for the Company in exchange for a management fee paid quarterly and equal to 0.5% of the Company's adjusted net assets, as defined in the MSA.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agreed to waive 50% of the management fee calculated at June 30, 2020 that was paid in July 2020. Further, for the third quarter of 2020, the Company and CGM entered into a waiver agreement whereby CGM agreed to waive the portion of the management fee attributable to the cash balances held at the Company as of September 30, 2020. CGM has also entered into a waiver of the MSA for a period through December 31, 2021 to receive a 1% annual management fee related to BOA, rather than the 2% called for under the MSA. In the first quarter of 2021, the Company and CGM entered into a waiver agreement whereby CGM agreed to waive the portion of the management fee related to the amount of the proceeds deposited with the Trustee that was in excess of the amount payable related to the 2026 Senior Notes at March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Marucci Sports, which was acquired in April 2020, entered into an Integration Services Agreement ("ISA") with CGM whereby Marucci paid an integration service fee of $2.0 million quarterly over a twelve month period as services were rendered beginning in the quarter ended September 30, 2020. BOA, which was acquired in October 2020, entered into an ISA with CGM whereby BOA will pay CGM an integration service fee of $4.4 million quarterly over a twelve month period as services are rendered, beginning in the quarter ended December 31, 2020. Lugano, which was acquired in September 2021, entered into an ISA with CGM whereby Lugano will pay CGM an integration services fee of $2.3 million quarterly over a twelve month period ended September 30, 2022. Under the ISAs, CGM provides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ten-year anniversary of Liberty occurred in March 2020 and the ten-year anniversary of Ergobaby occurred in September 2020. Both of these represented a Holding Event, and the holders of the Allocation Interests elected to defer the distribution until after the end of 2020. The profit allocation payment of $3.3 million related to the Liberty Holding Event and the profit allocation of $2.0 million related to the Ergobaby Holding Event were both paid in January 2021. The fifteen-year anniversary of ACI occurred in May 2021 which represented a Holding Event. The Company's Board declared a distribution of $12.1 million that was paid to the Holders in July 2021. The sale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74" w:name="page75"/>
    <w:bookmarkEnd w:id="74"/>
    <w:p>
      <w:pPr>
        <w:jc w:val="both"/>
        <w:ind w:right="20"/>
        <w:spacing w:after="0" w:line="261" w:lineRule="auto"/>
        <w:rPr>
          <w:sz w:val="20"/>
          <w:szCs w:val="20"/>
          <w:color w:val="auto"/>
        </w:rPr>
      </w:pPr>
      <w:r>
        <w:rPr>
          <w:rFonts w:ascii="Arial" w:cs="Arial" w:eastAsia="Arial" w:hAnsi="Arial"/>
          <w:sz w:val="18"/>
          <w:szCs w:val="18"/>
          <w:color w:val="auto"/>
        </w:rPr>
        <w:t>Liberty in August 2021 represented a Sale Event, and the Company's board declared a profit allocation distribution to Holders of $16.8 million. This distribution is expected to be paid in the fourth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 In August 2021, the Company completed a recapitalization of 5.11 whereby the Company entered into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intercompany loan agreement with 5.11 (the "5.11 Loan Agreement"). The 5.11 Loan Agreement was amended to provide for additional term loan borrowings of $55.0 million to fund a distribution to shareholders. The Company owned 97.7% of the outstanding shares of 5.11 on the date of the distribution and received $53.7 million. The remaining amount of the distribution went to minority shareholders.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During the three and nine months ended September 30, 2021, 5.11 purchased approximately $0.1 million and $0.9 million, respectively, in inventory from the vendor.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BOA</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Repurchase of Noncontrolling Interest - </w:t>
      </w:r>
      <w:r>
        <w:rPr>
          <w:rFonts w:ascii="Arial" w:cs="Arial" w:eastAsia="Arial" w:hAnsi="Arial"/>
          <w:sz w:val="18"/>
          <w:szCs w:val="18"/>
          <w:color w:val="auto"/>
        </w:rPr>
        <w:t>In September 2021, BOA repurchased shares of its issued and outstanding common shares from its</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minority shareholder for a total payment of $48.0 million, which BOA financed by borrowing under their intercompany credit facility with the Company (the "BOA Credit Agreement"). The BOA Credit Agreement was amended to (i) provide for additional term loan borrowings of $38.0 million, and (ii) consent to the repurchase of the shares from the minority shareholder. The transaction was accounted for in accordance with ASC 810 - Consolidation, whereby the carrying amount of the noncontrolling interest was adjusted to reflect the change in the ownership interest in BOA that occurred as a result of the share repurchase. The difference between the fair value of the consideration paid of $48.0 million and the amount by which the noncontrolling interest was adjusted of $39.4 million was recognized in equity attributable to the Company.</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A contract manufacturer used by BOA as the primary supplier of molded injection parts is a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of BOA. BOA had approximately $11.2 million and $32.8 million, respectively, in purchases from this supplier during the three and nine months ended September 30,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Contractual obligations associated with ongoing business and financing activities will require cash payments in future periods. A table summarizing the amounts and estimated timing of these future cash payments as of December 31, 2020 was provided in the Company's annual report on Form 10-K for the year ended December 31, 2020. The only significant change related to our contractual obligations since December 31, 2020 relates to our long-term debt obligations. In March 2021, we issued our 2029 Senior Notes, resulting in proceeds of $1,000 million, which were used to repay the $600 million principal amount outstanding on our 2026 Senior Notes on April 1, 2021, and to repay our 2018 Revolving Credit Facility. The 2029 Senior Notes pay interest at 5.250%, as opposed to the 2026 Senior Notes which paid interest at 8.000%. In connection with the repayment of the 2018 Revolving Credit Facility, we entered into the 2021 Credit Facility provides for revolving loans, swing line loans and letters of credit up to a maximum aggregate amount of $600 million and also permits the Company, prior to the applicable maturity date, to increase the revolving loan commitment and/or obtain term loans in an aggregate amount of up to $250 million, subject to certain restrictions and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policies and estimates are reviewed periodically by our independent auditors and the audit committee of our board of directors.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2020, as filed with the SEC on February 24,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3"/>
          <w:szCs w:val="23"/>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Annual Impairment Testing - </w:t>
      </w:r>
      <w:r>
        <w:rPr>
          <w:rFonts w:ascii="Arial" w:cs="Arial" w:eastAsia="Arial" w:hAnsi="Arial"/>
          <w:sz w:val="18"/>
          <w:szCs w:val="18"/>
          <w:color w:val="auto"/>
        </w:rPr>
        <w:t>For our annual impairment testing at March 31, 2021,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As a result of the current COVID-19 pandemic, we have considered how we expect COVID-19 to impact our future operating results and short and long term financial condition as part of our qualitative assessment, including the effects on our end customers, potential short-term supply chain constraints, and the continued restrictions imposed by government and regulatory authorities. The results of the qualitative analysis indicated that it was more-likely-than-not that the fair value of each of our reporting units except Arnold exceeded their carrying value. Based on our analysis, we determined that the Arnold operating segment required quantitative testing because we could not conclude that the fair value of this reporting unit significantly exceeded the carrying value based on qualitative factors alone.</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Arnold using an income approach to determine the fair value of the reporting units. We do not believe that the market approach results in relevant data points for market multiples or data from comparable companies since most of Arnold's competitors are privately held and do not publish data that can be used in an income approach.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the Arnold reporting unit as of the date of our impairment testing. The discount rate used in the income approach was 13.0%, and the results of the quantitative impairment testing indicated that the fair value of the Arnold reporting unit exceeded the carrying value by approximately 272%. The prospective financial information that is used to determine the fair values of the Arnold reporting unit requires us to make assumptions regarding future operational results including revenue growth rates and gross margins. If we do not achieve the forecasted revenue growth rates and gross margins, the results of the quantitative testing could change, potentially leading to additional testing and impairment at the reporting unit that was tested quantitatively.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testing.Our indefinite-lived intangible assets consist of trade names with a carrying value of approximately $ 57.0 million. The results of the qualitative analysis of our reporting unit's indefinite-lived intangible assets, which we completed as of March 31, 2021, indicated that the fair value of the indefinite lived intangible assets exceeded their carrying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FF"/>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2020. For a further discussion of our exposure to market risk, refer to the section entitled "Quantitative and Qualitative Disclosures about Market Risk" that was disclosed in Part II, Item 7A of our Annual Report on Form 10-K for the year ended December 31, 2020, as filed with the SEC on February 24, 2021.</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September 30, 2021. Based on that evaluation, the Holdings’ Regular Trustees and the Chief Executive Officer and Chief Financial Officer of the Company concluded that Holdings’ and the Company’s disclosure controls and procedures were effective as of September 30, 2021.</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2020, as filed with the SEC on February 24,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2020 should be considered together with information included in this Quarterly Report on Form 10-Q for the quarter ended September 30, 2021 and should not be considered the only risks to which we are exposed. Additional risks and uncertainties not currently known to us or that we currently believe are immaterial also may impair our business, including our results of operations, liquidity and financial condition. We are providing the following information regarding changes that have occurred to the previously disclosed risk factors in our Annual Report on Form 10-K for the fiscal year ended December 31, 2020. Except for such additional information, we believe there have been no material changes from the risk factors previously disclosed in our Annual Report on Form 10-K for the fiscal year ended December 31, 2020, as filed with the SEC on February 24, 2021.</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Trust has elected to be treated as a corporation for U.S. federal income tax purposes, effective September 1, 2021, which will reduce the amount available for distributions to holders of Trust common shares in respect of such investments and could adversely affect the value of Trust common shareholders’ investment.</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September 1, 2021, the Trust has elected to be taxed as a corporation for U.S. federal income tax purposes. The Trust will now incur significant U.S. federal income taxes and applicable state and local taxes that it would not otherwise incur if it were still treated as a partnership for U.S. federal income tax purposes. In addition, before the tax reclassification, income from the Trust was passed through to holders of its preferred shares, which resulted in less income being passed through from the Trust to holders of its common shares and effectively reduced each common shareholder’s allocable share of the Trust’s income; however, after the tax reclassification, no income will pass through to any shareholders, the Trust will not be able to claim a tax deduction for distributions in respect of the preferred shares. Therefore, the amount of cash available for distributions to holders of Trust common shares could be reduced and their investment could be adversely affected.</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tax reclassification, determinations, declarations, and payments of distributions to holders of Trust common shares will continue to be at the sole discretion of the Board. Historically, our distribution policy has been to make regular distributions on outstanding common shares, and we expect to continue this policy of regular distributions. However, because the Trust will incur entity level income taxes following the tax reclassification, we expect to reduce our annual distribution from the current $1.44 per Trust common share per year to approximately $1.00 per common share per year. Our distribution policy may be changed at any time at the discretion of the Board.</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Under the Trust Agreement, the Board will have the power to cause the Trust to be converted to a corporation in the future at its sole discretion in ways with which you may disagree.</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Trust Agreement authorizes the Company, acting through the Board and without further shareholder approval, to cause the Trust to be converted to a corporation (the “Conversion”). As a shareholder of the Trust, you may disagree with the terms of the Conversion that might be implemented by the Board in the future, and you may disagree with the Board’s determination that the terms of the Conversion are not materially adverse to you as a shareholder or that they are in the best interests of the Trust and its shareholders. Your recourse, if you disagree, will be limited because our Trust Agreement gives broad authority and discretion to our Board to implement the Conversion as long as the Board determines that it will be in the best interests of the Trust and its shareholders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960" w:type="dxa"/>
            <w:vAlign w:val="bottom"/>
            <w:gridSpan w:val="32"/>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2.1</w:t>
            </w:r>
          </w:p>
        </w:tc>
        <w:tc>
          <w:tcPr>
            <w:tcW w:w="1040" w:type="dxa"/>
            <w:vAlign w:val="bottom"/>
          </w:tcPr>
          <w:p>
            <w:pPr>
              <w:spacing w:after="0"/>
              <w:rPr>
                <w:sz w:val="24"/>
                <w:szCs w:val="24"/>
                <w:color w:val="auto"/>
              </w:rPr>
            </w:pPr>
          </w:p>
        </w:tc>
        <w:tc>
          <w:tcPr>
            <w:tcW w:w="8540" w:type="dxa"/>
            <w:vAlign w:val="bottom"/>
            <w:tcBorders>
              <w:bottom w:val="single" w:sz="8" w:color="0000FF"/>
            </w:tcBorders>
            <w:gridSpan w:val="19"/>
          </w:tcPr>
          <w:p>
            <w:pPr>
              <w:spacing w:after="0"/>
              <w:rPr>
                <w:rFonts w:ascii="Arial" w:cs="Arial" w:eastAsia="Arial" w:hAnsi="Arial"/>
                <w:sz w:val="16"/>
                <w:szCs w:val="16"/>
                <w:color w:val="0000FF"/>
              </w:rPr>
            </w:pPr>
            <w:hyperlink r:id="rId129">
              <w:r>
                <w:rPr>
                  <w:rFonts w:ascii="Arial" w:cs="Arial" w:eastAsia="Arial" w:hAnsi="Arial"/>
                  <w:sz w:val="16"/>
                  <w:szCs w:val="16"/>
                  <w:color w:val="0000FF"/>
                </w:rPr>
                <w:t>Stock Purchase Agreement, dated July 16, 2021, by and among (i) Liberty Safe Holding Corporation; (ii) Independence</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60" w:type="dxa"/>
            <w:vAlign w:val="bottom"/>
            <w:gridSpan w:val="32"/>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Buyer, Inc.; (iii); Compass Group Diversified Holdings LLC, as the Sellers Representative; and (iv) each Stockholder and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60" w:type="dxa"/>
            <w:vAlign w:val="bottom"/>
            <w:gridSpan w:val="32"/>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Optionholder of Liberty Safe Holding Corporation (incorporated by reference to Exhibit 2.1 of the Form 8-K filed on July 19,</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7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2021 (File No. 000-34927).</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2.2</w:t>
            </w:r>
          </w:p>
        </w:tc>
        <w:tc>
          <w:tcPr>
            <w:tcW w:w="1040" w:type="dxa"/>
            <w:vAlign w:val="bottom"/>
          </w:tcPr>
          <w:p>
            <w:pPr>
              <w:spacing w:after="0"/>
              <w:rPr>
                <w:sz w:val="24"/>
                <w:szCs w:val="24"/>
                <w:color w:val="auto"/>
              </w:rPr>
            </w:pPr>
          </w:p>
        </w:tc>
        <w:tc>
          <w:tcPr>
            <w:tcW w:w="8740" w:type="dxa"/>
            <w:vAlign w:val="bottom"/>
            <w:tcBorders>
              <w:bottom w:val="single" w:sz="8" w:color="0000FF"/>
            </w:tcBorders>
            <w:gridSpan w:val="22"/>
          </w:tcPr>
          <w:p>
            <w:pPr>
              <w:spacing w:after="0"/>
              <w:rPr>
                <w:rFonts w:ascii="Arial" w:cs="Arial" w:eastAsia="Arial" w:hAnsi="Arial"/>
                <w:sz w:val="16"/>
                <w:szCs w:val="16"/>
                <w:color w:val="0000FF"/>
              </w:rPr>
            </w:pPr>
            <w:hyperlink r:id="rId130">
              <w:r>
                <w:rPr>
                  <w:rFonts w:ascii="Arial" w:cs="Arial" w:eastAsia="Arial" w:hAnsi="Arial"/>
                  <w:sz w:val="16"/>
                  <w:szCs w:val="16"/>
                  <w:color w:val="0000FF"/>
                </w:rPr>
                <w:t>Amendment to Stock Purchase Agreement, dated August 3, 2021, by and among Independence Buyer, Inc. and Compass</w:t>
              </w:r>
            </w:hyperlink>
          </w:p>
        </w:tc>
        <w:tc>
          <w:tcPr>
            <w:tcW w:w="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60" w:type="dxa"/>
            <w:vAlign w:val="bottom"/>
            <w:gridSpan w:val="32"/>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Group Diversified Holdings LLC, as the Sellers Representative (incorporated by reference to Exhibit 2.1 of the Form 8-K filed</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on August 3, 2021 (Accession No. 0001345126-21-000031)).</w:t>
              </w:r>
            </w:hyperlink>
          </w:p>
        </w:tc>
        <w:tc>
          <w:tcPr>
            <w:tcW w:w="454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2.3</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Agreement and Plan of Merger, dated October 13, 2021, by and among (i) Tempo Automation, Inc.; (ii) Aspen Acquisition</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4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8"/>
              </w:rPr>
            </w:pPr>
            <w:hyperlink r:id="rId131">
              <w:r>
                <w:rPr>
                  <w:rFonts w:ascii="Arial" w:cs="Arial" w:eastAsia="Arial" w:hAnsi="Arial"/>
                  <w:sz w:val="16"/>
                  <w:szCs w:val="16"/>
                  <w:color w:val="0000FF"/>
                  <w:w w:val="98"/>
                </w:rPr>
                <w:t>Sub, Inc.; (iii) Compass AC Holdings, Inc.; and (iv) Compass Group Diversified Holdings LLC, as the Sellers Representative</w:t>
              </w:r>
            </w:hyperlink>
          </w:p>
        </w:tc>
        <w:tc>
          <w:tcPr>
            <w:tcW w:w="1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40" w:type="dxa"/>
            <w:vAlign w:val="bottom"/>
            <w:gridSpan w:val="26"/>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(incorporated by reference to Exhibit 2.1 of the Form 8-K filed on October 14,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2">
              <w:r>
                <w:rPr>
                  <w:rFonts w:ascii="Arial" w:cs="Arial" w:eastAsia="Arial" w:hAnsi="Arial"/>
                  <w:sz w:val="16"/>
                  <w:szCs w:val="16"/>
                  <w:color w:val="0000FF"/>
                </w:rPr>
                <w:t>Third Amended and Restated Trust Agreement of the Trust (incorporated by reference to Exhibit 3.1 of the Form 8-K filed on</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August 4,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3">
              <w:r>
                <w:rPr>
                  <w:rFonts w:ascii="Arial" w:cs="Arial" w:eastAsia="Arial" w:hAnsi="Arial"/>
                  <w:sz w:val="16"/>
                  <w:szCs w:val="16"/>
                  <w:color w:val="0000FF"/>
                </w:rPr>
                <w:t>Sixth Amended and Restated Operating Agreement of the Company (incorporated by reference to Exhibit 3.2 of the Form 8-</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K filed on August 4, 2021).</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3.3</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4">
              <w:r>
                <w:rPr>
                  <w:rFonts w:ascii="Arial" w:cs="Arial" w:eastAsia="Arial" w:hAnsi="Arial"/>
                  <w:sz w:val="16"/>
                  <w:szCs w:val="16"/>
                  <w:color w:val="0000FF"/>
                </w:rPr>
                <w:t>Amended and Restated Share Designation of Compass Diversified Holdings with respect to Series A Preferred Shares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5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(incorporated by reference to Exhibit 3.3 of the Form 8-K filed on August 4, 2021).</w:t>
              </w:r>
            </w:hyperlink>
          </w:p>
        </w:tc>
        <w:tc>
          <w:tcPr>
            <w:tcW w:w="20" w:type="dxa"/>
            <w:vAlign w:val="bottom"/>
          </w:tcPr>
          <w:p>
            <w:pPr>
              <w:spacing w:after="0"/>
              <w:rPr>
                <w:sz w:val="12"/>
                <w:szCs w:val="12"/>
                <w:color w:val="auto"/>
              </w:rPr>
            </w:pPr>
          </w:p>
        </w:tc>
        <w:tc>
          <w:tcPr>
            <w:tcW w:w="28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3.4</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5">
              <w:r>
                <w:rPr>
                  <w:rFonts w:ascii="Arial" w:cs="Arial" w:eastAsia="Arial" w:hAnsi="Arial"/>
                  <w:sz w:val="16"/>
                  <w:szCs w:val="16"/>
                  <w:color w:val="0000FF"/>
                </w:rPr>
                <w:t>Amended and Restated Share Designation of Compass Diversified Holdings with respect to Series B Preferred Shares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5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(incorporated by reference to Exhibit 3.4 of the Form 8-K filed on August 4, 2021).</w:t>
              </w:r>
            </w:hyperlink>
          </w:p>
        </w:tc>
        <w:tc>
          <w:tcPr>
            <w:tcW w:w="20" w:type="dxa"/>
            <w:vAlign w:val="bottom"/>
          </w:tcPr>
          <w:p>
            <w:pPr>
              <w:spacing w:after="0"/>
              <w:rPr>
                <w:sz w:val="12"/>
                <w:szCs w:val="12"/>
                <w:color w:val="auto"/>
              </w:rPr>
            </w:pPr>
          </w:p>
        </w:tc>
        <w:tc>
          <w:tcPr>
            <w:tcW w:w="28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3.5</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6">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5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(incorporated by reference to Exhibit 3.5 of the Form 8-K filed on August 4, 2021).</w:t>
              </w:r>
            </w:hyperlink>
          </w:p>
        </w:tc>
        <w:tc>
          <w:tcPr>
            <w:tcW w:w="28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4.1</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Specimen Certificate evidencing a share of trust of Compass Diversified Holdings (incorporated by reference to Exhibit A of</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Exhibit 3.1 of the Form 8-K filed on August 4, 2021).</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4.2</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38">
              <w:r>
                <w:rPr>
                  <w:rFonts w:ascii="Arial" w:cs="Arial" w:eastAsia="Arial" w:hAnsi="Arial"/>
                  <w:sz w:val="16"/>
                  <w:szCs w:val="16"/>
                  <w:color w:val="0000FF"/>
                </w:rPr>
                <w:t>Specimen LLC Interest Certificate evidencing an interest of Compass Group Diversified Holdings LLC (incorporated by</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5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reference to Exhibit A of Exhibit 3.2 of the Form 8-K filed on August 4, 2021).</w:t>
              </w:r>
            </w:hyperlink>
          </w:p>
        </w:tc>
        <w:tc>
          <w:tcPr>
            <w:tcW w:w="2980" w:type="dxa"/>
            <w:vAlign w:val="bottom"/>
            <w:tcBorders>
              <w:top w:val="single" w:sz="8" w:color="0000FF"/>
            </w:tcBorders>
            <w:gridSpan w:val="6"/>
          </w:tcPr>
          <w:p>
            <w:pPr>
              <w:spacing w:after="0"/>
              <w:rPr>
                <w:sz w:val="12"/>
                <w:szCs w:val="12"/>
                <w:color w:val="auto"/>
              </w:rPr>
            </w:pPr>
          </w:p>
        </w:tc>
        <w:tc>
          <w:tcPr>
            <w:tcW w:w="320" w:type="dxa"/>
            <w:vAlign w:val="bottom"/>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4.3</w:t>
            </w:r>
          </w:p>
        </w:tc>
        <w:tc>
          <w:tcPr>
            <w:tcW w:w="1040" w:type="dxa"/>
            <w:vAlign w:val="bottom"/>
          </w:tcPr>
          <w:p>
            <w:pPr>
              <w:spacing w:after="0"/>
              <w:rPr>
                <w:sz w:val="24"/>
                <w:szCs w:val="24"/>
                <w:color w:val="auto"/>
              </w:rPr>
            </w:pPr>
          </w:p>
        </w:tc>
        <w:tc>
          <w:tcPr>
            <w:tcW w:w="8960" w:type="dxa"/>
            <w:vAlign w:val="bottom"/>
            <w:tcBorders>
              <w:bottom w:val="single" w:sz="8" w:color="0000FF"/>
            </w:tcBorders>
            <w:gridSpan w:val="32"/>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7.250% Series A Preferred Share Certificate (incorporated by reference to Appendix A of Exhibit 3.3 of the Form 8-K</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60" w:type="dxa"/>
            <w:vAlign w:val="bottom"/>
            <w:gridSpan w:val="32"/>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filed on August 4, 2021).</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4.4</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Form of 7.875% Series B Fixed-to-Floating Rate Cumulative Preferred Share Certificate (incorporated by reference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Appendix A of Exhibit 3.4 of the Form 8-K filed on August 4, 2021).</w:t>
              </w:r>
            </w:hyperlink>
          </w:p>
        </w:tc>
        <w:tc>
          <w:tcPr>
            <w:tcW w:w="3620" w:type="dxa"/>
            <w:vAlign w:val="bottom"/>
            <w:tcBorders>
              <w:top w:val="single" w:sz="8" w:color="0000FF"/>
            </w:tcBorders>
            <w:gridSpan w:val="6"/>
          </w:tcPr>
          <w:p>
            <w:pPr>
              <w:spacing w:after="0"/>
              <w:rPr>
                <w:sz w:val="12"/>
                <w:szCs w:val="12"/>
                <w:color w:val="auto"/>
              </w:rPr>
            </w:pPr>
          </w:p>
        </w:tc>
        <w:tc>
          <w:tcPr>
            <w:tcW w:w="400" w:type="dxa"/>
            <w:vAlign w:val="bottom"/>
            <w:gridSpan w:val="9"/>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200" w:type="dxa"/>
            <w:vAlign w:val="bottom"/>
          </w:tcPr>
          <w:p>
            <w:pPr>
              <w:ind w:left="120"/>
              <w:spacing w:after="0"/>
              <w:rPr>
                <w:sz w:val="20"/>
                <w:szCs w:val="20"/>
                <w:color w:val="auto"/>
              </w:rPr>
            </w:pPr>
            <w:r>
              <w:rPr>
                <w:rFonts w:ascii="Arial" w:cs="Arial" w:eastAsia="Arial" w:hAnsi="Arial"/>
                <w:sz w:val="16"/>
                <w:szCs w:val="16"/>
                <w:color w:val="auto"/>
              </w:rPr>
              <w:t>4.5</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r:id="rId141">
              <w:r>
                <w:rPr>
                  <w:rFonts w:ascii="Arial" w:cs="Arial" w:eastAsia="Arial" w:hAnsi="Arial"/>
                  <w:sz w:val="16"/>
                  <w:szCs w:val="16"/>
                  <w:color w:val="0000FF"/>
                </w:rPr>
                <w:t>Form of 7.875% Series C Cumulative Preferred Share Certificate (incorporated by reference to Appendix A of Exhibit 3.5 of</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the Form 8-K filed on August 4, 2021).</w:t>
              </w:r>
            </w:hyperlink>
          </w:p>
        </w:tc>
        <w:tc>
          <w:tcPr>
            <w:tcW w:w="6060" w:type="dxa"/>
            <w:vAlign w:val="bottom"/>
            <w:tcBorders>
              <w:top w:val="single" w:sz="8" w:color="0000FF"/>
            </w:tcBorders>
            <w:gridSpan w:val="18"/>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040" w:type="dxa"/>
            <w:vAlign w:val="bottom"/>
          </w:tcPr>
          <w:p>
            <w:pPr>
              <w:spacing w:after="0"/>
              <w:rPr>
                <w:sz w:val="24"/>
                <w:szCs w:val="24"/>
                <w:color w:val="auto"/>
              </w:rPr>
            </w:pPr>
          </w:p>
        </w:tc>
        <w:tc>
          <w:tcPr>
            <w:tcW w:w="5560" w:type="dxa"/>
            <w:vAlign w:val="bottom"/>
            <w:tcBorders>
              <w:bottom w:val="single" w:sz="8" w:color="0000FF"/>
            </w:tcBorders>
            <w:gridSpan w:val="11"/>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Rule 13a-14(a)/15d-14(a) Certification of Chief Executive Officer of Registrant</w:t>
              </w:r>
            </w:hyperlink>
          </w:p>
        </w:tc>
        <w:tc>
          <w:tcPr>
            <w:tcW w:w="34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040" w:type="dxa"/>
            <w:vAlign w:val="bottom"/>
          </w:tcPr>
          <w:p>
            <w:pPr>
              <w:spacing w:after="0"/>
              <w:rPr>
                <w:sz w:val="24"/>
                <w:szCs w:val="24"/>
                <w:color w:val="auto"/>
              </w:rPr>
            </w:pPr>
          </w:p>
        </w:tc>
        <w:tc>
          <w:tcPr>
            <w:tcW w:w="7380" w:type="dxa"/>
            <w:vAlign w:val="bottom"/>
            <w:tcBorders>
              <w:bottom w:val="single" w:sz="8" w:color="0000FF"/>
            </w:tcBorders>
            <w:gridSpan w:val="14"/>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Rule 13a-14(a)/15d-14(a) Rule 13a-14(a)/15d-14(a) Certification of Chief Financial Officer of Registrant</w:t>
              </w:r>
            </w:hyperlink>
          </w:p>
        </w:tc>
        <w:tc>
          <w:tcPr>
            <w:tcW w:w="15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0" w:type="dxa"/>
            <w:vAlign w:val="bottom"/>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Certification of Chief Executive Officer of Registrant pursuant to 18 U.S.C. Section 1350, as adopted pursuant to Section 906</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9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w:anchor="page86">
              <w:r>
                <w:rPr>
                  <w:rFonts w:ascii="Arial" w:cs="Arial" w:eastAsia="Arial" w:hAnsi="Arial"/>
                  <w:sz w:val="16"/>
                  <w:szCs w:val="16"/>
                  <w:color w:val="0000FF"/>
                </w:rPr>
                <w:t>of the Sarbanes-Oxley Act of 2002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04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6400" w:type="dxa"/>
            <w:vAlign w:val="bottom"/>
            <w:gridSpan w:val="2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8960" w:type="dxa"/>
            <w:vAlign w:val="bottom"/>
            <w:gridSpan w:val="32"/>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Certification of Chief Financial Officer of Registrant pursuant to 18 U.S.C. Section 1350, as adopted pursuant to Section 906</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w:anchor="page87">
              <w:r>
                <w:rPr>
                  <w:rFonts w:ascii="Arial" w:cs="Arial" w:eastAsia="Arial" w:hAnsi="Arial"/>
                  <w:sz w:val="16"/>
                  <w:szCs w:val="16"/>
                  <w:color w:val="0000FF"/>
                </w:rPr>
                <w:t>of the Sarbanes-Oxley Act of 2002</w:t>
              </w:r>
            </w:hyperlink>
          </w:p>
        </w:tc>
        <w:tc>
          <w:tcPr>
            <w:tcW w:w="1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650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22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960" w:type="dxa"/>
            <w:vAlign w:val="bottom"/>
            <w:gridSpan w:val="32"/>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960" w:type="dxa"/>
            <w:vAlign w:val="bottom"/>
            <w:gridSpan w:val="32"/>
          </w:tcPr>
          <w:p>
            <w:pPr>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18" w:right="39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Schema Document</w:t>
      </w:r>
    </w:p>
    <w:p>
      <w:pPr>
        <w:spacing w:after="0" w:line="200" w:lineRule="exact"/>
        <w:rPr>
          <w:sz w:val="20"/>
          <w:szCs w:val="20"/>
          <w:color w:val="auto"/>
        </w:rPr>
      </w:pPr>
    </w:p>
    <w:p>
      <w:pPr>
        <w:sectPr>
          <w:pgSz w:w="11900" w:h="16838" w:orient="portrait"/>
          <w:cols w:equalWidth="0" w:num="2">
            <w:col w:w="1520" w:space="720"/>
            <w:col w:w="8680"/>
          </w:cols>
          <w:pgMar w:left="340" w:top="1046" w:right="6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200" w:lineRule="exact"/>
        <w:rPr>
          <w:sz w:val="20"/>
          <w:szCs w:val="20"/>
          <w:color w:val="auto"/>
        </w:rPr>
      </w:pPr>
    </w:p>
    <w:p>
      <w:pPr>
        <w:sectPr>
          <w:pgSz w:w="11900" w:h="16838" w:orient="portrait"/>
          <w:cols w:equalWidth="0" w:num="2">
            <w:col w:w="1520" w:space="720"/>
            <w:col w:w="8680"/>
          </w:cols>
          <w:pgMar w:left="340" w:top="1046" w:right="6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00" w:lineRule="exact"/>
        <w:rPr>
          <w:sz w:val="20"/>
          <w:szCs w:val="20"/>
          <w:color w:val="auto"/>
        </w:rPr>
      </w:pPr>
    </w:p>
    <w:p>
      <w:pPr>
        <w:sectPr>
          <w:pgSz w:w="11900" w:h="16838" w:orient="portrait"/>
          <w:cols w:equalWidth="0" w:num="2">
            <w:col w:w="1520" w:space="720"/>
            <w:col w:w="8680"/>
          </w:cols>
          <w:pgMar w:left="340" w:top="1046" w:right="6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00" w:lineRule="exact"/>
        <w:rPr>
          <w:sz w:val="20"/>
          <w:szCs w:val="20"/>
          <w:color w:val="auto"/>
        </w:rPr>
      </w:pPr>
    </w:p>
    <w:p>
      <w:pPr>
        <w:sectPr>
          <w:pgSz w:w="11900" w:h="16838" w:orient="portrait"/>
          <w:cols w:equalWidth="0" w:num="2">
            <w:col w:w="1520" w:space="720"/>
            <w:col w:w="8680"/>
          </w:cols>
          <w:pgMar w:left="340" w:top="1046" w:right="6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1520" w:space="720"/>
            <w:col w:w="8680"/>
          </w:cols>
          <w:pgMar w:left="340" w:top="1046" w:right="6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Cover page formatted as Inline XBRL and contained in Exhibit 101</w:t>
      </w:r>
    </w:p>
    <w:p>
      <w:pPr>
        <w:spacing w:after="0" w:line="140" w:lineRule="exact"/>
        <w:rPr>
          <w:sz w:val="20"/>
          <w:szCs w:val="20"/>
          <w:color w:val="auto"/>
        </w:rPr>
      </w:pPr>
    </w:p>
    <w:p>
      <w:pPr>
        <w:sectPr>
          <w:pgSz w:w="11900" w:h="16838" w:orient="portrait"/>
          <w:cols w:equalWidth="0" w:num="2">
            <w:col w:w="1520" w:space="720"/>
            <w:col w:w="8680"/>
          </w:cols>
          <w:pgMar w:left="340" w:top="1046" w:right="639" w:bottom="1440" w:gutter="0" w:footer="0" w:header="0"/>
          <w:type w:val="continuous"/>
        </w:sectPr>
      </w:pPr>
    </w:p>
    <w:p>
      <w:pPr>
        <w:ind w:left="1400" w:hanging="1394"/>
        <w:spacing w:after="0"/>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jc w:val="both"/>
        <w:ind w:left="1400" w:hanging="1394"/>
        <w:spacing w:after="0" w:line="221"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1046" w:right="639" w:bottom="1440" w:gutter="0" w:footer="0" w:header="0"/>
          <w:type w:val="continuous"/>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DIVERSIFIED HOLDINGS</w:t>
      </w:r>
    </w:p>
    <w:p>
      <w:pPr>
        <w:spacing w:after="0" w:line="302" w:lineRule="exact"/>
        <w:rPr>
          <w:sz w:val="20"/>
          <w:szCs w:val="20"/>
          <w:color w:val="auto"/>
        </w:rPr>
      </w:pPr>
    </w:p>
    <w:tbl>
      <w:tblPr>
        <w:tblLayout w:type="fixed"/>
        <w:tblInd w:w="598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Ryan J. Faulkingham</w:t>
            </w:r>
          </w:p>
        </w:tc>
      </w:tr>
      <w:tr>
        <w:trPr>
          <w:trHeight w:val="207"/>
        </w:trPr>
        <w:tc>
          <w:tcPr>
            <w:tcW w:w="106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16"/>
        </w:trPr>
        <w:tc>
          <w:tcPr>
            <w:tcW w:w="10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COMPASS GROUP DIVERSIFIED HOLDINGS LLC</w:t>
      </w:r>
    </w:p>
    <w:p>
      <w:pPr>
        <w:spacing w:after="0" w:line="302" w:lineRule="exact"/>
        <w:rPr>
          <w:sz w:val="20"/>
          <w:szCs w:val="20"/>
          <w:color w:val="auto"/>
        </w:rPr>
      </w:pPr>
    </w:p>
    <w:p>
      <w:pPr>
        <w:ind w:left="5980"/>
        <w:spacing w:after="0"/>
        <w:tabs>
          <w:tab w:leader="none" w:pos="7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10795</wp:posOffset>
            </wp:positionV>
            <wp:extent cx="26403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Ryan J. Faulkingham</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6"/>
          <w:szCs w:val="16"/>
          <w:i w:val="1"/>
          <w:iCs w:val="1"/>
          <w:color w:val="auto"/>
        </w:rPr>
        <w:t>Chief Financial Officer</w:t>
      </w:r>
    </w:p>
    <w:p>
      <w:pPr>
        <w:ind w:left="706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60" w:type="dxa"/>
            <w:vAlign w:val="bottom"/>
            <w:gridSpan w:val="27"/>
          </w:tcPr>
          <w:p>
            <w:pPr>
              <w:ind w:left="14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01"/>
        </w:trPr>
        <w:tc>
          <w:tcPr>
            <w:tcW w:w="230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8600" w:type="dxa"/>
            <w:vAlign w:val="bottom"/>
            <w:gridSpan w:val="30"/>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29">
              <w:r>
                <w:rPr>
                  <w:rFonts w:ascii="Arial" w:cs="Arial" w:eastAsia="Arial" w:hAnsi="Arial"/>
                  <w:sz w:val="16"/>
                  <w:szCs w:val="16"/>
                  <w:color w:val="0000FF"/>
                </w:rPr>
                <w:t>Stock Purchase Agreement, dated July 16, 2021, by and among (i) Liberty Safe Holding Corporation; (ii) Independence</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Buyer, Inc.; (iii); Compass Group Diversified Holdings LLC, as the Sellers Representative; and (iv) each Stockholder</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3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and Optionholder of Liberty Safe Holding Corporation (incorporated by reference to Exhibit 2.1 of the Form 8-K filed</w:t>
              </w:r>
            </w:hyperlink>
          </w:p>
        </w:tc>
        <w:tc>
          <w:tcPr>
            <w:tcW w:w="300" w:type="dxa"/>
            <w:vAlign w:val="bottom"/>
            <w:gridSpan w:val="11"/>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on</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5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July 19, 2021 (File No. 000-34927).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2.2</w:t>
            </w:r>
          </w:p>
        </w:tc>
        <w:tc>
          <w:tcPr>
            <w:tcW w:w="1100" w:type="dxa"/>
            <w:vAlign w:val="bottom"/>
          </w:tcPr>
          <w:p>
            <w:pPr>
              <w:spacing w:after="0"/>
              <w:rPr>
                <w:sz w:val="24"/>
                <w:szCs w:val="24"/>
                <w:color w:val="auto"/>
              </w:rPr>
            </w:pPr>
          </w:p>
        </w:tc>
        <w:tc>
          <w:tcPr>
            <w:tcW w:w="8020" w:type="dxa"/>
            <w:vAlign w:val="bottom"/>
            <w:tcBorders>
              <w:bottom w:val="single" w:sz="8" w:color="0000FF"/>
            </w:tcBorders>
            <w:gridSpan w:val="15"/>
          </w:tcPr>
          <w:p>
            <w:pPr>
              <w:spacing w:after="0"/>
              <w:rPr>
                <w:rFonts w:ascii="Arial" w:cs="Arial" w:eastAsia="Arial" w:hAnsi="Arial"/>
                <w:sz w:val="16"/>
                <w:szCs w:val="16"/>
                <w:color w:val="0000FF"/>
              </w:rPr>
            </w:pPr>
            <w:hyperlink r:id="rId130">
              <w:r>
                <w:rPr>
                  <w:rFonts w:ascii="Arial" w:cs="Arial" w:eastAsia="Arial" w:hAnsi="Arial"/>
                  <w:sz w:val="16"/>
                  <w:szCs w:val="16"/>
                  <w:color w:val="0000FF"/>
                </w:rPr>
                <w:t>Amendment to Stock Purchase Agreement, dated August 3, 2021, by and among Independence Buyer, Inc. and</w:t>
              </w:r>
            </w:hyperlink>
          </w:p>
        </w:tc>
        <w:tc>
          <w:tcPr>
            <w:tcW w:w="5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0" w:type="dxa"/>
            <w:vAlign w:val="bottom"/>
            <w:gridSpan w:val="30"/>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Compass Group Diversified Holdings LLC, as the Sellers Representative (incorporated by reference to Exhibit 2.1 of</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7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the Form 8-K filed on August 3, 2021 (Accession No. 0001345126-21-000031)).</w:t>
              </w:r>
            </w:hyperlink>
          </w:p>
        </w:tc>
        <w:tc>
          <w:tcPr>
            <w:tcW w:w="26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2.3</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1">
              <w:r>
                <w:rPr>
                  <w:rFonts w:ascii="Arial" w:cs="Arial" w:eastAsia="Arial" w:hAnsi="Arial"/>
                  <w:sz w:val="16"/>
                  <w:szCs w:val="16"/>
                  <w:color w:val="0000FF"/>
                </w:rPr>
                <w:t>Agreement and Plan of Merger, dated October 13, 2021, by and among (i) Tempo Automation, Inc.; (ii) Aspen</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Acquisition Sub, Inc.; (iii) Compass AC Holdings, Inc.; and (iv) Compass Group Diversified Holdings LLC, as</w:t>
              </w:r>
            </w:hyperlink>
          </w:p>
        </w:tc>
        <w:tc>
          <w:tcPr>
            <w:tcW w:w="780" w:type="dxa"/>
            <w:vAlign w:val="bottom"/>
            <w:gridSpan w:val="17"/>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the Sellers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1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131">
              <w:r>
                <w:rPr>
                  <w:rFonts w:ascii="Arial" w:cs="Arial" w:eastAsia="Arial" w:hAnsi="Arial"/>
                  <w:sz w:val="16"/>
                  <w:szCs w:val="16"/>
                  <w:color w:val="0000FF"/>
                </w:rPr>
                <w:t>Representative (incorporated by reference to Exhibit 2.1 of the Form 8-K filed on October 14, 2021).</w:t>
              </w:r>
            </w:hyperlink>
          </w:p>
        </w:tc>
        <w:tc>
          <w:tcPr>
            <w:tcW w:w="14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2">
              <w:r>
                <w:rPr>
                  <w:rFonts w:ascii="Arial" w:cs="Arial" w:eastAsia="Arial" w:hAnsi="Arial"/>
                  <w:sz w:val="16"/>
                  <w:szCs w:val="16"/>
                  <w:color w:val="0000FF"/>
                </w:rPr>
                <w:t>Third Amended and Restated Trust Agreement of the Trust (incorporated by reference to Exhibit 3.1 of the Form 8-K</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32">
              <w:r>
                <w:rPr>
                  <w:rFonts w:ascii="Arial" w:cs="Arial" w:eastAsia="Arial" w:hAnsi="Arial"/>
                  <w:sz w:val="16"/>
                  <w:szCs w:val="16"/>
                  <w:color w:val="0000FF"/>
                </w:rPr>
                <w:t>filed on August 4, 2021).</w:t>
              </w:r>
            </w:hyperlink>
          </w:p>
        </w:tc>
        <w:tc>
          <w:tcPr>
            <w:tcW w:w="658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3.2</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3">
              <w:r>
                <w:rPr>
                  <w:rFonts w:ascii="Arial" w:cs="Arial" w:eastAsia="Arial" w:hAnsi="Arial"/>
                  <w:sz w:val="16"/>
                  <w:szCs w:val="16"/>
                  <w:color w:val="0000FF"/>
                </w:rPr>
                <w:t>Sixth Amended and Restated Operating Agreement of the Company (incorporated by reference to Exhibit 3.2 of the</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Form 8-K filed on August 4, 2021).</w:t>
              </w:r>
            </w:hyperlink>
          </w:p>
        </w:tc>
        <w:tc>
          <w:tcPr>
            <w:tcW w:w="5720" w:type="dxa"/>
            <w:vAlign w:val="bottom"/>
            <w:tcBorders>
              <w:top w:val="single" w:sz="8" w:color="0000FF"/>
            </w:tcBorders>
            <w:gridSpan w:val="15"/>
          </w:tcPr>
          <w:p>
            <w:pPr>
              <w:spacing w:after="0"/>
              <w:rPr>
                <w:sz w:val="12"/>
                <w:szCs w:val="12"/>
                <w:color w:val="auto"/>
              </w:rPr>
            </w:pPr>
          </w:p>
        </w:tc>
        <w:tc>
          <w:tcPr>
            <w:tcW w:w="10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3.3</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4">
              <w:r>
                <w:rPr>
                  <w:rFonts w:ascii="Arial" w:cs="Arial" w:eastAsia="Arial" w:hAnsi="Arial"/>
                  <w:sz w:val="16"/>
                  <w:szCs w:val="16"/>
                  <w:color w:val="0000FF"/>
                </w:rPr>
                <w:t>Amended and Restated Share Designation of Compass Diversified Holdings with respect to Series A Preferred Shares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4">
              <w:r>
                <w:rPr>
                  <w:rFonts w:ascii="Arial" w:cs="Arial" w:eastAsia="Arial" w:hAnsi="Arial"/>
                  <w:sz w:val="16"/>
                  <w:szCs w:val="16"/>
                  <w:color w:val="0000FF"/>
                </w:rPr>
                <w:t>(incorporated by reference to Exhibit 3.3 of the Form 8-K filed on August 4, 2021).</w:t>
              </w:r>
            </w:hyperlink>
          </w:p>
        </w:tc>
        <w:tc>
          <w:tcPr>
            <w:tcW w:w="266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3.4</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5">
              <w:r>
                <w:rPr>
                  <w:rFonts w:ascii="Arial" w:cs="Arial" w:eastAsia="Arial" w:hAnsi="Arial"/>
                  <w:sz w:val="16"/>
                  <w:szCs w:val="16"/>
                  <w:color w:val="0000FF"/>
                </w:rPr>
                <w:t>Amended and Restated Share Designation of Compass Diversified Holdings with respect to Series B Preferred Shares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5">
              <w:r>
                <w:rPr>
                  <w:rFonts w:ascii="Arial" w:cs="Arial" w:eastAsia="Arial" w:hAnsi="Arial"/>
                  <w:sz w:val="16"/>
                  <w:szCs w:val="16"/>
                  <w:color w:val="0000FF"/>
                </w:rPr>
                <w:t>(incorporated by reference to Exhibit 3.4 of the Form 8-K filed on August 4, 2021).</w:t>
              </w:r>
            </w:hyperlink>
          </w:p>
        </w:tc>
        <w:tc>
          <w:tcPr>
            <w:tcW w:w="266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3.5</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6">
              <w:r>
                <w:rPr>
                  <w:rFonts w:ascii="Arial" w:cs="Arial" w:eastAsia="Arial" w:hAnsi="Arial"/>
                  <w:sz w:val="16"/>
                  <w:szCs w:val="16"/>
                  <w:color w:val="0000FF"/>
                </w:rPr>
                <w:t>Amended and Restated Share Designation of Compass Diversified Holdings with respect to Series C Preferred Shares</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136">
              <w:r>
                <w:rPr>
                  <w:rFonts w:ascii="Arial" w:cs="Arial" w:eastAsia="Arial" w:hAnsi="Arial"/>
                  <w:sz w:val="16"/>
                  <w:szCs w:val="16"/>
                  <w:color w:val="0000FF"/>
                </w:rPr>
                <w:t>(incorporated by reference to Exhibit 3.5 of the Form 8-K filed on August 4, 2021).</w:t>
              </w:r>
            </w:hyperlink>
          </w:p>
        </w:tc>
        <w:tc>
          <w:tcPr>
            <w:tcW w:w="2680" w:type="dxa"/>
            <w:vAlign w:val="bottom"/>
            <w:tcBorders>
              <w:top w:val="single" w:sz="8" w:color="0000FF"/>
            </w:tcBorders>
            <w:gridSpan w:val="16"/>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4.1</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7">
              <w:r>
                <w:rPr>
                  <w:rFonts w:ascii="Arial" w:cs="Arial" w:eastAsia="Arial" w:hAnsi="Arial"/>
                  <w:sz w:val="16"/>
                  <w:szCs w:val="16"/>
                  <w:color w:val="0000FF"/>
                </w:rPr>
                <w:t>Specimen Certificate evidencing a share of trust of Compass Diversified Holdings (incorporated by reference to Exhibit</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7">
              <w:r>
                <w:rPr>
                  <w:rFonts w:ascii="Arial" w:cs="Arial" w:eastAsia="Arial" w:hAnsi="Arial"/>
                  <w:sz w:val="16"/>
                  <w:szCs w:val="16"/>
                  <w:color w:val="0000FF"/>
                </w:rPr>
                <w:t>A of Exhibit 3.1 of the Form 8-K filed on August 4, 2021).</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4.2</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8">
              <w:r>
                <w:rPr>
                  <w:rFonts w:ascii="Arial" w:cs="Arial" w:eastAsia="Arial" w:hAnsi="Arial"/>
                  <w:sz w:val="16"/>
                  <w:szCs w:val="16"/>
                  <w:color w:val="0000FF"/>
                </w:rPr>
                <w:t>Specimen LLC Interest Certificate evidencing an interest of Compass Group Diversified Holdings LLC (incorporated by</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reference to Exhibit A of Exhibit 3.2 of the Form 8-K filed on August 4, 2021).</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4.3</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39">
              <w:r>
                <w:rPr>
                  <w:rFonts w:ascii="Arial" w:cs="Arial" w:eastAsia="Arial" w:hAnsi="Arial"/>
                  <w:sz w:val="16"/>
                  <w:szCs w:val="16"/>
                  <w:color w:val="0000FF"/>
                </w:rPr>
                <w:t>Form of 7.250% Series A Preferred Share Certificate (incorporated by reference to Appendix A of Exhibit 3.3 of the</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5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Form 8-K filed on August 4, 2021).</w:t>
              </w:r>
            </w:hyperlink>
          </w:p>
        </w:tc>
        <w:tc>
          <w:tcPr>
            <w:tcW w:w="5680" w:type="dxa"/>
            <w:vAlign w:val="bottom"/>
            <w:tcBorders>
              <w:top w:val="single" w:sz="8" w:color="0000FF"/>
            </w:tcBorders>
            <w:gridSpan w:val="14"/>
          </w:tcPr>
          <w:p>
            <w:pPr>
              <w:spacing w:after="0"/>
              <w:rPr>
                <w:sz w:val="12"/>
                <w:szCs w:val="12"/>
                <w:color w:val="auto"/>
              </w:rPr>
            </w:pPr>
          </w:p>
        </w:tc>
        <w:tc>
          <w:tcPr>
            <w:tcW w:w="140" w:type="dxa"/>
            <w:vAlign w:val="bottom"/>
            <w:gridSpan w:val="5"/>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4.4</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Form of 7.875% Series B Fixed-to-Floating Rate Cumulative Preferred Share Certificate (incorporated by reference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Appendix A of Exhibit 3.4 of the Form 8-K filed on August 4, 2021).</w:t>
              </w:r>
            </w:hyperlink>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4.5</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r:id="rId141">
              <w:r>
                <w:rPr>
                  <w:rFonts w:ascii="Arial" w:cs="Arial" w:eastAsia="Arial" w:hAnsi="Arial"/>
                  <w:sz w:val="16"/>
                  <w:szCs w:val="16"/>
                  <w:color w:val="0000FF"/>
                </w:rPr>
                <w:t>Form of 7.875% Series C Cumulative Preferred Share Certificate (incorporated by reference to Appendix A of Exhibit</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3.</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of the Form 8-K filed on August 4, 2021).</w:t>
              </w:r>
            </w:hyperlink>
          </w:p>
        </w:tc>
        <w:tc>
          <w:tcPr>
            <w:tcW w:w="5160" w:type="dxa"/>
            <w:vAlign w:val="bottom"/>
            <w:tcBorders>
              <w:top w:val="single" w:sz="8" w:color="0000FF"/>
            </w:tcBorders>
            <w:gridSpan w:val="18"/>
          </w:tcPr>
          <w:p>
            <w:pPr>
              <w:spacing w:after="0"/>
              <w:rPr>
                <w:sz w:val="12"/>
                <w:szCs w:val="12"/>
                <w:color w:val="auto"/>
              </w:rPr>
            </w:pPr>
          </w:p>
        </w:tc>
        <w:tc>
          <w:tcPr>
            <w:tcW w:w="24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20"/>
              <w:spacing w:after="0"/>
              <w:rPr>
                <w:sz w:val="20"/>
                <w:szCs w:val="20"/>
                <w:color w:val="auto"/>
              </w:rPr>
            </w:pPr>
            <w:r>
              <w:rPr>
                <w:rFonts w:ascii="Arial" w:cs="Arial" w:eastAsia="Arial" w:hAnsi="Arial"/>
                <w:sz w:val="16"/>
                <w:szCs w:val="16"/>
                <w:color w:val="auto"/>
              </w:rPr>
              <w:t>31.1*</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31.2*</w:t>
            </w:r>
          </w:p>
        </w:tc>
        <w:tc>
          <w:tcPr>
            <w:tcW w:w="1100" w:type="dxa"/>
            <w:vAlign w:val="bottom"/>
          </w:tcPr>
          <w:p>
            <w:pPr>
              <w:spacing w:after="0"/>
              <w:rPr>
                <w:sz w:val="24"/>
                <w:szCs w:val="24"/>
                <w:color w:val="auto"/>
              </w:rPr>
            </w:pPr>
          </w:p>
        </w:tc>
        <w:tc>
          <w:tcPr>
            <w:tcW w:w="5560" w:type="dxa"/>
            <w:vAlign w:val="bottom"/>
            <w:tcBorders>
              <w:top w:val="single" w:sz="8" w:color="0000FF"/>
            </w:tcBorders>
            <w:gridSpan w:val="9"/>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Rule 13a-14(a)/15d-14(a) Certification of Chief Financial Officer of Registrant</w:t>
              </w:r>
            </w:hyperlink>
          </w:p>
        </w:tc>
        <w:tc>
          <w:tcPr>
            <w:tcW w:w="30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12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100" w:type="dxa"/>
            <w:vAlign w:val="bottom"/>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Certification of Chief Executive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86">
              <w:r>
                <w:rPr>
                  <w:rFonts w:ascii="Arial" w:cs="Arial" w:eastAsia="Arial" w:hAnsi="Arial"/>
                  <w:sz w:val="16"/>
                  <w:szCs w:val="16"/>
                  <w:color w:val="0000FF"/>
                </w:rPr>
                <w:t>Section 906 of the Sarbanes-Oxley Act of 2002</w:t>
              </w:r>
            </w:hyperlink>
          </w:p>
        </w:tc>
        <w:tc>
          <w:tcPr>
            <w:tcW w:w="4660" w:type="dxa"/>
            <w:vAlign w:val="bottom"/>
            <w:tcBorders>
              <w:top w:val="single" w:sz="8" w:color="0000FF"/>
            </w:tcBorders>
            <w:gridSpan w:val="11"/>
          </w:tcPr>
          <w:p>
            <w:pPr>
              <w:spacing w:after="0"/>
              <w:rPr>
                <w:sz w:val="12"/>
                <w:szCs w:val="12"/>
                <w:color w:val="auto"/>
              </w:rPr>
            </w:pPr>
          </w:p>
        </w:tc>
        <w:tc>
          <w:tcPr>
            <w:tcW w:w="56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1200" w:type="dxa"/>
            <w:vAlign w:val="bottom"/>
          </w:tcPr>
          <w:p>
            <w:pPr>
              <w:ind w:left="12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100" w:type="dxa"/>
            <w:vAlign w:val="bottom"/>
          </w:tcPr>
          <w:p>
            <w:pPr>
              <w:spacing w:after="0"/>
              <w:rPr>
                <w:sz w:val="24"/>
                <w:szCs w:val="24"/>
                <w:color w:val="auto"/>
              </w:rPr>
            </w:pPr>
          </w:p>
        </w:tc>
        <w:tc>
          <w:tcPr>
            <w:tcW w:w="8600" w:type="dxa"/>
            <w:vAlign w:val="bottom"/>
            <w:gridSpan w:val="30"/>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w:anchor="page87">
              <w:r>
                <w:rPr>
                  <w:rFonts w:ascii="Arial" w:cs="Arial" w:eastAsia="Arial" w:hAnsi="Arial"/>
                  <w:sz w:val="16"/>
                  <w:szCs w:val="16"/>
                  <w:color w:val="0000FF"/>
                </w:rPr>
                <w:t>Section 906 of the Sarbanes-Oxley Act of 2002</w:t>
              </w:r>
            </w:hyperlink>
          </w:p>
        </w:tc>
        <w:tc>
          <w:tcPr>
            <w:tcW w:w="4600" w:type="dxa"/>
            <w:vAlign w:val="bottom"/>
            <w:tcBorders>
              <w:top w:val="single" w:sz="8" w:color="0000FF"/>
            </w:tcBorders>
            <w:gridSpan w:val="9"/>
          </w:tcPr>
          <w:p>
            <w:pPr>
              <w:spacing w:after="0"/>
              <w:rPr>
                <w:sz w:val="12"/>
                <w:szCs w:val="12"/>
                <w:color w:val="auto"/>
              </w:rPr>
            </w:pPr>
          </w:p>
        </w:tc>
        <w:tc>
          <w:tcPr>
            <w:tcW w:w="62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23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600" w:type="dxa"/>
            <w:vAlign w:val="bottom"/>
            <w:gridSpan w:val="30"/>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0" w:type="dxa"/>
            <w:vAlign w:val="bottom"/>
            <w:gridSpan w:val="30"/>
          </w:tcPr>
          <w:p>
            <w:pPr>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486"/>
        </w:trPr>
        <w:tc>
          <w:tcPr>
            <w:tcW w:w="230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00" w:type="dxa"/>
            <w:vAlign w:val="bottom"/>
            <w:gridSpan w:val="30"/>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92075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883" w:right="71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101.CAL*</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101.DEF*</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 Document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Cover page formatted as Inline XBRL and contained in Exhibit 101</w:t>
      </w:r>
    </w:p>
    <w:p>
      <w:pPr>
        <w:spacing w:after="0" w:line="200" w:lineRule="exact"/>
        <w:rPr>
          <w:sz w:val="20"/>
          <w:szCs w:val="20"/>
          <w:color w:val="auto"/>
        </w:rPr>
      </w:pPr>
    </w:p>
    <w:p>
      <w:pPr>
        <w:sectPr>
          <w:pgSz w:w="11900" w:h="16838" w:orient="portrait"/>
          <w:cols w:equalWidth="0" w:num="2">
            <w:col w:w="1580" w:space="720"/>
            <w:col w:w="8260"/>
          </w:cols>
          <w:pgMar w:left="340" w:top="1046" w:right="999" w:bottom="1440" w:gutter="0" w:footer="0" w:header="0"/>
        </w:sectPr>
      </w:pPr>
    </w:p>
    <w:p>
      <w:pPr>
        <w:spacing w:after="0" w:line="261" w:lineRule="exact"/>
        <w:rPr>
          <w:sz w:val="20"/>
          <w:szCs w:val="20"/>
          <w:color w:val="auto"/>
        </w:rPr>
      </w:pPr>
    </w:p>
    <w:p>
      <w:pPr>
        <w:ind w:left="1360" w:hanging="1354"/>
        <w:spacing w:after="0"/>
        <w:tabs>
          <w:tab w:leader="none" w:pos="1360" w:val="left"/>
        </w:tabs>
        <w:numPr>
          <w:ilvl w:val="0"/>
          <w:numId w:val="34"/>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86" w:lineRule="exact"/>
        <w:rPr>
          <w:sz w:val="20"/>
          <w:szCs w:val="20"/>
          <w:color w:val="auto"/>
        </w:rPr>
      </w:pPr>
    </w:p>
    <w:p>
      <w:pPr>
        <w:jc w:val="both"/>
        <w:ind w:left="1360" w:hanging="1354"/>
        <w:spacing w:after="0" w:line="213" w:lineRule="auto"/>
        <w:tabs>
          <w:tab w:leader="none" w:pos="1360" w:val="left"/>
        </w:tabs>
        <w:numPr>
          <w:ilvl w:val="0"/>
          <w:numId w:val="35"/>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560"/>
          </w:cols>
          <w:pgMar w:left="340" w:top="1046" w:right="99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60" w:hanging="324"/>
        <w:spacing w:after="0" w:line="260"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100" w:hanging="324"/>
        <w:spacing w:after="0" w:line="260" w:lineRule="auto"/>
        <w:tabs>
          <w:tab w:leader="none" w:pos="975"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October 28, 2021</w:t>
      </w:r>
    </w:p>
    <w:p>
      <w:pPr>
        <w:spacing w:after="0" w:line="135"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12700</wp:posOffset>
            </wp:positionV>
            <wp:extent cx="24688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5"/>
          <w:szCs w:val="15"/>
          <w:color w:val="auto"/>
        </w:rPr>
        <w:t>Elias J. Sabo</w:t>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5"/>
          <w:szCs w:val="15"/>
          <w:i w:val="1"/>
          <w:iCs w:val="1"/>
          <w:color w:val="auto"/>
        </w:rPr>
        <w:t>Chief Executive Officer of</w:t>
      </w:r>
    </w:p>
    <w:p>
      <w:pPr>
        <w:ind w:left="7320"/>
        <w:spacing w:after="0" w:line="206" w:lineRule="auto"/>
        <w:rPr>
          <w:sz w:val="20"/>
          <w:szCs w:val="20"/>
          <w:color w:val="auto"/>
        </w:rPr>
      </w:pPr>
      <w:r>
        <w:rPr>
          <w:rFonts w:ascii="Arial" w:cs="Arial" w:eastAsia="Arial" w:hAnsi="Arial"/>
          <w:sz w:val="15"/>
          <w:szCs w:val="15"/>
          <w:i w:val="1"/>
          <w:iCs w:val="1"/>
          <w:color w:val="auto"/>
        </w:rPr>
        <w:t>Compass Group Diversified Holdings LLC</w:t>
      </w:r>
    </w:p>
    <w:p>
      <w:pPr>
        <w:ind w:left="732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88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60" w:hanging="328"/>
        <w:spacing w:after="0" w:line="254"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294"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300" w:hanging="320"/>
        <w:spacing w:after="0" w:line="254"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100" w:hanging="328"/>
        <w:spacing w:after="0" w:line="259" w:lineRule="auto"/>
        <w:tabs>
          <w:tab w:leader="none" w:pos="65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October 28, 2021</w:t>
      </w:r>
    </w:p>
    <w:p>
      <w:pPr>
        <w:spacing w:after="0" w:line="142"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8255</wp:posOffset>
            </wp:positionV>
            <wp:extent cx="3000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Ryan J. Faulkingham</w:t>
      </w:r>
    </w:p>
    <w:p>
      <w:pPr>
        <w:ind w:left="6500"/>
        <w:spacing w:after="0" w:line="224" w:lineRule="auto"/>
        <w:rPr>
          <w:sz w:val="20"/>
          <w:szCs w:val="20"/>
          <w:color w:val="auto"/>
        </w:rPr>
      </w:pPr>
      <w:r>
        <w:rPr>
          <w:rFonts w:ascii="Arial" w:cs="Arial" w:eastAsia="Arial" w:hAnsi="Arial"/>
          <w:sz w:val="17"/>
          <w:szCs w:val="17"/>
          <w:i w:val="1"/>
          <w:iCs w:val="1"/>
          <w:color w:val="auto"/>
        </w:rPr>
        <w:t>Regular Trustee of Compass Diversified Holdings and Chief</w:t>
      </w:r>
    </w:p>
    <w:p>
      <w:pPr>
        <w:ind w:left="6500"/>
        <w:spacing w:after="0" w:line="199" w:lineRule="auto"/>
        <w:rPr>
          <w:sz w:val="20"/>
          <w:szCs w:val="20"/>
          <w:color w:val="auto"/>
        </w:rPr>
      </w:pPr>
      <w:r>
        <w:rPr>
          <w:rFonts w:ascii="Arial" w:cs="Arial" w:eastAsia="Arial" w:hAnsi="Arial"/>
          <w:sz w:val="17"/>
          <w:szCs w:val="17"/>
          <w:i w:val="1"/>
          <w:iCs w:val="1"/>
          <w:color w:val="auto"/>
        </w:rPr>
        <w:t>Financial Officer of</w:t>
      </w:r>
    </w:p>
    <w:p>
      <w:pPr>
        <w:ind w:left="6500"/>
        <w:spacing w:after="0" w:line="198" w:lineRule="auto"/>
        <w:rPr>
          <w:sz w:val="20"/>
          <w:szCs w:val="20"/>
          <w:color w:val="auto"/>
        </w:rPr>
      </w:pPr>
      <w:r>
        <w:rPr>
          <w:rFonts w:ascii="Arial" w:cs="Arial" w:eastAsia="Arial" w:hAnsi="Arial"/>
          <w:sz w:val="17"/>
          <w:szCs w:val="17"/>
          <w:i w:val="1"/>
          <w:iCs w:val="1"/>
          <w:color w:val="auto"/>
        </w:rPr>
        <w:t>Compass Group Diversified Holdings LLC</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88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500" w:firstLine="445"/>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September 30, 2021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October 28, 2021</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Elias J. Sabo</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Elias J. Sabo</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Chief Executive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308" w:lineRule="exact"/>
        <w:rPr>
          <w:sz w:val="20"/>
          <w:szCs w:val="20"/>
          <w:color w:val="auto"/>
        </w:rPr>
      </w:pPr>
    </w:p>
    <w:p>
      <w:pPr>
        <w:ind w:right="4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September 30, 2021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88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b w:val="1"/>
          <w:bCs w:val="1"/>
          <w:color w:val="auto"/>
        </w:rPr>
        <w:t>Exhibit 32.2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20" w:firstLine="445"/>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September 30, 2021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38" w:lineRule="exact"/>
        <w:rPr>
          <w:sz w:val="20"/>
          <w:szCs w:val="20"/>
          <w:color w:val="auto"/>
        </w:rPr>
      </w:pPr>
    </w:p>
    <w:p>
      <w:pPr>
        <w:ind w:left="560" w:hanging="309"/>
        <w:spacing w:after="0"/>
        <w:tabs>
          <w:tab w:leader="none" w:pos="5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42" w:lineRule="exact"/>
        <w:rPr>
          <w:rFonts w:ascii="Arial" w:cs="Arial" w:eastAsia="Arial" w:hAnsi="Arial"/>
          <w:sz w:val="17"/>
          <w:szCs w:val="17"/>
          <w:color w:val="auto"/>
        </w:rPr>
      </w:pPr>
    </w:p>
    <w:p>
      <w:pPr>
        <w:ind w:left="580" w:right="140" w:hanging="329"/>
        <w:spacing w:after="0" w:line="259" w:lineRule="auto"/>
        <w:tabs>
          <w:tab w:leader="none" w:pos="57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40" w:type="dxa"/>
            <w:vAlign w:val="bottom"/>
          </w:tcPr>
          <w:p>
            <w:pPr>
              <w:spacing w:after="0"/>
              <w:rPr>
                <w:sz w:val="20"/>
                <w:szCs w:val="20"/>
                <w:color w:val="auto"/>
              </w:rPr>
            </w:pPr>
            <w:r>
              <w:rPr>
                <w:rFonts w:ascii="Arial" w:cs="Arial" w:eastAsia="Arial" w:hAnsi="Arial"/>
                <w:sz w:val="17"/>
                <w:szCs w:val="17"/>
                <w:color w:val="auto"/>
              </w:rPr>
              <w:t>Dated:   October 28, 2021</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Ryan J. Faulkingham</w:t>
            </w:r>
          </w:p>
        </w:tc>
      </w:tr>
      <w:tr>
        <w:trPr>
          <w:trHeight w:val="208"/>
        </w:trPr>
        <w:tc>
          <w:tcPr>
            <w:tcW w:w="694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Ryan J. Faulkingham</w:t>
            </w:r>
          </w:p>
        </w:tc>
      </w:tr>
      <w:tr>
        <w:trPr>
          <w:trHeight w:val="173"/>
        </w:trPr>
        <w:tc>
          <w:tcPr>
            <w:tcW w:w="6940" w:type="dxa"/>
            <w:vAlign w:val="bottom"/>
          </w:tcPr>
          <w:p>
            <w:pPr>
              <w:spacing w:after="0"/>
              <w:rPr>
                <w:sz w:val="15"/>
                <w:szCs w:val="15"/>
                <w:color w:val="auto"/>
              </w:rPr>
            </w:pPr>
          </w:p>
        </w:tc>
        <w:tc>
          <w:tcPr>
            <w:tcW w:w="4220" w:type="dxa"/>
            <w:vAlign w:val="bottom"/>
          </w:tcPr>
          <w:p>
            <w:pPr>
              <w:ind w:left="20"/>
              <w:spacing w:after="0" w:line="173" w:lineRule="exact"/>
              <w:rPr>
                <w:sz w:val="20"/>
                <w:szCs w:val="20"/>
                <w:color w:val="auto"/>
              </w:rPr>
            </w:pPr>
            <w:r>
              <w:rPr>
                <w:rFonts w:ascii="Arial" w:cs="Arial" w:eastAsia="Arial" w:hAnsi="Arial"/>
                <w:sz w:val="17"/>
                <w:szCs w:val="17"/>
                <w:color w:val="auto"/>
              </w:rPr>
              <w:t>Regular Trustee, Compass Diversified Holdings and</w:t>
            </w:r>
          </w:p>
        </w:tc>
      </w:tr>
      <w:tr>
        <w:trPr>
          <w:trHeight w:val="162"/>
        </w:trPr>
        <w:tc>
          <w:tcPr>
            <w:tcW w:w="6940" w:type="dxa"/>
            <w:vAlign w:val="bottom"/>
          </w:tcPr>
          <w:p>
            <w:pPr>
              <w:spacing w:after="0"/>
              <w:rPr>
                <w:sz w:val="14"/>
                <w:szCs w:val="14"/>
                <w:color w:val="auto"/>
              </w:rPr>
            </w:pPr>
          </w:p>
        </w:tc>
        <w:tc>
          <w:tcPr>
            <w:tcW w:w="4220" w:type="dxa"/>
            <w:vAlign w:val="bottom"/>
          </w:tcPr>
          <w:p>
            <w:pPr>
              <w:ind w:left="20"/>
              <w:spacing w:after="0" w:line="162" w:lineRule="exact"/>
              <w:rPr>
                <w:sz w:val="20"/>
                <w:szCs w:val="20"/>
                <w:color w:val="auto"/>
              </w:rPr>
            </w:pPr>
            <w:r>
              <w:rPr>
                <w:rFonts w:ascii="Arial" w:cs="Arial" w:eastAsia="Arial" w:hAnsi="Arial"/>
                <w:sz w:val="17"/>
                <w:szCs w:val="17"/>
                <w:color w:val="auto"/>
              </w:rPr>
              <w:t>Chief Financial Officer,</w:t>
            </w:r>
          </w:p>
        </w:tc>
      </w:tr>
      <w:tr>
        <w:trPr>
          <w:trHeight w:val="205"/>
        </w:trPr>
        <w:tc>
          <w:tcPr>
            <w:tcW w:w="694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Arial" w:cs="Arial" w:eastAsia="Arial" w:hAnsi="Arial"/>
                <w:sz w:val="17"/>
                <w:szCs w:val="17"/>
                <w:color w:val="auto"/>
              </w:rPr>
              <w:t>Compass Group Diversified Holdings LLC</w:t>
            </w:r>
          </w:p>
        </w:tc>
      </w:tr>
    </w:tbl>
    <w:p>
      <w:pPr>
        <w:spacing w:after="0" w:line="308" w:lineRule="exact"/>
        <w:rPr>
          <w:sz w:val="20"/>
          <w:szCs w:val="20"/>
          <w:color w:val="auto"/>
        </w:rPr>
      </w:pPr>
    </w:p>
    <w:p>
      <w:pPr>
        <w:ind w:right="160" w:firstLine="445"/>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September 30, 2021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29" Type="http://schemas.openxmlformats.org/officeDocument/2006/relationships/hyperlink" Target="http://www.sec.gov/Archives/edgar/data/1345126/000134512621000023/ex21stockpurchaseagreement.htm" TargetMode="External"/><Relationship Id="rId130" Type="http://schemas.openxmlformats.org/officeDocument/2006/relationships/hyperlink" Target="http://www.sec.gov/Archives/edgar/data/1345126/000134512621000031/ex21amendmenttolibertystoc.htm" TargetMode="External"/><Relationship Id="rId131" Type="http://schemas.openxmlformats.org/officeDocument/2006/relationships/hyperlink" Target="http://www.sec.gov/Archives/edgar/data/1345126/000119312521298886/d214107dex21.htm" TargetMode="External"/><Relationship Id="rId132" Type="http://schemas.openxmlformats.org/officeDocument/2006/relationships/hyperlink" Target="http://www.sec.gov/Archives/edgar/data/1345126/000119312521235786/d57259dex31.htm" TargetMode="External"/><Relationship Id="rId133" Type="http://schemas.openxmlformats.org/officeDocument/2006/relationships/hyperlink" Target="http://www.sec.gov/Archives/edgar/data/1345126/000119312521235786/d57259dex32.htm" TargetMode="External"/><Relationship Id="rId134" Type="http://schemas.openxmlformats.org/officeDocument/2006/relationships/hyperlink" Target="http://www.sec.gov/Archives/edgar/data/1345126/000119312521235786/d57259dex33.htm" TargetMode="External"/><Relationship Id="rId135" Type="http://schemas.openxmlformats.org/officeDocument/2006/relationships/hyperlink" Target="http://www.sec.gov/Archives/edgar/data/1345126/000119312521235786/d57259dex34.htm" TargetMode="External"/><Relationship Id="rId136" Type="http://schemas.openxmlformats.org/officeDocument/2006/relationships/hyperlink" Target="http://www.sec.gov/Archives/edgar/data/1345126/000119312521235786/d57259dex35.htm" TargetMode="External"/><Relationship Id="rId137" Type="http://schemas.openxmlformats.org/officeDocument/2006/relationships/hyperlink" Target="http://www.sec.gov/Archives/edgar/data/1345126/000119312521235786/d57259dex31.htm#tx57259_43a" TargetMode="External"/><Relationship Id="rId138" Type="http://schemas.openxmlformats.org/officeDocument/2006/relationships/hyperlink" Target="http://www.sec.gov/Archives/edgar/data/1345126/000119312521235786/d57259dex32.htm#tx57259_76a" TargetMode="External"/><Relationship Id="rId139" Type="http://schemas.openxmlformats.org/officeDocument/2006/relationships/hyperlink" Target="http://www.sec.gov/Archives/edgar/data/1345126/000119312521235786/d57259dex33.htm#appa" TargetMode="External"/><Relationship Id="rId140" Type="http://schemas.openxmlformats.org/officeDocument/2006/relationships/hyperlink" Target="http://www.sec.gov/Archives/edgar/data/1345126/000119312521235786/d57259dex34.htm#appb" TargetMode="External"/><Relationship Id="rId141" Type="http://schemas.openxmlformats.org/officeDocument/2006/relationships/hyperlink" Target="http://www.sec.gov/Archives/edgar/data/1345126/000119312521235786/d57259dex35.htm#app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2021-10-28T15:24:10Z</dcterms:created>
  <dcterms:modified xsi:type="dcterms:W3CDTF">2021-10-28T15:24:10Z</dcterms:modified>
</cp:coreProperties>
</file>