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ENTERLINE LARRY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RIVERSIDE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SECOND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WESTPORT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Compass Diversified Holdings</w:t>
              </w:r>
            </w:hyperlink>
            <w:r>
              <w:rPr/>
              <w:t xml:space="preserve"> [ </w:t>
            </w:r>
            <w:r>
              <w:rPr>
                <w:rFonts w:ascii="Times;serif" w:hAnsi="Times;serif"/>
                <w:color w:val="0000FF"/>
                <w:sz w:val="24"/>
                <w:shd w:fill="FFFFFF" w:val="clear"/>
              </w:rPr>
              <w:t>CODI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 (a)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67,114</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12.4176</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Common Share represents one undivided beneficial interest in Compass Diversified Holdings (the "Trust") property and corresponds to one underlying trust common interest of Compass Group Diversified Holdings LLC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$12.30 to $12.50, inclusive. Full information regarding the number of shares purchased at each separate price will be provided upon request by the SEC staff, the issuer, or any security holder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 Mr. Enterline is Chairman of the Board of Directors of Compass Group Diversified Holdings LLC, Sponsor of the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L. Enterline, by Carrie W. Ryan and Stephen Keller as attorneys-in-fact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5000" TargetMode="External"/><Relationship Id="rId5" Type="http://schemas.openxmlformats.org/officeDocument/2006/relationships/hyperlink" Target="http://www.sec.gov/cgi-bin/browse-edgar?action=getcompany&amp;CIK=00013451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3732</Characters>
  <CharactersWithSpaces>4346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