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6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699"/>
        <w:spacing w:after="0"/>
        <w:rPr>
          <w:sz w:val="20"/>
          <w:szCs w:val="20"/>
          <w:color w:val="auto"/>
        </w:rPr>
      </w:pPr>
      <w:r>
        <w:rPr>
          <w:rFonts w:ascii="Arial" w:cs="Arial" w:eastAsia="Arial" w:hAnsi="Arial"/>
          <w:sz w:val="32"/>
          <w:szCs w:val="32"/>
          <w:b w:val="1"/>
          <w:bCs w:val="1"/>
          <w:color w:val="auto"/>
        </w:rPr>
        <w:t>FORM 8-K</w:t>
      </w:r>
    </w:p>
    <w:p>
      <w:pPr>
        <w:spacing w:after="0" w:line="25"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jc w:val="center"/>
        <w:ind w:right="-699"/>
        <w:spacing w:after="0" w:line="230" w:lineRule="auto"/>
        <w:rPr>
          <w:sz w:val="20"/>
          <w:szCs w:val="20"/>
          <w:color w:val="auto"/>
        </w:rPr>
      </w:pPr>
      <w:r>
        <w:rPr>
          <w:rFonts w:ascii="Arial" w:cs="Arial" w:eastAsia="Arial" w:hAnsi="Arial"/>
          <w:sz w:val="22"/>
          <w:szCs w:val="22"/>
          <w:b w:val="1"/>
          <w:bCs w:val="1"/>
          <w:color w:val="auto"/>
        </w:rPr>
        <w:t>Pursuant to Section 13 or 15(d) of the</w:t>
      </w:r>
    </w:p>
    <w:p>
      <w:pPr>
        <w:jc w:val="center"/>
        <w:ind w:right="-699"/>
        <w:spacing w:after="0" w:line="231" w:lineRule="auto"/>
        <w:rPr>
          <w:sz w:val="20"/>
          <w:szCs w:val="20"/>
          <w:color w:val="auto"/>
        </w:rPr>
      </w:pPr>
      <w:r>
        <w:rPr>
          <w:rFonts w:ascii="Arial" w:cs="Arial" w:eastAsia="Arial" w:hAnsi="Arial"/>
          <w:sz w:val="22"/>
          <w:szCs w:val="22"/>
          <w:b w:val="1"/>
          <w:bCs w:val="1"/>
          <w:color w:val="auto"/>
        </w:rPr>
        <w:t>Securities Exchange Act of 1934</w:t>
      </w:r>
    </w:p>
    <w:p>
      <w:pPr>
        <w:jc w:val="center"/>
        <w:ind w:right="-699"/>
        <w:spacing w:after="0"/>
        <w:rPr>
          <w:sz w:val="20"/>
          <w:szCs w:val="20"/>
          <w:color w:val="auto"/>
        </w:rPr>
      </w:pPr>
      <w:r>
        <w:rPr>
          <w:rFonts w:ascii="Arial" w:cs="Arial" w:eastAsia="Arial" w:hAnsi="Arial"/>
          <w:sz w:val="22"/>
          <w:szCs w:val="22"/>
          <w:b w:val="1"/>
          <w:bCs w:val="1"/>
          <w:color w:val="auto"/>
        </w:rPr>
        <w:t>Date of Report (Date of earliest event reported): June 27, 2006</w:t>
      </w:r>
    </w:p>
    <w:p>
      <w:pPr>
        <w:spacing w:after="0" w:line="166"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COMPASS DIVERSIFIED TRUST</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900" w:type="dxa"/>
        <w:tblCellMar>
          <w:top w:w="0" w:type="dxa"/>
          <w:left w:w="0" w:type="dxa"/>
          <w:bottom w:w="0" w:type="dxa"/>
          <w:right w:w="0" w:type="dxa"/>
        </w:tblCellMar>
      </w:tblPr>
      <w:tr>
        <w:trPr>
          <w:trHeight w:val="220"/>
        </w:trPr>
        <w:tc>
          <w:tcPr>
            <w:tcW w:w="286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1490"/>
              <w:spacing w:after="0"/>
              <w:rPr>
                <w:sz w:val="20"/>
                <w:szCs w:val="20"/>
                <w:color w:val="auto"/>
              </w:rPr>
            </w:pPr>
            <w:r>
              <w:rPr>
                <w:rFonts w:ascii="Arial" w:cs="Arial" w:eastAsia="Arial" w:hAnsi="Arial"/>
                <w:sz w:val="18"/>
                <w:szCs w:val="18"/>
                <w:b w:val="1"/>
                <w:bCs w:val="1"/>
                <w:color w:val="auto"/>
              </w:rPr>
              <w:t>0-51937</w:t>
            </w:r>
          </w:p>
        </w:tc>
        <w:tc>
          <w:tcPr>
            <w:tcW w:w="312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57-6218917</w:t>
            </w:r>
          </w:p>
        </w:tc>
      </w:tr>
      <w:tr>
        <w:trPr>
          <w:trHeight w:val="216"/>
        </w:trPr>
        <w:tc>
          <w:tcPr>
            <w:tcW w:w="2860" w:type="dxa"/>
            <w:vAlign w:val="bottom"/>
          </w:tcPr>
          <w:p>
            <w:pPr>
              <w:jc w:val="center"/>
              <w:ind w:right="890"/>
              <w:spacing w:after="0"/>
              <w:rPr>
                <w:sz w:val="20"/>
                <w:szCs w:val="20"/>
                <w:color w:val="auto"/>
              </w:rPr>
            </w:pPr>
            <w:r>
              <w:rPr>
                <w:rFonts w:ascii="Arial" w:cs="Arial" w:eastAsia="Arial" w:hAnsi="Arial"/>
                <w:sz w:val="18"/>
                <w:szCs w:val="18"/>
                <w:color w:val="auto"/>
                <w:w w:val="91"/>
              </w:rPr>
              <w:t>(State or other jurisdiction</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2"/>
              </w:rPr>
              <w:t>(Commission File Number)</w:t>
            </w:r>
          </w:p>
        </w:tc>
        <w:tc>
          <w:tcPr>
            <w:tcW w:w="3120" w:type="dxa"/>
            <w:vAlign w:val="bottom"/>
          </w:tcPr>
          <w:p>
            <w:pPr>
              <w:jc w:val="center"/>
              <w:ind w:left="79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860" w:type="dxa"/>
            <w:vAlign w:val="bottom"/>
          </w:tcPr>
          <w:p>
            <w:pPr>
              <w:jc w:val="center"/>
              <w:ind w:right="890"/>
              <w:spacing w:after="0"/>
              <w:rPr>
                <w:sz w:val="20"/>
                <w:szCs w:val="20"/>
                <w:color w:val="auto"/>
              </w:rPr>
            </w:pPr>
            <w:r>
              <w:rPr>
                <w:rFonts w:ascii="Arial" w:cs="Arial" w:eastAsia="Arial" w:hAnsi="Arial"/>
                <w:sz w:val="18"/>
                <w:szCs w:val="18"/>
                <w:color w:val="auto"/>
                <w:w w:val="95"/>
              </w:rPr>
              <w:t>of incorporation)</w:t>
            </w:r>
          </w:p>
        </w:tc>
        <w:tc>
          <w:tcPr>
            <w:tcW w:w="3840" w:type="dxa"/>
            <w:vAlign w:val="bottom"/>
          </w:tcPr>
          <w:p>
            <w:pPr>
              <w:spacing w:after="0"/>
              <w:rPr>
                <w:sz w:val="20"/>
                <w:szCs w:val="20"/>
                <w:color w:val="auto"/>
              </w:rPr>
            </w:pPr>
          </w:p>
        </w:tc>
        <w:tc>
          <w:tcPr>
            <w:tcW w:w="3120" w:type="dxa"/>
            <w:vAlign w:val="bottom"/>
          </w:tcPr>
          <w:p>
            <w:pPr>
              <w:jc w:val="center"/>
              <w:ind w:left="790"/>
              <w:spacing w:after="0"/>
              <w:rPr>
                <w:sz w:val="20"/>
                <w:szCs w:val="20"/>
                <w:color w:val="auto"/>
              </w:rPr>
            </w:pPr>
            <w:r>
              <w:rPr>
                <w:rFonts w:ascii="Arial" w:cs="Arial" w:eastAsia="Arial" w:hAnsi="Arial"/>
                <w:sz w:val="18"/>
                <w:szCs w:val="18"/>
                <w:color w:val="auto"/>
                <w:w w:val="93"/>
              </w:rPr>
              <w:t>No.)</w:t>
            </w:r>
          </w:p>
        </w:tc>
      </w:tr>
    </w:tbl>
    <w:p>
      <w:pPr>
        <w:spacing w:after="0" w:line="173" w:lineRule="exact"/>
        <w:rPr>
          <w:sz w:val="20"/>
          <w:szCs w:val="20"/>
          <w:color w:val="auto"/>
        </w:rPr>
      </w:pPr>
    </w:p>
    <w:p>
      <w:pPr>
        <w:jc w:val="center"/>
        <w:ind w:right="-599"/>
        <w:spacing w:after="0"/>
        <w:rPr>
          <w:sz w:val="20"/>
          <w:szCs w:val="20"/>
          <w:color w:val="auto"/>
        </w:rPr>
      </w:pPr>
      <w:r>
        <w:rPr>
          <w:rFonts w:ascii="Arial" w:cs="Arial" w:eastAsia="Arial" w:hAnsi="Arial"/>
          <w:sz w:val="43"/>
          <w:szCs w:val="43"/>
          <w:b w:val="1"/>
          <w:bCs w:val="1"/>
          <w:color w:val="auto"/>
        </w:rPr>
        <w:t>COMPASS GROUP DIVERSIFIED</w:t>
      </w:r>
    </w:p>
    <w:p>
      <w:pPr>
        <w:spacing w:after="0" w:line="55"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HOLDINGS LLC</w:t>
      </w:r>
    </w:p>
    <w:tbl>
      <w:tblPr>
        <w:tblLayout w:type="fixed"/>
        <w:tblInd w:w="90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4700" w:type="dxa"/>
            <w:vAlign w:val="bottom"/>
          </w:tcPr>
          <w:p>
            <w:pPr>
              <w:jc w:val="center"/>
              <w:ind w:left="10"/>
              <w:spacing w:after="0"/>
              <w:rPr>
                <w:sz w:val="20"/>
                <w:szCs w:val="20"/>
                <w:color w:val="auto"/>
              </w:rPr>
            </w:pPr>
            <w:r>
              <w:rPr>
                <w:rFonts w:ascii="Arial" w:cs="Arial" w:eastAsia="Arial" w:hAnsi="Arial"/>
                <w:sz w:val="18"/>
                <w:szCs w:val="18"/>
                <w:color w:val="auto"/>
                <w:w w:val="90"/>
              </w:rPr>
              <w:t>(Exact name of registrant as specified in its charter)</w:t>
            </w:r>
          </w:p>
        </w:tc>
        <w:tc>
          <w:tcPr>
            <w:tcW w:w="2700" w:type="dxa"/>
            <w:vAlign w:val="bottom"/>
          </w:tcPr>
          <w:p>
            <w:pPr>
              <w:spacing w:after="0"/>
              <w:rPr>
                <w:sz w:val="20"/>
                <w:szCs w:val="20"/>
                <w:color w:val="auto"/>
              </w:rPr>
            </w:pPr>
          </w:p>
        </w:tc>
      </w:tr>
      <w:tr>
        <w:trPr>
          <w:trHeight w:val="402"/>
        </w:trPr>
        <w:tc>
          <w:tcPr>
            <w:tcW w:w="242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0-51938</w:t>
            </w:r>
          </w:p>
        </w:tc>
        <w:tc>
          <w:tcPr>
            <w:tcW w:w="270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20-3812051</w:t>
            </w:r>
          </w:p>
        </w:tc>
      </w:tr>
      <w:tr>
        <w:trPr>
          <w:trHeight w:val="216"/>
        </w:trPr>
        <w:tc>
          <w:tcPr>
            <w:tcW w:w="2420" w:type="dxa"/>
            <w:vAlign w:val="bottom"/>
          </w:tcPr>
          <w:p>
            <w:pPr>
              <w:jc w:val="center"/>
              <w:ind w:right="450"/>
              <w:spacing w:after="0"/>
              <w:rPr>
                <w:sz w:val="20"/>
                <w:szCs w:val="20"/>
                <w:color w:val="auto"/>
              </w:rPr>
            </w:pPr>
            <w:r>
              <w:rPr>
                <w:rFonts w:ascii="Arial" w:cs="Arial" w:eastAsia="Arial" w:hAnsi="Arial"/>
                <w:sz w:val="18"/>
                <w:szCs w:val="18"/>
                <w:color w:val="auto"/>
                <w:w w:val="91"/>
              </w:rPr>
              <w:t>(State or other jurisdiction</w:t>
            </w:r>
          </w:p>
        </w:tc>
        <w:tc>
          <w:tcPr>
            <w:tcW w:w="47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2700" w:type="dxa"/>
            <w:vAlign w:val="bottom"/>
          </w:tcPr>
          <w:p>
            <w:pPr>
              <w:jc w:val="center"/>
              <w:ind w:left="37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420" w:type="dxa"/>
            <w:vAlign w:val="bottom"/>
          </w:tcPr>
          <w:p>
            <w:pPr>
              <w:jc w:val="center"/>
              <w:ind w:right="450"/>
              <w:spacing w:after="0"/>
              <w:rPr>
                <w:sz w:val="20"/>
                <w:szCs w:val="20"/>
                <w:color w:val="auto"/>
              </w:rPr>
            </w:pPr>
            <w:r>
              <w:rPr>
                <w:rFonts w:ascii="Arial" w:cs="Arial" w:eastAsia="Arial" w:hAnsi="Arial"/>
                <w:sz w:val="18"/>
                <w:szCs w:val="18"/>
                <w:color w:val="auto"/>
                <w:w w:val="95"/>
              </w:rPr>
              <w:t>of incorporation)</w:t>
            </w:r>
          </w:p>
        </w:tc>
        <w:tc>
          <w:tcPr>
            <w:tcW w:w="4700" w:type="dxa"/>
            <w:vAlign w:val="bottom"/>
          </w:tcPr>
          <w:p>
            <w:pPr>
              <w:spacing w:after="0"/>
              <w:rPr>
                <w:sz w:val="20"/>
                <w:szCs w:val="20"/>
                <w:color w:val="auto"/>
              </w:rPr>
            </w:pPr>
          </w:p>
        </w:tc>
        <w:tc>
          <w:tcPr>
            <w:tcW w:w="2700" w:type="dxa"/>
            <w:vAlign w:val="bottom"/>
          </w:tcPr>
          <w:p>
            <w:pPr>
              <w:jc w:val="center"/>
              <w:ind w:left="370"/>
              <w:spacing w:after="0"/>
              <w:rPr>
                <w:sz w:val="20"/>
                <w:szCs w:val="20"/>
                <w:color w:val="auto"/>
              </w:rPr>
            </w:pPr>
            <w:r>
              <w:rPr>
                <w:rFonts w:ascii="Arial" w:cs="Arial" w:eastAsia="Arial" w:hAnsi="Arial"/>
                <w:sz w:val="18"/>
                <w:szCs w:val="18"/>
                <w:color w:val="auto"/>
                <w:w w:val="93"/>
              </w:rPr>
              <w:t>No.)</w:t>
            </w:r>
          </w:p>
        </w:tc>
      </w:tr>
    </w:tbl>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Sixty One Wilton Road</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Westport, CT 06880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(Address of principal executive offices and zip code)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221-1703</w:t>
      </w:r>
    </w:p>
    <w:p>
      <w:pPr>
        <w:spacing w:after="0" w:line="103" w:lineRule="exact"/>
        <w:rPr>
          <w:sz w:val="20"/>
          <w:szCs w:val="20"/>
          <w:color w:val="auto"/>
        </w:rPr>
      </w:pPr>
    </w:p>
    <w:p>
      <w:pPr>
        <w:ind w:right="37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927" w:right="9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Compass Group Diversified Holdings LLC and Compass Diversified Trust (collectively “Compass”), reported that it declared a cash distribution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$0.1327 per share for the quarter ended June 30, 2006. The distribution is payable July 18, 2006 to shareholders of record on the close of business on July 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60" w:hanging="1152"/>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for distribution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June 27, 2006</w:t>
      </w:r>
      <w:r>
        <w:rPr>
          <w:sz w:val="20"/>
          <w:szCs w:val="20"/>
          <w:color w:val="auto"/>
        </w:rPr>
        <w:tab/>
      </w:r>
      <w:r>
        <w:rPr>
          <w:rFonts w:ascii="Arial" w:cs="Arial" w:eastAsia="Arial" w:hAnsi="Arial"/>
          <w:sz w:val="17"/>
          <w:szCs w:val="17"/>
          <w:color w:val="auto"/>
        </w:rPr>
        <w:t>COMPASS DIVERSIFIED TRUST</w:t>
      </w:r>
    </w:p>
    <w:p>
      <w:pPr>
        <w:spacing w:after="0" w:line="360" w:lineRule="exact"/>
        <w:rPr>
          <w:sz w:val="20"/>
          <w:szCs w:val="20"/>
          <w:color w:val="auto"/>
        </w:rPr>
      </w:pPr>
    </w:p>
    <w:p>
      <w:pPr>
        <w:ind w:left="6380"/>
        <w:spacing w:after="0"/>
        <w:tabs>
          <w:tab w:leader="none" w:pos="6840" w:val="left"/>
        </w:tabs>
        <w:rPr>
          <w:sz w:val="20"/>
          <w:szCs w:val="20"/>
          <w:color w:val="auto"/>
        </w:rPr>
      </w:pPr>
      <w:r>
        <w:rPr>
          <w:rFonts w:ascii="Arial" w:cs="Arial" w:eastAsia="Arial" w:hAnsi="Arial"/>
          <w:sz w:val="18"/>
          <w:szCs w:val="18"/>
          <w:color w:val="auto"/>
        </w:rPr>
        <w:t>By:</w:t>
        <w:tab/>
        <w:t>/s/ James J. Bottiglieri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J. Bottiglieri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Regular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958" w:right="10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Date: June 27, 2006</w:t>
            </w:r>
          </w:p>
        </w:tc>
        <w:tc>
          <w:tcPr>
            <w:tcW w:w="7780" w:type="dxa"/>
            <w:vAlign w:val="bottom"/>
            <w:gridSpan w:val="2"/>
          </w:tcPr>
          <w:p>
            <w:pPr>
              <w:ind w:left="2200"/>
              <w:spacing w:after="0"/>
              <w:rPr>
                <w:sz w:val="20"/>
                <w:szCs w:val="20"/>
                <w:color w:val="auto"/>
              </w:rPr>
            </w:pPr>
            <w:r>
              <w:rPr>
                <w:rFonts w:ascii="Arial" w:cs="Arial" w:eastAsia="Arial" w:hAnsi="Arial"/>
                <w:sz w:val="18"/>
                <w:szCs w:val="18"/>
                <w:color w:val="auto"/>
              </w:rPr>
              <w:t>COMPASS GROUP DIVERSIFIED</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200"/>
              <w:spacing w:after="0"/>
              <w:rPr>
                <w:sz w:val="20"/>
                <w:szCs w:val="20"/>
                <w:color w:val="auto"/>
              </w:rPr>
            </w:pPr>
            <w:r>
              <w:rPr>
                <w:rFonts w:ascii="Arial" w:cs="Arial" w:eastAsia="Arial" w:hAnsi="Arial"/>
                <w:sz w:val="18"/>
                <w:szCs w:val="18"/>
                <w:color w:val="auto"/>
              </w:rPr>
              <w:t>HOLDINGS LLC</w:t>
            </w:r>
          </w:p>
        </w:tc>
      </w:tr>
      <w:tr>
        <w:trPr>
          <w:trHeight w:val="567"/>
        </w:trPr>
        <w:tc>
          <w:tcPr>
            <w:tcW w:w="3640" w:type="dxa"/>
            <w:vAlign w:val="bottom"/>
          </w:tcPr>
          <w:p>
            <w:pPr>
              <w:spacing w:after="0"/>
              <w:rPr>
                <w:sz w:val="24"/>
                <w:szCs w:val="24"/>
                <w:color w:val="auto"/>
              </w:rPr>
            </w:pPr>
          </w:p>
        </w:tc>
        <w:tc>
          <w:tcPr>
            <w:tcW w:w="7780" w:type="dxa"/>
            <w:vAlign w:val="bottom"/>
            <w:gridSpan w:val="2"/>
          </w:tcPr>
          <w:p>
            <w:pPr>
              <w:ind w:left="2200"/>
              <w:spacing w:after="0"/>
              <w:rPr>
                <w:sz w:val="20"/>
                <w:szCs w:val="20"/>
                <w:color w:val="auto"/>
              </w:rPr>
            </w:pPr>
            <w:r>
              <w:rPr>
                <w:rFonts w:ascii="Arial" w:cs="Arial" w:eastAsia="Arial" w:hAnsi="Arial"/>
                <w:sz w:val="18"/>
                <w:szCs w:val="18"/>
                <w:color w:val="auto"/>
              </w:rPr>
              <w:t>By:  /s/ James J. Bottiglieri</w:t>
            </w:r>
          </w:p>
        </w:tc>
      </w:tr>
      <w:tr>
        <w:trPr>
          <w:trHeight w:val="209"/>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J. Bottiglieri</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Compass Group Diversified Holdings LLC and Compass Diversified Trust Declare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w:t>
      </w:r>
    </w:p>
    <w:p>
      <w:pPr>
        <w:spacing w:after="0" w:line="83"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 xml:space="preserve">Westport, CT, June 26, 2006 </w:t>
      </w:r>
      <w:r>
        <w:rPr>
          <w:rFonts w:ascii="Arial" w:cs="Arial" w:eastAsia="Arial" w:hAnsi="Arial"/>
          <w:sz w:val="16"/>
          <w:szCs w:val="16"/>
          <w:color w:val="auto"/>
        </w:rPr>
        <w:t>Compass Group Diversified Holdings LLC and Compass Diversified Trust (NASDAQ: CODI) announced today that CODI</w:t>
      </w:r>
      <w:r>
        <w:rPr>
          <w:rFonts w:ascii="Arial" w:cs="Arial" w:eastAsia="Arial" w:hAnsi="Arial"/>
          <w:sz w:val="16"/>
          <w:szCs w:val="16"/>
          <w:b w:val="1"/>
          <w:bCs w:val="1"/>
          <w:color w:val="auto"/>
        </w:rPr>
        <w:t xml:space="preserve"> </w:t>
      </w:r>
      <w:r>
        <w:rPr>
          <w:rFonts w:ascii="Arial" w:cs="Arial" w:eastAsia="Arial" w:hAnsi="Arial"/>
          <w:sz w:val="16"/>
          <w:szCs w:val="16"/>
          <w:color w:val="auto"/>
        </w:rPr>
        <w:t>will make a cash distribution of $0.1327 per share to holders of CODI shares, payable on July 18, 2006 to all holders of record as at July 11, 2006. This reflects a quarterly distribution rate of $0.2625 per share, pro rated for the period May 16, 2006, the date of CODI’s initial public offering, to June 30, 2006.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Compass Diversified Trust</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Compass Diversified Trust and its subsidiary, Compass Group Diversified Holdings LLC, (collectively, “Compass”) were formed to acquire and manage a group of small to middle market businesses that are headquartered in the United States. Compass has acquired controlling interests in four businesses: CBS Personnel Holdings, Inc., a human resources outsourcing firm; Crosman Acquisition Corporation, a recreational products company; Compass AC Holdings, Inc., an electronic components manufacturer; and Silvue Technologies Group, Inc., a global chemical hardcoatings manufacturer. Compass works with the management teams of middle market businesses to identify and capitalize on diverse acquisition opportunities that satisfy Compass’ acquisition criteria. Compass seeks to acquire controlling interest in businesses that have stable and growing cash flows, maintain strong niche market presences and have positive macroeconomic outlooks.</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This press release may contain certain forward-looking statements, including statements with regard to the future performance of Compass and each of the four initial businesses. Words such as “believes,” “expects,” “projects,” and “future” or similar expressions are intended to identify forward-looking statements. These forward-looking statements are subject to the inherent uncertainties in predicting future results and conditions. Certain factors could cause actual results to differ materially from those projected in these forward-looking statements, and some of these factors are enumerated in the risk factor discussion in the Form 10Q filed by Compass with the Securities and Exchange Commission for the quarter ended March 31,2006 and other filings with the Securities and Exchange Commission. Compass undertakes no obligation to publicly update or revise any forward-looking statements, whether as a result of new information, future events or otherwise.</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2019-12-15T10:58:13Z</dcterms:created>
  <dcterms:modified xsi:type="dcterms:W3CDTF">2019-12-15T10:58:13Z</dcterms:modified>
</cp:coreProperties>
</file>