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FORM SD</w:t>
      </w:r>
    </w:p>
    <w:p>
      <w:pPr>
        <w:pStyle w:val="TextBody"/>
        <w:bidi w:val="0"/>
        <w:spacing w:lineRule="auto" w:line="288" w:before="80" w:after="283"/>
        <w:jc w:val="center"/>
        <w:rPr>
          <w:rFonts w:ascii="Arial;sans-serif" w:hAnsi="Arial;sans-serif"/>
          <w:b/>
          <w:color w:val="000000"/>
          <w:sz w:val="24"/>
        </w:rPr>
      </w:pPr>
      <w:r>
        <w:rPr>
          <w:rFonts w:ascii="Arial;sans-serif" w:hAnsi="Arial;sans-serif"/>
          <w:b/>
          <w:color w:val="000000"/>
          <w:sz w:val="24"/>
        </w:rPr>
        <w:t>SPECIALIZED DISCLOSURE REPORT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40"/>
        </w:rPr>
      </w:pPr>
      <w:r>
        <w:rPr>
          <w:rFonts w:ascii="Arial;sans-serif" w:hAnsi="Arial;sans-serif"/>
          <w:b/>
          <w:color w:val="000000"/>
          <w:sz w:val="4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128" w:type="dxa"/>
        <w:jc w:val="center"/>
        <w:tblInd w:w="0" w:type="dxa"/>
        <w:tblLayout w:type="fixed"/>
        <w:tblCellMar>
          <w:top w:w="28" w:type="dxa"/>
          <w:left w:w="28" w:type="dxa"/>
          <w:bottom w:w="28" w:type="dxa"/>
          <w:right w:w="28" w:type="dxa"/>
        </w:tblCellMar>
      </w:tblPr>
      <w:tblGrid>
        <w:gridCol w:w="986"/>
        <w:gridCol w:w="868"/>
        <w:gridCol w:w="875"/>
        <w:gridCol w:w="109"/>
        <w:gridCol w:w="109"/>
        <w:gridCol w:w="109"/>
        <w:gridCol w:w="389"/>
        <w:gridCol w:w="389"/>
        <w:gridCol w:w="393"/>
        <w:gridCol w:w="109"/>
        <w:gridCol w:w="109"/>
        <w:gridCol w:w="109"/>
        <w:gridCol w:w="460"/>
        <w:gridCol w:w="460"/>
        <w:gridCol w:w="654"/>
      </w:tblGrid>
      <w:tr>
        <w:trPr/>
        <w:tc>
          <w:tcPr>
            <w:tcW w:w="98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001-34927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57-6218917</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80" w:after="283"/>
        <w:jc w:val="center"/>
        <w:rPr>
          <w:rFonts w:ascii="Arial;sans-serif" w:hAnsi="Arial;sans-serif"/>
          <w:b/>
          <w:color w:val="000000"/>
          <w:sz w:val="40"/>
        </w:rPr>
      </w:pPr>
      <w:r>
        <w:rPr>
          <w:rFonts w:ascii="Arial;sans-serif" w:hAnsi="Arial;sans-serif"/>
          <w:b/>
          <w:color w:val="000000"/>
          <w:sz w:val="40"/>
        </w:rPr>
        <w:t>COMPASS GROUP DIVERSIFIED</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28" w:type="dxa"/>
        <w:jc w:val="center"/>
        <w:tblInd w:w="0" w:type="dxa"/>
        <w:tblLayout w:type="fixed"/>
        <w:tblCellMar>
          <w:top w:w="28" w:type="dxa"/>
          <w:left w:w="28" w:type="dxa"/>
          <w:bottom w:w="28" w:type="dxa"/>
          <w:right w:w="28" w:type="dxa"/>
        </w:tblCellMar>
      </w:tblPr>
      <w:tblGrid>
        <w:gridCol w:w="986"/>
        <w:gridCol w:w="868"/>
        <w:gridCol w:w="875"/>
        <w:gridCol w:w="109"/>
        <w:gridCol w:w="109"/>
        <w:gridCol w:w="109"/>
        <w:gridCol w:w="389"/>
        <w:gridCol w:w="389"/>
        <w:gridCol w:w="393"/>
        <w:gridCol w:w="109"/>
        <w:gridCol w:w="109"/>
        <w:gridCol w:w="109"/>
        <w:gridCol w:w="460"/>
        <w:gridCol w:w="460"/>
        <w:gridCol w:w="654"/>
      </w:tblGrid>
      <w:tr>
        <w:trPr/>
        <w:tc>
          <w:tcPr>
            <w:tcW w:w="98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001-34926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20-3812051</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301 Riverside Avenue</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Second Floor</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Westport, CT 06880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(Address of principal executive offices, including zip code)</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Carrie Ryan, (203) 221-1703</w:t>
      </w:r>
    </w:p>
    <w:p>
      <w:pPr>
        <w:pStyle w:val="TextBody"/>
        <w:bidi w:val="0"/>
        <w:spacing w:lineRule="auto" w:line="288" w:before="240" w:after="283"/>
        <w:jc w:val="center"/>
        <w:rPr>
          <w:rFonts w:ascii="Arial;sans-serif" w:hAnsi="Arial;sans-serif"/>
          <w:b/>
          <w:color w:val="000000"/>
          <w:sz w:val="22"/>
        </w:rPr>
      </w:pPr>
      <w:r>
        <w:rPr>
          <w:rFonts w:ascii="Arial;sans-serif" w:hAnsi="Arial;sans-serif"/>
          <w:b/>
          <w:color w:val="000000"/>
          <w:sz w:val="22"/>
        </w:rPr>
        <w:t>(Name and telephone number, including area code, of the person to contact in connection with this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Check the appropriate box to indicate the rule pursuant to which this form is being filed, and provide the period to which the information in this form applies: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7"/>
        <w:gridCol w:w="2874"/>
        <w:gridCol w:w="4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Rule 13p-1 under the Securities Exchange Act (17 CFR 240.13p-1) for the reporting period from January 1 to December 31,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Rule 13q-1 under the Securities Exchange Act (17 CFR 240.13q-1) for the fiscal year ended 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1 - Conflict Minerals Disclosure</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1.01 Conflict Minerals Disclosure and Report</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Conflict Minerals Disclosure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Form SD of Compass Diversified Holdings and Compass Group Diversified Holdings LLC (NYSE: CODI) (collectively, “CODI” or the “Company”) is filed pursuant to Rule 13p-1 under the Securities Exchange Act of 1934, as amended, for the reporting period from January 1, 2024 through December 31, 2024.</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brief description of the Company’s reasonable country of origin inquiry (“RCOI”) process, the results of the Company’s inquiry, and the determination the Company reached as a result of its RCOI process are included in the Company’s Conflict Minerals Report attached as an exhibit to this Form SD.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 copy of the Company’s Conflict Minerals Report is filed as Exhibit 1.01 to this Form SD, and is publicly available at: https://ir.compassdiversified.com. The content of any website referred to in this Form SD is not incorporated by reference in this Form SD.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w:t>
      </w:r>
      <w:r>
        <w:rPr>
          <w:rFonts w:ascii="Arial;sans-serif" w:hAnsi="Arial;sans-serif"/>
          <w:b/>
          <w:color w:val="000000"/>
          <w:sz w:val="20"/>
        </w:rPr>
        <w:t>tem 1.02 Exhibit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is hereby filing its Conflict Minerals Report for the calendar year ended December 31, 2024, as required by Item 1.01, as Exhibit 1.01 to this Form SD.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2.01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exhibit is filed as part of this report.</w:t>
      </w:r>
    </w:p>
    <w:p>
      <w:pPr>
        <w:pStyle w:val="TextBody"/>
        <w:bidi w:val="0"/>
        <w:spacing w:before="0" w:after="0"/>
        <w:jc w:val="left"/>
        <w:rPr/>
      </w:pPr>
      <w:r>
        <w:rPr/>
      </w:r>
    </w:p>
    <w:p>
      <w:pPr>
        <w:pStyle w:val="TextBody"/>
        <w:bidi w:val="0"/>
        <w:spacing w:lineRule="auto" w:line="288" w:before="0" w:after="0"/>
        <w:jc w:val="left"/>
        <w:rPr/>
      </w:pPr>
      <w:hyperlink w:anchor="exhibit1012024.htm">
        <w:r>
          <w:rPr>
            <w:rStyle w:val="InternetLink"/>
            <w:rFonts w:ascii="Arial;sans-serif" w:hAnsi="Arial;sans-serif"/>
            <w:b w:val="false"/>
            <w:color w:val="0000FF"/>
            <w:sz w:val="20"/>
            <w:u w:val="single"/>
          </w:rPr>
          <w:t>Exhibit 1.01 - Conflict Minerals Report as required by Items 1.01 and 1.02 of this Form.</w:t>
        </w:r>
      </w:hyperlink>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5"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duly authorized undersigned.</w:t>
      </w:r>
    </w:p>
    <w:tbl>
      <w:tblPr>
        <w:tblW w:w="5772" w:type="dxa"/>
        <w:jc w:val="center"/>
        <w:tblInd w:w="0" w:type="dxa"/>
        <w:tblLayout w:type="fixed"/>
        <w:tblCellMar>
          <w:top w:w="28" w:type="dxa"/>
          <w:left w:w="28" w:type="dxa"/>
          <w:bottom w:w="28" w:type="dxa"/>
          <w:right w:w="28" w:type="dxa"/>
        </w:tblCellMar>
      </w:tblPr>
      <w:tblGrid>
        <w:gridCol w:w="662"/>
        <w:gridCol w:w="581"/>
        <w:gridCol w:w="587"/>
        <w:gridCol w:w="372"/>
        <w:gridCol w:w="372"/>
        <w:gridCol w:w="372"/>
        <w:gridCol w:w="372"/>
        <w:gridCol w:w="372"/>
        <w:gridCol w:w="372"/>
        <w:gridCol w:w="498"/>
        <w:gridCol w:w="498"/>
        <w:gridCol w:w="71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29, 2025</w:t>
            </w:r>
          </w:p>
        </w:tc>
        <w:tc>
          <w:tcPr>
            <w:tcW w:w="39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DIVERSIFIED HOLDINGS</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Regular Trustee</w:t>
            </w:r>
          </w:p>
        </w:tc>
      </w:tr>
    </w:tbl>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duly authorized undersigned.</w:t>
      </w:r>
    </w:p>
    <w:tbl>
      <w:tblPr>
        <w:tblW w:w="6890" w:type="dxa"/>
        <w:jc w:val="center"/>
        <w:tblInd w:w="0" w:type="dxa"/>
        <w:tblLayout w:type="fixed"/>
        <w:tblCellMar>
          <w:top w:w="28" w:type="dxa"/>
          <w:left w:w="28" w:type="dxa"/>
          <w:bottom w:w="28" w:type="dxa"/>
          <w:right w:w="28" w:type="dxa"/>
        </w:tblCellMar>
      </w:tblPr>
      <w:tblGrid>
        <w:gridCol w:w="662"/>
        <w:gridCol w:w="581"/>
        <w:gridCol w:w="587"/>
        <w:gridCol w:w="496"/>
        <w:gridCol w:w="496"/>
        <w:gridCol w:w="496"/>
        <w:gridCol w:w="496"/>
        <w:gridCol w:w="496"/>
        <w:gridCol w:w="496"/>
        <w:gridCol w:w="607"/>
        <w:gridCol w:w="607"/>
        <w:gridCol w:w="870"/>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29, 2025</w:t>
            </w:r>
          </w:p>
        </w:tc>
        <w:tc>
          <w:tcPr>
            <w:tcW w:w="50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GROUP DIVERSIFIED HOLDINGS LLC</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INDEX TO EXHIBITS</w:t>
      </w:r>
    </w:p>
    <w:p>
      <w:pPr>
        <w:pStyle w:val="TextBody"/>
        <w:bidi w:val="0"/>
        <w:spacing w:before="0" w:after="0"/>
        <w:jc w:val="left"/>
        <w:rPr/>
      </w:pPr>
      <w:r>
        <w:rPr/>
      </w:r>
    </w:p>
    <w:tbl>
      <w:tblPr>
        <w:tblW w:w="7677" w:type="dxa"/>
        <w:jc w:val="center"/>
        <w:tblInd w:w="0" w:type="dxa"/>
        <w:tblLayout w:type="fixed"/>
        <w:tblCellMar>
          <w:top w:w="28" w:type="dxa"/>
          <w:left w:w="28" w:type="dxa"/>
          <w:bottom w:w="28" w:type="dxa"/>
          <w:right w:w="28" w:type="dxa"/>
        </w:tblCellMar>
      </w:tblPr>
      <w:tblGrid>
        <w:gridCol w:w="310"/>
        <w:gridCol w:w="272"/>
        <w:gridCol w:w="274"/>
        <w:gridCol w:w="109"/>
        <w:gridCol w:w="109"/>
        <w:gridCol w:w="109"/>
        <w:gridCol w:w="1902"/>
        <w:gridCol w:w="1902"/>
        <w:gridCol w:w="2690"/>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Exhibit </w:t>
            </w:r>
          </w:p>
          <w:p>
            <w:pPr>
              <w:pStyle w:val="TableContents"/>
              <w:bidi w:val="0"/>
              <w:spacing w:lineRule="auto" w:line="240" w:before="0" w:after="0"/>
              <w:jc w:val="center"/>
              <w:rPr>
                <w:rFonts w:ascii="Arial;sans-serif" w:hAnsi="Arial;sans-serif"/>
                <w:b/>
                <w:color w:val="000000"/>
                <w:sz w:val="20"/>
                <w:u w:val="single"/>
              </w:rPr>
            </w:pPr>
            <w:r>
              <w:rPr>
                <w:rFonts w:ascii="Arial;sans-serif" w:hAnsi="Arial;sans-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Arial;sans-serif" w:hAnsi="Arial;sans-serif"/>
                <w:b/>
                <w:color w:val="000000"/>
                <w:sz w:val="20"/>
                <w:u w:val="single"/>
              </w:rPr>
            </w:pPr>
            <w:r>
              <w:rPr>
                <w:rFonts w:ascii="Arial;sans-serif" w:hAnsi="Arial;sans-serif"/>
                <w:b/>
                <w:color w:val="000000"/>
                <w:sz w:val="20"/>
                <w:u w:val="single"/>
              </w:rPr>
              <w:t>Description of Exhibit</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024.htm">
              <w:r>
                <w:rPr>
                  <w:rStyle w:val="InternetLink"/>
                  <w:rFonts w:ascii="Arial;sans-serif" w:hAnsi="Arial;sans-serif"/>
                  <w:b w:val="false"/>
                  <w:color w:val="0000FF"/>
                  <w:sz w:val="20"/>
                  <w:u w:val="single"/>
                </w:rPr>
                <w:t>Conflict Minerals Report as required by Items 1.01 and 1.02 of this Form.</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32" w:after="88"/>
        <w:ind w:left="0" w:right="0" w:firstLine="72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Conflict Minerals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Year Ended December 31, 2024</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This Conflict Minerals Report for the reporting period from January 1, 2024 to December 31, 2024 is presented to comply with Rule 13p-1 promulgated under the Securities Exchange Act of 1934, as amended. Rule 13p-1 imposes certain reporting obligations on reporting companies whose manufactured or contracted to be manufactured products contain conflict minerals which are necessary to the functionality or production of their products. “Conflict minerals” are defined as gold, cassiterite, columbite-tantalite, wolframite, and their derivatives, which are limited to tin, tantalum, and tungsten (“3TG”) for the purposes of this assessment. Please refer to Rule 13p-1, Form SD and the 1934 Act Release No. 34-67716 for definitions to the terms used in this Report, unless otherwise defined herein.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1. Company Overview</w:t>
      </w:r>
    </w:p>
    <w:p>
      <w:pPr>
        <w:pStyle w:val="TextBody"/>
        <w:bidi w:val="0"/>
        <w:spacing w:lineRule="auto" w:line="288" w:before="120" w:after="283"/>
        <w:jc w:val="both"/>
        <w:rPr/>
      </w:pPr>
      <w:r>
        <w:rPr>
          <w:rFonts w:ascii="Arial;sans-serif" w:hAnsi="Arial;sans-serif"/>
          <w:b w:val="false"/>
          <w:color w:val="000000"/>
          <w:sz w:val="20"/>
        </w:rPr>
        <w:t xml:space="preserve">Compass Group Diversified Holdings LLC and Compass Diversified Holdings (collectively, “CODI” or the “Company”) were formed to acquire and manage a group of small to middle market businesses and the Company was a controlling owner of nine businesses, or operating segments, at December 31, 2024. The segments are as follows: </w:t>
      </w:r>
      <w:r>
        <w:rPr>
          <w:rFonts w:ascii="Arial;sans-serif" w:hAnsi="Arial;sans-serif"/>
          <w:b w:val="false"/>
          <w:color w:val="000000"/>
          <w:sz w:val="20"/>
          <w:shd w:fill="FFFFFF" w:val="clear"/>
        </w:rPr>
        <w:t xml:space="preserve">5.11 ABR Corp. ("5.11"), Boa Holdings Inc. ("BOA"), Lugano Holding, Inc. ("Lugano"), Relentless Topco, Inc. ("PrimaLoft"), THP Topco, Inc. ("The Honey Pot Co." or "THP"), CBCP Products, LLC ("Velocity Outdoor" or "Velocity"), AMTAC Holdings, LLC (“Arnold”), FFI Compass, Inc. ("Altor Solutions" or "Altor") </w:t>
      </w:r>
      <w:r>
        <w:rPr>
          <w:rFonts w:ascii="Arial;sans-serif" w:hAnsi="Arial;sans-serif"/>
          <w:b w:val="false"/>
          <w:color w:val="000000"/>
          <w:sz w:val="20"/>
        </w:rPr>
        <w:t>and SternoCandleLamp Holdings, Inc. (“Sterno”).</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subsidiaries are engaged in the following lines of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5.11</w:t>
      </w:r>
      <w:r>
        <w:rPr>
          <w:color w:val="000000"/>
        </w:rPr>
        <w:t xml:space="preserve"> </w:t>
      </w:r>
      <w:r>
        <w:rPr>
          <w:rFonts w:ascii="Arial;sans-serif" w:hAnsi="Arial;sans-serif"/>
          <w:b w:val="false"/>
          <w:color w:val="000000"/>
          <w:sz w:val="20"/>
        </w:rPr>
        <w:t xml:space="preserve">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Costa Mesa, California, 5.11 operates sales offices and distribution centers globally, and 5.11 products are widely distributed in uniform stores, military exchanges, outdoor retail stores, its own retail stores and on 511tactical.com.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BOA,</w:t>
      </w:r>
      <w:r>
        <w:rPr>
          <w:color w:val="000000"/>
        </w:rPr>
        <w:t xml:space="preserve"> </w:t>
      </w:r>
      <w:r>
        <w:rPr>
          <w:rFonts w:ascii="Arial;sans-serif" w:hAnsi="Arial;sans-serif"/>
          <w:b w:val="false"/>
          <w:color w:val="000000"/>
          <w:sz w:val="20"/>
        </w:rPr>
        <w:t>creator of the revolutionary,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offices in Austria, China, South Korea, and Japan.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 xml:space="preserve">Lugano </w:t>
      </w:r>
      <w:r>
        <w:rPr>
          <w:rFonts w:ascii="Arial;sans-serif" w:hAnsi="Arial;sans-serif"/>
          <w:b w:val="false"/>
          <w:color w:val="000000"/>
          <w:sz w:val="20"/>
        </w:rPr>
        <w:t>is a leading designer, manufacturer and marketer of high-end, one-of-a-kind jewelry sought after by some of the world’s most discerning clientele. Lugano conducts sales via its own retail salons as well as pop-up showrooms at Lugano-hosted or sponsored events in partnership with influential organizations in the equestrian, art and philanthropic community. Lugano is headquartered in Newport Beach, California.</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PrimaLoft</w:t>
      </w:r>
      <w:r>
        <w:rPr>
          <w:color w:val="000000"/>
        </w:rPr>
        <w:t xml:space="preserve"> </w:t>
      </w:r>
      <w:r>
        <w:rPr>
          <w:rFonts w:ascii="Arial;sans-serif" w:hAnsi="Arial;sans-serif"/>
          <w:b w:val="false"/>
          <w:color w:val="000000"/>
          <w:sz w:val="20"/>
        </w:rPr>
        <w:t>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The Honey Pot Co.</w:t>
      </w:r>
      <w:r>
        <w:rPr>
          <w:color w:val="000000"/>
        </w:rPr>
        <w:t xml:space="preserve"> </w:t>
      </w:r>
      <w:r>
        <w:rPr>
          <w:rFonts w:ascii="Arial;sans-serif" w:hAnsi="Arial;sans-serif"/>
          <w:b w:val="false"/>
          <w:color w:val="000000"/>
          <w:sz w:val="20"/>
        </w:rPr>
        <w:t xml:space="preserve">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Velocity Outdoor</w:t>
      </w:r>
      <w:r>
        <w:rPr>
          <w:color w:val="000000"/>
        </w:rPr>
        <w:t xml:space="preserve"> </w:t>
      </w:r>
      <w:r>
        <w:rPr>
          <w:rFonts w:ascii="Arial;sans-serif" w:hAnsi="Arial;sans-serif"/>
          <w:b w:val="false"/>
          <w:color w:val="000000"/>
          <w:sz w:val="20"/>
        </w:rPr>
        <w:t>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w:t>
      </w:r>
      <w:r>
        <w:rPr>
          <w:color w:val="000000"/>
          <w:shd w:fill="FFFFFF" w:val="clear"/>
        </w:rPr>
        <w:t xml:space="preserve"> </w:t>
      </w:r>
      <w:r>
        <w:rPr>
          <w:rFonts w:ascii="Arial;sans-serif" w:hAnsi="Arial;sans-serif"/>
          <w:b w:val="false"/>
          <w:color w:val="000000"/>
          <w:sz w:val="20"/>
          <w:shd w:fill="FFFFFF" w:val="clear"/>
        </w:rPr>
        <w:t>in Rochester, New York. On A</w:t>
      </w:r>
      <w:r>
        <w:rPr>
          <w:rFonts w:ascii="Arial;sans-serif" w:hAnsi="Arial;sans-serif"/>
          <w:b w:val="false"/>
          <w:color w:val="000000"/>
          <w:sz w:val="20"/>
        </w:rPr>
        <w:t>pril 30, 2024, Velocity Outdoor sold the Crosman airgun product division. The results of operation for Crosman are included in the accompanying financial statements through the date of sale.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Altor Solutions</w:t>
      </w:r>
      <w:r>
        <w:rPr>
          <w:color w:val="000000"/>
        </w:rPr>
        <w:t xml:space="preserve"> </w:t>
      </w:r>
      <w:r>
        <w:rPr>
          <w:rFonts w:ascii="Arial;sans-serif" w:hAnsi="Arial;sans-serif"/>
          <w:b w:val="false"/>
          <w:color w:val="000000"/>
          <w:sz w:val="20"/>
        </w:rPr>
        <w:t>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Altor is headquartered in St. Louis, Missouri and operates 23 molding and fabricating facilities across North America.</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Arnold</w:t>
      </w:r>
      <w:r>
        <w:rPr>
          <w:color w:val="000000"/>
        </w:rPr>
        <w:t xml:space="preserve"> </w:t>
      </w:r>
      <w:r>
        <w:rPr>
          <w:rFonts w:ascii="Arial;sans-serif" w:hAnsi="Arial;sans-serif"/>
          <w:b w:val="false"/>
          <w:color w:val="000000"/>
          <w:sz w:val="20"/>
        </w:rPr>
        <w:t>is a global solutions provider and manufacturer of engineered magnetic solutions for a wide range of specialty applications and end-markets, including aerospace and defense, general industrial, motorsport/ transportation, oil and gas, medical, energy, semiconductor and advertising specialties.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 Arnold is headquartered in Rochester, New York.</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20"/>
          <w:u w:val="single"/>
        </w:rPr>
        <w:t>Sterno</w:t>
      </w:r>
      <w:r>
        <w:rPr>
          <w:color w:val="000000"/>
        </w:rPr>
        <w:t xml:space="preserve"> </w:t>
      </w:r>
      <w:r>
        <w:rPr>
          <w:rFonts w:ascii="Arial;sans-serif" w:hAnsi="Arial;sans-serif"/>
          <w:b w:val="false"/>
          <w:color w:val="000000"/>
          <w:sz w:val="20"/>
        </w:rPr>
        <w:t xml:space="preserve">is a leading manufacturer and marketer of portable food warming systems, creative indoor and outdoor lighting, and home 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 </w:t>
      </w:r>
      <w:r>
        <w:rPr>
          <w:rFonts w:ascii="Arial;sans-serif" w:hAnsi="Arial;sans-serif"/>
          <w:b w:val="false"/>
          <w:color w:val="000000"/>
          <w:sz w:val="20"/>
          <w:shd w:fill="FFFFFF" w:val="clear"/>
        </w:rPr>
        <w:t xml:space="preserve">Sterno is headquartered in Plano, Texas. </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 Description of the Company's Products Covered by this Report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This Report relates to products: (i) for which 3TG are necessary to the functionality or production of that product; (ii) that were manufactured or contracted to be manufactured by the Company; and (iii) for which the manufacture was completed during calendar year 2024. The Company determined that component products at five (5) of its subsidiaries contain or may contain 3TG which are necessary to the functionality or production of their products. The five subsidiaries and the applicable 3TG are: Arnold (gold, tantalum, tin and tungsten), Lugano (gold), Sterno (tin and gold), 5.11 (tin and gold), and Velocity Outdoor (tin).</w:t>
      </w: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3. Reasonable Country of Origin Inquiry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Company conducted an analysis of its subsidiaries’ products and found that small quantities of necessary 3TG are contained in some of its subsidiaries’ products. Therefore, for the reporting period from January 1, 2024 to December 31, 2024, the Company conducted a good faith reasonable country of origin inquiry (“RCOI”) which was designed to determine whether any of the necessary 3TG contained in its subsidiaries’ products originated in the Democratic Republic of the Congo or an adjoining country (collectively, the "Covered Countries") or came from recycled or scrap sources. “Necessary 3TG” are 3TG that are necessary to the functionality or production of products that the Company’s subsidiaries manufacture or that the Company’s subsidiaries contract with others to manufacture for us.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The Company used the Conflict Minerals Reporting Template (“CMRT”) developed by the Conflict-Free Sourcing Initiative to request information from its subsidiaries’ suppliers about their supply chain and to gather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about the country of origin of its necessary 3TG. The Company identified approximately 96 direct suppliers that potentially supplied the Company necessary 3TG and requested each of them to complete a CMRT. The Company received responses (by either a letter or completed CMRT) from approximately 97% of these suppliers and reviewed the responses for completeness and accuracy. When the Company determined that its suppliers’ CMRT responses contained information the Company believed to be incomplete or inaccurate, the Company followed up with those suppliers to seek additional information or clarification about those responses.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the Company’s supplier responses, the Company does not have sufficient information to determine whether the products it manufactured or contracted for manufacture during the reporting period contain necessary 3TG that originated, or may have originated, in the Covered Countries and are not or may not be from recycled or scrap sources. Accordingly, and out of an abundance of caution, the Company performed due diligence in an effort to determine the source and chain of custody of these necessary 3TG.</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4. Due Diligence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 xml:space="preserve">Due Diligence Design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With respect to the period covered, the design of the due diligence process conforms in all material respects with the internationally recognized due diligence framework set forth in the Organisation for Economic Co-operation and Development Due Diligence Guidance for Responsible Supply Chains of Minerals from Conflict-Affected and High Risk Areas, Third Edition, 2016, as further set out in the specific guidance for downstream companies contained in the Supplement on Tin, Tantalum, and Tungsten and the Supplement for Gold (hereinafter, collectively, the “OECD Guidance”).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Due Diligence Measures Performed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undertook due diligence at each of its subsidiaries that have component products that contain or may contain necessary 3TG to determine the source and chain of custody of the necessary 3TG contained in the products manufactured by or contracted for manufacture by the Company’s subsidiaries. Summarized below are the components of the 3TG due diligence program the Company undertook as they relate to the five-step framework set forth in the OECD Guidance:</w:t>
      </w:r>
    </w:p>
    <w:p>
      <w:pPr>
        <w:pStyle w:val="TextBody"/>
        <w:bidi w:val="0"/>
        <w:spacing w:lineRule="auto" w:line="288" w:before="180" w:after="283"/>
        <w:jc w:val="both"/>
        <w:rPr/>
      </w:pPr>
      <w:r>
        <w:rPr>
          <w:color w:val="000000"/>
        </w:rPr>
        <w:t>    </w:t>
      </w:r>
      <w:r>
        <w:rPr>
          <w:rFonts w:ascii="Arial;sans-serif" w:hAnsi="Arial;sans-serif"/>
          <w:b w:val="false"/>
          <w:color w:val="000000"/>
          <w:sz w:val="20"/>
        </w:rPr>
        <w:t xml:space="preserve">1. OECD Step #1: </w:t>
      </w:r>
      <w:r>
        <w:rPr>
          <w:rFonts w:ascii="Arial;sans-serif" w:hAnsi="Arial;sans-serif"/>
          <w:b w:val="false"/>
          <w:i/>
          <w:color w:val="000000"/>
          <w:sz w:val="20"/>
        </w:rPr>
        <w:t>Establish and maintain strong company management systems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operations are reported in multiple business segments, therefore, we established a single point of contact to assist in implementing a 3TG program. Each segment that manufactures or distributes products that contain necessary 3TG had its own designated specific personnel to coordinate the 3TG diligence, oversee the implementation and execution of a program and coordinate directly with its affected suppliers, if applicable. The affected segments used the CMRT developed by the Conflict-Free Sourcing Initiative as a mechanism to request that suppliers provide information about the source and chain of custody of the necessary 3TG contained in products supplied to each of the affected segments. For suppliers that did not respond to the Company's source and chain of custody inquiry (or provided limited response) for calendar year 2024, the Company submitted that supplier name to the executive management of the applicable subsidiary for review. The Company maintains a conflict minerals policy regarding the sourcing of conflict minerals, which is publicly available on the Company’s website at: http://ir.compassdiversified.com/corporate-governance.com. The content of any website referred to in this Report is not incorporated by reference in this Report.</w:t>
      </w:r>
    </w:p>
    <w:p>
      <w:pPr>
        <w:pStyle w:val="TextBody"/>
        <w:bidi w:val="0"/>
        <w:spacing w:lineRule="auto" w:line="288" w:before="120" w:after="283"/>
        <w:jc w:val="both"/>
        <w:rPr>
          <w:color w:val="000000"/>
        </w:rPr>
      </w:pPr>
      <w:r>
        <w:rPr>
          <w:color w:val="000000"/>
        </w:rPr>
        <w:t>    </w:t>
      </w:r>
      <w:r>
        <w:rPr>
          <w:rFonts w:ascii="Arial;sans-serif" w:hAnsi="Arial;sans-serif"/>
          <w:b w:val="false"/>
          <w:i/>
          <w:color w:val="000000"/>
          <w:sz w:val="20"/>
        </w:rPr>
        <w:t xml:space="preserve">2. OECD Step #2: Identifying and assessing risk in the supply chain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 identify risks related to necessary 3TG in its products, the Company took the following actions: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worked with suppliers to obtain more complete information;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followed up with suppliers that did not respond or provided inconsistent or incomplete responses;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sought information regarding the smelters or refiners or smelters that processed the conflict minerals in the suppliers’ products; and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analyzed the supplier’s responses against the Company's conflict minerals policy and against the list of smelters and refiners on the CFSI website to determine whether the smelters received a "compliant" or "active" designations from the Conflict Free Smelter Program ("CFSP").</w:t>
      </w:r>
    </w:p>
    <w:p>
      <w:pPr>
        <w:pStyle w:val="TextBody"/>
        <w:bidi w:val="0"/>
        <w:spacing w:lineRule="auto" w:line="288" w:before="180" w:after="283"/>
        <w:jc w:val="both"/>
        <w:rPr>
          <w:color w:val="000000"/>
        </w:rPr>
      </w:pPr>
      <w:r>
        <w:rPr>
          <w:color w:val="000000"/>
        </w:rPr>
        <w:t>    </w:t>
      </w:r>
      <w:r>
        <w:rPr>
          <w:rFonts w:ascii="Arial;sans-serif" w:hAnsi="Arial;sans-serif"/>
          <w:b w:val="false"/>
          <w:i/>
          <w:color w:val="000000"/>
          <w:sz w:val="20"/>
        </w:rPr>
        <w:t>3. OECD Step #3: Design and implement a strategy to respond to identified risks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Results of the Company’s supplier responses were reported to the senior management of the Company, specifically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Chief Financial Officer. The Company continued a risk management plan of attempting to disengage with a supplier where the Company deems risk mitigation unfeasible or unacceptable, and where, in the Company’s opinion, such disengagement would not likely harm the supply chain for a particular product.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i/>
          <w:color w:val="000000"/>
          <w:sz w:val="20"/>
        </w:rPr>
        <w:t xml:space="preserve">4. OECD Step #4: Carry out an independent third party audit of smelter's/ refiner’s due diligence practices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an owner of downstream companies, the Company relies on audits by independent third parties, including audits of smelters and refiners reported by the CFSP. The Company also relies on the certification processes of the London Bullion Market Association, The Responsible Jewellery Council, and the Tungsten Industry - Conflict Minerals Council.</w:t>
      </w:r>
    </w:p>
    <w:p>
      <w:pPr>
        <w:pStyle w:val="TextBody"/>
        <w:bidi w:val="0"/>
        <w:spacing w:lineRule="auto" w:line="288" w:before="180" w:after="283"/>
        <w:ind w:left="0" w:right="0" w:firstLine="720"/>
        <w:jc w:val="both"/>
        <w:rPr/>
      </w:pPr>
      <w:r>
        <w:rPr>
          <w:rFonts w:ascii="Arial;sans-serif" w:hAnsi="Arial;sans-serif"/>
          <w:b w:val="false"/>
          <w:i/>
          <w:color w:val="000000"/>
          <w:sz w:val="20"/>
        </w:rPr>
        <w:t>5. OECD Step #5:</w:t>
      </w:r>
      <w:r>
        <w:rPr>
          <w:color w:val="000000"/>
        </w:rPr>
        <w:t xml:space="preserve"> </w:t>
      </w:r>
      <w:r>
        <w:rPr>
          <w:rFonts w:ascii="Arial;sans-serif" w:hAnsi="Arial;sans-serif"/>
          <w:b w:val="false"/>
          <w:i/>
          <w:color w:val="000000"/>
          <w:sz w:val="20"/>
        </w:rPr>
        <w:t>Report annually on supply chain due diligence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reports on our conflict minerals due diligence annually by making our Form SD and this Report publicly available on our Company website at: http://ir.compassdiversified.com/sec.com and filing the Form SD (with this Report) with the Securities and Exchange Commission ("SEC").</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5. Results of Review</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an owner of downstream companies, the Company can only provide reasonable, not absolute, assurance regarding the source and chain of custody of the 3TG contained in its subsidiaries’ products. The Company relies on the information collected and provided by its subsidiaries’ direct suppliers and publicly available information regarding independent third party audit programs.</w:t>
      </w:r>
    </w:p>
    <w:p>
      <w:pPr>
        <w:pStyle w:val="TextBody"/>
        <w:bidi w:val="0"/>
        <w:spacing w:lineRule="auto" w:line="288" w:before="256" w:after="283"/>
        <w:jc w:val="both"/>
        <w:rPr>
          <w:rFonts w:ascii="Arial;sans-serif" w:hAnsi="Arial;sans-serif"/>
          <w:b w:val="false"/>
          <w:i/>
          <w:color w:val="000000"/>
          <w:sz w:val="20"/>
        </w:rPr>
      </w:pPr>
      <w:r>
        <w:rPr>
          <w:rFonts w:ascii="Arial;sans-serif" w:hAnsi="Arial;sans-serif"/>
          <w:b w:val="false"/>
          <w:i/>
          <w:color w:val="000000"/>
          <w:sz w:val="20"/>
        </w:rPr>
        <w:t>Facilities Used to Process the Necessary 3TG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requested smelter information from the suppliers of each of its subsidiaries that were determined to have component products that contain or may contain 3TG which are necessary to the functionality or production of their products. Based on the responses from our direct suppliers, two (2) suppliers identified only one (1) tin smelter, resulting in a total of two (2) tin smelters being identified. Based on the responses from the two (2) suppliers with only one (1) smelter disclosed for tin, we determined that the following smelter processed the tin that is contained in certain of our products.</w:t>
      </w:r>
    </w:p>
    <w:tbl>
      <w:tblPr>
        <w:tblW w:w="7139" w:type="dxa"/>
        <w:jc w:val="center"/>
        <w:tblInd w:w="0" w:type="dxa"/>
        <w:tblLayout w:type="fixed"/>
        <w:tblCellMar>
          <w:top w:w="28" w:type="dxa"/>
          <w:left w:w="28" w:type="dxa"/>
          <w:bottom w:w="28" w:type="dxa"/>
          <w:right w:w="28" w:type="dxa"/>
        </w:tblCellMar>
      </w:tblPr>
      <w:tblGrid>
        <w:gridCol w:w="223"/>
        <w:gridCol w:w="196"/>
        <w:gridCol w:w="197"/>
        <w:gridCol w:w="1083"/>
        <w:gridCol w:w="1083"/>
        <w:gridCol w:w="1088"/>
        <w:gridCol w:w="534"/>
        <w:gridCol w:w="534"/>
        <w:gridCol w:w="536"/>
        <w:gridCol w:w="487"/>
        <w:gridCol w:w="487"/>
        <w:gridCol w:w="691"/>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Metal</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Official Smelter Name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CESI Smelter ID</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Smelter Country</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Tin</w:t>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Thailand Smelting &amp; Refining Co Ltd</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CID001898</w:t>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THAILAND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Tin</w:t>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 Yunnan Tin Co Ltd.</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CID002180</w:t>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In the other responses received from our direct suppliers, each supplier named more than one (1) smelter or refiner in their response for each metal. This lack of detail from the rest of our suppliers prevented the Company from being able to determine whether a particul</w:t>
      </w:r>
      <w:r>
        <w:rPr>
          <w:rFonts w:ascii="Arial;sans-serif" w:hAnsi="Arial;sans-serif"/>
          <w:b w:val="false"/>
          <w:color w:val="000000"/>
          <w:sz w:val="20"/>
        </w:rPr>
        <w:t>ar smelter or refiner named in their responses processed the necessary 3TG in the Company's products. Accordingly, the Company is unable to disclose any other facilities used to produce the necessary 3TG in its products. However, Table 1 attached to this Report lists the smelters and refiners provided to the Company by its other direct suppliers that may have processed necessary 3TG in its subsidiaries’ product lines.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Country of Origin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Based on the responses provided by the Company’s suppliers described directly above, the responses did not provide sufficiently detailed information for us to identify the country of origin of the necessary 3TG in the Company’s products. Accordingly, the Company is unable to disclose the country of origin of the necessary 3TG in its products.</w:t>
      </w:r>
    </w:p>
    <w:p>
      <w:pPr>
        <w:pStyle w:val="TextBody"/>
        <w:bidi w:val="0"/>
        <w:spacing w:lineRule="auto" w:line="288" w:before="256" w:after="283"/>
        <w:jc w:val="left"/>
        <w:rPr>
          <w:rFonts w:ascii="Arial;sans-serif" w:hAnsi="Arial;sans-serif"/>
          <w:b w:val="false"/>
          <w:i/>
          <w:color w:val="000000"/>
          <w:sz w:val="20"/>
        </w:rPr>
      </w:pPr>
      <w:r>
        <w:rPr>
          <w:rFonts w:ascii="Arial;sans-serif" w:hAnsi="Arial;sans-serif"/>
          <w:b w:val="false"/>
          <w:i/>
          <w:color w:val="000000"/>
          <w:sz w:val="20"/>
        </w:rPr>
        <w:t>Efforts to determine mine or location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determined that the most reasonable effort it can make to determine the mines or locations of origin of its necessary 3TG to the greatest possible specificity is to seek information from its direct suppliers about the smelters and refiners and the countries of origin of the necessary 3TG in its products and urge that its suppliers do the same with their direct suppliers. The Company must rely on its direct and indirect suppliers to provide the information about the mine or location of origin of the necessary 3TG in its products. As a result of the lack of information obtained from the Company’s subsidiaries’ suppliers, the Company was unable to determine the mine or location of the necessary conflict minerals in its subsidiaries’ product lines.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6. Risk Mitigation / Steps to Improve Due Diligence Measures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currently intends to take steps to improve its due diligence and mitigate the risk that the Company’s necessary 3TG benefit or finance armed groups, including: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Evaluating current direct suppliers based on their responsiveness to the 2024 calendar year's data collection effort. We expect to submit the names of those suppliers who provide products with risk of possible 3TG content that required responses and whose responses were limited or non-existent for calendar year 2024 to the executive management of the applicable subsidiary for review.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Reaching out to suppliers earlier in the process and asking them to complete the CMRT.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Improving, to the extent possible, the percentage of supplier provided responses to the request to complete the CMRT.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7. Independent Private Sector Audit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Based on the existing guidance from the SEC, this report has not been audited, nor is an Independent Private Sector Audit required for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8. Forward-Looking Statements</w:t>
      </w:r>
    </w:p>
    <w:p>
      <w:pPr>
        <w:pStyle w:val="TextBody"/>
        <w:bidi w:val="0"/>
        <w:spacing w:lineRule="auto" w:line="288" w:before="180" w:after="2"/>
        <w:jc w:val="both"/>
        <w:rPr>
          <w:rFonts w:ascii="Arial;sans-serif" w:hAnsi="Arial;sans-serif"/>
          <w:b w:val="false"/>
          <w:color w:val="000000"/>
          <w:sz w:val="20"/>
        </w:rPr>
      </w:pPr>
      <w:r>
        <w:rPr>
          <w:rFonts w:ascii="Arial;sans-serif" w:hAnsi="Arial;sans-serif"/>
          <w:b w:val="false"/>
          <w:color w:val="000000"/>
          <w:sz w:val="20"/>
        </w:rPr>
        <w:t>This Report may contain certain forward-looking statements, including those made under the “Risk Mitigation / Steps to Improve Due Diligence Measures” section. Words such as “believes,” “expects,” “projects,” and “future” or similar expressions, are intended to identify forward-looking statements. These forward-looking statements are subject to the inherent uncertainties in predicting future results and conditions. These statements are subject to a variety of uncertainties, unknown risks and other factors concerning the Company’s operations and business environment, which are difficult to predict and are beyond the control of the Company. Factors that could adversely affect our future performance include (1) those described under the heading “Risk Factors” in Item 1A of Part I of our Annual Report on Form 10-K for the year ended December 31, 2024, (2) the responsible sourcing of 3TG in our supply chain by our direct and indirect suppliers and (3) the effectiveness of traceability systems used by our direct and indirect suppliers to determine the source and chain of custody of 3TG contained in our supply chain. Except as required by law, CODI undertakes no obligation to publicly update or revise any forward-looking statements, whether as a result of new information, future events or otherwise.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4" w:after="283"/>
        <w:jc w:val="left"/>
        <w:rPr>
          <w:rFonts w:ascii="Arial;sans-serif" w:hAnsi="Arial;sans-serif"/>
          <w:b/>
          <w:i/>
          <w:color w:val="000000"/>
          <w:sz w:val="20"/>
          <w:u w:val="single"/>
        </w:rPr>
      </w:pPr>
      <w:r>
        <w:rPr>
          <w:rFonts w:ascii="Arial;sans-serif" w:hAnsi="Arial;sans-serif"/>
          <w:b/>
          <w:i/>
          <w:color w:val="000000"/>
          <w:sz w:val="20"/>
          <w:u w:val="single"/>
        </w:rPr>
        <w:t xml:space="preserve">Table 1 - List of smelters and refiners that may have processed necessary 3TG of the Company’s subsidiaries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3"/>
        <w:gridCol w:w="196"/>
        <w:gridCol w:w="197"/>
        <w:gridCol w:w="109"/>
        <w:gridCol w:w="109"/>
        <w:gridCol w:w="109"/>
        <w:gridCol w:w="1881"/>
        <w:gridCol w:w="1876"/>
        <w:gridCol w:w="1878"/>
        <w:gridCol w:w="109"/>
        <w:gridCol w:w="109"/>
        <w:gridCol w:w="109"/>
        <w:gridCol w:w="972"/>
        <w:gridCol w:w="962"/>
        <w:gridCol w:w="1366"/>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Reference List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Facility Location: Country</w:t>
            </w:r>
          </w:p>
        </w:tc>
      </w:tr>
      <w:tr>
        <w:trPr/>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Abington Reldan Metals,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Advanced Chemical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Aida Chemical Industries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Almalyk Mining and Metallurgical Complex (AMMC)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UZBEKISTAN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AngloGold Ashanti Córrego do Sítio Mineração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Argor-Heraeus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Asahi Pretec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Asahi Refining Canada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Asahi Refining USA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Asaka Riken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Aurubis AG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Bangko Sentral ng Pilipinas (Central Bank of the Philippines)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PHILIPPINES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Boliden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SWEDEN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 Hafner GmbH + Co. KG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CCR Refinery - Glencore Canada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Chimet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Chugai 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DSC (Do Sung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 REPUBLIC OF</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Eco-System Recycling Co., Ltd. East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Eco-System Recycling Co., Ltd. North Plant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Eco-System Recycling Co., Ltd. West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 by Gold Colombia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COLOMBIA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Heimerle + Meule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Heraeus Metals Hong Kong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Heraeus Germany GmbH Co. KG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Inner Mongolia Qiankun Gold and Silver Refinery Share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Ishifuku Metal Industry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Istanbul Gold Refinery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TURKEY</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Italpreziosi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 Mint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Jiangxi Copper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JX Nippon Mining &amp; Metals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Kazzinc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KAZAKHSTAN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Kennecott Utah Copper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KGHM Polska Miedz Spolka Akcyjna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POLAND</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Kojima Chemicals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 Zinc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 REPUBLIC OF</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L'Orfebre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ANDORRA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LT Metal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 REPUBLIC OF</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3"/>
        <w:gridCol w:w="196"/>
        <w:gridCol w:w="197"/>
        <w:gridCol w:w="109"/>
        <w:gridCol w:w="109"/>
        <w:gridCol w:w="109"/>
        <w:gridCol w:w="1870"/>
        <w:gridCol w:w="1867"/>
        <w:gridCol w:w="1872"/>
        <w:gridCol w:w="109"/>
        <w:gridCol w:w="109"/>
        <w:gridCol w:w="109"/>
        <w:gridCol w:w="974"/>
        <w:gridCol w:w="972"/>
        <w:gridCol w:w="1380"/>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Reference List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Facility Location: Country</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LS-NIKKO Copper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 REPUBLIC OF</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Matsuda Sangyo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Metal Concentrators SA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AFRICA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Metalurgica Met-Mex Penoles S.A.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Metalor Technologies (Hong Kong)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Metalor Technologies (Singapore)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SINGAPORE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Metalor Technologies (Suzhou)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Metalor Technologies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Metalor USA Refining Corporation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Mitsubishi Materials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Mitsui Mining and Smelting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MKS PAMP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MMTC-PAMP India Pvt.,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Nadir Metal Rafineri San. Ve Tic.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TURKEY</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Navoi Mining and Metallurgical Combinat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UZBEKISTAN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NH Recytech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 REPUBLIC OF</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Nihon Material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Ogussa Osterreichische Gold- und Silber-Scheideanstalt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Ohura Precious Metal Industry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Planta Recuperadora de Metales SpA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CHILE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Aneka Tambang (Persero) Tbk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PX Precinox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Rand Refinery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AFRICA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REMONDIS PMR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 Canadian Mint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SAFINA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CZECHIA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SEMPSA Joyeria Plateria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Shandong Zhaojin Gold &amp; Silver Refinery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Sichuan Tianze Precious Metals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SungEel HiMetal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 REPUBLIC OF</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Solar Applied Materials Technology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TAIWAN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Sumitomo Metal Mining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Tanaka Kikinzoku Kogyo K.K.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T.C.A S.p.A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Tokuriki Honten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TOO Tau-Ken-Altyn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KAZAKHSTAN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Torecom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 REPUBLIC OF</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Umicore S.A. Business Unit Precious Metals Refining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BELGIUM</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Precious Metal Refining,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Valcambi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WEEEREFINING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Australian Mint trading as The Perth Mint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WIELAND Edelmetalle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37"/>
        <w:gridCol w:w="296"/>
        <w:gridCol w:w="298"/>
        <w:gridCol w:w="109"/>
        <w:gridCol w:w="109"/>
        <w:gridCol w:w="109"/>
        <w:gridCol w:w="2028"/>
        <w:gridCol w:w="1878"/>
        <w:gridCol w:w="1884"/>
        <w:gridCol w:w="109"/>
        <w:gridCol w:w="109"/>
        <w:gridCol w:w="109"/>
        <w:gridCol w:w="914"/>
        <w:gridCol w:w="792"/>
        <w:gridCol w:w="112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Reference List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Facility Location: Country</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Yamakin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Yokohama Metal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Zhongyuan Gold Smelter of Zhongjin Gold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AMG Brasil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Changsha South Tantalum Niobium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 Block Metals,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F&amp;X Electro-Materials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 Metals &amp; Resource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Global Advanced Metals Aizu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Global Advanced Metals Boyertown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Hengyang King Xing Lifeng New Materials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Jiangxi Dinghai Tantalum &amp; Niobium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Jiangxi Tuohong New Raw Material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Jiujiang Tanbre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Jiujiang Zhongao Tantalum &amp; Niobium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KEMET de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Materion Newton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Metallurgical Products India Pvt.,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Mineração Taboca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Mitsui Mining &amp; Smelting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NPM Silmet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ESTONIA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Ningxia Orient Tantalum Industry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QuantumClean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Resind Industria e Comercio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RFH Yancheng Jinye New Material Technology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Taki Chemical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TANIOBIS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THAILAND</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TANIOBIS Japan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TANIOBIS Smelting GmbH &amp; Co. KG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TANIOBIS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Telex 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Ulba Metallurgical Plant JSC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KAZAKHSTAN</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XIMEI RESOURCES (GUANGDONG)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XinXing HaoRong Electronic Material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Tantalum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Yanling Jincheng Tantalum &amp; Niobium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Alpha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Aurubis Beerse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BELGIUM</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Aurubis Berango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SPAIN</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Chenzhou Yunxiang Mining and Metallurgy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Chifeng Dajingzi Tin Industry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 Tin Group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 Yunnan Tin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CRM Fundicao De Metais E Comercio De Equipamentos Eletronicos Do Brasil Ltda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CRM Synergies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SPAIN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785" w:type="dxa"/>
        <w:jc w:val="center"/>
        <w:tblInd w:w="0" w:type="dxa"/>
        <w:tblLayout w:type="fixed"/>
        <w:tblCellMar>
          <w:top w:w="28" w:type="dxa"/>
          <w:left w:w="28" w:type="dxa"/>
          <w:bottom w:w="28" w:type="dxa"/>
          <w:right w:w="28" w:type="dxa"/>
        </w:tblCellMar>
      </w:tblPr>
      <w:tblGrid>
        <w:gridCol w:w="223"/>
        <w:gridCol w:w="196"/>
        <w:gridCol w:w="197"/>
        <w:gridCol w:w="109"/>
        <w:gridCol w:w="109"/>
        <w:gridCol w:w="109"/>
        <w:gridCol w:w="1394"/>
        <w:gridCol w:w="1394"/>
        <w:gridCol w:w="1397"/>
        <w:gridCol w:w="109"/>
        <w:gridCol w:w="109"/>
        <w:gridCol w:w="109"/>
        <w:gridCol w:w="975"/>
        <w:gridCol w:w="975"/>
        <w:gridCol w:w="1380"/>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Reference List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Facility Location: Country</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CV Ayi Jaya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CV Venus Inti Perkasa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DS Myanmar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MYANMAR</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Empresa Metalúrgica Vinto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BOLIVIA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 Vinto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BOLIVIA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Estanho de Rondonia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Fabrica Auricchio Industria e Comercio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Fenix 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Gejiu Non-Ferrous Metal Processing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Guangdong Hanhe Non-Ferrous Metal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GuangXi China 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Jiangxi New Nanshan Technology,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Luna Smelter,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RWANDA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Magnu's Minerais Metais e Ligas Ltda.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Malaysia Smelting Corporation (MSC)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MALAYSIA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Metallic Resources,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Mineração Taboca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Minsur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PERU</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Mitsubishi Materials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O.M. Manufacturing (Thailand)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THAILAND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O.M Manufacturing Philippines,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PHILIPPINES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Operaciones Metalurgical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BOLIVIA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Precious Minerals and Smelting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Aries Kencana Sejahtera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Artha Cipta Langgeng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ATD Makmur Mandiri Jaya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Babel Surya Alam Lestari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Babel Inti Perkasa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Bangka Serumpun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Belitung Industri Sejahtera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Bukit Timah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Cipta Persada Mulia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Menara Cipta Mulia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Mitra Stania Prima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Mitra Sukses Globalindo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Putera Sarana Shakti (PT PSS)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Premium Tin Indonesia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Prima Timah Utama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Rajawali Rimba Perkasa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Refined Bangka 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Sariwiguna Binasentosa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Stanindo Inti Perkasa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Sukses Inti Makmur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Timah Nusantara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37"/>
        <w:gridCol w:w="296"/>
        <w:gridCol w:w="298"/>
        <w:gridCol w:w="109"/>
        <w:gridCol w:w="109"/>
        <w:gridCol w:w="109"/>
        <w:gridCol w:w="1992"/>
        <w:gridCol w:w="1915"/>
        <w:gridCol w:w="1919"/>
        <w:gridCol w:w="109"/>
        <w:gridCol w:w="109"/>
        <w:gridCol w:w="109"/>
        <w:gridCol w:w="881"/>
        <w:gridCol w:w="791"/>
        <w:gridCol w:w="1122"/>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Reference List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Facility Location: Country</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Timah (Persero) Tbk Kundur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Timah (Persero) Tbk Mentok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Tinindo Inter Nusa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Tommy Utama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Resind Industria e Comercio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Rui Da Hung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TAIWAN</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Super Ligas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 Smelting Branch of Yunnan Tin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 Technology &amp; Refining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Thaisarco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THAILAND</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White Solder Metalurgia e Mineração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Yunnan Chengfeng Non-ferrous Metals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Yunnan Yunfan Non-ferrous Metals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Yunnan Tin Company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Zhejiang QLG Holding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A.L.M.T.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Tungsten Products Vietnam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VIETNAM</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 Molybdenum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Chongyi Zhangyuan Tungsten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Cronimet Brasil Ltda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Fujian Xinlu 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Ganzhou Haichuang Tungsten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Ganzhou Jiangwu Ferrotungsten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Ganzhou Seadragon W &amp; Mo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Global Tungsten &amp; Powders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Guangdong Xianglu Tungsten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HC Starck Tungsten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Hunan Chenzhou Mining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Hunan Shizhuyuan Nonferrous Metals Co., Ltd. Chenzhou Tungsten Products Branch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Hubei Green Tungsten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 New Metals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Jiangwu H.C. Starck Tungsten Products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Jiangxi Gan Bei Tungsten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Jiangxi Tonggu Non-ferrous Metallurgical &amp; Chemical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Jiangxi Xinsheng Tungsten Industry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Jiangxi Yaosheng Tungsten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Kennametal Fallon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Kennametal Huntsville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Lianyou Metals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TAIWAN, PROVINCE OF 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Malipo Haiyu Tungsten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Masan High-Tech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VIETNAM</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Niagara Refining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Philippine Chuangxin Industrial 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PHILLIPINES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TANIOBIS Smelting GmbH &amp; Co. KG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545" w:type="dxa"/>
        <w:jc w:val="center"/>
        <w:tblInd w:w="0" w:type="dxa"/>
        <w:tblLayout w:type="fixed"/>
        <w:tblCellMar>
          <w:top w:w="28" w:type="dxa"/>
          <w:left w:w="28" w:type="dxa"/>
          <w:bottom w:w="28" w:type="dxa"/>
          <w:right w:w="28" w:type="dxa"/>
        </w:tblCellMar>
      </w:tblPr>
      <w:tblGrid>
        <w:gridCol w:w="337"/>
        <w:gridCol w:w="296"/>
        <w:gridCol w:w="298"/>
        <w:gridCol w:w="109"/>
        <w:gridCol w:w="109"/>
        <w:gridCol w:w="109"/>
        <w:gridCol w:w="1209"/>
        <w:gridCol w:w="1209"/>
        <w:gridCol w:w="1212"/>
        <w:gridCol w:w="109"/>
        <w:gridCol w:w="109"/>
        <w:gridCol w:w="109"/>
        <w:gridCol w:w="975"/>
        <w:gridCol w:w="975"/>
        <w:gridCol w:w="1380"/>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Reference List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Smelter Facility Location: Country</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 Vietnam Joint Stock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VIETNAM</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Wolfram Bergbau und Hütten AG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AUSTRIA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Xiamen Tungsten (H.C.)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Tungsten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Xiamen Tungsten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5086</Words>
  <Characters>29003</Characters>
  <CharactersWithSpaces>33322</CharactersWithSpaces>
  <Paragraphs>835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