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Compass Diversified Holdings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827,298.00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827,298.00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827,298.00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827,298.00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827,298.00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827,298.00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827,298.00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827,298.00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827,298.00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827,298.00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827,298.00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Compass Diversified Holdings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Riverside Avenue Westport, CT 06880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- 827,298 William Zolezzi - 827,298 Divisadero Street Partners, L.P. - 827,298 Divisadero Street Partners GP, LLC - 827,298 Divisadero Street Capital, LLC - 827,298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- 1.1% William Zolezzi - 1.1% Divisadero Street Partners, L.P. - 1.1% Divisadero Street Partners GP, LLC - 1.1% Divisadero Street Capital, LLC - 1.1%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- 827,298 William Zolezzi - 827,298 Divisadero Street Partners, L.P. - 827,298 Divisadero Street Partners GP, LLC - 827,298 Divisadero Street Capital, LLC - 827,298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- 827,298 William Zolezzi - 827,298 Divisadero Street Partners, L.P. - 827,298 Divisadero Street Partners GP, LLC - 827,298 Divisadero Street Capital, LLC - 827,298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may be deemed to beneficially own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Capital,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 William Zolezzi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Zolezzi</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Partners GP,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840exh_a.htm"/>
      <w:bookmarkStart w:id="33" w:name="ksp15048840exh_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No.1 dated August 14, 2026 relating to the Common Stock, of Compass Diversified Holdings shall be filed on behalf of the undersigned.</w:t>
      </w:r>
    </w:p>
    <w:tbl>
      <w:tblPr>
        <w:tblW w:w="5000" w:type="pct"/>
        <w:jc w:val="left"/>
        <w:tblInd w:w="0" w:type="dxa"/>
        <w:tblLayout w:type="fixed"/>
        <w:tblCellMar>
          <w:top w:w="0" w:type="dxa"/>
          <w:left w:w="0" w:type="dxa"/>
          <w:bottom w:w="0" w:type="dxa"/>
          <w:right w:w="0" w:type="dxa"/>
        </w:tblCellMar>
      </w:tblPr>
      <w:tblGrid>
        <w:gridCol w:w="136"/>
        <w:gridCol w:w="1584"/>
        <w:gridCol w:w="8485"/>
      </w:tblGrid>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8485" w:type="dxa"/>
            <w:tcBorders>
              <w:bottom w:val="single" w:sz="4"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240"/>
        <w:jc w:val="righ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48840exh_b.htm"/>
      <w:bookmarkStart w:id="35" w:name="ksp15048840exh_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William Zolezzi, Divisadero Street Capital, LLC may be considered control persons.</w:t>
      </w:r>
    </w:p>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1877</Words>
  <Characters>9978</Characters>
  <CharactersWithSpaces>11810</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