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COMPASS DIVERSIFIED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Shares representing beneficial interests in Compass Diversified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 Robert Bruner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2801 N. Harwood Street, Suite 2300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(214) 651-5231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ADW Capital Partners,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figures in Items 8, 10 and 11 include 9,750,000 Shares representing beneficial interests in Compass Diversified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Holdings ("Shares") that may be acquired by the Reporting Persons within 60 days upon the exercise of call options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purchase Shares. The percentage in Item 13 is based upon 75,235,966 Shares outstanding as of May 1, 2026, according</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to the Quarterly Report on Form 10-Q for the quarterly period ended March 31, 2026, filed by Compass Diversified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Holdings (the "Issuer") with the U.S. Securities and Exchange Commission (the "SEC") on May 6,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ADW Capital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17.9 %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HC, IA</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The figures in Items 8, 10 and 11 include 9,750,000 Shares that may be acquired by the Reporting Persons within 60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days upon the exercise of call options to purchase Shares. The percentage in Item 13 is based upon 75,235,966 Shares</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8"/>
              </w:rPr>
              <w:t>outstanding as of May 1, 2026, according to the Quarterly Report on Form 10-Q for the quarterly period ended March</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 2026, filed by the Issuer with the SEC on May 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Adam D. Wyden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9" w:right="339" w:bottom="0" w:gutter="0" w:footer="0" w:header="0"/>
        </w:sectPr>
      </w:pPr>
    </w:p>
    <w:bookmarkStart w:id="3" w:name="page4"/>
    <w:bookmarkEnd w:id="3"/>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Reporting</w:t>
            </w: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338"/>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13,500,000.00</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17.9 %</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The figures in Items 8, 10 and 11 include 9,750,000 Shares that may be acquired by the Reporting Persons within 60</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6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w w:val="98"/>
              </w:rPr>
              <w:t>days upon the exercise of call options to purchase Shares. The percentage in Item 13 is based upon 75,235,966 Shares</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6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w w:val="98"/>
              </w:rPr>
              <w:t>outstanding as of May 1, 2026, according to the Quarterly Report on Form 10-Q for the quarterly period ended March</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31, 2026, filed by the Issuer with the SEC on May 6,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right="3940"/>
        <w:spacing w:after="0" w:line="256" w:lineRule="auto"/>
        <w:rPr>
          <w:sz w:val="20"/>
          <w:szCs w:val="20"/>
          <w:color w:val="auto"/>
        </w:rPr>
      </w:pPr>
      <w:r>
        <w:rPr>
          <w:rFonts w:ascii="Times New Roman" w:cs="Times New Roman" w:eastAsia="Times New Roman" w:hAnsi="Times New Roman"/>
          <w:sz w:val="22"/>
          <w:szCs w:val="22"/>
          <w:color w:val="auto"/>
        </w:rPr>
        <w:t>Shares representing beneficial interests in Compass Diversified Holdings Name of Issuer:</w:t>
      </w:r>
    </w:p>
    <w:p>
      <w:pPr>
        <w:ind w:left="40"/>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COMPASS DIVERSIFIED HOLDINGS</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301 Riverside Avenue, Second Floor, Westport, CONNECTICUT , 06880.</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Item 3 is hereby amended and supplemented as follows: "On May 7, 2026, the Reporting Persons expended approximately $15,900,000 to purchase call options referencing an aggregate of 3,000,000 Shares in an open market transaction. The funds used for the purchase of the securities reported in this Schedule 13D were derived from the general working capital of ADW Capital Partners, L.P."</w:t>
      </w:r>
    </w:p>
    <w:p>
      <w:pPr>
        <w:spacing w:after="0" w:line="18"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Item 5 is hereby amended and restated in its entirety as follows: "The aggregate number and percentage of the class of</w:t>
      </w:r>
    </w:p>
    <w:p>
      <w:pPr>
        <w:spacing w:after="0" w:line="26" w:lineRule="exact"/>
        <w:rPr>
          <w:sz w:val="20"/>
          <w:szCs w:val="20"/>
          <w:color w:val="auto"/>
        </w:rPr>
      </w:pPr>
    </w:p>
    <w:p>
      <w:pPr>
        <w:ind w:left="980" w:right="260" w:hanging="932"/>
        <w:spacing w:after="0" w:line="237"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identified pursuant to Item 1 beneficially owned by each Reporting Person is stated in Items 11 and 13 on the cover pages hereto.</w:t>
      </w:r>
    </w:p>
    <w:p>
      <w:pPr>
        <w:spacing w:after="0" w:line="16"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each Reporting Person has (i) sole power to vote or direct the vote: See Item 7 on the</w:t>
      </w:r>
    </w:p>
    <w:p>
      <w:pPr>
        <w:spacing w:after="0" w:line="14" w:lineRule="exact"/>
        <w:rPr>
          <w:rFonts w:ascii="Times New Roman" w:cs="Times New Roman" w:eastAsia="Times New Roman" w:hAnsi="Times New Roman"/>
          <w:sz w:val="22"/>
          <w:szCs w:val="22"/>
          <w:color w:val="auto"/>
        </w:rPr>
      </w:pPr>
    </w:p>
    <w:p>
      <w:pPr>
        <w:ind w:left="980" w:right="220" w:hanging="932"/>
        <w:spacing w:after="0" w:line="184" w:lineRule="auto"/>
        <w:tabs>
          <w:tab w:leader="none" w:pos="98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pages hereto. (ii) shared power to vote or direct the vote See Item 8 on the cover pages hereto. (iii) sole power to dispose or to direct the disposition of: See Item 9 on the cover pages hereto. (iv) shared power to dispose or to direct the disposition of: See Item 10 on the cover pages hereto.</w:t>
      </w:r>
    </w:p>
    <w:p>
      <w:pPr>
        <w:spacing w:after="0" w:line="18" w:lineRule="exact"/>
        <w:rPr>
          <w:rFonts w:ascii="Times New Roman" w:cs="Times New Roman" w:eastAsia="Times New Roman" w:hAnsi="Times New Roman"/>
          <w:sz w:val="42"/>
          <w:szCs w:val="42"/>
          <w:color w:val="auto"/>
          <w:vertAlign w:val="subscript"/>
        </w:rPr>
      </w:pPr>
    </w:p>
    <w:p>
      <w:pPr>
        <w:ind w:left="98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information set forth in Item 6 of this Schedule 13D is incorporated by reference. Other than as reported in Item</w:t>
      </w:r>
    </w:p>
    <w:p>
      <w:pPr>
        <w:spacing w:after="0" w:line="14" w:lineRule="exact"/>
        <w:rPr>
          <w:rFonts w:ascii="Times New Roman" w:cs="Times New Roman" w:eastAsia="Times New Roman" w:hAnsi="Times New Roman"/>
          <w:sz w:val="42"/>
          <w:szCs w:val="42"/>
          <w:color w:val="auto"/>
          <w:vertAlign w:val="subscript"/>
        </w:rPr>
      </w:pPr>
    </w:p>
    <w:p>
      <w:pPr>
        <w:ind w:left="980" w:right="200" w:hanging="932"/>
        <w:spacing w:after="0" w:line="237"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of this Schedule 13D, none of the Reporting Persons have effected any transaction in the Shares during the past 60 days or since the most recent filing of Schedule 13D, whichever is less.</w:t>
      </w:r>
    </w:p>
    <w:p>
      <w:pPr>
        <w:spacing w:after="0" w:line="16" w:lineRule="exact"/>
        <w:rPr>
          <w:rFonts w:ascii="Times New Roman" w:cs="Times New Roman" w:eastAsia="Times New Roman" w:hAnsi="Times New Roman"/>
          <w:sz w:val="22"/>
          <w:szCs w:val="22"/>
          <w:color w:val="auto"/>
        </w:rPr>
      </w:pPr>
    </w:p>
    <w:p>
      <w:pPr>
        <w:ind w:left="980" w:right="380" w:hanging="932"/>
        <w:spacing w:after="0" w:line="185" w:lineRule="auto"/>
        <w:tabs>
          <w:tab w:leader="none" w:pos="98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the Reporting Persons to have the right to receive or the power to direct the receipt of dividends from, or the proceeds from the sale of, the Shares covered by this Schedule 13D.</w:t>
      </w:r>
    </w:p>
    <w:p>
      <w:pPr>
        <w:spacing w:after="0" w:line="17" w:lineRule="exact"/>
        <w:rPr>
          <w:rFonts w:ascii="Times New Roman" w:cs="Times New Roman" w:eastAsia="Times New Roman" w:hAnsi="Times New Roman"/>
          <w:sz w:val="39"/>
          <w:szCs w:val="39"/>
          <w:color w:val="auto"/>
          <w:vertAlign w:val="subscript"/>
        </w:rPr>
      </w:pPr>
    </w:p>
    <w:p>
      <w:pPr>
        <w:ind w:left="980" w:hanging="932"/>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21"/>
          <w:szCs w:val="21"/>
          <w:color w:val="auto"/>
        </w:rPr>
        <w:t>Item 6 is hereby amended and supplemented as follows: "The information set forth in Item 3 of this Schedule 13D is incorporated herein by reference. On May 7, 2026, ADW Capital Partners, L.P. purchased call options referencing an aggregate of 3,000,000 Shares. The call options have an exercise price of $10.00 per share and expire on January 15, 2027. On May 7, 2026, ADW Capital Partners, L.P. sold call options referencing an aggregate of 3,000,000 Shares for</w:t>
      </w:r>
    </w:p>
    <w:p>
      <w:pPr>
        <w:sectPr>
          <w:pgSz w:w="11900" w:h="16864" w:orient="portrait"/>
          <w:cols w:equalWidth="0" w:num="1">
            <w:col w:w="11240"/>
          </w:cols>
          <w:pgMar w:left="320" w:top="102" w:right="339" w:bottom="0" w:gutter="0" w:footer="0" w:header="0"/>
        </w:sectPr>
      </w:pPr>
    </w:p>
    <w:bookmarkStart w:id="4" w:name="page5"/>
    <w:bookmarkEnd w:id="4"/>
    <w:p>
      <w:pPr>
        <w:ind w:left="940" w:right="460"/>
        <w:spacing w:after="0" w:line="256" w:lineRule="auto"/>
        <w:rPr>
          <w:sz w:val="20"/>
          <w:szCs w:val="20"/>
          <w:color w:val="auto"/>
        </w:rPr>
      </w:pPr>
      <w:r>
        <w:rPr>
          <w:rFonts w:ascii="Times New Roman" w:cs="Times New Roman" w:eastAsia="Times New Roman" w:hAnsi="Times New Roman"/>
          <w:sz w:val="22"/>
          <w:szCs w:val="22"/>
          <w:color w:val="auto"/>
        </w:rPr>
        <w:t>approximately $7,356,648. The call options have an exercise price of $20.00 per share and expire on January 15, 2027."</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60"/>
        <w:spacing w:after="0" w:line="249" w:lineRule="auto"/>
        <w:rPr>
          <w:sz w:val="20"/>
          <w:szCs w:val="20"/>
          <w:color w:val="auto"/>
        </w:rPr>
      </w:pPr>
      <w:r>
        <w:rPr>
          <w:rFonts w:ascii="Times New Roman" w:cs="Times New Roman" w:eastAsia="Times New Roman" w:hAnsi="Times New Roman"/>
          <w:sz w:val="21"/>
          <w:szCs w:val="21"/>
          <w:color w:val="auto"/>
        </w:rPr>
        <w:t>Item 7 is hereby amended and restated as follows: "Exhibit 99.1 Joint Filing Agreement (incorporated herein by reference to Exhibit 99.1 to the Schedule 13D filed by the Reporting Persons with the SEC on February 25, 2026). Exhibit 99.2 Annex A - Recent Transactions by the Reporting Persons (incorporated herein by reference to Exhibit 99.2 to the Schedule 13D filed by the Reporting Persons with the SEC on February 25, 2026). Exhibit 99.3 Letter to the Board of Directors of Compass Diversified Holdings, dated February 24, 2026 (incorporated herein by reference to Exhibit 99.3 to the Schedule 13D filed by the Reporting Persons with the SEC on February 25, 2026)."</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ADW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D. Wyden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Sole Manager of ADW Capital Management,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ADW Capital Management,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D. Wyden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Sole Manager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Adam D. Wyden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D. Wyden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Adam D. Wyden</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2026-05-11T17:22:40Z</dcterms:created>
  <dcterms:modified xsi:type="dcterms:W3CDTF">2026-05-11T17:22:40Z</dcterms:modified>
</cp:coreProperties>
</file>