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Sawtelle Zachary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 SECOND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11.9863</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1,628</w:t>
            </w:r>
            <w:r>
              <w:rPr>
                <w:rFonts w:ascii="Times;serif" w:hAnsi="Times;serif"/>
                <w:color w:val="008000"/>
                <w:position w:val="7"/>
                <w:sz w:val="16"/>
                <w:sz w:val="20"/>
                <w:shd w:fill="FFFFFF" w:val="clear"/>
              </w:rPr>
              <w:t>(3)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$11.86 to $12.25, inclusive. Full information regarding the number of shares purchased at each separate price will be provided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Person's Form 3 previously included shares held by Compass Group Management LLC as indirectly beneficially owned. The Reporting Person has never had a pecuniary interest in those shares, and those shares are therefore not included in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Mr. Sawtelle is the Chief Operating Officer of Compass Group Diversified Holdings LLC, Sponsor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T. Sawtelle, by Carrie W. Ryan and Stephen Keller as attorneys-in-fact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0248"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4029</Characters>
  <CharactersWithSpaces>4685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