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216535</wp:posOffset>
            </wp:positionH>
            <wp:positionV relativeFrom="page">
              <wp:posOffset>491490</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t>UNITED STATES 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-156210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15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2430780</wp:posOffset>
            </wp:positionH>
            <wp:positionV relativeFrom="paragraph">
              <wp:posOffset>83185</wp:posOffset>
            </wp:positionV>
            <wp:extent cx="22885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187" w:lineRule="exact"/>
        <w:rPr>
          <w:sz w:val="24"/>
          <w:szCs w:val="24"/>
          <w:color w:val="auto"/>
        </w:rPr>
      </w:pPr>
    </w:p>
    <w:p>
      <w:pPr>
        <w:ind w:left="3680" w:right="2220" w:hanging="3654"/>
        <w:spacing w:after="0" w:line="290" w:lineRule="auto"/>
        <w:tabs>
          <w:tab w:leader="none" w:pos="684"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 For the quarterly period ended September 30, 2020</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Or</w:t>
      </w:r>
    </w:p>
    <w:p>
      <w:pPr>
        <w:spacing w:after="0" w:line="140" w:lineRule="exact"/>
        <w:rPr>
          <w:sz w:val="24"/>
          <w:szCs w:val="24"/>
          <w:color w:val="auto"/>
        </w:rPr>
      </w:pPr>
    </w:p>
    <w:p>
      <w:pPr>
        <w:ind w:left="680" w:hanging="654"/>
        <w:spacing w:after="0"/>
        <w:tabs>
          <w:tab w:leader="none" w:pos="68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39" w:lineRule="exact"/>
        <w:rPr>
          <w:sz w:val="24"/>
          <w:szCs w:val="24"/>
          <w:color w:val="auto"/>
        </w:rPr>
      </w:pPr>
    </w:p>
    <w:p>
      <w:pPr>
        <w:ind w:left="3440"/>
        <w:spacing w:after="0"/>
        <w:tabs>
          <w:tab w:leader="none" w:pos="668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3659505</wp:posOffset>
            </wp:positionH>
            <wp:positionV relativeFrom="paragraph">
              <wp:posOffset>-14605</wp:posOffset>
            </wp:positionV>
            <wp:extent cx="12973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97305" cy="8255"/>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79375</wp:posOffset>
            </wp:positionV>
            <wp:extent cx="22885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88540" cy="8890"/>
                    </a:xfrm>
                    <a:prstGeom prst="rect">
                      <a:avLst/>
                    </a:prstGeom>
                    <a:noFill/>
                  </pic:spPr>
                </pic:pic>
              </a:graphicData>
            </a:graphic>
          </wp:anchor>
        </w:drawing>
      </w:r>
    </w:p>
    <w:p>
      <w:pPr>
        <w:spacing w:after="0" w:line="248"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COMPASS DIVERSIFIED HOLDINGS</w:t>
      </w:r>
    </w:p>
    <w:p>
      <w:pPr>
        <w:spacing w:after="0" w:line="16"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121" w:lineRule="exact"/>
        <w:rPr>
          <w:sz w:val="24"/>
          <w:szCs w:val="24"/>
          <w:color w:val="auto"/>
        </w:rPr>
      </w:pPr>
    </w:p>
    <w:tbl>
      <w:tblPr>
        <w:tblLayout w:type="fixed"/>
        <w:tblInd w:w="1440" w:type="dxa"/>
        <w:tblCellMar>
          <w:top w:w="0" w:type="dxa"/>
          <w:left w:w="0" w:type="dxa"/>
          <w:bottom w:w="0" w:type="dxa"/>
          <w:right w:w="0" w:type="dxa"/>
        </w:tblCellMar>
      </w:tblPr>
      <w:tr>
        <w:trPr>
          <w:trHeight w:val="189"/>
        </w:trPr>
        <w:tc>
          <w:tcPr>
            <w:tcW w:w="2380" w:type="dxa"/>
            <w:vAlign w:val="bottom"/>
          </w:tcPr>
          <w:p>
            <w:pPr>
              <w:jc w:val="center"/>
              <w:ind w:right="268"/>
              <w:spacing w:after="0"/>
              <w:rPr>
                <w:sz w:val="20"/>
                <w:szCs w:val="20"/>
                <w:color w:val="auto"/>
              </w:rPr>
            </w:pPr>
            <w:r>
              <w:rPr>
                <w:rFonts w:ascii="Arial" w:cs="Arial" w:eastAsia="Arial" w:hAnsi="Arial"/>
                <w:sz w:val="14"/>
                <w:szCs w:val="14"/>
                <w:b w:val="1"/>
                <w:bCs w:val="1"/>
                <w:color w:val="auto"/>
              </w:rPr>
              <w:t>Delaware</w:t>
            </w:r>
          </w:p>
        </w:tc>
        <w:tc>
          <w:tcPr>
            <w:tcW w:w="3620" w:type="dxa"/>
            <w:vAlign w:val="bottom"/>
          </w:tcPr>
          <w:p>
            <w:pPr>
              <w:jc w:val="center"/>
              <w:ind w:right="28"/>
              <w:spacing w:after="0"/>
              <w:rPr>
                <w:sz w:val="20"/>
                <w:szCs w:val="20"/>
                <w:color w:val="auto"/>
              </w:rPr>
            </w:pPr>
            <w:r>
              <w:rPr>
                <w:rFonts w:ascii="Arial" w:cs="Arial" w:eastAsia="Arial" w:hAnsi="Arial"/>
                <w:sz w:val="14"/>
                <w:szCs w:val="14"/>
                <w:b w:val="1"/>
                <w:bCs w:val="1"/>
                <w:color w:val="auto"/>
              </w:rPr>
              <w:t>001-34927</w:t>
            </w:r>
          </w:p>
        </w:tc>
        <w:tc>
          <w:tcPr>
            <w:tcW w:w="2040" w:type="dxa"/>
            <w:vAlign w:val="bottom"/>
          </w:tcPr>
          <w:p>
            <w:pPr>
              <w:jc w:val="center"/>
              <w:ind w:left="448"/>
              <w:spacing w:after="0"/>
              <w:rPr>
                <w:sz w:val="20"/>
                <w:szCs w:val="20"/>
                <w:color w:val="auto"/>
              </w:rPr>
            </w:pPr>
            <w:r>
              <w:rPr>
                <w:rFonts w:ascii="Arial" w:cs="Arial" w:eastAsia="Arial" w:hAnsi="Arial"/>
                <w:sz w:val="14"/>
                <w:szCs w:val="14"/>
                <w:b w:val="1"/>
                <w:bCs w:val="1"/>
                <w:color w:val="auto"/>
              </w:rPr>
              <w:t>57-6218917</w:t>
            </w:r>
          </w:p>
        </w:tc>
      </w:tr>
      <w:tr>
        <w:trPr>
          <w:trHeight w:val="148"/>
        </w:trPr>
        <w:tc>
          <w:tcPr>
            <w:tcW w:w="2380" w:type="dxa"/>
            <w:vAlign w:val="bottom"/>
          </w:tcPr>
          <w:p>
            <w:pPr>
              <w:jc w:val="center"/>
              <w:ind w:right="268"/>
              <w:spacing w:after="0" w:line="148" w:lineRule="exact"/>
              <w:rPr>
                <w:sz w:val="20"/>
                <w:szCs w:val="20"/>
                <w:color w:val="auto"/>
              </w:rPr>
            </w:pPr>
            <w:r>
              <w:rPr>
                <w:rFonts w:ascii="Arial" w:cs="Arial" w:eastAsia="Arial" w:hAnsi="Arial"/>
                <w:sz w:val="14"/>
                <w:szCs w:val="14"/>
                <w:b w:val="1"/>
                <w:bCs w:val="1"/>
                <w:color w:val="auto"/>
              </w:rPr>
              <w:t>(State or other jurisdiction of</w:t>
            </w:r>
          </w:p>
        </w:tc>
        <w:tc>
          <w:tcPr>
            <w:tcW w:w="3620" w:type="dxa"/>
            <w:vAlign w:val="bottom"/>
          </w:tcPr>
          <w:p>
            <w:pPr>
              <w:jc w:val="center"/>
              <w:ind w:right="28"/>
              <w:spacing w:after="0" w:line="148" w:lineRule="exact"/>
              <w:rPr>
                <w:sz w:val="20"/>
                <w:szCs w:val="20"/>
                <w:color w:val="auto"/>
              </w:rPr>
            </w:pPr>
            <w:r>
              <w:rPr>
                <w:rFonts w:ascii="Arial" w:cs="Arial" w:eastAsia="Arial" w:hAnsi="Arial"/>
                <w:sz w:val="14"/>
                <w:szCs w:val="14"/>
                <w:b w:val="1"/>
                <w:bCs w:val="1"/>
                <w:color w:val="auto"/>
              </w:rPr>
              <w:t>(Commission</w:t>
            </w:r>
          </w:p>
        </w:tc>
        <w:tc>
          <w:tcPr>
            <w:tcW w:w="2040" w:type="dxa"/>
            <w:vAlign w:val="bottom"/>
          </w:tcPr>
          <w:p>
            <w:pPr>
              <w:jc w:val="center"/>
              <w:ind w:left="448"/>
              <w:spacing w:after="0" w:line="148" w:lineRule="exact"/>
              <w:rPr>
                <w:sz w:val="20"/>
                <w:szCs w:val="20"/>
                <w:color w:val="auto"/>
              </w:rPr>
            </w:pPr>
            <w:r>
              <w:rPr>
                <w:rFonts w:ascii="Arial" w:cs="Arial" w:eastAsia="Arial" w:hAnsi="Arial"/>
                <w:sz w:val="14"/>
                <w:szCs w:val="14"/>
                <w:b w:val="1"/>
                <w:bCs w:val="1"/>
                <w:color w:val="auto"/>
              </w:rPr>
              <w:t>(I.R.S. employer</w:t>
            </w:r>
          </w:p>
        </w:tc>
      </w:tr>
      <w:tr>
        <w:trPr>
          <w:trHeight w:val="196"/>
        </w:trPr>
        <w:tc>
          <w:tcPr>
            <w:tcW w:w="2380" w:type="dxa"/>
            <w:vAlign w:val="bottom"/>
          </w:tcPr>
          <w:p>
            <w:pPr>
              <w:jc w:val="center"/>
              <w:ind w:right="268"/>
              <w:spacing w:after="0"/>
              <w:rPr>
                <w:sz w:val="20"/>
                <w:szCs w:val="20"/>
                <w:color w:val="auto"/>
              </w:rPr>
            </w:pPr>
            <w:r>
              <w:rPr>
                <w:rFonts w:ascii="Arial" w:cs="Arial" w:eastAsia="Arial" w:hAnsi="Arial"/>
                <w:sz w:val="14"/>
                <w:szCs w:val="14"/>
                <w:b w:val="1"/>
                <w:bCs w:val="1"/>
                <w:color w:val="auto"/>
              </w:rPr>
              <w:t>incorporation or organization)</w:t>
            </w:r>
          </w:p>
        </w:tc>
        <w:tc>
          <w:tcPr>
            <w:tcW w:w="362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rPr>
              <w:t>file number)</w:t>
            </w:r>
          </w:p>
        </w:tc>
        <w:tc>
          <w:tcPr>
            <w:tcW w:w="2040" w:type="dxa"/>
            <w:vAlign w:val="bottom"/>
          </w:tcPr>
          <w:p>
            <w:pPr>
              <w:jc w:val="center"/>
              <w:ind w:left="448"/>
              <w:spacing w:after="0"/>
              <w:rPr>
                <w:sz w:val="20"/>
                <w:szCs w:val="20"/>
                <w:color w:val="auto"/>
              </w:rPr>
            </w:pPr>
            <w:r>
              <w:rPr>
                <w:rFonts w:ascii="Arial" w:cs="Arial" w:eastAsia="Arial" w:hAnsi="Arial"/>
                <w:sz w:val="14"/>
                <w:szCs w:val="14"/>
                <w:b w:val="1"/>
                <w:bCs w:val="1"/>
                <w:color w:val="auto"/>
              </w:rPr>
              <w:t>identification number)</w:t>
            </w:r>
          </w:p>
        </w:tc>
      </w:tr>
    </w:tbl>
    <w:p>
      <w:pPr>
        <w:spacing w:after="0" w:line="7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COMPASS GROUP DIVERSIFIED HOLDINGS LLC</w:t>
      </w:r>
    </w:p>
    <w:p>
      <w:pPr>
        <w:spacing w:after="0" w:line="16"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135" w:lineRule="exact"/>
        <w:rPr>
          <w:sz w:val="24"/>
          <w:szCs w:val="24"/>
          <w:color w:val="auto"/>
        </w:rPr>
      </w:pPr>
    </w:p>
    <w:tbl>
      <w:tblPr>
        <w:tblLayout w:type="fixed"/>
        <w:tblInd w:w="1440" w:type="dxa"/>
        <w:tblCellMar>
          <w:top w:w="0" w:type="dxa"/>
          <w:left w:w="0" w:type="dxa"/>
          <w:bottom w:w="0" w:type="dxa"/>
          <w:right w:w="0" w:type="dxa"/>
        </w:tblCellMar>
      </w:tblPr>
      <w:tr>
        <w:trPr>
          <w:trHeight w:val="189"/>
        </w:trPr>
        <w:tc>
          <w:tcPr>
            <w:tcW w:w="2860" w:type="dxa"/>
            <w:vAlign w:val="bottom"/>
          </w:tcPr>
          <w:p>
            <w:pPr>
              <w:jc w:val="center"/>
              <w:ind w:right="748"/>
              <w:spacing w:after="0"/>
              <w:rPr>
                <w:sz w:val="20"/>
                <w:szCs w:val="20"/>
                <w:color w:val="auto"/>
              </w:rPr>
            </w:pPr>
            <w:r>
              <w:rPr>
                <w:rFonts w:ascii="Arial" w:cs="Arial" w:eastAsia="Arial" w:hAnsi="Arial"/>
                <w:sz w:val="14"/>
                <w:szCs w:val="14"/>
                <w:b w:val="1"/>
                <w:bCs w:val="1"/>
                <w:color w:val="auto"/>
              </w:rPr>
              <w:t>Delaware</w:t>
            </w:r>
          </w:p>
        </w:tc>
        <w:tc>
          <w:tcPr>
            <w:tcW w:w="2700" w:type="dxa"/>
            <w:vAlign w:val="bottom"/>
          </w:tcPr>
          <w:p>
            <w:pPr>
              <w:jc w:val="center"/>
              <w:ind w:right="68"/>
              <w:spacing w:after="0"/>
              <w:rPr>
                <w:sz w:val="20"/>
                <w:szCs w:val="20"/>
                <w:color w:val="auto"/>
              </w:rPr>
            </w:pPr>
            <w:r>
              <w:rPr>
                <w:rFonts w:ascii="Arial" w:cs="Arial" w:eastAsia="Arial" w:hAnsi="Arial"/>
                <w:sz w:val="14"/>
                <w:szCs w:val="14"/>
                <w:b w:val="1"/>
                <w:bCs w:val="1"/>
                <w:color w:val="auto"/>
              </w:rPr>
              <w:t>001-34926</w:t>
            </w:r>
          </w:p>
        </w:tc>
        <w:tc>
          <w:tcPr>
            <w:tcW w:w="2480" w:type="dxa"/>
            <w:vAlign w:val="bottom"/>
          </w:tcPr>
          <w:p>
            <w:pPr>
              <w:jc w:val="center"/>
              <w:ind w:left="888"/>
              <w:spacing w:after="0"/>
              <w:rPr>
                <w:sz w:val="20"/>
                <w:szCs w:val="20"/>
                <w:color w:val="auto"/>
              </w:rPr>
            </w:pPr>
            <w:r>
              <w:rPr>
                <w:rFonts w:ascii="Arial" w:cs="Arial" w:eastAsia="Arial" w:hAnsi="Arial"/>
                <w:sz w:val="14"/>
                <w:szCs w:val="14"/>
                <w:b w:val="1"/>
                <w:bCs w:val="1"/>
                <w:color w:val="auto"/>
              </w:rPr>
              <w:t>20-3812051</w:t>
            </w:r>
          </w:p>
        </w:tc>
      </w:tr>
      <w:tr>
        <w:trPr>
          <w:trHeight w:val="148"/>
        </w:trPr>
        <w:tc>
          <w:tcPr>
            <w:tcW w:w="2860" w:type="dxa"/>
            <w:vAlign w:val="bottom"/>
          </w:tcPr>
          <w:p>
            <w:pPr>
              <w:jc w:val="center"/>
              <w:ind w:right="748"/>
              <w:spacing w:after="0" w:line="148" w:lineRule="exact"/>
              <w:rPr>
                <w:sz w:val="20"/>
                <w:szCs w:val="20"/>
                <w:color w:val="auto"/>
              </w:rPr>
            </w:pPr>
            <w:r>
              <w:rPr>
                <w:rFonts w:ascii="Arial" w:cs="Arial" w:eastAsia="Arial" w:hAnsi="Arial"/>
                <w:sz w:val="14"/>
                <w:szCs w:val="14"/>
                <w:b w:val="1"/>
                <w:bCs w:val="1"/>
                <w:color w:val="auto"/>
              </w:rPr>
              <w:t>(State or other jurisdiction of</w:t>
            </w:r>
          </w:p>
        </w:tc>
        <w:tc>
          <w:tcPr>
            <w:tcW w:w="2700" w:type="dxa"/>
            <w:vAlign w:val="bottom"/>
          </w:tcPr>
          <w:p>
            <w:pPr>
              <w:jc w:val="center"/>
              <w:ind w:right="68"/>
              <w:spacing w:after="0" w:line="148" w:lineRule="exact"/>
              <w:rPr>
                <w:sz w:val="20"/>
                <w:szCs w:val="20"/>
                <w:color w:val="auto"/>
              </w:rPr>
            </w:pPr>
            <w:r>
              <w:rPr>
                <w:rFonts w:ascii="Arial" w:cs="Arial" w:eastAsia="Arial" w:hAnsi="Arial"/>
                <w:sz w:val="14"/>
                <w:szCs w:val="14"/>
                <w:b w:val="1"/>
                <w:bCs w:val="1"/>
                <w:color w:val="auto"/>
              </w:rPr>
              <w:t>(Commission</w:t>
            </w:r>
          </w:p>
        </w:tc>
        <w:tc>
          <w:tcPr>
            <w:tcW w:w="2480" w:type="dxa"/>
            <w:vAlign w:val="bottom"/>
          </w:tcPr>
          <w:p>
            <w:pPr>
              <w:jc w:val="center"/>
              <w:ind w:left="888"/>
              <w:spacing w:after="0" w:line="148" w:lineRule="exact"/>
              <w:rPr>
                <w:sz w:val="20"/>
                <w:szCs w:val="20"/>
                <w:color w:val="auto"/>
              </w:rPr>
            </w:pPr>
            <w:r>
              <w:rPr>
                <w:rFonts w:ascii="Arial" w:cs="Arial" w:eastAsia="Arial" w:hAnsi="Arial"/>
                <w:sz w:val="14"/>
                <w:szCs w:val="14"/>
                <w:b w:val="1"/>
                <w:bCs w:val="1"/>
                <w:color w:val="auto"/>
              </w:rPr>
              <w:t>(I.R.S. employer</w:t>
            </w:r>
          </w:p>
        </w:tc>
      </w:tr>
      <w:tr>
        <w:trPr>
          <w:trHeight w:val="190"/>
        </w:trPr>
        <w:tc>
          <w:tcPr>
            <w:tcW w:w="2860" w:type="dxa"/>
            <w:vAlign w:val="bottom"/>
          </w:tcPr>
          <w:p>
            <w:pPr>
              <w:jc w:val="center"/>
              <w:ind w:right="748"/>
              <w:spacing w:after="0"/>
              <w:rPr>
                <w:sz w:val="20"/>
                <w:szCs w:val="20"/>
                <w:color w:val="auto"/>
              </w:rPr>
            </w:pPr>
            <w:r>
              <w:rPr>
                <w:rFonts w:ascii="Arial" w:cs="Arial" w:eastAsia="Arial" w:hAnsi="Arial"/>
                <w:sz w:val="14"/>
                <w:szCs w:val="14"/>
                <w:b w:val="1"/>
                <w:bCs w:val="1"/>
                <w:color w:val="auto"/>
              </w:rPr>
              <w:t>incorporation or organization)</w:t>
            </w:r>
          </w:p>
        </w:tc>
        <w:tc>
          <w:tcPr>
            <w:tcW w:w="2700" w:type="dxa"/>
            <w:vAlign w:val="bottom"/>
          </w:tcPr>
          <w:p>
            <w:pPr>
              <w:jc w:val="center"/>
              <w:ind w:right="48"/>
              <w:spacing w:after="0"/>
              <w:rPr>
                <w:sz w:val="20"/>
                <w:szCs w:val="20"/>
                <w:color w:val="auto"/>
              </w:rPr>
            </w:pPr>
            <w:r>
              <w:rPr>
                <w:rFonts w:ascii="Arial" w:cs="Arial" w:eastAsia="Arial" w:hAnsi="Arial"/>
                <w:sz w:val="14"/>
                <w:szCs w:val="14"/>
                <w:b w:val="1"/>
                <w:bCs w:val="1"/>
                <w:color w:val="auto"/>
              </w:rPr>
              <w:t>file number)</w:t>
            </w:r>
          </w:p>
        </w:tc>
        <w:tc>
          <w:tcPr>
            <w:tcW w:w="2480" w:type="dxa"/>
            <w:vAlign w:val="bottom"/>
          </w:tcPr>
          <w:p>
            <w:pPr>
              <w:jc w:val="center"/>
              <w:ind w:left="888"/>
              <w:spacing w:after="0"/>
              <w:rPr>
                <w:sz w:val="20"/>
                <w:szCs w:val="20"/>
                <w:color w:val="auto"/>
              </w:rPr>
            </w:pPr>
            <w:r>
              <w:rPr>
                <w:rFonts w:ascii="Arial" w:cs="Arial" w:eastAsia="Arial" w:hAnsi="Arial"/>
                <w:sz w:val="14"/>
                <w:szCs w:val="14"/>
                <w:b w:val="1"/>
                <w:bCs w:val="1"/>
                <w:color w:val="auto"/>
              </w:rPr>
              <w:t>identification number)</w:t>
            </w:r>
          </w:p>
        </w:tc>
      </w:tr>
    </w:tbl>
    <w:p>
      <w:pPr>
        <w:spacing w:after="0" w:line="12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301 Riverside Avenue, Second Floor, Westport, CT 06880</w:t>
      </w:r>
    </w:p>
    <w:p>
      <w:pPr>
        <w:spacing w:after="0" w:line="32"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w:t>
      </w:r>
      <w:r>
        <w:rPr>
          <w:rFonts w:ascii="Arial" w:cs="Arial" w:eastAsia="Arial" w:hAnsi="Arial"/>
          <w:sz w:val="16"/>
          <w:szCs w:val="16"/>
          <w:b w:val="1"/>
          <w:bCs w:val="1"/>
          <w:color w:val="auto"/>
        </w:rPr>
        <w:t>203</w:t>
      </w:r>
      <w:r>
        <w:rPr>
          <w:rFonts w:ascii="Arial" w:cs="Arial" w:eastAsia="Arial" w:hAnsi="Arial"/>
          <w:sz w:val="18"/>
          <w:szCs w:val="18"/>
          <w:color w:val="auto"/>
        </w:rPr>
        <w:t xml:space="preserve">) </w:t>
      </w:r>
      <w:r>
        <w:rPr>
          <w:rFonts w:ascii="Arial" w:cs="Arial" w:eastAsia="Arial" w:hAnsi="Arial"/>
          <w:sz w:val="16"/>
          <w:szCs w:val="16"/>
          <w:b w:val="1"/>
          <w:bCs w:val="1"/>
          <w:color w:val="auto"/>
        </w:rPr>
        <w:t>221-1703</w:t>
      </w:r>
    </w:p>
    <w:p>
      <w:pPr>
        <w:spacing w:after="0" w:line="50" w:lineRule="exact"/>
        <w:rPr>
          <w:sz w:val="24"/>
          <w:szCs w:val="24"/>
          <w:color w:val="auto"/>
        </w:rPr>
      </w:pPr>
    </w:p>
    <w:p>
      <w:pPr>
        <w:ind w:left="1660"/>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2430780</wp:posOffset>
            </wp:positionH>
            <wp:positionV relativeFrom="paragraph">
              <wp:posOffset>86360</wp:posOffset>
            </wp:positionV>
            <wp:extent cx="22885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220" w:lineRule="exact"/>
        <w:rPr>
          <w:sz w:val="24"/>
          <w:szCs w:val="24"/>
          <w:color w:val="auto"/>
        </w:rPr>
      </w:pPr>
    </w:p>
    <w:p>
      <w:pPr>
        <w:spacing w:after="0"/>
        <w:rPr>
          <w:sz w:val="20"/>
          <w:szCs w:val="20"/>
          <w:color w:val="auto"/>
        </w:rPr>
      </w:pPr>
      <w:r>
        <w:rPr>
          <w:rFonts w:ascii="Arial" w:cs="Arial" w:eastAsia="Arial" w:hAnsi="Arial"/>
          <w:sz w:val="15"/>
          <w:szCs w:val="15"/>
          <w:color w:val="auto"/>
        </w:rPr>
        <w:t>Securities registered pursuant to Section 12(b) of the Act:</w:t>
      </w:r>
    </w:p>
    <w:p>
      <w:pPr>
        <w:spacing w:after="0" w:line="94" w:lineRule="exact"/>
        <w:rPr>
          <w:sz w:val="24"/>
          <w:szCs w:val="24"/>
          <w:color w:val="auto"/>
        </w:rPr>
      </w:pPr>
    </w:p>
    <w:tbl>
      <w:tblPr>
        <w:tblLayout w:type="fixed"/>
        <w:tblInd w:w="70" w:type="dxa"/>
        <w:tblCellMar>
          <w:top w:w="0" w:type="dxa"/>
          <w:left w:w="0" w:type="dxa"/>
          <w:bottom w:w="0" w:type="dxa"/>
          <w:right w:w="0" w:type="dxa"/>
        </w:tblCellMar>
      </w:tblPr>
      <w:tr>
        <w:trPr>
          <w:trHeight w:val="162"/>
        </w:trPr>
        <w:tc>
          <w:tcPr>
            <w:tcW w:w="5720" w:type="dxa"/>
            <w:vAlign w:val="bottom"/>
            <w:tcBorders>
              <w:top w:val="single" w:sz="8" w:color="auto"/>
              <w:left w:val="single" w:sz="8" w:color="auto"/>
            </w:tcBorders>
            <w:vMerge w:val="restart"/>
          </w:tcPr>
          <w:p>
            <w:pPr>
              <w:ind w:left="2300"/>
              <w:spacing w:after="0"/>
              <w:rPr>
                <w:sz w:val="20"/>
                <w:szCs w:val="20"/>
                <w:color w:val="auto"/>
              </w:rPr>
            </w:pPr>
            <w:r>
              <w:rPr>
                <w:rFonts w:ascii="Arial" w:cs="Arial" w:eastAsia="Arial" w:hAnsi="Arial"/>
                <w:sz w:val="14"/>
                <w:szCs w:val="14"/>
                <w:b w:val="1"/>
                <w:bCs w:val="1"/>
                <w:color w:val="auto"/>
              </w:rPr>
              <w:t>Title of Each Class</w:t>
            </w:r>
          </w:p>
        </w:tc>
        <w:tc>
          <w:tcPr>
            <w:tcW w:w="1520" w:type="dxa"/>
            <w:vAlign w:val="bottom"/>
            <w:tcBorders>
              <w:top w:val="single" w:sz="8" w:color="auto"/>
            </w:tcBorders>
          </w:tcPr>
          <w:p>
            <w:pPr>
              <w:jc w:val="center"/>
              <w:ind w:left="8"/>
              <w:spacing w:after="0"/>
              <w:rPr>
                <w:sz w:val="20"/>
                <w:szCs w:val="20"/>
                <w:color w:val="auto"/>
              </w:rPr>
            </w:pPr>
            <w:r>
              <w:rPr>
                <w:rFonts w:ascii="Arial" w:cs="Arial" w:eastAsia="Arial" w:hAnsi="Arial"/>
                <w:sz w:val="14"/>
                <w:szCs w:val="14"/>
                <w:b w:val="1"/>
                <w:bCs w:val="1"/>
                <w:color w:val="auto"/>
              </w:rPr>
              <w:t>Trading</w:t>
            </w:r>
          </w:p>
        </w:tc>
        <w:tc>
          <w:tcPr>
            <w:tcW w:w="3900" w:type="dxa"/>
            <w:vAlign w:val="bottom"/>
            <w:tcBorders>
              <w:top w:val="single" w:sz="8" w:color="auto"/>
              <w:right w:val="single" w:sz="8" w:color="auto"/>
            </w:tcBorders>
            <w:vMerge w:val="restart"/>
          </w:tcPr>
          <w:p>
            <w:pPr>
              <w:jc w:val="center"/>
              <w:ind w:right="8"/>
              <w:spacing w:after="0"/>
              <w:rPr>
                <w:sz w:val="20"/>
                <w:szCs w:val="20"/>
                <w:color w:val="auto"/>
              </w:rPr>
            </w:pPr>
            <w:r>
              <w:rPr>
                <w:rFonts w:ascii="Arial" w:cs="Arial" w:eastAsia="Arial" w:hAnsi="Arial"/>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5"/>
        </w:trPr>
        <w:tc>
          <w:tcPr>
            <w:tcW w:w="5720" w:type="dxa"/>
            <w:vAlign w:val="bottom"/>
            <w:tcBorders>
              <w:left w:val="single" w:sz="8" w:color="auto"/>
              <w:bottom w:val="single" w:sz="8" w:color="auto"/>
            </w:tcBorders>
            <w:vMerge w:val="continue"/>
          </w:tcPr>
          <w:p>
            <w:pPr>
              <w:spacing w:after="0"/>
              <w:rPr>
                <w:sz w:val="15"/>
                <w:szCs w:val="15"/>
                <w:color w:val="auto"/>
              </w:rPr>
            </w:pPr>
          </w:p>
        </w:tc>
        <w:tc>
          <w:tcPr>
            <w:tcW w:w="152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b w:val="1"/>
                <w:bCs w:val="1"/>
                <w:color w:val="auto"/>
              </w:rPr>
              <w:t>Symbol(s)</w:t>
            </w:r>
          </w:p>
        </w:tc>
        <w:tc>
          <w:tcPr>
            <w:tcW w:w="390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7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Shares representing beneficial interests in Compass Diversified Holdings</w:t>
            </w:r>
          </w:p>
        </w:tc>
        <w:tc>
          <w:tcPr>
            <w:tcW w:w="152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color w:val="auto"/>
              </w:rPr>
              <w:t>CODI</w:t>
            </w:r>
          </w:p>
        </w:tc>
        <w:tc>
          <w:tcPr>
            <w:tcW w:w="3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New York Stock Exchange</w:t>
            </w:r>
          </w:p>
        </w:tc>
        <w:tc>
          <w:tcPr>
            <w:tcW w:w="0" w:type="dxa"/>
            <w:vAlign w:val="bottom"/>
          </w:tcPr>
          <w:p>
            <w:pPr>
              <w:spacing w:after="0"/>
              <w:rPr>
                <w:sz w:val="1"/>
                <w:szCs w:val="1"/>
                <w:color w:val="auto"/>
              </w:rPr>
            </w:pPr>
          </w:p>
        </w:tc>
      </w:tr>
      <w:tr>
        <w:trPr>
          <w:trHeight w:val="147"/>
        </w:trPr>
        <w:tc>
          <w:tcPr>
            <w:tcW w:w="5720" w:type="dxa"/>
            <w:vAlign w:val="bottom"/>
            <w:tcBorders>
              <w:left w:val="single" w:sz="8" w:color="auto"/>
            </w:tcBorders>
          </w:tcPr>
          <w:p>
            <w:pPr>
              <w:ind w:left="40"/>
              <w:spacing w:after="0" w:line="147" w:lineRule="exact"/>
              <w:rPr>
                <w:sz w:val="20"/>
                <w:szCs w:val="20"/>
                <w:color w:val="auto"/>
              </w:rPr>
            </w:pPr>
            <w:r>
              <w:rPr>
                <w:rFonts w:ascii="Arial" w:cs="Arial" w:eastAsia="Arial" w:hAnsi="Arial"/>
                <w:sz w:val="14"/>
                <w:szCs w:val="14"/>
                <w:color w:val="auto"/>
              </w:rPr>
              <w:t>Series A Preferred Shares representing beneficial interests in Compass Diversified</w:t>
            </w:r>
          </w:p>
        </w:tc>
        <w:tc>
          <w:tcPr>
            <w:tcW w:w="1520" w:type="dxa"/>
            <w:vAlign w:val="bottom"/>
            <w:vMerge w:val="restart"/>
          </w:tcPr>
          <w:p>
            <w:pPr>
              <w:jc w:val="center"/>
              <w:ind w:left="28"/>
              <w:spacing w:after="0"/>
              <w:rPr>
                <w:sz w:val="20"/>
                <w:szCs w:val="20"/>
                <w:color w:val="auto"/>
              </w:rPr>
            </w:pPr>
            <w:r>
              <w:rPr>
                <w:rFonts w:ascii="Arial" w:cs="Arial" w:eastAsia="Arial" w:hAnsi="Arial"/>
                <w:sz w:val="14"/>
                <w:szCs w:val="14"/>
                <w:color w:val="auto"/>
              </w:rPr>
              <w:t>CODI PR A</w:t>
            </w:r>
          </w:p>
        </w:tc>
        <w:tc>
          <w:tcPr>
            <w:tcW w:w="39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5720" w:type="dxa"/>
            <w:vAlign w:val="bottom"/>
            <w:tcBorders>
              <w:left w:val="single" w:sz="8" w:color="auto"/>
            </w:tcBorders>
            <w:vMerge w:val="restart"/>
          </w:tcPr>
          <w:p>
            <w:pPr>
              <w:ind w:left="40"/>
              <w:spacing w:after="0"/>
              <w:rPr>
                <w:sz w:val="20"/>
                <w:szCs w:val="20"/>
                <w:color w:val="auto"/>
              </w:rPr>
            </w:pPr>
            <w:r>
              <w:rPr>
                <w:rFonts w:ascii="Arial" w:cs="Arial" w:eastAsia="Arial" w:hAnsi="Arial"/>
                <w:sz w:val="14"/>
                <w:szCs w:val="14"/>
                <w:color w:val="auto"/>
              </w:rPr>
              <w:t>Holdings</w:t>
            </w:r>
          </w:p>
        </w:tc>
        <w:tc>
          <w:tcPr>
            <w:tcW w:w="1520" w:type="dxa"/>
            <w:vAlign w:val="bottom"/>
            <w:vMerge w:val="continue"/>
          </w:tcPr>
          <w:p>
            <w:pPr>
              <w:spacing w:after="0"/>
              <w:rPr>
                <w:sz w:val="9"/>
                <w:szCs w:val="9"/>
                <w:color w:val="auto"/>
              </w:rPr>
            </w:pPr>
          </w:p>
        </w:tc>
        <w:tc>
          <w:tcPr>
            <w:tcW w:w="3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New York Stock Exchange</w:t>
            </w:r>
          </w:p>
        </w:tc>
        <w:tc>
          <w:tcPr>
            <w:tcW w:w="0" w:type="dxa"/>
            <w:vAlign w:val="bottom"/>
          </w:tcPr>
          <w:p>
            <w:pPr>
              <w:spacing w:after="0"/>
              <w:rPr>
                <w:sz w:val="1"/>
                <w:szCs w:val="1"/>
                <w:color w:val="auto"/>
              </w:rPr>
            </w:pPr>
          </w:p>
        </w:tc>
      </w:tr>
      <w:tr>
        <w:trPr>
          <w:trHeight w:val="66"/>
        </w:trPr>
        <w:tc>
          <w:tcPr>
            <w:tcW w:w="5720" w:type="dxa"/>
            <w:vAlign w:val="bottom"/>
            <w:tcBorders>
              <w:left w:val="single" w:sz="8" w:color="auto"/>
              <w:bottom w:val="single" w:sz="8" w:color="auto"/>
            </w:tcBorders>
            <w:vMerge w:val="continue"/>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3900" w:type="dxa"/>
            <w:vAlign w:val="bottom"/>
            <w:tcBorders>
              <w:bottom w:val="single" w:sz="8" w:color="auto"/>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5720" w:type="dxa"/>
            <w:vAlign w:val="bottom"/>
            <w:tcBorders>
              <w:left w:val="single" w:sz="8" w:color="auto"/>
            </w:tcBorders>
          </w:tcPr>
          <w:p>
            <w:pPr>
              <w:ind w:left="40"/>
              <w:spacing w:after="0" w:line="147" w:lineRule="exact"/>
              <w:rPr>
                <w:sz w:val="20"/>
                <w:szCs w:val="20"/>
                <w:color w:val="auto"/>
              </w:rPr>
            </w:pPr>
            <w:r>
              <w:rPr>
                <w:rFonts w:ascii="Arial" w:cs="Arial" w:eastAsia="Arial" w:hAnsi="Arial"/>
                <w:sz w:val="14"/>
                <w:szCs w:val="14"/>
                <w:color w:val="auto"/>
              </w:rPr>
              <w:t>Series B Preferred Shares representing beneficial interests in Compass Diversified</w:t>
            </w:r>
          </w:p>
        </w:tc>
        <w:tc>
          <w:tcPr>
            <w:tcW w:w="1520" w:type="dxa"/>
            <w:vAlign w:val="bottom"/>
            <w:vMerge w:val="restart"/>
          </w:tcPr>
          <w:p>
            <w:pPr>
              <w:jc w:val="center"/>
              <w:ind w:left="28"/>
              <w:spacing w:after="0"/>
              <w:rPr>
                <w:sz w:val="20"/>
                <w:szCs w:val="20"/>
                <w:color w:val="auto"/>
              </w:rPr>
            </w:pPr>
            <w:r>
              <w:rPr>
                <w:rFonts w:ascii="Arial" w:cs="Arial" w:eastAsia="Arial" w:hAnsi="Arial"/>
                <w:sz w:val="14"/>
                <w:szCs w:val="14"/>
                <w:color w:val="auto"/>
              </w:rPr>
              <w:t>CODI PR B</w:t>
            </w:r>
          </w:p>
        </w:tc>
        <w:tc>
          <w:tcPr>
            <w:tcW w:w="39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5720" w:type="dxa"/>
            <w:vAlign w:val="bottom"/>
            <w:tcBorders>
              <w:left w:val="single" w:sz="8" w:color="auto"/>
            </w:tcBorders>
            <w:vMerge w:val="restart"/>
          </w:tcPr>
          <w:p>
            <w:pPr>
              <w:ind w:left="40"/>
              <w:spacing w:after="0"/>
              <w:rPr>
                <w:sz w:val="20"/>
                <w:szCs w:val="20"/>
                <w:color w:val="auto"/>
              </w:rPr>
            </w:pPr>
            <w:r>
              <w:rPr>
                <w:rFonts w:ascii="Arial" w:cs="Arial" w:eastAsia="Arial" w:hAnsi="Arial"/>
                <w:sz w:val="14"/>
                <w:szCs w:val="14"/>
                <w:color w:val="auto"/>
              </w:rPr>
              <w:t>Holdings</w:t>
            </w:r>
          </w:p>
        </w:tc>
        <w:tc>
          <w:tcPr>
            <w:tcW w:w="1520" w:type="dxa"/>
            <w:vAlign w:val="bottom"/>
            <w:vMerge w:val="continue"/>
          </w:tcPr>
          <w:p>
            <w:pPr>
              <w:spacing w:after="0"/>
              <w:rPr>
                <w:sz w:val="9"/>
                <w:szCs w:val="9"/>
                <w:color w:val="auto"/>
              </w:rPr>
            </w:pPr>
          </w:p>
        </w:tc>
        <w:tc>
          <w:tcPr>
            <w:tcW w:w="3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New York Stock Exchange</w:t>
            </w:r>
          </w:p>
        </w:tc>
        <w:tc>
          <w:tcPr>
            <w:tcW w:w="0" w:type="dxa"/>
            <w:vAlign w:val="bottom"/>
          </w:tcPr>
          <w:p>
            <w:pPr>
              <w:spacing w:after="0"/>
              <w:rPr>
                <w:sz w:val="1"/>
                <w:szCs w:val="1"/>
                <w:color w:val="auto"/>
              </w:rPr>
            </w:pPr>
          </w:p>
        </w:tc>
      </w:tr>
      <w:tr>
        <w:trPr>
          <w:trHeight w:val="66"/>
        </w:trPr>
        <w:tc>
          <w:tcPr>
            <w:tcW w:w="5720" w:type="dxa"/>
            <w:vAlign w:val="bottom"/>
            <w:tcBorders>
              <w:left w:val="single" w:sz="8" w:color="auto"/>
              <w:bottom w:val="single" w:sz="8" w:color="auto"/>
            </w:tcBorders>
            <w:vMerge w:val="continue"/>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3900" w:type="dxa"/>
            <w:vAlign w:val="bottom"/>
            <w:tcBorders>
              <w:bottom w:val="single" w:sz="8" w:color="auto"/>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5720" w:type="dxa"/>
            <w:vAlign w:val="bottom"/>
            <w:tcBorders>
              <w:left w:val="single" w:sz="8" w:color="auto"/>
            </w:tcBorders>
          </w:tcPr>
          <w:p>
            <w:pPr>
              <w:ind w:left="40"/>
              <w:spacing w:after="0" w:line="147" w:lineRule="exact"/>
              <w:rPr>
                <w:sz w:val="20"/>
                <w:szCs w:val="20"/>
                <w:color w:val="auto"/>
              </w:rPr>
            </w:pPr>
            <w:r>
              <w:rPr>
                <w:rFonts w:ascii="Arial" w:cs="Arial" w:eastAsia="Arial" w:hAnsi="Arial"/>
                <w:sz w:val="14"/>
                <w:szCs w:val="14"/>
                <w:color w:val="auto"/>
              </w:rPr>
              <w:t>Series C Preferred Shares representing beneficial interests in Compass Diversified</w:t>
            </w:r>
          </w:p>
        </w:tc>
        <w:tc>
          <w:tcPr>
            <w:tcW w:w="1520" w:type="dxa"/>
            <w:vAlign w:val="bottom"/>
            <w:vMerge w:val="restart"/>
          </w:tcPr>
          <w:p>
            <w:pPr>
              <w:jc w:val="center"/>
              <w:ind w:left="28"/>
              <w:spacing w:after="0"/>
              <w:rPr>
                <w:sz w:val="20"/>
                <w:szCs w:val="20"/>
                <w:color w:val="auto"/>
              </w:rPr>
            </w:pPr>
            <w:r>
              <w:rPr>
                <w:rFonts w:ascii="Arial" w:cs="Arial" w:eastAsia="Arial" w:hAnsi="Arial"/>
                <w:sz w:val="14"/>
                <w:szCs w:val="14"/>
                <w:color w:val="auto"/>
              </w:rPr>
              <w:t>CODI PR C</w:t>
            </w:r>
          </w:p>
        </w:tc>
        <w:tc>
          <w:tcPr>
            <w:tcW w:w="39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5720" w:type="dxa"/>
            <w:vAlign w:val="bottom"/>
            <w:tcBorders>
              <w:left w:val="single" w:sz="8" w:color="auto"/>
            </w:tcBorders>
            <w:vMerge w:val="restart"/>
          </w:tcPr>
          <w:p>
            <w:pPr>
              <w:ind w:left="40"/>
              <w:spacing w:after="0"/>
              <w:rPr>
                <w:sz w:val="20"/>
                <w:szCs w:val="20"/>
                <w:color w:val="auto"/>
              </w:rPr>
            </w:pPr>
            <w:r>
              <w:rPr>
                <w:rFonts w:ascii="Arial" w:cs="Arial" w:eastAsia="Arial" w:hAnsi="Arial"/>
                <w:sz w:val="14"/>
                <w:szCs w:val="14"/>
                <w:color w:val="auto"/>
              </w:rPr>
              <w:t>Holdings</w:t>
            </w:r>
          </w:p>
        </w:tc>
        <w:tc>
          <w:tcPr>
            <w:tcW w:w="1520" w:type="dxa"/>
            <w:vAlign w:val="bottom"/>
            <w:vMerge w:val="continue"/>
          </w:tcPr>
          <w:p>
            <w:pPr>
              <w:spacing w:after="0"/>
              <w:rPr>
                <w:sz w:val="9"/>
                <w:szCs w:val="9"/>
                <w:color w:val="auto"/>
              </w:rPr>
            </w:pPr>
          </w:p>
        </w:tc>
        <w:tc>
          <w:tcPr>
            <w:tcW w:w="3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New York Stock Exchange</w:t>
            </w:r>
          </w:p>
        </w:tc>
        <w:tc>
          <w:tcPr>
            <w:tcW w:w="0" w:type="dxa"/>
            <w:vAlign w:val="bottom"/>
          </w:tcPr>
          <w:p>
            <w:pPr>
              <w:spacing w:after="0"/>
              <w:rPr>
                <w:sz w:val="1"/>
                <w:szCs w:val="1"/>
                <w:color w:val="auto"/>
              </w:rPr>
            </w:pPr>
          </w:p>
        </w:tc>
      </w:tr>
      <w:tr>
        <w:trPr>
          <w:trHeight w:val="66"/>
        </w:trPr>
        <w:tc>
          <w:tcPr>
            <w:tcW w:w="5720" w:type="dxa"/>
            <w:vAlign w:val="bottom"/>
            <w:tcBorders>
              <w:left w:val="single" w:sz="8" w:color="auto"/>
              <w:bottom w:val="single" w:sz="8" w:color="auto"/>
            </w:tcBorders>
            <w:vMerge w:val="continue"/>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3900" w:type="dxa"/>
            <w:vAlign w:val="bottom"/>
            <w:tcBorders>
              <w:bottom w:val="single" w:sz="8" w:color="auto"/>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48" w:lineRule="exact"/>
        <w:rPr>
          <w:sz w:val="24"/>
          <w:szCs w:val="24"/>
          <w:color w:val="auto"/>
        </w:rPr>
      </w:pPr>
    </w:p>
    <w:p>
      <w:pPr>
        <w:ind w:right="260"/>
        <w:spacing w:after="0" w:line="23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96" w:lineRule="exact"/>
        <w:tabs>
          <w:tab w:leader="none" w:pos="680" w:val="left"/>
          <w:tab w:leader="none" w:pos="1360" w:val="left"/>
        </w:tabs>
        <w:rPr>
          <w:sz w:val="20"/>
          <w:szCs w:val="20"/>
          <w:color w:val="auto"/>
        </w:rPr>
      </w:pPr>
      <w:r>
        <w:rPr>
          <w:rFonts w:ascii="Arial" w:cs="Arial" w:eastAsia="Arial" w:hAnsi="Arial"/>
          <w:sz w:val="14"/>
          <w:szCs w:val="14"/>
          <w:color w:val="auto"/>
        </w:rPr>
        <w:t>90 days.</w:t>
        <w:tab/>
        <w:t xml:space="preserve">Yes </w:t>
      </w:r>
      <w:r>
        <w:rPr>
          <w:rFonts w:ascii="MS PGothic" w:cs="MS PGothic" w:eastAsia="MS PGothic" w:hAnsi="MS PGothic"/>
          <w:sz w:val="17"/>
          <w:szCs w:val="17"/>
          <w:color w:val="auto"/>
        </w:rPr>
        <w:t>☒</w:t>
      </w:r>
      <w:r>
        <w:rPr>
          <w:rFonts w:ascii="Arial" w:cs="Arial" w:eastAsia="Arial" w:hAnsi="Arial"/>
          <w:sz w:val="14"/>
          <w:szCs w:val="14"/>
          <w:color w:val="auto"/>
        </w:rPr>
        <w:tab/>
        <w:t xml:space="preserve">No </w:t>
      </w:r>
      <w:r>
        <w:rPr>
          <w:rFonts w:ascii="MS PGothic" w:cs="MS PGothic" w:eastAsia="MS PGothic" w:hAnsi="MS PGothic"/>
          <w:sz w:val="17"/>
          <w:szCs w:val="17"/>
          <w:color w:val="auto"/>
        </w:rPr>
        <w:t>☐</w:t>
      </w:r>
    </w:p>
    <w:p>
      <w:pPr>
        <w:spacing w:after="0" w:line="138" w:lineRule="exact"/>
        <w:rPr>
          <w:sz w:val="24"/>
          <w:szCs w:val="24"/>
          <w:color w:val="auto"/>
        </w:rPr>
      </w:pPr>
    </w:p>
    <w:p>
      <w:pPr>
        <w:ind w:right="640"/>
        <w:spacing w:after="0" w:line="197"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4"/>
          <w:szCs w:val="14"/>
          <w:color w:val="auto"/>
        </w:rPr>
        <w:t xml:space="preserve"> No </w:t>
      </w:r>
      <w:r>
        <w:rPr>
          <w:rFonts w:ascii="MS PGothic" w:cs="MS PGothic" w:eastAsia="MS PGothic" w:hAnsi="MS PGothic"/>
          <w:sz w:val="17"/>
          <w:szCs w:val="17"/>
          <w:color w:val="auto"/>
        </w:rPr>
        <w:t>☐</w:t>
      </w:r>
    </w:p>
    <w:p>
      <w:pPr>
        <w:spacing w:after="0" w:line="94" w:lineRule="exact"/>
        <w:rPr>
          <w:sz w:val="24"/>
          <w:szCs w:val="24"/>
          <w:color w:val="auto"/>
        </w:rPr>
      </w:pPr>
    </w:p>
    <w:p>
      <w:pPr>
        <w:ind w:right="180"/>
        <w:spacing w:after="0" w:line="24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00"/>
          </w:cols>
          <w:pgMar w:left="320" w:top="823" w:right="379" w:bottom="1440" w:gutter="0" w:footer="0" w:header="0"/>
        </w:sectPr>
      </w:pPr>
    </w:p>
    <w:p>
      <w:pPr>
        <w:spacing w:after="0" w:line="30" w:lineRule="exact"/>
        <w:rPr>
          <w:sz w:val="24"/>
          <w:szCs w:val="24"/>
          <w:color w:val="auto"/>
        </w:rPr>
      </w:pPr>
    </w:p>
    <w:p>
      <w:pPr>
        <w:ind w:left="130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2"/>
          <w:szCs w:val="12"/>
          <w:color w:val="auto"/>
        </w:rPr>
        <w:t>x</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98" w:lineRule="exact"/>
        <w:rPr>
          <w:sz w:val="24"/>
          <w:szCs w:val="24"/>
          <w:color w:val="auto"/>
        </w:rPr>
      </w:pPr>
    </w:p>
    <w:p>
      <w:pPr>
        <w:sectPr>
          <w:pgSz w:w="11900" w:h="16838" w:orient="portrait"/>
          <w:cols w:equalWidth="0" w:num="6">
            <w:col w:w="3080" w:space="720"/>
            <w:col w:w="60" w:space="440"/>
            <w:col w:w="1760" w:space="720"/>
            <w:col w:w="140" w:space="220"/>
            <w:col w:w="1540" w:space="720"/>
            <w:col w:w="1800"/>
          </w:cols>
          <w:pgMar w:left="320" w:top="823" w:right="379" w:bottom="1440" w:gutter="0" w:footer="0" w:header="0"/>
          <w:type w:val="continuous"/>
        </w:sectPr>
      </w:pPr>
    </w:p>
    <w:p>
      <w:pPr>
        <w:spacing w:after="0" w:line="42" w:lineRule="exact"/>
        <w:rPr>
          <w:sz w:val="24"/>
          <w:szCs w:val="24"/>
          <w:color w:val="auto"/>
        </w:rPr>
      </w:pPr>
    </w:p>
    <w:p>
      <w:pPr>
        <w:ind w:left="1300"/>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2" w:lineRule="exact"/>
        <w:rPr>
          <w:sz w:val="24"/>
          <w:szCs w:val="24"/>
          <w:color w:val="auto"/>
        </w:rPr>
      </w:pPr>
    </w:p>
    <w:p>
      <w:pPr>
        <w:spacing w:after="0"/>
        <w:rPr>
          <w:sz w:val="20"/>
          <w:szCs w:val="20"/>
          <w:color w:val="auto"/>
        </w:rPr>
      </w:pPr>
      <w:r>
        <w:rPr>
          <w:rFonts w:ascii="Arial" w:cs="Arial" w:eastAsia="Arial" w:hAnsi="Arial"/>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52" w:lineRule="exact"/>
        <w:rPr>
          <w:sz w:val="24"/>
          <w:szCs w:val="24"/>
          <w:color w:val="auto"/>
        </w:rPr>
      </w:pPr>
    </w:p>
    <w:p>
      <w:pPr>
        <w:sectPr>
          <w:pgSz w:w="11900" w:h="16838" w:orient="portrait"/>
          <w:cols w:equalWidth="0" w:num="4">
            <w:col w:w="3080" w:space="720"/>
            <w:col w:w="160" w:space="340"/>
            <w:col w:w="1760" w:space="720"/>
            <w:col w:w="4420"/>
          </w:cols>
          <w:pgMar w:left="320" w:top="823" w:right="379" w:bottom="1440" w:gutter="0" w:footer="0" w:header="0"/>
          <w:type w:val="continuous"/>
        </w:sectPr>
      </w:pPr>
    </w:p>
    <w:p>
      <w:pPr>
        <w:ind w:right="260"/>
        <w:spacing w:after="0" w:line="189"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 w:lineRule="exact"/>
        <w:rPr>
          <w:sz w:val="24"/>
          <w:szCs w:val="24"/>
          <w:color w:val="auto"/>
        </w:rPr>
      </w:pPr>
    </w:p>
    <w:p>
      <w:pPr>
        <w:spacing w:after="0" w:line="196" w:lineRule="exact"/>
        <w:tabs>
          <w:tab w:leader="none" w:pos="7360" w:val="left"/>
          <w:tab w:leader="none" w:pos="802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7"/>
          <w:szCs w:val="17"/>
          <w:color w:val="auto"/>
        </w:rPr>
        <w:t>☐</w:t>
      </w:r>
      <w:r>
        <w:rPr>
          <w:rFonts w:ascii="Arial" w:cs="Arial" w:eastAsia="Arial" w:hAnsi="Arial"/>
          <w:sz w:val="14"/>
          <w:szCs w:val="14"/>
          <w:color w:val="auto"/>
        </w:rPr>
        <w:tab/>
        <w:t xml:space="preserve">No </w:t>
      </w:r>
      <w:r>
        <w:rPr>
          <w:rFonts w:ascii="MS PGothic" w:cs="MS PGothic" w:eastAsia="MS PGothic" w:hAnsi="MS PGothic"/>
          <w:sz w:val="17"/>
          <w:szCs w:val="17"/>
          <w:color w:val="auto"/>
        </w:rPr>
        <w:t>☒</w:t>
      </w:r>
    </w:p>
    <w:p>
      <w:pPr>
        <w:spacing w:after="0" w:line="348" w:lineRule="exact"/>
        <w:rPr>
          <w:sz w:val="24"/>
          <w:szCs w:val="24"/>
          <w:color w:val="auto"/>
        </w:rPr>
      </w:pPr>
    </w:p>
    <w:p>
      <w:pPr>
        <w:ind w:left="1940"/>
        <w:spacing w:after="0"/>
        <w:rPr>
          <w:sz w:val="20"/>
          <w:szCs w:val="20"/>
          <w:color w:val="auto"/>
        </w:rPr>
      </w:pPr>
      <w:r>
        <w:rPr>
          <w:rFonts w:ascii="Arial" w:cs="Arial" w:eastAsia="Arial" w:hAnsi="Arial"/>
          <w:sz w:val="15"/>
          <w:szCs w:val="15"/>
          <w:color w:val="auto"/>
        </w:rPr>
        <w:t>As of October 28, 2020, there were 64,900,000 Trust common shares of Compass Diversified Holdings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603885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115570</wp:posOffset>
            </wp:positionV>
            <wp:extent cx="71151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81280</wp:posOffset>
            </wp:positionV>
            <wp:extent cx="71151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00"/>
          </w:cols>
          <w:pgMar w:left="320" w:top="823" w:right="37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85"/>
        </w:trPr>
        <w:tc>
          <w:tcPr>
            <w:tcW w:w="1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20" w:type="dxa"/>
            <w:vAlign w:val="bottom"/>
            <w:gridSpan w:val="2"/>
          </w:tcPr>
          <w:p>
            <w:pPr>
              <w:jc w:val="center"/>
              <w:ind w:right="1760"/>
              <w:spacing w:after="0"/>
              <w:rPr>
                <w:sz w:val="20"/>
                <w:szCs w:val="20"/>
                <w:color w:val="auto"/>
              </w:rPr>
            </w:pPr>
            <w:r>
              <w:rPr>
                <w:rFonts w:ascii="Arial" w:cs="Arial" w:eastAsia="Arial" w:hAnsi="Arial"/>
                <w:sz w:val="22"/>
                <w:szCs w:val="22"/>
                <w:b w:val="1"/>
                <w:bCs w:val="1"/>
                <w:color w:val="auto"/>
                <w:w w:val="97"/>
              </w:rPr>
              <w:t>COMPASS DIVERSIFIED HOLDINGS</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8"/>
        </w:trPr>
        <w:tc>
          <w:tcPr>
            <w:tcW w:w="1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20" w:type="dxa"/>
            <w:vAlign w:val="bottom"/>
            <w:gridSpan w:val="2"/>
          </w:tcPr>
          <w:p>
            <w:pPr>
              <w:jc w:val="center"/>
              <w:ind w:right="1760"/>
              <w:spacing w:after="0"/>
              <w:rPr>
                <w:sz w:val="20"/>
                <w:szCs w:val="20"/>
                <w:color w:val="auto"/>
              </w:rPr>
            </w:pPr>
            <w:r>
              <w:rPr>
                <w:rFonts w:ascii="Arial" w:cs="Arial" w:eastAsia="Arial" w:hAnsi="Arial"/>
                <w:sz w:val="20"/>
                <w:szCs w:val="20"/>
                <w:b w:val="1"/>
                <w:bCs w:val="1"/>
                <w:color w:val="auto"/>
                <w:w w:val="98"/>
              </w:rPr>
              <w:t>QUARTERLY REPORT ON FORM 10-Q</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16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7420" w:type="dxa"/>
            <w:vAlign w:val="bottom"/>
            <w:gridSpan w:val="2"/>
          </w:tcPr>
          <w:p>
            <w:pPr>
              <w:jc w:val="center"/>
              <w:ind w:right="1780"/>
              <w:spacing w:after="0"/>
              <w:rPr>
                <w:sz w:val="20"/>
                <w:szCs w:val="20"/>
                <w:color w:val="auto"/>
              </w:rPr>
            </w:pPr>
            <w:r>
              <w:rPr>
                <w:rFonts w:ascii="Arial" w:cs="Arial" w:eastAsia="Arial" w:hAnsi="Arial"/>
                <w:sz w:val="20"/>
                <w:szCs w:val="20"/>
                <w:b w:val="1"/>
                <w:bCs w:val="1"/>
                <w:color w:val="auto"/>
                <w:w w:val="99"/>
              </w:rPr>
              <w:t>For the period ended September 30, 2020</w:t>
            </w: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28"/>
        </w:trPr>
        <w:tc>
          <w:tcPr>
            <w:tcW w:w="1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20" w:type="dxa"/>
            <w:vAlign w:val="bottom"/>
            <w:gridSpan w:val="2"/>
          </w:tcPr>
          <w:p>
            <w:pPr>
              <w:jc w:val="center"/>
              <w:ind w:right="1780"/>
              <w:spacing w:after="0"/>
              <w:rPr>
                <w:sz w:val="20"/>
                <w:szCs w:val="20"/>
                <w:color w:val="auto"/>
              </w:rPr>
            </w:pPr>
            <w:r>
              <w:rPr>
                <w:rFonts w:ascii="Arial" w:cs="Arial" w:eastAsia="Arial" w:hAnsi="Arial"/>
                <w:sz w:val="18"/>
                <w:szCs w:val="18"/>
                <w:b w:val="1"/>
                <w:bCs w:val="1"/>
                <w:color w:val="auto"/>
                <w:w w:val="98"/>
              </w:rPr>
              <w:t>TABLE OF CONTENTS</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7"/>
                <w:szCs w:val="17"/>
                <w:b w:val="1"/>
                <w:bCs w:val="1"/>
                <w:color w:val="auto"/>
                <w:w w:val="98"/>
              </w:rPr>
              <w:t>Page</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9"/>
              </w:rPr>
              <w:t>Number</w:t>
            </w:r>
          </w:p>
        </w:tc>
        <w:tc>
          <w:tcPr>
            <w:tcW w:w="0" w:type="dxa"/>
            <w:vAlign w:val="bottom"/>
          </w:tcPr>
          <w:p>
            <w:pPr>
              <w:spacing w:after="0"/>
              <w:rPr>
                <w:sz w:val="1"/>
                <w:szCs w:val="1"/>
                <w:color w:val="auto"/>
              </w:rPr>
            </w:pPr>
          </w:p>
        </w:tc>
      </w:tr>
      <w:tr>
        <w:trPr>
          <w:trHeight w:val="206"/>
        </w:trPr>
        <w:tc>
          <w:tcPr>
            <w:tcW w:w="10200" w:type="dxa"/>
            <w:vAlign w:val="bottom"/>
            <w:gridSpan w:val="4"/>
          </w:tcPr>
          <w:p>
            <w:pPr>
              <w:spacing w:after="0" w:line="192" w:lineRule="exact"/>
              <w:rPr>
                <w:rFonts w:ascii="Arial" w:cs="Arial" w:eastAsia="Arial" w:hAnsi="Arial"/>
                <w:sz w:val="17"/>
                <w:szCs w:val="17"/>
                <w:u w:val="single" w:color="auto"/>
                <w:color w:val="0000FF"/>
              </w:rPr>
            </w:pPr>
            <w:hyperlink w:anchor="page3">
              <w:r>
                <w:rPr>
                  <w:rFonts w:ascii="Arial" w:cs="Arial" w:eastAsia="Arial" w:hAnsi="Arial"/>
                  <w:sz w:val="17"/>
                  <w:szCs w:val="17"/>
                  <w:u w:val="single" w:color="auto"/>
                  <w:color w:val="0000FF"/>
                </w:rPr>
                <w:t>FORWARD-LOOKING STATEMENTS</w:t>
              </w:r>
            </w:hyperlink>
          </w:p>
        </w:tc>
        <w:tc>
          <w:tcPr>
            <w:tcW w:w="1000" w:type="dxa"/>
            <w:vAlign w:val="bottom"/>
          </w:tcPr>
          <w:p>
            <w:pPr>
              <w:jc w:val="center"/>
              <w:spacing w:after="0"/>
              <w:rPr>
                <w:rFonts w:ascii="Arial" w:cs="Arial" w:eastAsia="Arial" w:hAnsi="Arial"/>
                <w:sz w:val="17"/>
                <w:szCs w:val="17"/>
                <w:u w:val="single" w:color="auto"/>
                <w:color w:val="0000FF"/>
                <w:w w:val="84"/>
              </w:rPr>
            </w:pPr>
            <w:hyperlink w:anchor="page3">
              <w:r>
                <w:rPr>
                  <w:rFonts w:ascii="Arial" w:cs="Arial" w:eastAsia="Arial" w:hAnsi="Arial"/>
                  <w:sz w:val="17"/>
                  <w:szCs w:val="17"/>
                  <w:u w:val="single" w:color="auto"/>
                  <w:color w:val="0000FF"/>
                  <w:w w:val="84"/>
                </w:rPr>
                <w:t>4</w:t>
              </w:r>
            </w:hyperlink>
          </w:p>
        </w:tc>
        <w:tc>
          <w:tcPr>
            <w:tcW w:w="0" w:type="dxa"/>
            <w:vAlign w:val="bottom"/>
          </w:tcPr>
          <w:p>
            <w:pPr>
              <w:spacing w:after="0"/>
              <w:rPr>
                <w:sz w:val="1"/>
                <w:szCs w:val="1"/>
                <w:color w:val="auto"/>
              </w:rPr>
            </w:pPr>
          </w:p>
        </w:tc>
      </w:tr>
      <w:tr>
        <w:trPr>
          <w:trHeight w:val="270"/>
        </w:trPr>
        <w:tc>
          <w:tcPr>
            <w:tcW w:w="10200" w:type="dxa"/>
            <w:vAlign w:val="bottom"/>
            <w:gridSpan w:val="4"/>
          </w:tcPr>
          <w:p>
            <w:pPr>
              <w:spacing w:after="0"/>
              <w:rPr>
                <w:sz w:val="20"/>
                <w:szCs w:val="20"/>
                <w:color w:val="auto"/>
              </w:rPr>
            </w:pPr>
            <w:r>
              <w:rPr>
                <w:rFonts w:ascii="Arial" w:cs="Arial" w:eastAsia="Arial" w:hAnsi="Arial"/>
                <w:sz w:val="17"/>
                <w:szCs w:val="17"/>
                <w:b w:val="1"/>
                <w:bCs w:val="1"/>
                <w:color w:val="auto"/>
              </w:rPr>
              <w:t>PART I. FINANCIAL INFORMATION</w:t>
            </w: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Arial" w:cs="Arial" w:eastAsia="Arial" w:hAnsi="Arial"/>
                <w:sz w:val="17"/>
                <w:szCs w:val="17"/>
                <w:color w:val="auto"/>
              </w:rPr>
              <w:t>ITEM 1.</w:t>
            </w:r>
          </w:p>
        </w:tc>
        <w:tc>
          <w:tcPr>
            <w:tcW w:w="8540" w:type="dxa"/>
            <w:vAlign w:val="bottom"/>
            <w:gridSpan w:val="3"/>
          </w:tcPr>
          <w:p>
            <w:pPr>
              <w:spacing w:after="0"/>
              <w:rPr>
                <w:rFonts w:ascii="Arial" w:cs="Arial" w:eastAsia="Arial" w:hAnsi="Arial"/>
                <w:sz w:val="17"/>
                <w:szCs w:val="17"/>
                <w:u w:val="single" w:color="auto"/>
                <w:color w:val="0000FF"/>
              </w:rPr>
            </w:pPr>
            <w:hyperlink w:anchor="page4">
              <w:r>
                <w:rPr>
                  <w:rFonts w:ascii="Arial" w:cs="Arial" w:eastAsia="Arial" w:hAnsi="Arial"/>
                  <w:sz w:val="17"/>
                  <w:szCs w:val="17"/>
                  <w:u w:val="single" w:color="auto"/>
                  <w:color w:val="0000FF"/>
                </w:rPr>
                <w:t>FINANCIAL STATEMENTS (UNAUDITED)</w:t>
              </w:r>
            </w:hyperlink>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8540" w:type="dxa"/>
            <w:vAlign w:val="bottom"/>
            <w:gridSpan w:val="3"/>
          </w:tcPr>
          <w:p>
            <w:pPr>
              <w:spacing w:after="0"/>
              <w:rPr>
                <w:rFonts w:ascii="Arial" w:cs="Arial" w:eastAsia="Arial" w:hAnsi="Arial"/>
                <w:sz w:val="17"/>
                <w:szCs w:val="17"/>
                <w:u w:val="single" w:color="auto"/>
                <w:color w:val="0000FF"/>
              </w:rPr>
            </w:pPr>
            <w:hyperlink w:anchor="page5">
              <w:r>
                <w:rPr>
                  <w:rFonts w:ascii="Arial" w:cs="Arial" w:eastAsia="Arial" w:hAnsi="Arial"/>
                  <w:sz w:val="17"/>
                  <w:szCs w:val="17"/>
                  <w:u w:val="single" w:color="auto"/>
                  <w:color w:val="0000FF"/>
                </w:rPr>
                <w:t>CONDENSED CONSOLIDATED BALANCE SHEETS</w:t>
              </w:r>
            </w:hyperlink>
          </w:p>
        </w:tc>
        <w:tc>
          <w:tcPr>
            <w:tcW w:w="1000" w:type="dxa"/>
            <w:vAlign w:val="bottom"/>
          </w:tcPr>
          <w:p>
            <w:pPr>
              <w:jc w:val="center"/>
              <w:spacing w:after="0"/>
              <w:rPr>
                <w:rFonts w:ascii="Arial" w:cs="Arial" w:eastAsia="Arial" w:hAnsi="Arial"/>
                <w:sz w:val="17"/>
                <w:szCs w:val="17"/>
                <w:u w:val="single" w:color="auto"/>
                <w:color w:val="0000FF"/>
                <w:w w:val="84"/>
              </w:rPr>
            </w:pPr>
            <w:hyperlink w:anchor="page5">
              <w:r>
                <w:rPr>
                  <w:rFonts w:ascii="Arial" w:cs="Arial" w:eastAsia="Arial" w:hAnsi="Arial"/>
                  <w:sz w:val="17"/>
                  <w:szCs w:val="17"/>
                  <w:u w:val="single" w:color="auto"/>
                  <w:color w:val="0000FF"/>
                  <w:w w:val="84"/>
                </w:rPr>
                <w:t>5</w:t>
              </w:r>
            </w:hyperlink>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8540" w:type="dxa"/>
            <w:vAlign w:val="bottom"/>
            <w:gridSpan w:val="3"/>
          </w:tcPr>
          <w:p>
            <w:pPr>
              <w:spacing w:after="0"/>
              <w:rPr>
                <w:rFonts w:ascii="Arial" w:cs="Arial" w:eastAsia="Arial" w:hAnsi="Arial"/>
                <w:sz w:val="17"/>
                <w:szCs w:val="17"/>
                <w:u w:val="single" w:color="auto"/>
                <w:color w:val="0000FF"/>
              </w:rPr>
            </w:pPr>
            <w:hyperlink w:anchor="page5">
              <w:r>
                <w:rPr>
                  <w:rFonts w:ascii="Arial" w:cs="Arial" w:eastAsia="Arial" w:hAnsi="Arial"/>
                  <w:sz w:val="17"/>
                  <w:szCs w:val="17"/>
                  <w:u w:val="single" w:color="auto"/>
                  <w:color w:val="0000FF"/>
                </w:rPr>
                <w:t>CONDENSED CONSOLIDATED STATEMENTS OF OPERATIONS</w:t>
              </w:r>
            </w:hyperlink>
          </w:p>
        </w:tc>
        <w:tc>
          <w:tcPr>
            <w:tcW w:w="1000" w:type="dxa"/>
            <w:vAlign w:val="bottom"/>
          </w:tcPr>
          <w:p>
            <w:pPr>
              <w:jc w:val="center"/>
              <w:spacing w:after="0"/>
              <w:rPr>
                <w:rFonts w:ascii="Arial" w:cs="Arial" w:eastAsia="Arial" w:hAnsi="Arial"/>
                <w:sz w:val="17"/>
                <w:szCs w:val="17"/>
                <w:u w:val="single" w:color="auto"/>
                <w:color w:val="0000FF"/>
                <w:w w:val="84"/>
              </w:rPr>
            </w:pPr>
            <w:hyperlink w:anchor="page5">
              <w:r>
                <w:rPr>
                  <w:rFonts w:ascii="Arial" w:cs="Arial" w:eastAsia="Arial" w:hAnsi="Arial"/>
                  <w:sz w:val="17"/>
                  <w:szCs w:val="17"/>
                  <w:u w:val="single" w:color="auto"/>
                  <w:color w:val="0000FF"/>
                  <w:w w:val="84"/>
                </w:rPr>
                <w:t>6</w:t>
              </w:r>
            </w:hyperlink>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8540" w:type="dxa"/>
            <w:vAlign w:val="bottom"/>
            <w:gridSpan w:val="3"/>
          </w:tcPr>
          <w:p>
            <w:pPr>
              <w:spacing w:after="0"/>
              <w:rPr>
                <w:rFonts w:ascii="Arial" w:cs="Arial" w:eastAsia="Arial" w:hAnsi="Arial"/>
                <w:sz w:val="17"/>
                <w:szCs w:val="17"/>
                <w:u w:val="single" w:color="auto"/>
                <w:color w:val="0000FF"/>
              </w:rPr>
            </w:pPr>
            <w:hyperlink w:anchor="page6">
              <w:r>
                <w:rPr>
                  <w:rFonts w:ascii="Arial" w:cs="Arial" w:eastAsia="Arial" w:hAnsi="Arial"/>
                  <w:sz w:val="17"/>
                  <w:szCs w:val="17"/>
                  <w:u w:val="single" w:color="auto"/>
                  <w:color w:val="0000FF"/>
                </w:rPr>
                <w:t>CONDENSED CONSOLIDATED STATEMENTS OF COMPREHENSIVE INCOME (LOSS)</w:t>
              </w:r>
            </w:hyperlink>
          </w:p>
        </w:tc>
        <w:tc>
          <w:tcPr>
            <w:tcW w:w="1000" w:type="dxa"/>
            <w:vAlign w:val="bottom"/>
          </w:tcPr>
          <w:p>
            <w:pPr>
              <w:jc w:val="center"/>
              <w:spacing w:after="0"/>
              <w:rPr>
                <w:rFonts w:ascii="Arial" w:cs="Arial" w:eastAsia="Arial" w:hAnsi="Arial"/>
                <w:sz w:val="17"/>
                <w:szCs w:val="17"/>
                <w:u w:val="single" w:color="auto"/>
                <w:color w:val="0000FF"/>
                <w:w w:val="84"/>
              </w:rPr>
            </w:pPr>
            <w:hyperlink w:anchor="page6">
              <w:r>
                <w:rPr>
                  <w:rFonts w:ascii="Arial" w:cs="Arial" w:eastAsia="Arial" w:hAnsi="Arial"/>
                  <w:sz w:val="17"/>
                  <w:szCs w:val="17"/>
                  <w:u w:val="single" w:color="auto"/>
                  <w:color w:val="0000FF"/>
                  <w:w w:val="84"/>
                </w:rPr>
                <w:t>7</w:t>
              </w:r>
            </w:hyperlink>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8540" w:type="dxa"/>
            <w:vAlign w:val="bottom"/>
            <w:gridSpan w:val="3"/>
          </w:tcPr>
          <w:p>
            <w:pPr>
              <w:spacing w:after="0"/>
              <w:rPr>
                <w:rFonts w:ascii="Arial" w:cs="Arial" w:eastAsia="Arial" w:hAnsi="Arial"/>
                <w:sz w:val="17"/>
                <w:szCs w:val="17"/>
                <w:u w:val="single" w:color="auto"/>
                <w:color w:val="0000FF"/>
              </w:rPr>
            </w:pPr>
            <w:hyperlink w:anchor="page7">
              <w:r>
                <w:rPr>
                  <w:rFonts w:ascii="Arial" w:cs="Arial" w:eastAsia="Arial" w:hAnsi="Arial"/>
                  <w:sz w:val="17"/>
                  <w:szCs w:val="17"/>
                  <w:u w:val="single" w:color="auto"/>
                  <w:color w:val="0000FF"/>
                </w:rPr>
                <w:t>CONDENSED CONSOLIDATED STATEMENTS OF STOCKHOLDERS' EQUITY</w:t>
              </w:r>
            </w:hyperlink>
          </w:p>
        </w:tc>
        <w:tc>
          <w:tcPr>
            <w:tcW w:w="1000" w:type="dxa"/>
            <w:vAlign w:val="bottom"/>
          </w:tcPr>
          <w:p>
            <w:pPr>
              <w:jc w:val="center"/>
              <w:spacing w:after="0"/>
              <w:rPr>
                <w:rFonts w:ascii="Arial" w:cs="Arial" w:eastAsia="Arial" w:hAnsi="Arial"/>
                <w:sz w:val="17"/>
                <w:szCs w:val="17"/>
                <w:u w:val="single" w:color="auto"/>
                <w:color w:val="0000FF"/>
                <w:w w:val="84"/>
              </w:rPr>
            </w:pPr>
            <w:hyperlink w:anchor="page7">
              <w:r>
                <w:rPr>
                  <w:rFonts w:ascii="Arial" w:cs="Arial" w:eastAsia="Arial" w:hAnsi="Arial"/>
                  <w:sz w:val="17"/>
                  <w:szCs w:val="17"/>
                  <w:u w:val="single" w:color="auto"/>
                  <w:color w:val="0000FF"/>
                  <w:w w:val="84"/>
                </w:rPr>
                <w:t>8</w:t>
              </w:r>
            </w:hyperlink>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8540" w:type="dxa"/>
            <w:vAlign w:val="bottom"/>
            <w:gridSpan w:val="3"/>
          </w:tcPr>
          <w:p>
            <w:pPr>
              <w:spacing w:after="0"/>
              <w:rPr>
                <w:rFonts w:ascii="Arial" w:cs="Arial" w:eastAsia="Arial" w:hAnsi="Arial"/>
                <w:sz w:val="17"/>
                <w:szCs w:val="17"/>
                <w:u w:val="single" w:color="auto"/>
                <w:color w:val="0000FF"/>
              </w:rPr>
            </w:pPr>
            <w:hyperlink w:anchor="page9">
              <w:r>
                <w:rPr>
                  <w:rFonts w:ascii="Arial" w:cs="Arial" w:eastAsia="Arial" w:hAnsi="Arial"/>
                  <w:sz w:val="17"/>
                  <w:szCs w:val="17"/>
                  <w:u w:val="single" w:color="auto"/>
                  <w:color w:val="0000FF"/>
                </w:rPr>
                <w:t>CONDENSED CONSOLIDATED STATEMENTS OF CASH FLOWS</w:t>
              </w:r>
            </w:hyperlink>
          </w:p>
        </w:tc>
        <w:tc>
          <w:tcPr>
            <w:tcW w:w="1000" w:type="dxa"/>
            <w:vAlign w:val="bottom"/>
          </w:tcPr>
          <w:p>
            <w:pPr>
              <w:jc w:val="center"/>
              <w:spacing w:after="0"/>
              <w:rPr>
                <w:rFonts w:ascii="Arial" w:cs="Arial" w:eastAsia="Arial" w:hAnsi="Arial"/>
                <w:sz w:val="17"/>
                <w:szCs w:val="17"/>
                <w:u w:val="single" w:color="auto"/>
                <w:color w:val="0000FF"/>
              </w:rPr>
            </w:pPr>
            <w:hyperlink w:anchor="page9">
              <w:r>
                <w:rPr>
                  <w:rFonts w:ascii="Arial" w:cs="Arial" w:eastAsia="Arial" w:hAnsi="Arial"/>
                  <w:sz w:val="17"/>
                  <w:szCs w:val="17"/>
                  <w:u w:val="single" w:color="auto"/>
                  <w:color w:val="0000FF"/>
                </w:rPr>
                <w:t>10</w:t>
              </w:r>
            </w:hyperlink>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8540" w:type="dxa"/>
            <w:vAlign w:val="bottom"/>
            <w:gridSpan w:val="3"/>
          </w:tcPr>
          <w:p>
            <w:pPr>
              <w:spacing w:after="0"/>
              <w:rPr>
                <w:rFonts w:ascii="Arial" w:cs="Arial" w:eastAsia="Arial" w:hAnsi="Arial"/>
                <w:sz w:val="17"/>
                <w:szCs w:val="17"/>
                <w:u w:val="single" w:color="auto"/>
                <w:color w:val="0000FF"/>
              </w:rPr>
            </w:pPr>
            <w:hyperlink w:anchor="page11">
              <w:r>
                <w:rPr>
                  <w:rFonts w:ascii="Arial" w:cs="Arial" w:eastAsia="Arial" w:hAnsi="Arial"/>
                  <w:sz w:val="17"/>
                  <w:szCs w:val="17"/>
                  <w:u w:val="single" w:color="auto"/>
                  <w:color w:val="0000FF"/>
                </w:rPr>
                <w:t>NOTES TO CONDENSED CONSOLIDATED FINANCIAL STATEMENTS</w:t>
              </w:r>
            </w:hyperlink>
          </w:p>
        </w:tc>
        <w:tc>
          <w:tcPr>
            <w:tcW w:w="1000" w:type="dxa"/>
            <w:vAlign w:val="bottom"/>
          </w:tcPr>
          <w:p>
            <w:pPr>
              <w:jc w:val="center"/>
              <w:spacing w:after="0"/>
              <w:rPr>
                <w:rFonts w:ascii="Arial" w:cs="Arial" w:eastAsia="Arial" w:hAnsi="Arial"/>
                <w:sz w:val="17"/>
                <w:szCs w:val="17"/>
                <w:u w:val="single" w:color="auto"/>
                <w:color w:val="0000FF"/>
              </w:rPr>
            </w:pPr>
            <w:hyperlink w:anchor="page11">
              <w:r>
                <w:rPr>
                  <w:rFonts w:ascii="Arial" w:cs="Arial" w:eastAsia="Arial" w:hAnsi="Arial"/>
                  <w:sz w:val="17"/>
                  <w:szCs w:val="17"/>
                  <w:u w:val="single" w:color="auto"/>
                  <w:color w:val="0000FF"/>
                </w:rPr>
                <w:t>12</w:t>
              </w:r>
            </w:hyperlink>
          </w:p>
        </w:tc>
        <w:tc>
          <w:tcPr>
            <w:tcW w:w="0" w:type="dxa"/>
            <w:vAlign w:val="bottom"/>
          </w:tcPr>
          <w:p>
            <w:pPr>
              <w:spacing w:after="0"/>
              <w:rPr>
                <w:sz w:val="1"/>
                <w:szCs w:val="1"/>
                <w:color w:val="auto"/>
              </w:rPr>
            </w:pPr>
          </w:p>
        </w:tc>
      </w:tr>
      <w:tr>
        <w:trPr>
          <w:trHeight w:val="288"/>
        </w:trPr>
        <w:tc>
          <w:tcPr>
            <w:tcW w:w="1660" w:type="dxa"/>
            <w:vAlign w:val="bottom"/>
          </w:tcPr>
          <w:p>
            <w:pPr>
              <w:spacing w:after="0"/>
              <w:rPr>
                <w:sz w:val="20"/>
                <w:szCs w:val="20"/>
                <w:color w:val="auto"/>
              </w:rPr>
            </w:pPr>
            <w:r>
              <w:rPr>
                <w:rFonts w:ascii="Arial" w:cs="Arial" w:eastAsia="Arial" w:hAnsi="Arial"/>
                <w:sz w:val="17"/>
                <w:szCs w:val="17"/>
                <w:color w:val="auto"/>
              </w:rPr>
              <w:t>ITEM 2.</w:t>
            </w:r>
          </w:p>
        </w:tc>
        <w:tc>
          <w:tcPr>
            <w:tcW w:w="7520" w:type="dxa"/>
            <w:vAlign w:val="bottom"/>
            <w:tcBorders>
              <w:bottom w:val="single" w:sz="8" w:color="0000FF"/>
            </w:tcBorders>
            <w:gridSpan w:val="2"/>
          </w:tcPr>
          <w:p>
            <w:pPr>
              <w:spacing w:after="0"/>
              <w:rPr>
                <w:rFonts w:ascii="Arial" w:cs="Arial" w:eastAsia="Arial" w:hAnsi="Arial"/>
                <w:sz w:val="17"/>
                <w:szCs w:val="17"/>
                <w:color w:val="0000FF"/>
              </w:rPr>
            </w:pPr>
            <w:hyperlink w:anchor="page36">
              <w:r>
                <w:rPr>
                  <w:rFonts w:ascii="Arial" w:cs="Arial" w:eastAsia="Arial" w:hAnsi="Arial"/>
                  <w:sz w:val="17"/>
                  <w:szCs w:val="17"/>
                  <w:color w:val="0000FF"/>
                </w:rPr>
                <w:t>MANAGEMENT'S DISCUSSION AND ANALYSIS OF FINANCIAL CONDITION AND RESULTS OF</w:t>
              </w:r>
            </w:hyperlink>
          </w:p>
        </w:tc>
        <w:tc>
          <w:tcPr>
            <w:tcW w:w="1020" w:type="dxa"/>
            <w:vAlign w:val="bottom"/>
          </w:tcPr>
          <w:p>
            <w:pPr>
              <w:spacing w:after="0"/>
              <w:rPr>
                <w:sz w:val="24"/>
                <w:szCs w:val="24"/>
                <w:color w:val="auto"/>
              </w:rPr>
            </w:pPr>
          </w:p>
        </w:tc>
        <w:tc>
          <w:tcPr>
            <w:tcW w:w="1000" w:type="dxa"/>
            <w:vAlign w:val="bottom"/>
            <w:vMerge w:val="restart"/>
          </w:tcPr>
          <w:p>
            <w:pPr>
              <w:jc w:val="center"/>
              <w:spacing w:after="0"/>
              <w:rPr>
                <w:rFonts w:ascii="Arial" w:cs="Arial" w:eastAsia="Arial" w:hAnsi="Arial"/>
                <w:sz w:val="17"/>
                <w:szCs w:val="17"/>
                <w:u w:val="single" w:color="auto"/>
                <w:color w:val="0000FF"/>
              </w:rPr>
            </w:pPr>
            <w:hyperlink w:anchor="page36">
              <w:r>
                <w:rPr>
                  <w:rFonts w:ascii="Arial" w:cs="Arial" w:eastAsia="Arial" w:hAnsi="Arial"/>
                  <w:sz w:val="17"/>
                  <w:szCs w:val="17"/>
                  <w:u w:val="single" w:color="auto"/>
                  <w:color w:val="0000FF"/>
                </w:rPr>
                <w:t>37</w:t>
              </w:r>
            </w:hyperlink>
          </w:p>
        </w:tc>
        <w:tc>
          <w:tcPr>
            <w:tcW w:w="0" w:type="dxa"/>
            <w:vAlign w:val="bottom"/>
          </w:tcPr>
          <w:p>
            <w:pPr>
              <w:spacing w:after="0"/>
              <w:rPr>
                <w:sz w:val="1"/>
                <w:szCs w:val="1"/>
                <w:color w:val="auto"/>
              </w:rPr>
            </w:pPr>
          </w:p>
        </w:tc>
      </w:tr>
      <w:tr>
        <w:trPr>
          <w:trHeight w:val="98"/>
        </w:trPr>
        <w:tc>
          <w:tcPr>
            <w:tcW w:w="1660" w:type="dxa"/>
            <w:vAlign w:val="bottom"/>
          </w:tcPr>
          <w:p>
            <w:pPr>
              <w:spacing w:after="0"/>
              <w:rPr>
                <w:sz w:val="8"/>
                <w:szCs w:val="8"/>
                <w:color w:val="auto"/>
              </w:rPr>
            </w:pPr>
          </w:p>
        </w:tc>
        <w:tc>
          <w:tcPr>
            <w:tcW w:w="1120" w:type="dxa"/>
            <w:vAlign w:val="bottom"/>
            <w:vMerge w:val="restart"/>
          </w:tcPr>
          <w:p>
            <w:pPr>
              <w:spacing w:after="0" w:line="142" w:lineRule="exact"/>
              <w:rPr>
                <w:rFonts w:ascii="Arial" w:cs="Arial" w:eastAsia="Arial" w:hAnsi="Arial"/>
                <w:sz w:val="16"/>
                <w:szCs w:val="16"/>
                <w:color w:val="0000FF"/>
              </w:rPr>
            </w:pPr>
            <w:hyperlink w:anchor="page36">
              <w:r>
                <w:rPr>
                  <w:rFonts w:ascii="Arial" w:cs="Arial" w:eastAsia="Arial" w:hAnsi="Arial"/>
                  <w:sz w:val="16"/>
                  <w:szCs w:val="16"/>
                  <w:color w:val="0000FF"/>
                </w:rPr>
                <w:t>OPERATIONS</w:t>
              </w:r>
            </w:hyperlink>
          </w:p>
        </w:tc>
        <w:tc>
          <w:tcPr>
            <w:tcW w:w="7420" w:type="dxa"/>
            <w:vAlign w:val="bottom"/>
            <w:gridSpan w:val="2"/>
            <w:vMerge w:val="restart"/>
          </w:tcPr>
          <w:p>
            <w:pPr>
              <w:spacing w:after="0"/>
              <w:rPr>
                <w:sz w:val="8"/>
                <w:szCs w:val="8"/>
                <w:color w:val="auto"/>
              </w:rPr>
            </w:pPr>
          </w:p>
        </w:tc>
        <w:tc>
          <w:tcPr>
            <w:tcW w:w="10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9"/>
        </w:trPr>
        <w:tc>
          <w:tcPr>
            <w:tcW w:w="1660" w:type="dxa"/>
            <w:vAlign w:val="bottom"/>
          </w:tcPr>
          <w:p>
            <w:pPr>
              <w:spacing w:after="0"/>
              <w:rPr>
                <w:sz w:val="3"/>
                <w:szCs w:val="3"/>
                <w:color w:val="auto"/>
              </w:rPr>
            </w:pPr>
          </w:p>
        </w:tc>
        <w:tc>
          <w:tcPr>
            <w:tcW w:w="1120" w:type="dxa"/>
            <w:vAlign w:val="bottom"/>
            <w:tcBorders>
              <w:bottom w:val="single" w:sz="8" w:color="0000FF"/>
            </w:tcBorders>
            <w:vMerge w:val="continue"/>
          </w:tcPr>
          <w:p>
            <w:pPr>
              <w:spacing w:after="0"/>
              <w:rPr>
                <w:sz w:val="3"/>
                <w:szCs w:val="3"/>
                <w:color w:val="auto"/>
              </w:rPr>
            </w:pPr>
          </w:p>
        </w:tc>
        <w:tc>
          <w:tcPr>
            <w:tcW w:w="7420" w:type="dxa"/>
            <w:vAlign w:val="bottom"/>
            <w:gridSpan w:val="2"/>
            <w:vMerge w:val="continue"/>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1660" w:type="dxa"/>
            <w:vAlign w:val="bottom"/>
          </w:tcPr>
          <w:p>
            <w:pPr>
              <w:spacing w:after="0"/>
              <w:rPr>
                <w:sz w:val="20"/>
                <w:szCs w:val="20"/>
                <w:color w:val="auto"/>
              </w:rPr>
            </w:pPr>
            <w:r>
              <w:rPr>
                <w:rFonts w:ascii="Arial" w:cs="Arial" w:eastAsia="Arial" w:hAnsi="Arial"/>
                <w:sz w:val="17"/>
                <w:szCs w:val="17"/>
                <w:color w:val="auto"/>
              </w:rPr>
              <w:t>ITEM 3.</w:t>
            </w:r>
          </w:p>
        </w:tc>
        <w:tc>
          <w:tcPr>
            <w:tcW w:w="8540" w:type="dxa"/>
            <w:vAlign w:val="bottom"/>
            <w:gridSpan w:val="3"/>
          </w:tcPr>
          <w:p>
            <w:pPr>
              <w:spacing w:after="0"/>
              <w:rPr>
                <w:rFonts w:ascii="Arial" w:cs="Arial" w:eastAsia="Arial" w:hAnsi="Arial"/>
                <w:sz w:val="17"/>
                <w:szCs w:val="17"/>
                <w:u w:val="single" w:color="auto"/>
                <w:color w:val="0000FF"/>
              </w:rPr>
            </w:pPr>
            <w:hyperlink w:anchor="page69">
              <w:r>
                <w:rPr>
                  <w:rFonts w:ascii="Arial" w:cs="Arial" w:eastAsia="Arial" w:hAnsi="Arial"/>
                  <w:sz w:val="17"/>
                  <w:szCs w:val="17"/>
                  <w:u w:val="single" w:color="auto"/>
                  <w:color w:val="0000FF"/>
                </w:rPr>
                <w:t>QUANTITATIVE AND QUALITATIVE DISCLOSURES ABOUT MARKET RISK</w:t>
              </w:r>
            </w:hyperlink>
          </w:p>
        </w:tc>
        <w:tc>
          <w:tcPr>
            <w:tcW w:w="1000" w:type="dxa"/>
            <w:vAlign w:val="bottom"/>
          </w:tcPr>
          <w:p>
            <w:pPr>
              <w:jc w:val="center"/>
              <w:spacing w:after="0"/>
              <w:rPr>
                <w:rFonts w:ascii="Arial" w:cs="Arial" w:eastAsia="Arial" w:hAnsi="Arial"/>
                <w:sz w:val="17"/>
                <w:szCs w:val="17"/>
                <w:u w:val="single" w:color="auto"/>
                <w:color w:val="0000FF"/>
              </w:rPr>
            </w:pPr>
            <w:hyperlink w:anchor="page69">
              <w:r>
                <w:rPr>
                  <w:rFonts w:ascii="Arial" w:cs="Arial" w:eastAsia="Arial" w:hAnsi="Arial"/>
                  <w:sz w:val="17"/>
                  <w:szCs w:val="17"/>
                  <w:u w:val="single" w:color="auto"/>
                  <w:color w:val="0000FF"/>
                </w:rPr>
                <w:t>69</w:t>
              </w:r>
            </w:hyperlink>
          </w:p>
        </w:tc>
        <w:tc>
          <w:tcPr>
            <w:tcW w:w="0" w:type="dxa"/>
            <w:vAlign w:val="bottom"/>
          </w:tcPr>
          <w:p>
            <w:pPr>
              <w:spacing w:after="0"/>
              <w:rPr>
                <w:sz w:val="1"/>
                <w:szCs w:val="1"/>
                <w:color w:val="auto"/>
              </w:rPr>
            </w:pPr>
          </w:p>
        </w:tc>
      </w:tr>
      <w:tr>
        <w:trPr>
          <w:trHeight w:val="270"/>
        </w:trPr>
        <w:tc>
          <w:tcPr>
            <w:tcW w:w="1660" w:type="dxa"/>
            <w:vAlign w:val="bottom"/>
          </w:tcPr>
          <w:p>
            <w:pPr>
              <w:spacing w:after="0"/>
              <w:rPr>
                <w:sz w:val="20"/>
                <w:szCs w:val="20"/>
                <w:color w:val="auto"/>
              </w:rPr>
            </w:pPr>
            <w:r>
              <w:rPr>
                <w:rFonts w:ascii="Arial" w:cs="Arial" w:eastAsia="Arial" w:hAnsi="Arial"/>
                <w:sz w:val="17"/>
                <w:szCs w:val="17"/>
                <w:color w:val="auto"/>
              </w:rPr>
              <w:t>ITEM 4.</w:t>
            </w:r>
          </w:p>
        </w:tc>
        <w:tc>
          <w:tcPr>
            <w:tcW w:w="8540" w:type="dxa"/>
            <w:vAlign w:val="bottom"/>
            <w:gridSpan w:val="3"/>
          </w:tcPr>
          <w:p>
            <w:pPr>
              <w:spacing w:after="0"/>
              <w:rPr>
                <w:rFonts w:ascii="Arial" w:cs="Arial" w:eastAsia="Arial" w:hAnsi="Arial"/>
                <w:sz w:val="17"/>
                <w:szCs w:val="17"/>
                <w:u w:val="single" w:color="auto"/>
                <w:color w:val="0000FF"/>
              </w:rPr>
            </w:pPr>
            <w:hyperlink w:anchor="page69">
              <w:r>
                <w:rPr>
                  <w:rFonts w:ascii="Arial" w:cs="Arial" w:eastAsia="Arial" w:hAnsi="Arial"/>
                  <w:sz w:val="17"/>
                  <w:szCs w:val="17"/>
                  <w:u w:val="single" w:color="auto"/>
                  <w:color w:val="0000FF"/>
                </w:rPr>
                <w:t>CONTROLS AND PROCEDURES</w:t>
              </w:r>
            </w:hyperlink>
          </w:p>
        </w:tc>
        <w:tc>
          <w:tcPr>
            <w:tcW w:w="1000" w:type="dxa"/>
            <w:vAlign w:val="bottom"/>
          </w:tcPr>
          <w:p>
            <w:pPr>
              <w:jc w:val="center"/>
              <w:spacing w:after="0"/>
              <w:rPr>
                <w:rFonts w:ascii="Arial" w:cs="Arial" w:eastAsia="Arial" w:hAnsi="Arial"/>
                <w:sz w:val="17"/>
                <w:szCs w:val="17"/>
                <w:u w:val="single" w:color="auto"/>
                <w:color w:val="0000FF"/>
              </w:rPr>
            </w:pPr>
            <w:hyperlink w:anchor="page69">
              <w:r>
                <w:rPr>
                  <w:rFonts w:ascii="Arial" w:cs="Arial" w:eastAsia="Arial" w:hAnsi="Arial"/>
                  <w:sz w:val="17"/>
                  <w:szCs w:val="17"/>
                  <w:u w:val="single" w:color="auto"/>
                  <w:color w:val="0000FF"/>
                </w:rPr>
                <w:t>69</w:t>
              </w:r>
            </w:hyperlink>
          </w:p>
        </w:tc>
        <w:tc>
          <w:tcPr>
            <w:tcW w:w="0" w:type="dxa"/>
            <w:vAlign w:val="bottom"/>
          </w:tcPr>
          <w:p>
            <w:pPr>
              <w:spacing w:after="0"/>
              <w:rPr>
                <w:sz w:val="1"/>
                <w:szCs w:val="1"/>
                <w:color w:val="auto"/>
              </w:rPr>
            </w:pPr>
          </w:p>
        </w:tc>
      </w:tr>
      <w:tr>
        <w:trPr>
          <w:trHeight w:val="486"/>
        </w:trPr>
        <w:tc>
          <w:tcPr>
            <w:tcW w:w="10200" w:type="dxa"/>
            <w:vAlign w:val="bottom"/>
            <w:gridSpan w:val="4"/>
          </w:tcPr>
          <w:p>
            <w:pPr>
              <w:spacing w:after="0"/>
              <w:rPr>
                <w:sz w:val="20"/>
                <w:szCs w:val="20"/>
                <w:color w:val="auto"/>
              </w:rPr>
            </w:pPr>
            <w:r>
              <w:rPr>
                <w:rFonts w:ascii="Arial" w:cs="Arial" w:eastAsia="Arial" w:hAnsi="Arial"/>
                <w:sz w:val="17"/>
                <w:szCs w:val="17"/>
                <w:b w:val="1"/>
                <w:bCs w:val="1"/>
                <w:color w:val="auto"/>
              </w:rPr>
              <w:t>PART II. OTHER INFORMATION</w:t>
            </w:r>
          </w:p>
        </w:tc>
        <w:tc>
          <w:tcPr>
            <w:tcW w:w="1000" w:type="dxa"/>
            <w:vAlign w:val="bottom"/>
          </w:tcPr>
          <w:p>
            <w:pPr>
              <w:jc w:val="center"/>
              <w:spacing w:after="0"/>
              <w:rPr>
                <w:rFonts w:ascii="Arial" w:cs="Arial" w:eastAsia="Arial" w:hAnsi="Arial"/>
                <w:sz w:val="17"/>
                <w:szCs w:val="17"/>
                <w:u w:val="single" w:color="auto"/>
                <w:color w:val="0000FF"/>
              </w:rPr>
            </w:pPr>
            <w:hyperlink w:anchor="page69">
              <w:r>
                <w:rPr>
                  <w:rFonts w:ascii="Arial" w:cs="Arial" w:eastAsia="Arial" w:hAnsi="Arial"/>
                  <w:sz w:val="17"/>
                  <w:szCs w:val="17"/>
                  <w:u w:val="single" w:color="auto"/>
                  <w:color w:val="0000FF"/>
                </w:rPr>
                <w:t>70</w:t>
              </w:r>
            </w:hyperlink>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Arial" w:cs="Arial" w:eastAsia="Arial" w:hAnsi="Arial"/>
                <w:sz w:val="17"/>
                <w:szCs w:val="17"/>
                <w:color w:val="auto"/>
              </w:rPr>
              <w:t>ITEM 1.</w:t>
            </w:r>
          </w:p>
        </w:tc>
        <w:tc>
          <w:tcPr>
            <w:tcW w:w="8540" w:type="dxa"/>
            <w:vAlign w:val="bottom"/>
            <w:gridSpan w:val="3"/>
          </w:tcPr>
          <w:p>
            <w:pPr>
              <w:spacing w:after="0"/>
              <w:rPr>
                <w:rFonts w:ascii="Arial" w:cs="Arial" w:eastAsia="Arial" w:hAnsi="Arial"/>
                <w:sz w:val="17"/>
                <w:szCs w:val="17"/>
                <w:u w:val="single" w:color="auto"/>
                <w:color w:val="0000FF"/>
              </w:rPr>
            </w:pPr>
            <w:hyperlink w:anchor="page70">
              <w:r>
                <w:rPr>
                  <w:rFonts w:ascii="Arial" w:cs="Arial" w:eastAsia="Arial" w:hAnsi="Arial"/>
                  <w:sz w:val="17"/>
                  <w:szCs w:val="17"/>
                  <w:u w:val="single" w:color="auto"/>
                  <w:color w:val="0000FF"/>
                </w:rPr>
                <w:t>LEGAL PROCEEDINGS</w:t>
              </w:r>
            </w:hyperlink>
          </w:p>
        </w:tc>
        <w:tc>
          <w:tcPr>
            <w:tcW w:w="1000" w:type="dxa"/>
            <w:vAlign w:val="bottom"/>
          </w:tcPr>
          <w:p>
            <w:pPr>
              <w:jc w:val="center"/>
              <w:spacing w:after="0"/>
              <w:rPr>
                <w:rFonts w:ascii="Arial" w:cs="Arial" w:eastAsia="Arial" w:hAnsi="Arial"/>
                <w:sz w:val="17"/>
                <w:szCs w:val="17"/>
                <w:u w:val="single" w:color="auto"/>
                <w:color w:val="0000FF"/>
              </w:rPr>
            </w:pPr>
            <w:hyperlink w:anchor="page70">
              <w:r>
                <w:rPr>
                  <w:rFonts w:ascii="Arial" w:cs="Arial" w:eastAsia="Arial" w:hAnsi="Arial"/>
                  <w:sz w:val="17"/>
                  <w:szCs w:val="17"/>
                  <w:u w:val="single" w:color="auto"/>
                  <w:color w:val="0000FF"/>
                </w:rPr>
                <w:t>70</w:t>
              </w:r>
            </w:hyperlink>
          </w:p>
        </w:tc>
        <w:tc>
          <w:tcPr>
            <w:tcW w:w="0" w:type="dxa"/>
            <w:vAlign w:val="bottom"/>
          </w:tcPr>
          <w:p>
            <w:pPr>
              <w:spacing w:after="0"/>
              <w:rPr>
                <w:sz w:val="1"/>
                <w:szCs w:val="1"/>
                <w:color w:val="auto"/>
              </w:rPr>
            </w:pPr>
          </w:p>
        </w:tc>
      </w:tr>
      <w:tr>
        <w:trPr>
          <w:trHeight w:val="270"/>
        </w:trPr>
        <w:tc>
          <w:tcPr>
            <w:tcW w:w="1660" w:type="dxa"/>
            <w:vAlign w:val="bottom"/>
          </w:tcPr>
          <w:p>
            <w:pPr>
              <w:spacing w:after="0"/>
              <w:rPr>
                <w:sz w:val="20"/>
                <w:szCs w:val="20"/>
                <w:color w:val="auto"/>
              </w:rPr>
            </w:pPr>
            <w:r>
              <w:rPr>
                <w:rFonts w:ascii="Arial" w:cs="Arial" w:eastAsia="Arial" w:hAnsi="Arial"/>
                <w:sz w:val="17"/>
                <w:szCs w:val="17"/>
                <w:color w:val="auto"/>
              </w:rPr>
              <w:t>ITEM 1A.</w:t>
            </w:r>
          </w:p>
        </w:tc>
        <w:tc>
          <w:tcPr>
            <w:tcW w:w="8540" w:type="dxa"/>
            <w:vAlign w:val="bottom"/>
            <w:gridSpan w:val="3"/>
          </w:tcPr>
          <w:p>
            <w:pPr>
              <w:spacing w:after="0"/>
              <w:rPr>
                <w:rFonts w:ascii="Arial" w:cs="Arial" w:eastAsia="Arial" w:hAnsi="Arial"/>
                <w:sz w:val="17"/>
                <w:szCs w:val="17"/>
                <w:u w:val="single" w:color="auto"/>
                <w:color w:val="0000FF"/>
              </w:rPr>
            </w:pPr>
            <w:hyperlink w:anchor="page70">
              <w:r>
                <w:rPr>
                  <w:rFonts w:ascii="Arial" w:cs="Arial" w:eastAsia="Arial" w:hAnsi="Arial"/>
                  <w:sz w:val="17"/>
                  <w:szCs w:val="17"/>
                  <w:u w:val="single" w:color="auto"/>
                  <w:color w:val="0000FF"/>
                </w:rPr>
                <w:t>RISK FACTORS</w:t>
              </w:r>
            </w:hyperlink>
          </w:p>
        </w:tc>
        <w:tc>
          <w:tcPr>
            <w:tcW w:w="1000" w:type="dxa"/>
            <w:vAlign w:val="bottom"/>
          </w:tcPr>
          <w:p>
            <w:pPr>
              <w:jc w:val="center"/>
              <w:spacing w:after="0"/>
              <w:rPr>
                <w:rFonts w:ascii="Arial" w:cs="Arial" w:eastAsia="Arial" w:hAnsi="Arial"/>
                <w:sz w:val="17"/>
                <w:szCs w:val="17"/>
                <w:u w:val="single" w:color="auto"/>
                <w:color w:val="0000FF"/>
              </w:rPr>
            </w:pPr>
            <w:hyperlink w:anchor="page70">
              <w:r>
                <w:rPr>
                  <w:rFonts w:ascii="Arial" w:cs="Arial" w:eastAsia="Arial" w:hAnsi="Arial"/>
                  <w:sz w:val="17"/>
                  <w:szCs w:val="17"/>
                  <w:u w:val="single" w:color="auto"/>
                  <w:color w:val="0000FF"/>
                </w:rPr>
                <w:t>70</w:t>
              </w:r>
            </w:hyperlink>
          </w:p>
        </w:tc>
        <w:tc>
          <w:tcPr>
            <w:tcW w:w="0" w:type="dxa"/>
            <w:vAlign w:val="bottom"/>
          </w:tcPr>
          <w:p>
            <w:pPr>
              <w:spacing w:after="0"/>
              <w:rPr>
                <w:sz w:val="1"/>
                <w:szCs w:val="1"/>
                <w:color w:val="auto"/>
              </w:rPr>
            </w:pPr>
          </w:p>
        </w:tc>
      </w:tr>
      <w:tr>
        <w:trPr>
          <w:trHeight w:val="270"/>
        </w:trPr>
        <w:tc>
          <w:tcPr>
            <w:tcW w:w="1660" w:type="dxa"/>
            <w:vAlign w:val="bottom"/>
          </w:tcPr>
          <w:p>
            <w:pPr>
              <w:spacing w:after="0"/>
              <w:rPr>
                <w:sz w:val="20"/>
                <w:szCs w:val="20"/>
                <w:color w:val="auto"/>
              </w:rPr>
            </w:pPr>
            <w:r>
              <w:rPr>
                <w:rFonts w:ascii="Arial" w:cs="Arial" w:eastAsia="Arial" w:hAnsi="Arial"/>
                <w:sz w:val="17"/>
                <w:szCs w:val="17"/>
                <w:color w:val="auto"/>
              </w:rPr>
              <w:t>ITEM 6.</w:t>
            </w:r>
          </w:p>
        </w:tc>
        <w:tc>
          <w:tcPr>
            <w:tcW w:w="8540" w:type="dxa"/>
            <w:vAlign w:val="bottom"/>
            <w:gridSpan w:val="3"/>
          </w:tcPr>
          <w:p>
            <w:pPr>
              <w:spacing w:after="0"/>
              <w:rPr>
                <w:rFonts w:ascii="Arial" w:cs="Arial" w:eastAsia="Arial" w:hAnsi="Arial"/>
                <w:sz w:val="17"/>
                <w:szCs w:val="17"/>
                <w:u w:val="single" w:color="auto"/>
                <w:color w:val="0000FF"/>
              </w:rPr>
            </w:pPr>
            <w:hyperlink w:anchor="page70">
              <w:r>
                <w:rPr>
                  <w:rFonts w:ascii="Arial" w:cs="Arial" w:eastAsia="Arial" w:hAnsi="Arial"/>
                  <w:sz w:val="17"/>
                  <w:szCs w:val="17"/>
                  <w:u w:val="single" w:color="auto"/>
                  <w:color w:val="0000FF"/>
                </w:rPr>
                <w:t>EXHIBITS</w:t>
              </w:r>
            </w:hyperlink>
          </w:p>
        </w:tc>
        <w:tc>
          <w:tcPr>
            <w:tcW w:w="1000" w:type="dxa"/>
            <w:vAlign w:val="bottom"/>
          </w:tcPr>
          <w:p>
            <w:pPr>
              <w:jc w:val="center"/>
              <w:spacing w:after="0"/>
              <w:rPr>
                <w:rFonts w:ascii="Arial" w:cs="Arial" w:eastAsia="Arial" w:hAnsi="Arial"/>
                <w:sz w:val="17"/>
                <w:szCs w:val="17"/>
                <w:u w:val="single" w:color="auto"/>
                <w:color w:val="0000FF"/>
              </w:rPr>
            </w:pPr>
            <w:hyperlink w:anchor="page70">
              <w:r>
                <w:rPr>
                  <w:rFonts w:ascii="Arial" w:cs="Arial" w:eastAsia="Arial" w:hAnsi="Arial"/>
                  <w:sz w:val="17"/>
                  <w:szCs w:val="17"/>
                  <w:u w:val="single" w:color="auto"/>
                  <w:color w:val="0000FF"/>
                </w:rPr>
                <w:t>71</w:t>
              </w:r>
            </w:hyperlink>
          </w:p>
        </w:tc>
        <w:tc>
          <w:tcPr>
            <w:tcW w:w="0" w:type="dxa"/>
            <w:vAlign w:val="bottom"/>
          </w:tcPr>
          <w:p>
            <w:pPr>
              <w:spacing w:after="0"/>
              <w:rPr>
                <w:sz w:val="1"/>
                <w:szCs w:val="1"/>
                <w:color w:val="auto"/>
              </w:rPr>
            </w:pPr>
          </w:p>
        </w:tc>
      </w:tr>
      <w:tr>
        <w:trPr>
          <w:trHeight w:val="270"/>
        </w:trPr>
        <w:tc>
          <w:tcPr>
            <w:tcW w:w="1660" w:type="dxa"/>
            <w:vAlign w:val="bottom"/>
          </w:tcPr>
          <w:p>
            <w:pPr>
              <w:spacing w:after="0"/>
              <w:rPr>
                <w:rFonts w:ascii="Arial" w:cs="Arial" w:eastAsia="Arial" w:hAnsi="Arial"/>
                <w:sz w:val="17"/>
                <w:szCs w:val="17"/>
                <w:u w:val="single" w:color="auto"/>
                <w:color w:val="0000FF"/>
              </w:rPr>
            </w:pPr>
            <w:hyperlink w:anchor="page71">
              <w:r>
                <w:rPr>
                  <w:rFonts w:ascii="Arial" w:cs="Arial" w:eastAsia="Arial" w:hAnsi="Arial"/>
                  <w:sz w:val="17"/>
                  <w:szCs w:val="17"/>
                  <w:u w:val="single" w:color="auto"/>
                  <w:color w:val="0000FF"/>
                </w:rPr>
                <w:t>SIGNATURES</w:t>
              </w:r>
            </w:hyperlink>
          </w:p>
        </w:tc>
        <w:tc>
          <w:tcPr>
            <w:tcW w:w="1120" w:type="dxa"/>
            <w:vAlign w:val="bottom"/>
          </w:tcPr>
          <w:p>
            <w:pPr>
              <w:spacing w:after="0"/>
              <w:rPr>
                <w:sz w:val="23"/>
                <w:szCs w:val="23"/>
                <w:color w:val="auto"/>
              </w:rPr>
            </w:pPr>
          </w:p>
        </w:tc>
        <w:tc>
          <w:tcPr>
            <w:tcW w:w="64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0" w:type="dxa"/>
            <w:vAlign w:val="bottom"/>
          </w:tcPr>
          <w:p>
            <w:pPr>
              <w:jc w:val="center"/>
              <w:spacing w:after="0"/>
              <w:rPr>
                <w:rFonts w:ascii="Arial" w:cs="Arial" w:eastAsia="Arial" w:hAnsi="Arial"/>
                <w:sz w:val="17"/>
                <w:szCs w:val="17"/>
                <w:u w:val="single" w:color="auto"/>
                <w:color w:val="0000FF"/>
              </w:rPr>
            </w:pPr>
            <w:hyperlink w:anchor="page71">
              <w:r>
                <w:rPr>
                  <w:rFonts w:ascii="Arial" w:cs="Arial" w:eastAsia="Arial" w:hAnsi="Arial"/>
                  <w:sz w:val="17"/>
                  <w:szCs w:val="17"/>
                  <w:u w:val="single" w:color="auto"/>
                  <w:color w:val="0000FF"/>
                </w:rPr>
                <w:t>72</w:t>
              </w:r>
            </w:hyperlink>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890"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NOTE TO READER</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color w:val="auto"/>
        </w:rPr>
        <w:t>In reading this Quarterly Report on Form 10-Q, references to:</w:t>
      </w:r>
    </w:p>
    <w:p>
      <w:pPr>
        <w:spacing w:after="0" w:line="77"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"Trust" and "Holdings" refer to Compass Diversified Holdings;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refer to Compass Group Diversified Holdings LLC;</w:t>
      </w:r>
    </w:p>
    <w:p>
      <w:pPr>
        <w:spacing w:after="0" w:line="76" w:lineRule="exact"/>
        <w:rPr>
          <w:rFonts w:ascii="Arial" w:cs="Arial" w:eastAsia="Arial" w:hAnsi="Arial"/>
          <w:sz w:val="18"/>
          <w:szCs w:val="18"/>
          <w:color w:val="auto"/>
        </w:rPr>
      </w:pPr>
    </w:p>
    <w:p>
      <w:pPr>
        <w:ind w:left="660" w:right="660" w:hanging="328"/>
        <w:spacing w:after="0" w:line="26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"businesses," "operating segments," "subsidiaries" and "reporting units" refer to, collectively, the businesses controlled by the Company;</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"Manager" refer to Compass Group Management LLC ("CGM");</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"Trust Agreement" refer to the Second Amended and Restated Trust Agreement of the Trust dated as of December 6, 2016;</w:t>
      </w:r>
    </w:p>
    <w:p>
      <w:pPr>
        <w:spacing w:after="0" w:line="76"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"2014 Credit Facility" refer to the credit agreement, as amended, entered into on June 14, 2014 with a group of lenders led by Bank of America N.A. as administrative agent, as amended from time to time, which provides for a Revolving Credit Facility and a Term Loan;</w:t>
      </w:r>
    </w:p>
    <w:p>
      <w:pPr>
        <w:spacing w:after="0" w:line="53"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"2018 Credit Facility" refer to the amended and restated credit agreement entered into on April 18, 2018 among the Company, the Lenders from time to time party thereto (the "Lenders"), Bank of America, N.A., as Administrative Agent, Swing Line Lender and L/C Issuer (the "agent") and other agents party thereto, as further amended.</w:t>
      </w:r>
    </w:p>
    <w:p>
      <w:pPr>
        <w:spacing w:after="0" w:line="66"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"2018 Revolving Credit Facility" refers to the $600 million in revolving loans, swing line loans and letters of credit provided by the 2018 Credit Facility that matures in 2023;</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"2018 Term Loan" refer to the $500 million term loan provided by the 2018 Credit Facility;</w:t>
      </w:r>
    </w:p>
    <w:p>
      <w:pPr>
        <w:spacing w:after="0" w:line="76" w:lineRule="exact"/>
        <w:rPr>
          <w:rFonts w:ascii="Arial" w:cs="Arial" w:eastAsia="Arial" w:hAnsi="Arial"/>
          <w:sz w:val="18"/>
          <w:szCs w:val="18"/>
          <w:color w:val="auto"/>
        </w:rPr>
      </w:pPr>
    </w:p>
    <w:p>
      <w:pPr>
        <w:ind w:left="660" w:right="740" w:hanging="328"/>
        <w:spacing w:after="0" w:line="26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"LLC Agreement" refer to the fifth amended and restated operating agreement of the Company dated as of December 6, 2016;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"us" and "our" refer to the Trust, the Company and the businesses together.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193"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This Quarterly Report on Form 10-Q, contains both historical and forward-looking statements. We may, in some cases, use words such as "project," "predict," "believe," "anticipate," "plan," "expect," "estimate," "intend," "should," "would," "could," "potentially," "may," or other words that convey uncertainty of future events or outcomes to identify these forward-looking statements. All statements other than statements of historical or current fact are “forward-looking statements” for purposes of federal and state securities laws. Forward looking statements include, among other things, (i) statements as to our future performance or liquidity, such as expectations for our results of operation, net income, adjusted EBITDA, and ability to make quarterly distributions and (ii) our plans, strategies and objectives for future operations, including our planned capital expenditures. Forward-looking statements in this Quarterly Report on Form 10-Q are subject to a number of risks and uncertainties, such as those disclosed or incorporated by reference in our filings with the SEC, many of which are beyond our control. Important factors that could cause our actual results, performance and achievements to differ materially from those estimates or projections contained in our forward-looking statements include, among other things:</w:t>
      </w:r>
    </w:p>
    <w:p>
      <w:pPr>
        <w:spacing w:after="0" w:line="157" w:lineRule="exact"/>
        <w:rPr>
          <w:sz w:val="20"/>
          <w:szCs w:val="20"/>
          <w:color w:val="auto"/>
        </w:rPr>
      </w:pPr>
    </w:p>
    <w:p>
      <w:pPr>
        <w:jc w:val="both"/>
        <w:ind w:left="500" w:hanging="330"/>
        <w:spacing w:after="0" w:line="256" w:lineRule="auto"/>
        <w:tabs>
          <w:tab w:leader="none" w:pos="49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adverse impact on the U.S. and global economy, including the markets in which we operate, of the novel coronavirus, which causes the Coronavirus disease 2019 (COVID-19) global pandemic, and the impact in the near, medium and long-term on our business, results of operations, financial position, liquidity or cash flows;</w:t>
      </w:r>
    </w:p>
    <w:p>
      <w:pPr>
        <w:spacing w:after="0" w:line="80" w:lineRule="exact"/>
        <w:rPr>
          <w:rFonts w:ascii="Arial" w:cs="Arial" w:eastAsia="Arial" w:hAnsi="Arial"/>
          <w:sz w:val="18"/>
          <w:szCs w:val="18"/>
          <w:color w:val="auto"/>
        </w:rPr>
      </w:pPr>
    </w:p>
    <w:p>
      <w:pPr>
        <w:ind w:left="500" w:hanging="330"/>
        <w:spacing w:after="0" w:line="225" w:lineRule="auto"/>
        <w:tabs>
          <w:tab w:leader="none" w:pos="495" w:val="left"/>
        </w:tabs>
        <w:numPr>
          <w:ilvl w:val="0"/>
          <w:numId w:val="4"/>
        </w:numPr>
        <w:rPr>
          <w:rFonts w:ascii="Arial" w:cs="Arial" w:eastAsia="Arial" w:hAnsi="Arial"/>
          <w:sz w:val="22"/>
          <w:szCs w:val="22"/>
          <w:color w:val="auto"/>
        </w:rPr>
      </w:pPr>
      <w:r>
        <w:rPr>
          <w:rFonts w:ascii="Arial" w:cs="Arial" w:eastAsia="Arial" w:hAnsi="Arial"/>
          <w:sz w:val="18"/>
          <w:szCs w:val="18"/>
          <w:color w:val="auto"/>
        </w:rPr>
        <w:t>difficulties and delays in integrating, or business disruptions following, acquisitions or an inability to fully realize cost savings and other benefit related thereto;</w:t>
      </w:r>
    </w:p>
    <w:p>
      <w:pPr>
        <w:spacing w:after="0" w:line="54" w:lineRule="exact"/>
        <w:rPr>
          <w:rFonts w:ascii="Arial" w:cs="Arial" w:eastAsia="Arial" w:hAnsi="Arial"/>
          <w:sz w:val="22"/>
          <w:szCs w:val="22"/>
          <w:color w:val="auto"/>
        </w:rPr>
      </w:pPr>
    </w:p>
    <w:p>
      <w:pPr>
        <w:ind w:left="480" w:hanging="310"/>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operate our businesses on a combined basis, and to effectively integrate and improve future acquisitions;</w:t>
      </w:r>
    </w:p>
    <w:p>
      <w:pPr>
        <w:spacing w:after="0" w:line="63" w:lineRule="exact"/>
        <w:rPr>
          <w:rFonts w:ascii="Arial" w:cs="Arial" w:eastAsia="Arial" w:hAnsi="Arial"/>
          <w:sz w:val="18"/>
          <w:szCs w:val="18"/>
          <w:color w:val="auto"/>
        </w:rPr>
      </w:pPr>
    </w:p>
    <w:p>
      <w:pPr>
        <w:ind w:left="480" w:hanging="310"/>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remove CGM and CGM’s right to resign;</w:t>
      </w:r>
    </w:p>
    <w:p>
      <w:pPr>
        <w:spacing w:after="0" w:line="63" w:lineRule="exact"/>
        <w:rPr>
          <w:rFonts w:ascii="Arial" w:cs="Arial" w:eastAsia="Arial" w:hAnsi="Arial"/>
          <w:sz w:val="18"/>
          <w:szCs w:val="18"/>
          <w:color w:val="auto"/>
        </w:rPr>
      </w:pPr>
    </w:p>
    <w:p>
      <w:pPr>
        <w:ind w:left="480" w:hanging="310"/>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organizational structure, which may limit our ability to meet our dividend and distribution policy;</w:t>
      </w:r>
    </w:p>
    <w:p>
      <w:pPr>
        <w:spacing w:after="0" w:line="63" w:lineRule="exact"/>
        <w:rPr>
          <w:rFonts w:ascii="Arial" w:cs="Arial" w:eastAsia="Arial" w:hAnsi="Arial"/>
          <w:sz w:val="18"/>
          <w:szCs w:val="18"/>
          <w:color w:val="auto"/>
        </w:rPr>
      </w:pPr>
    </w:p>
    <w:p>
      <w:pPr>
        <w:ind w:left="480" w:hanging="310"/>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service and comply with the terms of our indebtedness;</w:t>
      </w:r>
    </w:p>
    <w:p>
      <w:pPr>
        <w:spacing w:after="0" w:line="63" w:lineRule="exact"/>
        <w:rPr>
          <w:rFonts w:ascii="Arial" w:cs="Arial" w:eastAsia="Arial" w:hAnsi="Arial"/>
          <w:sz w:val="18"/>
          <w:szCs w:val="18"/>
          <w:color w:val="auto"/>
        </w:rPr>
      </w:pPr>
    </w:p>
    <w:p>
      <w:pPr>
        <w:ind w:left="480" w:hanging="310"/>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cash flow available for distribution and reinvestment and our ability to make distributions in the future to our shareholders;</w:t>
      </w:r>
    </w:p>
    <w:p>
      <w:pPr>
        <w:spacing w:after="0" w:line="63" w:lineRule="exact"/>
        <w:rPr>
          <w:rFonts w:ascii="Arial" w:cs="Arial" w:eastAsia="Arial" w:hAnsi="Arial"/>
          <w:sz w:val="18"/>
          <w:szCs w:val="18"/>
          <w:color w:val="auto"/>
        </w:rPr>
      </w:pPr>
    </w:p>
    <w:p>
      <w:pPr>
        <w:ind w:left="480" w:hanging="310"/>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pay the management fee and profit allocation if and when due;</w:t>
      </w:r>
    </w:p>
    <w:p>
      <w:pPr>
        <w:spacing w:after="0" w:line="63" w:lineRule="exact"/>
        <w:rPr>
          <w:rFonts w:ascii="Arial" w:cs="Arial" w:eastAsia="Arial" w:hAnsi="Arial"/>
          <w:sz w:val="18"/>
          <w:szCs w:val="18"/>
          <w:color w:val="auto"/>
        </w:rPr>
      </w:pPr>
    </w:p>
    <w:p>
      <w:pPr>
        <w:ind w:left="480" w:hanging="310"/>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make and finance future acquisitions;</w:t>
      </w:r>
    </w:p>
    <w:p>
      <w:pPr>
        <w:spacing w:after="0" w:line="63" w:lineRule="exact"/>
        <w:rPr>
          <w:rFonts w:ascii="Arial" w:cs="Arial" w:eastAsia="Arial" w:hAnsi="Arial"/>
          <w:sz w:val="18"/>
          <w:szCs w:val="18"/>
          <w:color w:val="auto"/>
        </w:rPr>
      </w:pPr>
    </w:p>
    <w:p>
      <w:pPr>
        <w:ind w:left="480" w:hanging="310"/>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implement our acquisition and management strategies;</w:t>
      </w:r>
    </w:p>
    <w:p>
      <w:pPr>
        <w:spacing w:after="0" w:line="63" w:lineRule="exact"/>
        <w:rPr>
          <w:rFonts w:ascii="Arial" w:cs="Arial" w:eastAsia="Arial" w:hAnsi="Arial"/>
          <w:sz w:val="18"/>
          <w:szCs w:val="18"/>
          <w:color w:val="auto"/>
        </w:rPr>
      </w:pPr>
    </w:p>
    <w:p>
      <w:pPr>
        <w:ind w:left="480" w:hanging="310"/>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legal and regulatory environment in which our businesses operate;</w:t>
      </w:r>
    </w:p>
    <w:p>
      <w:pPr>
        <w:spacing w:after="0" w:line="63" w:lineRule="exact"/>
        <w:rPr>
          <w:rFonts w:ascii="Arial" w:cs="Arial" w:eastAsia="Arial" w:hAnsi="Arial"/>
          <w:sz w:val="18"/>
          <w:szCs w:val="18"/>
          <w:color w:val="auto"/>
        </w:rPr>
      </w:pPr>
    </w:p>
    <w:p>
      <w:pPr>
        <w:ind w:left="480" w:hanging="310"/>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trends in the industries in which our businesses operate;</w:t>
      </w:r>
    </w:p>
    <w:p>
      <w:pPr>
        <w:spacing w:after="0" w:line="63" w:lineRule="exact"/>
        <w:rPr>
          <w:rFonts w:ascii="Arial" w:cs="Arial" w:eastAsia="Arial" w:hAnsi="Arial"/>
          <w:sz w:val="18"/>
          <w:szCs w:val="18"/>
          <w:color w:val="auto"/>
        </w:rPr>
      </w:pPr>
    </w:p>
    <w:p>
      <w:pPr>
        <w:ind w:left="500" w:hanging="330"/>
        <w:spacing w:after="0" w:line="250" w:lineRule="auto"/>
        <w:tabs>
          <w:tab w:leader="none" w:pos="495"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general economic, political or business conditions or economic, political or demographic trends in the United States and other countries in which we have a presence, including changes in interest rates and inflation;</w:t>
      </w:r>
    </w:p>
    <w:p>
      <w:pPr>
        <w:spacing w:after="0" w:line="14" w:lineRule="exact"/>
        <w:rPr>
          <w:rFonts w:ascii="Arial" w:cs="Arial" w:eastAsia="Arial" w:hAnsi="Arial"/>
          <w:sz w:val="18"/>
          <w:szCs w:val="18"/>
          <w:color w:val="auto"/>
        </w:rPr>
      </w:pPr>
    </w:p>
    <w:p>
      <w:pPr>
        <w:ind w:left="500" w:right="20" w:hanging="330"/>
        <w:spacing w:after="0" w:line="211" w:lineRule="auto"/>
        <w:tabs>
          <w:tab w:leader="none" w:pos="495" w:val="left"/>
        </w:tabs>
        <w:numPr>
          <w:ilvl w:val="0"/>
          <w:numId w:val="4"/>
        </w:numPr>
        <w:rPr>
          <w:rFonts w:ascii="Arial" w:cs="Arial" w:eastAsia="Arial" w:hAnsi="Arial"/>
          <w:sz w:val="22"/>
          <w:szCs w:val="22"/>
          <w:color w:val="auto"/>
        </w:rPr>
      </w:pPr>
      <w:r>
        <w:rPr>
          <w:rFonts w:ascii="Arial" w:cs="Arial" w:eastAsia="Arial" w:hAnsi="Arial"/>
          <w:sz w:val="18"/>
          <w:szCs w:val="18"/>
          <w:color w:val="auto"/>
        </w:rPr>
        <w:t>risks associated with possible disruption in operations or the economy generally due to terrorism or natural disaster or social, civil or political unrest;</w:t>
      </w:r>
    </w:p>
    <w:p>
      <w:pPr>
        <w:spacing w:after="0" w:line="27" w:lineRule="exact"/>
        <w:rPr>
          <w:rFonts w:ascii="Arial" w:cs="Arial" w:eastAsia="Arial" w:hAnsi="Arial"/>
          <w:sz w:val="22"/>
          <w:szCs w:val="22"/>
          <w:color w:val="auto"/>
        </w:rPr>
      </w:pPr>
    </w:p>
    <w:p>
      <w:pPr>
        <w:ind w:left="480" w:hanging="310"/>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environmental risks affecting the business or operations of our businesses;</w:t>
      </w:r>
    </w:p>
    <w:p>
      <w:pPr>
        <w:spacing w:after="0" w:line="63" w:lineRule="exact"/>
        <w:rPr>
          <w:rFonts w:ascii="Arial" w:cs="Arial" w:eastAsia="Arial" w:hAnsi="Arial"/>
          <w:sz w:val="18"/>
          <w:szCs w:val="18"/>
          <w:color w:val="auto"/>
        </w:rPr>
      </w:pPr>
    </w:p>
    <w:p>
      <w:pPr>
        <w:ind w:left="480" w:hanging="310"/>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and CGM’s ability to retain or replace qualified employees of our businesses and CGM;</w:t>
      </w:r>
    </w:p>
    <w:p>
      <w:pPr>
        <w:spacing w:after="0" w:line="63" w:lineRule="exact"/>
        <w:rPr>
          <w:rFonts w:ascii="Arial" w:cs="Arial" w:eastAsia="Arial" w:hAnsi="Arial"/>
          <w:sz w:val="18"/>
          <w:szCs w:val="18"/>
          <w:color w:val="auto"/>
        </w:rPr>
      </w:pPr>
    </w:p>
    <w:p>
      <w:pPr>
        <w:ind w:left="480" w:hanging="310"/>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costs and effects of legal and administrative proceedings, settlements, investigations and claims; and</w:t>
      </w:r>
    </w:p>
    <w:p>
      <w:pPr>
        <w:spacing w:after="0" w:line="63" w:lineRule="exact"/>
        <w:rPr>
          <w:rFonts w:ascii="Arial" w:cs="Arial" w:eastAsia="Arial" w:hAnsi="Arial"/>
          <w:sz w:val="18"/>
          <w:szCs w:val="18"/>
          <w:color w:val="auto"/>
        </w:rPr>
      </w:pPr>
    </w:p>
    <w:p>
      <w:pPr>
        <w:ind w:left="480" w:hanging="310"/>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extraordinary or force majeure events affecting the business or operations of our businesses.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actual results, performance, prospects or opportunities could differ materially from those expressed in or implied by the forward-looking statements. Additional risks of which we are not currently aware or which we currently deem immaterial could also cause our actual results to differ.</w:t>
      </w:r>
    </w:p>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light of these risks, uncertainties and assumptions, you should not place undue reliance on any forward-looking statements. The forward-looking events discussed in this Quarterly Report on Form 10-Q may not occur. These forward-looking statements are made as of the date of this Quarterly Report on Form 10-Q. We undertake no obligation to publicly update or revise any forward-looking statements to reflect subsequent events or circumstances, whether as a result of new information, future events or otherwise,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INFORMATION</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FINANCIAL STATEMENTS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COMPASS DIVERSIFIED HOLDINGS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w w:val="99"/>
              </w:rPr>
              <w:t>September 30,</w:t>
            </w:r>
          </w:p>
        </w:tc>
        <w:tc>
          <w:tcPr>
            <w:tcW w:w="240" w:type="dxa"/>
            <w:vAlign w:val="bottom"/>
          </w:tcPr>
          <w:p>
            <w:pPr>
              <w:spacing w:after="0"/>
              <w:rPr>
                <w:sz w:val="14"/>
                <w:szCs w:val="14"/>
                <w:color w:val="auto"/>
              </w:rPr>
            </w:pPr>
          </w:p>
        </w:tc>
        <w:tc>
          <w:tcPr>
            <w:tcW w:w="1480" w:type="dxa"/>
            <w:vAlign w:val="bottom"/>
          </w:tcPr>
          <w:p>
            <w:pPr>
              <w:jc w:val="right"/>
              <w:ind w:right="306"/>
              <w:spacing w:after="0"/>
              <w:rPr>
                <w:sz w:val="20"/>
                <w:szCs w:val="20"/>
                <w:color w:val="auto"/>
              </w:rPr>
            </w:pPr>
            <w:r>
              <w:rPr>
                <w:rFonts w:ascii="Arial" w:cs="Arial" w:eastAsia="Arial" w:hAnsi="Arial"/>
                <w:sz w:val="15"/>
                <w:szCs w:val="15"/>
                <w:b w:val="1"/>
                <w:bCs w:val="1"/>
                <w:color w:val="auto"/>
              </w:rPr>
              <w:t>December 31,</w:t>
            </w:r>
          </w:p>
        </w:tc>
      </w:tr>
      <w:tr>
        <w:trPr>
          <w:trHeight w:val="196"/>
        </w:trPr>
        <w:tc>
          <w:tcPr>
            <w:tcW w:w="77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center"/>
              <w:ind w:right="146"/>
              <w:spacing w:after="0"/>
              <w:rPr>
                <w:sz w:val="20"/>
                <w:szCs w:val="20"/>
                <w:color w:val="auto"/>
              </w:rPr>
            </w:pPr>
            <w:r>
              <w:rPr>
                <w:rFonts w:ascii="Arial" w:cs="Arial" w:eastAsia="Arial" w:hAnsi="Arial"/>
                <w:sz w:val="15"/>
                <w:szCs w:val="15"/>
                <w:b w:val="1"/>
                <w:bCs w:val="1"/>
                <w:color w:val="auto"/>
              </w:rPr>
              <w:t>2020</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626"/>
              <w:spacing w:after="0"/>
              <w:rPr>
                <w:sz w:val="20"/>
                <w:szCs w:val="20"/>
                <w:color w:val="auto"/>
              </w:rPr>
            </w:pPr>
            <w:r>
              <w:rPr>
                <w:rFonts w:ascii="Arial" w:cs="Arial" w:eastAsia="Arial" w:hAnsi="Arial"/>
                <w:sz w:val="15"/>
                <w:szCs w:val="15"/>
                <w:b w:val="1"/>
                <w:bCs w:val="1"/>
                <w:color w:val="auto"/>
              </w:rPr>
              <w:t>2019</w:t>
            </w:r>
          </w:p>
        </w:tc>
      </w:tr>
      <w:tr>
        <w:trPr>
          <w:trHeight w:val="189"/>
        </w:trPr>
        <w:tc>
          <w:tcPr>
            <w:tcW w:w="77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Pr>
          <w:p>
            <w:pPr>
              <w:spacing w:after="0"/>
              <w:rPr>
                <w:sz w:val="16"/>
                <w:szCs w:val="16"/>
                <w:color w:val="auto"/>
              </w:rPr>
            </w:pPr>
          </w:p>
        </w:tc>
        <w:tc>
          <w:tcPr>
            <w:tcW w:w="15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(Unaudited)</w:t>
            </w:r>
          </w:p>
        </w:tc>
        <w:tc>
          <w:tcPr>
            <w:tcW w:w="24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203"/>
        </w:trPr>
        <w:tc>
          <w:tcPr>
            <w:tcW w:w="772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Assets</w:t>
            </w: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198"/>
        </w:trPr>
        <w:tc>
          <w:tcPr>
            <w:tcW w:w="7720" w:type="dxa"/>
            <w:vAlign w:val="bottom"/>
          </w:tcPr>
          <w:p>
            <w:pPr>
              <w:ind w:left="20"/>
              <w:spacing w:after="0"/>
              <w:rPr>
                <w:sz w:val="20"/>
                <w:szCs w:val="20"/>
                <w:color w:val="auto"/>
              </w:rPr>
            </w:pPr>
            <w:r>
              <w:rPr>
                <w:rFonts w:ascii="Arial" w:cs="Arial" w:eastAsia="Arial" w:hAnsi="Arial"/>
                <w:sz w:val="15"/>
                <w:szCs w:val="15"/>
                <w:color w:val="auto"/>
              </w:rPr>
              <w:t>Current assets:</w:t>
            </w: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7"/>
        </w:trPr>
        <w:tc>
          <w:tcPr>
            <w:tcW w:w="772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Cash and cash equivalents</w:t>
            </w:r>
          </w:p>
        </w:tc>
        <w:tc>
          <w:tcPr>
            <w:tcW w:w="22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95"/>
              </w:rPr>
              <w:t>$</w:t>
            </w:r>
          </w:p>
        </w:tc>
        <w:tc>
          <w:tcPr>
            <w:tcW w:w="148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176,819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95"/>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100,314</w:t>
            </w:r>
          </w:p>
        </w:tc>
      </w:tr>
      <w:tr>
        <w:trPr>
          <w:trHeight w:val="198"/>
        </w:trPr>
        <w:tc>
          <w:tcPr>
            <w:tcW w:w="7720" w:type="dxa"/>
            <w:vAlign w:val="bottom"/>
          </w:tcPr>
          <w:p>
            <w:pPr>
              <w:ind w:left="20"/>
              <w:spacing w:after="0"/>
              <w:rPr>
                <w:sz w:val="20"/>
                <w:szCs w:val="20"/>
                <w:color w:val="auto"/>
              </w:rPr>
            </w:pPr>
            <w:r>
              <w:rPr>
                <w:rFonts w:ascii="Arial" w:cs="Arial" w:eastAsia="Arial" w:hAnsi="Arial"/>
                <w:sz w:val="15"/>
                <w:szCs w:val="15"/>
                <w:color w:val="auto"/>
              </w:rPr>
              <w:t>Accounts receivable, net</w:t>
            </w:r>
          </w:p>
        </w:tc>
        <w:tc>
          <w:tcPr>
            <w:tcW w:w="220" w:type="dxa"/>
            <w:vAlign w:val="bottom"/>
          </w:tcPr>
          <w:p>
            <w:pPr>
              <w:spacing w:after="0"/>
              <w:rPr>
                <w:sz w:val="17"/>
                <w:szCs w:val="17"/>
                <w:color w:val="auto"/>
              </w:rPr>
            </w:pPr>
          </w:p>
        </w:tc>
        <w:tc>
          <w:tcPr>
            <w:tcW w:w="1480" w:type="dxa"/>
            <w:vAlign w:val="bottom"/>
          </w:tcPr>
          <w:p>
            <w:pPr>
              <w:jc w:val="right"/>
              <w:ind w:right="6"/>
              <w:spacing w:after="0"/>
              <w:rPr>
                <w:sz w:val="20"/>
                <w:szCs w:val="20"/>
                <w:color w:val="auto"/>
              </w:rPr>
            </w:pPr>
            <w:r>
              <w:rPr>
                <w:rFonts w:ascii="Arial" w:cs="Arial" w:eastAsia="Arial" w:hAnsi="Arial"/>
                <w:sz w:val="15"/>
                <w:szCs w:val="15"/>
                <w:color w:val="auto"/>
              </w:rPr>
              <w:t>242,947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191,405</w:t>
            </w:r>
          </w:p>
        </w:tc>
      </w:tr>
      <w:tr>
        <w:trPr>
          <w:trHeight w:val="207"/>
        </w:trPr>
        <w:tc>
          <w:tcPr>
            <w:tcW w:w="772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Inventories</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344,036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317,306</w:t>
            </w:r>
          </w:p>
        </w:tc>
      </w:tr>
      <w:tr>
        <w:trPr>
          <w:trHeight w:val="198"/>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Prepaid expenses and other current assets</w:t>
            </w:r>
          </w:p>
        </w:tc>
        <w:tc>
          <w:tcPr>
            <w:tcW w:w="2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36,873</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35,247</w:t>
            </w:r>
          </w:p>
        </w:tc>
      </w:tr>
      <w:tr>
        <w:trPr>
          <w:trHeight w:val="201"/>
        </w:trPr>
        <w:tc>
          <w:tcPr>
            <w:tcW w:w="7720" w:type="dxa"/>
            <w:vAlign w:val="bottom"/>
            <w:shd w:val="clear" w:color="auto" w:fill="CCEEFF"/>
          </w:tcPr>
          <w:p>
            <w:pPr>
              <w:ind w:left="340"/>
              <w:spacing w:after="0"/>
              <w:rPr>
                <w:sz w:val="20"/>
                <w:szCs w:val="20"/>
                <w:color w:val="auto"/>
              </w:rPr>
            </w:pPr>
            <w:r>
              <w:rPr>
                <w:rFonts w:ascii="Arial" w:cs="Arial" w:eastAsia="Arial" w:hAnsi="Arial"/>
                <w:sz w:val="15"/>
                <w:szCs w:val="15"/>
                <w:color w:val="auto"/>
              </w:rPr>
              <w:t>Total current assets</w:t>
            </w: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800,675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644,272</w:t>
            </w:r>
          </w:p>
        </w:tc>
      </w:tr>
      <w:tr>
        <w:trPr>
          <w:trHeight w:val="198"/>
        </w:trPr>
        <w:tc>
          <w:tcPr>
            <w:tcW w:w="7720" w:type="dxa"/>
            <w:vAlign w:val="bottom"/>
          </w:tcPr>
          <w:p>
            <w:pPr>
              <w:ind w:left="20"/>
              <w:spacing w:after="0"/>
              <w:rPr>
                <w:sz w:val="20"/>
                <w:szCs w:val="20"/>
                <w:color w:val="auto"/>
              </w:rPr>
            </w:pPr>
            <w:r>
              <w:rPr>
                <w:rFonts w:ascii="Arial" w:cs="Arial" w:eastAsia="Arial" w:hAnsi="Arial"/>
                <w:sz w:val="15"/>
                <w:szCs w:val="15"/>
                <w:color w:val="auto"/>
              </w:rPr>
              <w:t>Property, plant and equipment, net</w:t>
            </w:r>
          </w:p>
        </w:tc>
        <w:tc>
          <w:tcPr>
            <w:tcW w:w="220" w:type="dxa"/>
            <w:vAlign w:val="bottom"/>
          </w:tcPr>
          <w:p>
            <w:pPr>
              <w:spacing w:after="0"/>
              <w:rPr>
                <w:sz w:val="17"/>
                <w:szCs w:val="17"/>
                <w:color w:val="auto"/>
              </w:rPr>
            </w:pPr>
          </w:p>
        </w:tc>
        <w:tc>
          <w:tcPr>
            <w:tcW w:w="1480" w:type="dxa"/>
            <w:vAlign w:val="bottom"/>
          </w:tcPr>
          <w:p>
            <w:pPr>
              <w:jc w:val="right"/>
              <w:ind w:right="6"/>
              <w:spacing w:after="0"/>
              <w:rPr>
                <w:sz w:val="20"/>
                <w:szCs w:val="20"/>
                <w:color w:val="auto"/>
              </w:rPr>
            </w:pPr>
            <w:r>
              <w:rPr>
                <w:rFonts w:ascii="Arial" w:cs="Arial" w:eastAsia="Arial" w:hAnsi="Arial"/>
                <w:sz w:val="15"/>
                <w:szCs w:val="15"/>
                <w:color w:val="auto"/>
              </w:rPr>
              <w:t>155,601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146,428</w:t>
            </w:r>
          </w:p>
        </w:tc>
      </w:tr>
      <w:tr>
        <w:trPr>
          <w:trHeight w:val="208"/>
        </w:trPr>
        <w:tc>
          <w:tcPr>
            <w:tcW w:w="7720" w:type="dxa"/>
            <w:vAlign w:val="bottom"/>
            <w:shd w:val="clear" w:color="auto" w:fill="CCEEFF"/>
          </w:tcPr>
          <w:p>
            <w:pPr>
              <w:ind w:left="20"/>
              <w:spacing w:after="0"/>
              <w:rPr>
                <w:sz w:val="20"/>
                <w:szCs w:val="20"/>
                <w:color w:val="auto"/>
              </w:rPr>
            </w:pPr>
            <w:r>
              <w:rPr>
                <w:rFonts w:ascii="Arial" w:cs="Arial" w:eastAsia="Arial" w:hAnsi="Arial"/>
                <w:sz w:val="15"/>
                <w:szCs w:val="15"/>
                <w:color w:val="auto"/>
              </w:rPr>
              <w:t>Goodwill</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508,464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438,519</w:t>
            </w:r>
          </w:p>
        </w:tc>
      </w:tr>
      <w:tr>
        <w:trPr>
          <w:trHeight w:val="198"/>
        </w:trPr>
        <w:tc>
          <w:tcPr>
            <w:tcW w:w="7720" w:type="dxa"/>
            <w:vAlign w:val="bottom"/>
          </w:tcPr>
          <w:p>
            <w:pPr>
              <w:ind w:left="20"/>
              <w:spacing w:after="0"/>
              <w:rPr>
                <w:sz w:val="20"/>
                <w:szCs w:val="20"/>
                <w:color w:val="auto"/>
              </w:rPr>
            </w:pPr>
            <w:r>
              <w:rPr>
                <w:rFonts w:ascii="Arial" w:cs="Arial" w:eastAsia="Arial" w:hAnsi="Arial"/>
                <w:sz w:val="15"/>
                <w:szCs w:val="15"/>
                <w:color w:val="auto"/>
              </w:rPr>
              <w:t>Intangible assets, net</w:t>
            </w:r>
          </w:p>
        </w:tc>
        <w:tc>
          <w:tcPr>
            <w:tcW w:w="220" w:type="dxa"/>
            <w:vAlign w:val="bottom"/>
          </w:tcPr>
          <w:p>
            <w:pPr>
              <w:spacing w:after="0"/>
              <w:rPr>
                <w:sz w:val="17"/>
                <w:szCs w:val="17"/>
                <w:color w:val="auto"/>
              </w:rPr>
            </w:pPr>
          </w:p>
        </w:tc>
        <w:tc>
          <w:tcPr>
            <w:tcW w:w="1480" w:type="dxa"/>
            <w:vAlign w:val="bottom"/>
          </w:tcPr>
          <w:p>
            <w:pPr>
              <w:jc w:val="right"/>
              <w:ind w:right="6"/>
              <w:spacing w:after="0"/>
              <w:rPr>
                <w:sz w:val="20"/>
                <w:szCs w:val="20"/>
                <w:color w:val="auto"/>
              </w:rPr>
            </w:pPr>
            <w:r>
              <w:rPr>
                <w:rFonts w:ascii="Arial" w:cs="Arial" w:eastAsia="Arial" w:hAnsi="Arial"/>
                <w:sz w:val="15"/>
                <w:szCs w:val="15"/>
                <w:color w:val="auto"/>
              </w:rPr>
              <w:t>619,925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561,946</w:t>
            </w:r>
          </w:p>
        </w:tc>
      </w:tr>
      <w:tr>
        <w:trPr>
          <w:trHeight w:val="208"/>
        </w:trPr>
        <w:tc>
          <w:tcPr>
            <w:tcW w:w="772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non-current assets</w:t>
            </w:r>
          </w:p>
        </w:tc>
        <w:tc>
          <w:tcPr>
            <w:tcW w:w="2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107,319</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100,727</w:t>
            </w:r>
          </w:p>
        </w:tc>
      </w:tr>
      <w:tr>
        <w:trPr>
          <w:trHeight w:val="191"/>
        </w:trPr>
        <w:tc>
          <w:tcPr>
            <w:tcW w:w="7720" w:type="dxa"/>
            <w:vAlign w:val="bottom"/>
          </w:tcPr>
          <w:p>
            <w:pPr>
              <w:ind w:left="20"/>
              <w:spacing w:after="0"/>
              <w:rPr>
                <w:sz w:val="20"/>
                <w:szCs w:val="20"/>
                <w:color w:val="auto"/>
              </w:rPr>
            </w:pPr>
            <w:r>
              <w:rPr>
                <w:rFonts w:ascii="Arial" w:cs="Arial" w:eastAsia="Arial" w:hAnsi="Arial"/>
                <w:sz w:val="15"/>
                <w:szCs w:val="15"/>
                <w:b w:val="1"/>
                <w:bCs w:val="1"/>
                <w:color w:val="auto"/>
              </w:rPr>
              <w:t>Total assets</w:t>
            </w:r>
          </w:p>
        </w:tc>
        <w:tc>
          <w:tcPr>
            <w:tcW w:w="22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w w:val="95"/>
              </w:rPr>
              <w:t>$</w:t>
            </w:r>
          </w:p>
        </w:tc>
        <w:tc>
          <w:tcPr>
            <w:tcW w:w="148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2,191,984</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w w:val="95"/>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1,891,892</w:t>
            </w:r>
          </w:p>
        </w:tc>
      </w:tr>
      <w:tr>
        <w:trPr>
          <w:trHeight w:val="20"/>
        </w:trPr>
        <w:tc>
          <w:tcPr>
            <w:tcW w:w="77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34"/>
        </w:trPr>
        <w:tc>
          <w:tcPr>
            <w:tcW w:w="7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r>
      <w:tr>
        <w:trPr>
          <w:trHeight w:val="199"/>
        </w:trPr>
        <w:tc>
          <w:tcPr>
            <w:tcW w:w="7720" w:type="dxa"/>
            <w:vAlign w:val="bottom"/>
          </w:tcPr>
          <w:p>
            <w:pPr>
              <w:ind w:left="20"/>
              <w:spacing w:after="0"/>
              <w:rPr>
                <w:sz w:val="20"/>
                <w:szCs w:val="20"/>
                <w:color w:val="auto"/>
              </w:rPr>
            </w:pPr>
            <w:r>
              <w:rPr>
                <w:rFonts w:ascii="Arial" w:cs="Arial" w:eastAsia="Arial" w:hAnsi="Arial"/>
                <w:sz w:val="15"/>
                <w:szCs w:val="15"/>
                <w:b w:val="1"/>
                <w:bCs w:val="1"/>
                <w:color w:val="auto"/>
              </w:rPr>
              <w:t>Liabilities and stockholders’ equity</w:t>
            </w: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6"/>
        </w:trPr>
        <w:tc>
          <w:tcPr>
            <w:tcW w:w="7720" w:type="dxa"/>
            <w:vAlign w:val="bottom"/>
            <w:shd w:val="clear" w:color="auto" w:fill="CCEEFF"/>
          </w:tcPr>
          <w:p>
            <w:pPr>
              <w:ind w:left="20"/>
              <w:spacing w:after="0"/>
              <w:rPr>
                <w:sz w:val="20"/>
                <w:szCs w:val="20"/>
                <w:color w:val="auto"/>
              </w:rPr>
            </w:pPr>
            <w:r>
              <w:rPr>
                <w:rFonts w:ascii="Arial" w:cs="Arial" w:eastAsia="Arial" w:hAnsi="Arial"/>
                <w:sz w:val="15"/>
                <w:szCs w:val="15"/>
                <w:color w:val="auto"/>
              </w:rPr>
              <w:t>Current liabilities:</w:t>
            </w: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198"/>
        </w:trPr>
        <w:tc>
          <w:tcPr>
            <w:tcW w:w="7720" w:type="dxa"/>
            <w:vAlign w:val="bottom"/>
          </w:tcPr>
          <w:p>
            <w:pPr>
              <w:ind w:left="20"/>
              <w:spacing w:after="0"/>
              <w:rPr>
                <w:sz w:val="20"/>
                <w:szCs w:val="20"/>
                <w:color w:val="auto"/>
              </w:rPr>
            </w:pPr>
            <w:r>
              <w:rPr>
                <w:rFonts w:ascii="Arial" w:cs="Arial" w:eastAsia="Arial" w:hAnsi="Arial"/>
                <w:sz w:val="15"/>
                <w:szCs w:val="15"/>
                <w:color w:val="auto"/>
              </w:rPr>
              <w:t>Accounts payable</w:t>
            </w:r>
          </w:p>
        </w:tc>
        <w:tc>
          <w:tcPr>
            <w:tcW w:w="220" w:type="dxa"/>
            <w:vAlign w:val="bottom"/>
          </w:tcPr>
          <w:p>
            <w:pPr>
              <w:jc w:val="right"/>
              <w:ind w:right="46"/>
              <w:spacing w:after="0"/>
              <w:rPr>
                <w:sz w:val="20"/>
                <w:szCs w:val="20"/>
                <w:color w:val="auto"/>
              </w:rPr>
            </w:pPr>
            <w:r>
              <w:rPr>
                <w:rFonts w:ascii="Arial" w:cs="Arial" w:eastAsia="Arial" w:hAnsi="Arial"/>
                <w:sz w:val="15"/>
                <w:szCs w:val="15"/>
                <w:color w:val="auto"/>
                <w:w w:val="95"/>
              </w:rPr>
              <w:t>$</w:t>
            </w:r>
          </w:p>
        </w:tc>
        <w:tc>
          <w:tcPr>
            <w:tcW w:w="1480" w:type="dxa"/>
            <w:vAlign w:val="bottom"/>
          </w:tcPr>
          <w:p>
            <w:pPr>
              <w:jc w:val="right"/>
              <w:ind w:right="6"/>
              <w:spacing w:after="0"/>
              <w:rPr>
                <w:sz w:val="20"/>
                <w:szCs w:val="20"/>
                <w:color w:val="auto"/>
              </w:rPr>
            </w:pPr>
            <w:r>
              <w:rPr>
                <w:rFonts w:ascii="Arial" w:cs="Arial" w:eastAsia="Arial" w:hAnsi="Arial"/>
                <w:sz w:val="15"/>
                <w:szCs w:val="15"/>
                <w:color w:val="auto"/>
              </w:rPr>
              <w:t>98,192</w:t>
            </w:r>
          </w:p>
        </w:tc>
        <w:tc>
          <w:tcPr>
            <w:tcW w:w="100" w:type="dxa"/>
            <w:vAlign w:val="bottom"/>
          </w:tcPr>
          <w:p>
            <w:pPr>
              <w:spacing w:after="0"/>
              <w:rPr>
                <w:sz w:val="17"/>
                <w:szCs w:val="17"/>
                <w:color w:val="auto"/>
              </w:rPr>
            </w:pPr>
          </w:p>
        </w:tc>
        <w:tc>
          <w:tcPr>
            <w:tcW w:w="240" w:type="dxa"/>
            <w:vAlign w:val="bottom"/>
          </w:tcPr>
          <w:p>
            <w:pPr>
              <w:jc w:val="right"/>
              <w:ind w:right="66"/>
              <w:spacing w:after="0"/>
              <w:rPr>
                <w:sz w:val="20"/>
                <w:szCs w:val="20"/>
                <w:color w:val="auto"/>
              </w:rPr>
            </w:pPr>
            <w:r>
              <w:rPr>
                <w:rFonts w:ascii="Arial" w:cs="Arial" w:eastAsia="Arial" w:hAnsi="Arial"/>
                <w:sz w:val="15"/>
                <w:szCs w:val="15"/>
                <w:color w:val="auto"/>
                <w:w w:val="95"/>
              </w:rPr>
              <w:t>$</w:t>
            </w:r>
          </w:p>
        </w:tc>
        <w:tc>
          <w:tcPr>
            <w:tcW w:w="1480" w:type="dxa"/>
            <w:vAlign w:val="bottom"/>
          </w:tcPr>
          <w:p>
            <w:pPr>
              <w:jc w:val="right"/>
              <w:spacing w:after="0"/>
              <w:rPr>
                <w:sz w:val="20"/>
                <w:szCs w:val="20"/>
                <w:color w:val="auto"/>
              </w:rPr>
            </w:pPr>
            <w:r>
              <w:rPr>
                <w:rFonts w:ascii="Arial" w:cs="Arial" w:eastAsia="Arial" w:hAnsi="Arial"/>
                <w:sz w:val="15"/>
                <w:szCs w:val="15"/>
                <w:color w:val="auto"/>
              </w:rPr>
              <w:t>70,089</w:t>
            </w:r>
          </w:p>
        </w:tc>
      </w:tr>
      <w:tr>
        <w:trPr>
          <w:trHeight w:val="208"/>
        </w:trPr>
        <w:tc>
          <w:tcPr>
            <w:tcW w:w="7720" w:type="dxa"/>
            <w:vAlign w:val="bottom"/>
            <w:shd w:val="clear" w:color="auto" w:fill="CCEEFF"/>
          </w:tcPr>
          <w:p>
            <w:pPr>
              <w:ind w:left="20"/>
              <w:spacing w:after="0"/>
              <w:rPr>
                <w:sz w:val="20"/>
                <w:szCs w:val="20"/>
                <w:color w:val="auto"/>
              </w:rPr>
            </w:pPr>
            <w:r>
              <w:rPr>
                <w:rFonts w:ascii="Arial" w:cs="Arial" w:eastAsia="Arial" w:hAnsi="Arial"/>
                <w:sz w:val="15"/>
                <w:szCs w:val="15"/>
                <w:color w:val="auto"/>
              </w:rPr>
              <w:t>Accrued expenses</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151,279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108,768</w:t>
            </w:r>
          </w:p>
        </w:tc>
      </w:tr>
      <w:tr>
        <w:trPr>
          <w:trHeight w:val="198"/>
        </w:trPr>
        <w:tc>
          <w:tcPr>
            <w:tcW w:w="7720" w:type="dxa"/>
            <w:vAlign w:val="bottom"/>
          </w:tcPr>
          <w:p>
            <w:pPr>
              <w:ind w:left="20"/>
              <w:spacing w:after="0"/>
              <w:rPr>
                <w:sz w:val="20"/>
                <w:szCs w:val="20"/>
                <w:color w:val="auto"/>
              </w:rPr>
            </w:pPr>
            <w:r>
              <w:rPr>
                <w:rFonts w:ascii="Arial" w:cs="Arial" w:eastAsia="Arial" w:hAnsi="Arial"/>
                <w:sz w:val="15"/>
                <w:szCs w:val="15"/>
                <w:color w:val="auto"/>
              </w:rPr>
              <w:t>Due to related party</w:t>
            </w:r>
          </w:p>
        </w:tc>
        <w:tc>
          <w:tcPr>
            <w:tcW w:w="220" w:type="dxa"/>
            <w:vAlign w:val="bottom"/>
          </w:tcPr>
          <w:p>
            <w:pPr>
              <w:spacing w:after="0"/>
              <w:rPr>
                <w:sz w:val="17"/>
                <w:szCs w:val="17"/>
                <w:color w:val="auto"/>
              </w:rPr>
            </w:pPr>
          </w:p>
        </w:tc>
        <w:tc>
          <w:tcPr>
            <w:tcW w:w="1480" w:type="dxa"/>
            <w:vAlign w:val="bottom"/>
          </w:tcPr>
          <w:p>
            <w:pPr>
              <w:jc w:val="right"/>
              <w:ind w:right="6"/>
              <w:spacing w:after="0"/>
              <w:rPr>
                <w:sz w:val="20"/>
                <w:szCs w:val="20"/>
                <w:color w:val="auto"/>
              </w:rPr>
            </w:pPr>
            <w:r>
              <w:rPr>
                <w:rFonts w:ascii="Arial" w:cs="Arial" w:eastAsia="Arial" w:hAnsi="Arial"/>
                <w:sz w:val="15"/>
                <w:szCs w:val="15"/>
                <w:color w:val="auto"/>
              </w:rPr>
              <w:t>9,283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8,049</w:t>
            </w:r>
          </w:p>
        </w:tc>
      </w:tr>
      <w:tr>
        <w:trPr>
          <w:trHeight w:val="208"/>
        </w:trPr>
        <w:tc>
          <w:tcPr>
            <w:tcW w:w="772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current liabilities</w:t>
            </w:r>
          </w:p>
        </w:tc>
        <w:tc>
          <w:tcPr>
            <w:tcW w:w="2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25,022</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22,573</w:t>
            </w:r>
          </w:p>
        </w:tc>
      </w:tr>
      <w:tr>
        <w:trPr>
          <w:trHeight w:val="191"/>
        </w:trPr>
        <w:tc>
          <w:tcPr>
            <w:tcW w:w="7720" w:type="dxa"/>
            <w:vAlign w:val="bottom"/>
          </w:tcPr>
          <w:p>
            <w:pPr>
              <w:ind w:left="340"/>
              <w:spacing w:after="0"/>
              <w:rPr>
                <w:sz w:val="20"/>
                <w:szCs w:val="20"/>
                <w:color w:val="auto"/>
              </w:rPr>
            </w:pPr>
            <w:r>
              <w:rPr>
                <w:rFonts w:ascii="Arial" w:cs="Arial" w:eastAsia="Arial" w:hAnsi="Arial"/>
                <w:sz w:val="15"/>
                <w:szCs w:val="15"/>
                <w:color w:val="auto"/>
              </w:rPr>
              <w:t>Total current liabilities</w:t>
            </w:r>
          </w:p>
        </w:tc>
        <w:tc>
          <w:tcPr>
            <w:tcW w:w="220" w:type="dxa"/>
            <w:vAlign w:val="bottom"/>
          </w:tcPr>
          <w:p>
            <w:pPr>
              <w:spacing w:after="0"/>
              <w:rPr>
                <w:sz w:val="16"/>
                <w:szCs w:val="16"/>
                <w:color w:val="auto"/>
              </w:rPr>
            </w:pPr>
          </w:p>
        </w:tc>
        <w:tc>
          <w:tcPr>
            <w:tcW w:w="1480" w:type="dxa"/>
            <w:vAlign w:val="bottom"/>
          </w:tcPr>
          <w:p>
            <w:pPr>
              <w:jc w:val="right"/>
              <w:ind w:right="6"/>
              <w:spacing w:after="0"/>
              <w:rPr>
                <w:sz w:val="20"/>
                <w:szCs w:val="20"/>
                <w:color w:val="auto"/>
              </w:rPr>
            </w:pPr>
            <w:r>
              <w:rPr>
                <w:rFonts w:ascii="Arial" w:cs="Arial" w:eastAsia="Arial" w:hAnsi="Arial"/>
                <w:sz w:val="15"/>
                <w:szCs w:val="15"/>
                <w:color w:val="auto"/>
              </w:rPr>
              <w:t>283,776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209,479</w:t>
            </w:r>
          </w:p>
        </w:tc>
      </w:tr>
      <w:tr>
        <w:trPr>
          <w:trHeight w:val="208"/>
        </w:trPr>
        <w:tc>
          <w:tcPr>
            <w:tcW w:w="7720" w:type="dxa"/>
            <w:vAlign w:val="bottom"/>
            <w:shd w:val="clear" w:color="auto" w:fill="CCEEFF"/>
          </w:tcPr>
          <w:p>
            <w:pPr>
              <w:ind w:left="20"/>
              <w:spacing w:after="0"/>
              <w:rPr>
                <w:sz w:val="20"/>
                <w:szCs w:val="20"/>
                <w:color w:val="auto"/>
              </w:rPr>
            </w:pPr>
            <w:r>
              <w:rPr>
                <w:rFonts w:ascii="Arial" w:cs="Arial" w:eastAsia="Arial" w:hAnsi="Arial"/>
                <w:sz w:val="15"/>
                <w:szCs w:val="15"/>
                <w:color w:val="auto"/>
              </w:rPr>
              <w:t>Deferred income taxes</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30,854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33,039</w:t>
            </w:r>
          </w:p>
        </w:tc>
      </w:tr>
      <w:tr>
        <w:trPr>
          <w:trHeight w:val="198"/>
        </w:trPr>
        <w:tc>
          <w:tcPr>
            <w:tcW w:w="7720" w:type="dxa"/>
            <w:vAlign w:val="bottom"/>
          </w:tcPr>
          <w:p>
            <w:pPr>
              <w:ind w:left="20"/>
              <w:spacing w:after="0"/>
              <w:rPr>
                <w:sz w:val="20"/>
                <w:szCs w:val="20"/>
                <w:color w:val="auto"/>
              </w:rPr>
            </w:pPr>
            <w:r>
              <w:rPr>
                <w:rFonts w:ascii="Arial" w:cs="Arial" w:eastAsia="Arial" w:hAnsi="Arial"/>
                <w:sz w:val="15"/>
                <w:szCs w:val="15"/>
                <w:color w:val="auto"/>
              </w:rPr>
              <w:t>Long-term debt</w:t>
            </w:r>
          </w:p>
        </w:tc>
        <w:tc>
          <w:tcPr>
            <w:tcW w:w="220" w:type="dxa"/>
            <w:vAlign w:val="bottom"/>
          </w:tcPr>
          <w:p>
            <w:pPr>
              <w:spacing w:after="0"/>
              <w:rPr>
                <w:sz w:val="17"/>
                <w:szCs w:val="17"/>
                <w:color w:val="auto"/>
              </w:rPr>
            </w:pPr>
          </w:p>
        </w:tc>
        <w:tc>
          <w:tcPr>
            <w:tcW w:w="1480" w:type="dxa"/>
            <w:vAlign w:val="bottom"/>
          </w:tcPr>
          <w:p>
            <w:pPr>
              <w:jc w:val="right"/>
              <w:ind w:right="6"/>
              <w:spacing w:after="0"/>
              <w:rPr>
                <w:sz w:val="20"/>
                <w:szCs w:val="20"/>
                <w:color w:val="auto"/>
              </w:rPr>
            </w:pPr>
            <w:r>
              <w:rPr>
                <w:rFonts w:ascii="Arial" w:cs="Arial" w:eastAsia="Arial" w:hAnsi="Arial"/>
                <w:sz w:val="15"/>
                <w:szCs w:val="15"/>
                <w:color w:val="auto"/>
              </w:rPr>
              <w:t>592,107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394,445</w:t>
            </w:r>
          </w:p>
        </w:tc>
      </w:tr>
      <w:tr>
        <w:trPr>
          <w:trHeight w:val="208"/>
        </w:trPr>
        <w:tc>
          <w:tcPr>
            <w:tcW w:w="772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non-current liabilities</w:t>
            </w:r>
          </w:p>
        </w:tc>
        <w:tc>
          <w:tcPr>
            <w:tcW w:w="2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94,554</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89,054</w:t>
            </w:r>
          </w:p>
        </w:tc>
      </w:tr>
      <w:tr>
        <w:trPr>
          <w:trHeight w:val="191"/>
        </w:trPr>
        <w:tc>
          <w:tcPr>
            <w:tcW w:w="7720" w:type="dxa"/>
            <w:vAlign w:val="bottom"/>
          </w:tcPr>
          <w:p>
            <w:pPr>
              <w:ind w:left="20"/>
              <w:spacing w:after="0"/>
              <w:rPr>
                <w:sz w:val="20"/>
                <w:szCs w:val="20"/>
                <w:color w:val="auto"/>
              </w:rPr>
            </w:pPr>
            <w:r>
              <w:rPr>
                <w:rFonts w:ascii="Arial" w:cs="Arial" w:eastAsia="Arial" w:hAnsi="Arial"/>
                <w:sz w:val="15"/>
                <w:szCs w:val="15"/>
                <w:b w:val="1"/>
                <w:bCs w:val="1"/>
                <w:color w:val="auto"/>
              </w:rPr>
              <w:t>Total liabilities</w:t>
            </w:r>
          </w:p>
        </w:tc>
        <w:tc>
          <w:tcPr>
            <w:tcW w:w="220" w:type="dxa"/>
            <w:vAlign w:val="bottom"/>
          </w:tcPr>
          <w:p>
            <w:pPr>
              <w:spacing w:after="0"/>
              <w:rPr>
                <w:sz w:val="16"/>
                <w:szCs w:val="16"/>
                <w:color w:val="auto"/>
              </w:rPr>
            </w:pPr>
          </w:p>
        </w:tc>
        <w:tc>
          <w:tcPr>
            <w:tcW w:w="1480" w:type="dxa"/>
            <w:vAlign w:val="bottom"/>
          </w:tcPr>
          <w:p>
            <w:pPr>
              <w:jc w:val="right"/>
              <w:ind w:right="6"/>
              <w:spacing w:after="0"/>
              <w:rPr>
                <w:sz w:val="20"/>
                <w:szCs w:val="20"/>
                <w:color w:val="auto"/>
              </w:rPr>
            </w:pPr>
            <w:r>
              <w:rPr>
                <w:rFonts w:ascii="Arial" w:cs="Arial" w:eastAsia="Arial" w:hAnsi="Arial"/>
                <w:sz w:val="15"/>
                <w:szCs w:val="15"/>
                <w:color w:val="auto"/>
              </w:rPr>
              <w:t>1,001,291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726,017</w:t>
            </w:r>
          </w:p>
        </w:tc>
      </w:tr>
      <w:tr>
        <w:trPr>
          <w:trHeight w:val="113"/>
        </w:trPr>
        <w:tc>
          <w:tcPr>
            <w:tcW w:w="77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480" w:type="dxa"/>
            <w:vAlign w:val="bottom"/>
            <w:shd w:val="clear" w:color="auto" w:fill="CCEEFF"/>
          </w:tcPr>
          <w:p>
            <w:pPr>
              <w:spacing w:after="0"/>
              <w:rPr>
                <w:sz w:val="9"/>
                <w:szCs w:val="9"/>
                <w:color w:val="auto"/>
              </w:rPr>
            </w:pPr>
          </w:p>
        </w:tc>
      </w:tr>
      <w:tr>
        <w:trPr>
          <w:trHeight w:val="198"/>
        </w:trPr>
        <w:tc>
          <w:tcPr>
            <w:tcW w:w="7720" w:type="dxa"/>
            <w:vAlign w:val="bottom"/>
          </w:tcPr>
          <w:p>
            <w:pPr>
              <w:ind w:left="20"/>
              <w:spacing w:after="0"/>
              <w:rPr>
                <w:sz w:val="20"/>
                <w:szCs w:val="20"/>
                <w:color w:val="auto"/>
              </w:rPr>
            </w:pPr>
            <w:r>
              <w:rPr>
                <w:rFonts w:ascii="Arial" w:cs="Arial" w:eastAsia="Arial" w:hAnsi="Arial"/>
                <w:sz w:val="15"/>
                <w:szCs w:val="15"/>
                <w:color w:val="auto"/>
              </w:rPr>
              <w:t>Commitments and contingencies</w:t>
            </w: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113"/>
        </w:trPr>
        <w:tc>
          <w:tcPr>
            <w:tcW w:w="77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480" w:type="dxa"/>
            <w:vAlign w:val="bottom"/>
            <w:shd w:val="clear" w:color="auto" w:fill="CCEEFF"/>
          </w:tcPr>
          <w:p>
            <w:pPr>
              <w:spacing w:after="0"/>
              <w:rPr>
                <w:sz w:val="9"/>
                <w:szCs w:val="9"/>
                <w:color w:val="auto"/>
              </w:rPr>
            </w:pPr>
          </w:p>
        </w:tc>
      </w:tr>
      <w:tr>
        <w:trPr>
          <w:trHeight w:val="199"/>
        </w:trPr>
        <w:tc>
          <w:tcPr>
            <w:tcW w:w="7720" w:type="dxa"/>
            <w:vAlign w:val="bottom"/>
          </w:tcPr>
          <w:p>
            <w:pPr>
              <w:ind w:left="20"/>
              <w:spacing w:after="0"/>
              <w:rPr>
                <w:sz w:val="20"/>
                <w:szCs w:val="20"/>
                <w:color w:val="auto"/>
              </w:rPr>
            </w:pPr>
            <w:r>
              <w:rPr>
                <w:rFonts w:ascii="Arial" w:cs="Arial" w:eastAsia="Arial" w:hAnsi="Arial"/>
                <w:sz w:val="15"/>
                <w:szCs w:val="15"/>
                <w:b w:val="1"/>
                <w:bCs w:val="1"/>
                <w:color w:val="auto"/>
              </w:rPr>
              <w:t>Stockholders’ equity</w:t>
            </w: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166"/>
        </w:trPr>
        <w:tc>
          <w:tcPr>
            <w:tcW w:w="7720" w:type="dxa"/>
            <w:vAlign w:val="bottom"/>
            <w:shd w:val="clear" w:color="auto" w:fill="CCEEFF"/>
          </w:tcPr>
          <w:p>
            <w:pPr>
              <w:ind w:left="20"/>
              <w:spacing w:after="0" w:line="166" w:lineRule="exact"/>
              <w:rPr>
                <w:sz w:val="20"/>
                <w:szCs w:val="20"/>
                <w:color w:val="auto"/>
              </w:rPr>
            </w:pPr>
            <w:r>
              <w:rPr>
                <w:rFonts w:ascii="Arial" w:cs="Arial" w:eastAsia="Arial" w:hAnsi="Arial"/>
                <w:sz w:val="15"/>
                <w:szCs w:val="15"/>
                <w:color w:val="auto"/>
              </w:rPr>
              <w:t>Trust preferred shares, 50,000 authorized; 12,600 shares issued and outstanding at September 30, 2020 and</w:t>
            </w:r>
          </w:p>
        </w:tc>
        <w:tc>
          <w:tcPr>
            <w:tcW w:w="22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r>
      <w:tr>
        <w:trPr>
          <w:trHeight w:val="188"/>
        </w:trPr>
        <w:tc>
          <w:tcPr>
            <w:tcW w:w="7720" w:type="dxa"/>
            <w:vAlign w:val="bottom"/>
            <w:shd w:val="clear" w:color="auto" w:fill="CCEEFF"/>
          </w:tcPr>
          <w:p>
            <w:pPr>
              <w:ind w:left="20"/>
              <w:spacing w:after="0"/>
              <w:rPr>
                <w:sz w:val="20"/>
                <w:szCs w:val="20"/>
                <w:color w:val="auto"/>
              </w:rPr>
            </w:pPr>
            <w:r>
              <w:rPr>
                <w:rFonts w:ascii="Arial" w:cs="Arial" w:eastAsia="Arial" w:hAnsi="Arial"/>
                <w:sz w:val="15"/>
                <w:szCs w:val="15"/>
                <w:color w:val="auto"/>
              </w:rPr>
              <w:t>December 31, 2019</w:t>
            </w:r>
          </w:p>
        </w:tc>
        <w:tc>
          <w:tcPr>
            <w:tcW w:w="2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r>
      <w:tr>
        <w:trPr>
          <w:trHeight w:val="163"/>
        </w:trPr>
        <w:tc>
          <w:tcPr>
            <w:tcW w:w="7720" w:type="dxa"/>
            <w:vAlign w:val="bottom"/>
          </w:tcPr>
          <w:p>
            <w:pPr>
              <w:ind w:left="20"/>
              <w:spacing w:after="0" w:line="163" w:lineRule="exact"/>
              <w:rPr>
                <w:sz w:val="20"/>
                <w:szCs w:val="20"/>
                <w:color w:val="auto"/>
              </w:rPr>
            </w:pPr>
            <w:r>
              <w:rPr>
                <w:rFonts w:ascii="Arial" w:cs="Arial" w:eastAsia="Arial" w:hAnsi="Arial"/>
                <w:sz w:val="15"/>
                <w:szCs w:val="15"/>
                <w:color w:val="auto"/>
              </w:rPr>
              <w:t>Series A preferred shares, no par value; 4,000 shares issued and outstanding at September 30, 2020 and</w:t>
            </w:r>
          </w:p>
        </w:tc>
        <w:tc>
          <w:tcPr>
            <w:tcW w:w="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83"/>
        </w:trPr>
        <w:tc>
          <w:tcPr>
            <w:tcW w:w="7720" w:type="dxa"/>
            <w:vAlign w:val="bottom"/>
          </w:tcPr>
          <w:p>
            <w:pPr>
              <w:ind w:left="20"/>
              <w:spacing w:after="0"/>
              <w:rPr>
                <w:sz w:val="20"/>
                <w:szCs w:val="20"/>
                <w:color w:val="auto"/>
              </w:rPr>
            </w:pPr>
            <w:r>
              <w:rPr>
                <w:rFonts w:ascii="Arial" w:cs="Arial" w:eastAsia="Arial" w:hAnsi="Arial"/>
                <w:sz w:val="15"/>
                <w:szCs w:val="15"/>
                <w:color w:val="auto"/>
              </w:rPr>
              <w:t>December 31, 2019</w:t>
            </w:r>
          </w:p>
        </w:tc>
        <w:tc>
          <w:tcPr>
            <w:tcW w:w="220" w:type="dxa"/>
            <w:vAlign w:val="bottom"/>
          </w:tcPr>
          <w:p>
            <w:pPr>
              <w:spacing w:after="0"/>
              <w:rPr>
                <w:sz w:val="15"/>
                <w:szCs w:val="15"/>
                <w:color w:val="auto"/>
              </w:rPr>
            </w:pPr>
          </w:p>
        </w:tc>
        <w:tc>
          <w:tcPr>
            <w:tcW w:w="1480" w:type="dxa"/>
            <w:vAlign w:val="bottom"/>
          </w:tcPr>
          <w:p>
            <w:pPr>
              <w:jc w:val="right"/>
              <w:ind w:right="6"/>
              <w:spacing w:after="0"/>
              <w:rPr>
                <w:sz w:val="20"/>
                <w:szCs w:val="20"/>
                <w:color w:val="auto"/>
              </w:rPr>
            </w:pPr>
            <w:r>
              <w:rPr>
                <w:rFonts w:ascii="Arial" w:cs="Arial" w:eastAsia="Arial" w:hAnsi="Arial"/>
                <w:sz w:val="15"/>
                <w:szCs w:val="15"/>
                <w:color w:val="auto"/>
              </w:rPr>
              <w:t>96,417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96,417</w:t>
            </w:r>
          </w:p>
        </w:tc>
      </w:tr>
      <w:tr>
        <w:trPr>
          <w:trHeight w:val="168"/>
        </w:trPr>
        <w:tc>
          <w:tcPr>
            <w:tcW w:w="7720" w:type="dxa"/>
            <w:vAlign w:val="bottom"/>
            <w:shd w:val="clear" w:color="auto" w:fill="CCEEFF"/>
          </w:tcPr>
          <w:p>
            <w:pPr>
              <w:ind w:left="20"/>
              <w:spacing w:after="0" w:line="168" w:lineRule="exact"/>
              <w:rPr>
                <w:sz w:val="20"/>
                <w:szCs w:val="20"/>
                <w:color w:val="auto"/>
              </w:rPr>
            </w:pPr>
            <w:r>
              <w:rPr>
                <w:rFonts w:ascii="Arial" w:cs="Arial" w:eastAsia="Arial" w:hAnsi="Arial"/>
                <w:sz w:val="15"/>
                <w:szCs w:val="15"/>
                <w:color w:val="auto"/>
              </w:rPr>
              <w:t>Series B preferred shares, no par value; 4,000 shares issued and outstanding at September 30, 2020 and</w:t>
            </w:r>
          </w:p>
        </w:tc>
        <w:tc>
          <w:tcPr>
            <w:tcW w:w="22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r>
      <w:tr>
        <w:trPr>
          <w:trHeight w:val="188"/>
        </w:trPr>
        <w:tc>
          <w:tcPr>
            <w:tcW w:w="7720" w:type="dxa"/>
            <w:vAlign w:val="bottom"/>
            <w:shd w:val="clear" w:color="auto" w:fill="CCEEFF"/>
          </w:tcPr>
          <w:p>
            <w:pPr>
              <w:ind w:left="20"/>
              <w:spacing w:after="0"/>
              <w:rPr>
                <w:sz w:val="20"/>
                <w:szCs w:val="20"/>
                <w:color w:val="auto"/>
              </w:rPr>
            </w:pPr>
            <w:r>
              <w:rPr>
                <w:rFonts w:ascii="Arial" w:cs="Arial" w:eastAsia="Arial" w:hAnsi="Arial"/>
                <w:sz w:val="15"/>
                <w:szCs w:val="15"/>
                <w:color w:val="auto"/>
              </w:rPr>
              <w:t>December 31, 2019</w:t>
            </w:r>
          </w:p>
        </w:tc>
        <w:tc>
          <w:tcPr>
            <w:tcW w:w="220" w:type="dxa"/>
            <w:vAlign w:val="bottom"/>
            <w:shd w:val="clear" w:color="auto" w:fill="CCEEFF"/>
          </w:tcPr>
          <w:p>
            <w:pPr>
              <w:spacing w:after="0"/>
              <w:rPr>
                <w:sz w:val="16"/>
                <w:szCs w:val="16"/>
                <w:color w:val="auto"/>
              </w:rPr>
            </w:pPr>
          </w:p>
        </w:tc>
        <w:tc>
          <w:tcPr>
            <w:tcW w:w="148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96,504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96,504</w:t>
            </w:r>
          </w:p>
        </w:tc>
      </w:tr>
      <w:tr>
        <w:trPr>
          <w:trHeight w:val="163"/>
        </w:trPr>
        <w:tc>
          <w:tcPr>
            <w:tcW w:w="7720" w:type="dxa"/>
            <w:vAlign w:val="bottom"/>
          </w:tcPr>
          <w:p>
            <w:pPr>
              <w:ind w:left="20"/>
              <w:spacing w:after="0" w:line="163" w:lineRule="exact"/>
              <w:rPr>
                <w:sz w:val="20"/>
                <w:szCs w:val="20"/>
                <w:color w:val="auto"/>
              </w:rPr>
            </w:pPr>
            <w:r>
              <w:rPr>
                <w:rFonts w:ascii="Arial" w:cs="Arial" w:eastAsia="Arial" w:hAnsi="Arial"/>
                <w:sz w:val="15"/>
                <w:szCs w:val="15"/>
                <w:color w:val="auto"/>
              </w:rPr>
              <w:t>Series C preferred shares, no par value; 4,600 shares issued and outstanding at September 30, 2020 and</w:t>
            </w:r>
          </w:p>
        </w:tc>
        <w:tc>
          <w:tcPr>
            <w:tcW w:w="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83"/>
        </w:trPr>
        <w:tc>
          <w:tcPr>
            <w:tcW w:w="7720" w:type="dxa"/>
            <w:vAlign w:val="bottom"/>
          </w:tcPr>
          <w:p>
            <w:pPr>
              <w:ind w:left="20"/>
              <w:spacing w:after="0"/>
              <w:rPr>
                <w:sz w:val="20"/>
                <w:szCs w:val="20"/>
                <w:color w:val="auto"/>
              </w:rPr>
            </w:pPr>
            <w:r>
              <w:rPr>
                <w:rFonts w:ascii="Arial" w:cs="Arial" w:eastAsia="Arial" w:hAnsi="Arial"/>
                <w:sz w:val="15"/>
                <w:szCs w:val="15"/>
                <w:color w:val="auto"/>
              </w:rPr>
              <w:t>December 31, 2019</w:t>
            </w:r>
          </w:p>
        </w:tc>
        <w:tc>
          <w:tcPr>
            <w:tcW w:w="220" w:type="dxa"/>
            <w:vAlign w:val="bottom"/>
          </w:tcPr>
          <w:p>
            <w:pPr>
              <w:spacing w:after="0"/>
              <w:rPr>
                <w:sz w:val="15"/>
                <w:szCs w:val="15"/>
                <w:color w:val="auto"/>
              </w:rPr>
            </w:pPr>
          </w:p>
        </w:tc>
        <w:tc>
          <w:tcPr>
            <w:tcW w:w="1480" w:type="dxa"/>
            <w:vAlign w:val="bottom"/>
          </w:tcPr>
          <w:p>
            <w:pPr>
              <w:jc w:val="right"/>
              <w:ind w:right="6"/>
              <w:spacing w:after="0"/>
              <w:rPr>
                <w:sz w:val="20"/>
                <w:szCs w:val="20"/>
                <w:color w:val="auto"/>
              </w:rPr>
            </w:pPr>
            <w:r>
              <w:rPr>
                <w:rFonts w:ascii="Arial" w:cs="Arial" w:eastAsia="Arial" w:hAnsi="Arial"/>
                <w:sz w:val="15"/>
                <w:szCs w:val="15"/>
                <w:color w:val="auto"/>
              </w:rPr>
              <w:t>110,997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110,997</w:t>
            </w:r>
          </w:p>
        </w:tc>
      </w:tr>
      <w:tr>
        <w:trPr>
          <w:trHeight w:val="168"/>
        </w:trPr>
        <w:tc>
          <w:tcPr>
            <w:tcW w:w="7720" w:type="dxa"/>
            <w:vAlign w:val="bottom"/>
            <w:shd w:val="clear" w:color="auto" w:fill="CCEEFF"/>
          </w:tcPr>
          <w:p>
            <w:pPr>
              <w:ind w:left="20"/>
              <w:spacing w:after="0" w:line="168" w:lineRule="exact"/>
              <w:rPr>
                <w:sz w:val="20"/>
                <w:szCs w:val="20"/>
                <w:color w:val="auto"/>
              </w:rPr>
            </w:pPr>
            <w:r>
              <w:rPr>
                <w:rFonts w:ascii="Arial" w:cs="Arial" w:eastAsia="Arial" w:hAnsi="Arial"/>
                <w:sz w:val="15"/>
                <w:szCs w:val="15"/>
                <w:color w:val="auto"/>
              </w:rPr>
              <w:t>Trust common shares, no par value, 500,000 authorized; 64,900 shares issued and outstanding at September 30,</w:t>
            </w:r>
          </w:p>
        </w:tc>
        <w:tc>
          <w:tcPr>
            <w:tcW w:w="22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r>
      <w:tr>
        <w:trPr>
          <w:trHeight w:val="188"/>
        </w:trPr>
        <w:tc>
          <w:tcPr>
            <w:tcW w:w="7720" w:type="dxa"/>
            <w:vAlign w:val="bottom"/>
            <w:shd w:val="clear" w:color="auto" w:fill="CCEEFF"/>
          </w:tcPr>
          <w:p>
            <w:pPr>
              <w:ind w:left="20"/>
              <w:spacing w:after="0"/>
              <w:rPr>
                <w:sz w:val="20"/>
                <w:szCs w:val="20"/>
                <w:color w:val="auto"/>
              </w:rPr>
            </w:pPr>
            <w:r>
              <w:rPr>
                <w:rFonts w:ascii="Arial" w:cs="Arial" w:eastAsia="Arial" w:hAnsi="Arial"/>
                <w:sz w:val="15"/>
                <w:szCs w:val="15"/>
                <w:color w:val="auto"/>
              </w:rPr>
              <w:t>2020 and 59,900 shares issued and outstanding at December 31, 2019</w:t>
            </w:r>
          </w:p>
        </w:tc>
        <w:tc>
          <w:tcPr>
            <w:tcW w:w="220" w:type="dxa"/>
            <w:vAlign w:val="bottom"/>
            <w:shd w:val="clear" w:color="auto" w:fill="CCEEFF"/>
          </w:tcPr>
          <w:p>
            <w:pPr>
              <w:spacing w:after="0"/>
              <w:rPr>
                <w:sz w:val="16"/>
                <w:szCs w:val="16"/>
                <w:color w:val="auto"/>
              </w:rPr>
            </w:pPr>
          </w:p>
        </w:tc>
        <w:tc>
          <w:tcPr>
            <w:tcW w:w="148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1,008,564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924,680</w:t>
            </w:r>
          </w:p>
        </w:tc>
      </w:tr>
      <w:tr>
        <w:trPr>
          <w:trHeight w:val="198"/>
        </w:trPr>
        <w:tc>
          <w:tcPr>
            <w:tcW w:w="7720" w:type="dxa"/>
            <w:vAlign w:val="bottom"/>
          </w:tcPr>
          <w:p>
            <w:pPr>
              <w:ind w:left="20"/>
              <w:spacing w:after="0"/>
              <w:rPr>
                <w:sz w:val="20"/>
                <w:szCs w:val="20"/>
                <w:color w:val="auto"/>
              </w:rPr>
            </w:pPr>
            <w:r>
              <w:rPr>
                <w:rFonts w:ascii="Arial" w:cs="Arial" w:eastAsia="Arial" w:hAnsi="Arial"/>
                <w:sz w:val="15"/>
                <w:szCs w:val="15"/>
                <w:color w:val="auto"/>
              </w:rPr>
              <w:t>Accumulated other comprehensive loss</w:t>
            </w:r>
          </w:p>
        </w:tc>
        <w:tc>
          <w:tcPr>
            <w:tcW w:w="2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(4,447)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(3,933)</w:t>
            </w:r>
          </w:p>
        </w:tc>
      </w:tr>
      <w:tr>
        <w:trPr>
          <w:trHeight w:val="208"/>
        </w:trPr>
        <w:tc>
          <w:tcPr>
            <w:tcW w:w="7720" w:type="dxa"/>
            <w:vAlign w:val="bottom"/>
            <w:shd w:val="clear" w:color="auto" w:fill="CCEEFF"/>
          </w:tcPr>
          <w:p>
            <w:pPr>
              <w:ind w:left="20"/>
              <w:spacing w:after="0"/>
              <w:rPr>
                <w:sz w:val="20"/>
                <w:szCs w:val="20"/>
                <w:color w:val="auto"/>
              </w:rPr>
            </w:pPr>
            <w:r>
              <w:rPr>
                <w:rFonts w:ascii="Arial" w:cs="Arial" w:eastAsia="Arial" w:hAnsi="Arial"/>
                <w:sz w:val="15"/>
                <w:szCs w:val="15"/>
                <w:color w:val="auto"/>
              </w:rPr>
              <w:t>Accumulated deficit</w:t>
            </w:r>
          </w:p>
        </w:tc>
        <w:tc>
          <w:tcPr>
            <w:tcW w:w="2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(188,136)</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(109,338)</w:t>
            </w:r>
          </w:p>
        </w:tc>
      </w:tr>
      <w:tr>
        <w:trPr>
          <w:trHeight w:val="191"/>
        </w:trPr>
        <w:tc>
          <w:tcPr>
            <w:tcW w:w="7720" w:type="dxa"/>
            <w:vAlign w:val="bottom"/>
          </w:tcPr>
          <w:p>
            <w:pPr>
              <w:ind w:left="340"/>
              <w:spacing w:after="0"/>
              <w:rPr>
                <w:sz w:val="20"/>
                <w:szCs w:val="20"/>
                <w:color w:val="auto"/>
              </w:rPr>
            </w:pPr>
            <w:r>
              <w:rPr>
                <w:rFonts w:ascii="Arial" w:cs="Arial" w:eastAsia="Arial" w:hAnsi="Arial"/>
                <w:sz w:val="15"/>
                <w:szCs w:val="15"/>
                <w:color w:val="auto"/>
              </w:rPr>
              <w:t>Total stockholders’ equity attributable to Holdings</w:t>
            </w:r>
          </w:p>
        </w:tc>
        <w:tc>
          <w:tcPr>
            <w:tcW w:w="220" w:type="dxa"/>
            <w:vAlign w:val="bottom"/>
          </w:tcPr>
          <w:p>
            <w:pPr>
              <w:spacing w:after="0"/>
              <w:rPr>
                <w:sz w:val="16"/>
                <w:szCs w:val="16"/>
                <w:color w:val="auto"/>
              </w:rPr>
            </w:pPr>
          </w:p>
        </w:tc>
        <w:tc>
          <w:tcPr>
            <w:tcW w:w="1480" w:type="dxa"/>
            <w:vAlign w:val="bottom"/>
          </w:tcPr>
          <w:p>
            <w:pPr>
              <w:jc w:val="right"/>
              <w:ind w:right="6"/>
              <w:spacing w:after="0"/>
              <w:rPr>
                <w:sz w:val="20"/>
                <w:szCs w:val="20"/>
                <w:color w:val="auto"/>
              </w:rPr>
            </w:pPr>
            <w:r>
              <w:rPr>
                <w:rFonts w:ascii="Arial" w:cs="Arial" w:eastAsia="Arial" w:hAnsi="Arial"/>
                <w:sz w:val="15"/>
                <w:szCs w:val="15"/>
                <w:color w:val="auto"/>
              </w:rPr>
              <w:t>1,119,899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1,115,327</w:t>
            </w:r>
          </w:p>
        </w:tc>
      </w:tr>
      <w:tr>
        <w:trPr>
          <w:trHeight w:val="207"/>
        </w:trPr>
        <w:tc>
          <w:tcPr>
            <w:tcW w:w="7720" w:type="dxa"/>
            <w:vAlign w:val="bottom"/>
            <w:shd w:val="clear" w:color="auto" w:fill="CCEEFF"/>
          </w:tcPr>
          <w:p>
            <w:pPr>
              <w:ind w:left="20"/>
              <w:spacing w:after="0"/>
              <w:rPr>
                <w:sz w:val="20"/>
                <w:szCs w:val="20"/>
                <w:color w:val="auto"/>
              </w:rPr>
            </w:pPr>
            <w:r>
              <w:rPr>
                <w:rFonts w:ascii="Arial" w:cs="Arial" w:eastAsia="Arial" w:hAnsi="Arial"/>
                <w:sz w:val="15"/>
                <w:szCs w:val="15"/>
                <w:color w:val="auto"/>
              </w:rPr>
              <w:t>Noncontrolling interest</w:t>
            </w:r>
          </w:p>
        </w:tc>
        <w:tc>
          <w:tcPr>
            <w:tcW w:w="2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70,794</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50,548</w:t>
            </w:r>
          </w:p>
        </w:tc>
      </w:tr>
      <w:tr>
        <w:trPr>
          <w:trHeight w:val="191"/>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Total stockholders’ equity</w:t>
            </w:r>
          </w:p>
        </w:tc>
        <w:tc>
          <w:tcPr>
            <w:tcW w:w="2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1,190,693</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1,165,875</w:t>
            </w:r>
          </w:p>
        </w:tc>
      </w:tr>
      <w:tr>
        <w:trPr>
          <w:trHeight w:val="221"/>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Total liabilities and stockholders’ equity</w:t>
            </w:r>
          </w:p>
        </w:tc>
        <w:tc>
          <w:tcPr>
            <w:tcW w:w="22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95"/>
              </w:rPr>
              <w:t>$</w:t>
            </w:r>
          </w:p>
        </w:tc>
        <w:tc>
          <w:tcPr>
            <w:tcW w:w="14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2,191,984</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w w:val="95"/>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1,891,892</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5"/>
          <w:szCs w:val="15"/>
          <w:b w:val="1"/>
          <w:bCs w:val="1"/>
          <w:color w:val="auto"/>
        </w:rPr>
        <w:t>COMPASS DIVERSIFIED HOLDINGS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CONDENSED CONSOLIDATED STATEMENTS OF OPERATIONS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40" w:type="dxa"/>
            <w:vAlign w:val="bottom"/>
            <w:gridSpan w:val="5"/>
          </w:tcPr>
          <w:p>
            <w:pPr>
              <w:jc w:val="center"/>
              <w:ind w:right="380"/>
              <w:spacing w:after="0"/>
              <w:rPr>
                <w:sz w:val="20"/>
                <w:szCs w:val="20"/>
                <w:color w:val="auto"/>
              </w:rPr>
            </w:pPr>
            <w:r>
              <w:rPr>
                <w:rFonts w:ascii="Arial" w:cs="Arial" w:eastAsia="Arial" w:hAnsi="Arial"/>
                <w:sz w:val="15"/>
                <w:szCs w:val="15"/>
                <w:b w:val="1"/>
                <w:bCs w:val="1"/>
                <w:color w:val="auto"/>
              </w:rPr>
              <w:t>Three months ended</w:t>
            </w:r>
          </w:p>
        </w:tc>
        <w:tc>
          <w:tcPr>
            <w:tcW w:w="240" w:type="dxa"/>
            <w:vAlign w:val="bottom"/>
          </w:tcPr>
          <w:p>
            <w:pPr>
              <w:spacing w:after="0"/>
              <w:rPr>
                <w:sz w:val="14"/>
                <w:szCs w:val="14"/>
                <w:color w:val="auto"/>
              </w:rPr>
            </w:pPr>
          </w:p>
        </w:tc>
        <w:tc>
          <w:tcPr>
            <w:tcW w:w="2400" w:type="dxa"/>
            <w:vAlign w:val="bottom"/>
            <w:gridSpan w:val="4"/>
          </w:tcPr>
          <w:p>
            <w:pPr>
              <w:jc w:val="center"/>
              <w:ind w:right="224"/>
              <w:spacing w:after="0"/>
              <w:rPr>
                <w:sz w:val="20"/>
                <w:szCs w:val="20"/>
                <w:color w:val="auto"/>
              </w:rPr>
            </w:pPr>
            <w:r>
              <w:rPr>
                <w:rFonts w:ascii="Arial" w:cs="Arial" w:eastAsia="Arial" w:hAnsi="Arial"/>
                <w:sz w:val="15"/>
                <w:szCs w:val="15"/>
                <w:b w:val="1"/>
                <w:bCs w:val="1"/>
                <w:color w:val="auto"/>
              </w:rPr>
              <w:t>Nine months ended</w:t>
            </w:r>
          </w:p>
        </w:tc>
        <w:tc>
          <w:tcPr>
            <w:tcW w:w="0" w:type="dxa"/>
            <w:vAlign w:val="bottom"/>
          </w:tcPr>
          <w:p>
            <w:pPr>
              <w:spacing w:after="0"/>
              <w:rPr>
                <w:sz w:val="1"/>
                <w:szCs w:val="1"/>
                <w:color w:val="auto"/>
              </w:rPr>
            </w:pPr>
          </w:p>
        </w:tc>
      </w:tr>
      <w:tr>
        <w:trPr>
          <w:trHeight w:val="202"/>
        </w:trPr>
        <w:tc>
          <w:tcPr>
            <w:tcW w:w="6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40" w:type="dxa"/>
            <w:vAlign w:val="bottom"/>
            <w:gridSpan w:val="5"/>
          </w:tcPr>
          <w:p>
            <w:pPr>
              <w:ind w:left="460"/>
              <w:spacing w:after="0"/>
              <w:rPr>
                <w:sz w:val="20"/>
                <w:szCs w:val="20"/>
                <w:color w:val="auto"/>
              </w:rPr>
            </w:pPr>
            <w:r>
              <w:rPr>
                <w:rFonts w:ascii="Arial" w:cs="Arial" w:eastAsia="Arial" w:hAnsi="Arial"/>
                <w:sz w:val="15"/>
                <w:szCs w:val="15"/>
                <w:b w:val="1"/>
                <w:bCs w:val="1"/>
                <w:color w:val="auto"/>
              </w:rPr>
              <w:t>September 30,</w:t>
            </w:r>
          </w:p>
        </w:tc>
        <w:tc>
          <w:tcPr>
            <w:tcW w:w="240" w:type="dxa"/>
            <w:vAlign w:val="bottom"/>
          </w:tcPr>
          <w:p>
            <w:pPr>
              <w:spacing w:after="0"/>
              <w:rPr>
                <w:sz w:val="17"/>
                <w:szCs w:val="17"/>
                <w:color w:val="auto"/>
              </w:rPr>
            </w:pPr>
          </w:p>
        </w:tc>
        <w:tc>
          <w:tcPr>
            <w:tcW w:w="2400" w:type="dxa"/>
            <w:vAlign w:val="bottom"/>
            <w:gridSpan w:val="4"/>
          </w:tcPr>
          <w:p>
            <w:pPr>
              <w:jc w:val="right"/>
              <w:ind w:right="704"/>
              <w:spacing w:after="0"/>
              <w:rPr>
                <w:sz w:val="20"/>
                <w:szCs w:val="20"/>
                <w:color w:val="auto"/>
              </w:rPr>
            </w:pPr>
            <w:r>
              <w:rPr>
                <w:rFonts w:ascii="Arial" w:cs="Arial" w:eastAsia="Arial" w:hAnsi="Arial"/>
                <w:sz w:val="15"/>
                <w:szCs w:val="15"/>
                <w:b w:val="1"/>
                <w:bCs w:val="1"/>
                <w:color w:val="auto"/>
              </w:rPr>
              <w:t>September 30,</w:t>
            </w:r>
          </w:p>
        </w:tc>
        <w:tc>
          <w:tcPr>
            <w:tcW w:w="0" w:type="dxa"/>
            <w:vAlign w:val="bottom"/>
          </w:tcPr>
          <w:p>
            <w:pPr>
              <w:spacing w:after="0"/>
              <w:rPr>
                <w:sz w:val="1"/>
                <w:szCs w:val="1"/>
                <w:color w:val="auto"/>
              </w:rPr>
            </w:pPr>
          </w:p>
        </w:tc>
      </w:tr>
      <w:tr>
        <w:trPr>
          <w:trHeight w:val="196"/>
        </w:trPr>
        <w:tc>
          <w:tcPr>
            <w:tcW w:w="61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per share data)</w:t>
            </w:r>
          </w:p>
        </w:tc>
        <w:tc>
          <w:tcPr>
            <w:tcW w:w="20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243"/>
              <w:spacing w:after="0"/>
              <w:rPr>
                <w:sz w:val="20"/>
                <w:szCs w:val="20"/>
                <w:color w:val="auto"/>
              </w:rPr>
            </w:pPr>
            <w:r>
              <w:rPr>
                <w:rFonts w:ascii="Arial" w:cs="Arial" w:eastAsia="Arial" w:hAnsi="Arial"/>
                <w:sz w:val="15"/>
                <w:szCs w:val="15"/>
                <w:b w:val="1"/>
                <w:bCs w:val="1"/>
                <w:color w:val="auto"/>
              </w:rPr>
              <w:t>2020</w:t>
            </w:r>
          </w:p>
        </w:tc>
        <w:tc>
          <w:tcPr>
            <w:tcW w:w="12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84"/>
              <w:spacing w:after="0"/>
              <w:rPr>
                <w:sz w:val="20"/>
                <w:szCs w:val="20"/>
                <w:color w:val="auto"/>
              </w:rPr>
            </w:pPr>
            <w:r>
              <w:rPr>
                <w:rFonts w:ascii="Arial" w:cs="Arial" w:eastAsia="Arial" w:hAnsi="Arial"/>
                <w:sz w:val="15"/>
                <w:szCs w:val="15"/>
                <w:b w:val="1"/>
                <w:bCs w:val="1"/>
                <w:color w:val="auto"/>
              </w:rPr>
              <w:t>2019</w:t>
            </w:r>
          </w:p>
        </w:tc>
        <w:tc>
          <w:tcPr>
            <w:tcW w:w="12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24"/>
              <w:spacing w:after="0"/>
              <w:rPr>
                <w:sz w:val="20"/>
                <w:szCs w:val="20"/>
                <w:color w:val="auto"/>
              </w:rPr>
            </w:pPr>
            <w:r>
              <w:rPr>
                <w:rFonts w:ascii="Arial" w:cs="Arial" w:eastAsia="Arial" w:hAnsi="Arial"/>
                <w:sz w:val="15"/>
                <w:szCs w:val="15"/>
                <w:b w:val="1"/>
                <w:bCs w:val="1"/>
                <w:color w:val="auto"/>
              </w:rPr>
              <w:t>2020</w:t>
            </w:r>
          </w:p>
        </w:tc>
        <w:tc>
          <w:tcPr>
            <w:tcW w:w="10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44"/>
              <w:spacing w:after="0"/>
              <w:rPr>
                <w:sz w:val="20"/>
                <w:szCs w:val="20"/>
                <w:color w:val="auto"/>
              </w:rPr>
            </w:pPr>
            <w:r>
              <w:rPr>
                <w:rFonts w:ascii="Arial" w:cs="Arial" w:eastAsia="Arial" w:hAnsi="Arial"/>
                <w:sz w:val="15"/>
                <w:szCs w:val="15"/>
                <w:b w:val="1"/>
                <w:bCs w:val="1"/>
                <w:color w:val="auto"/>
              </w:rPr>
              <w:t>2019</w:t>
            </w:r>
          </w:p>
        </w:tc>
        <w:tc>
          <w:tcPr>
            <w:tcW w:w="0" w:type="dxa"/>
            <w:vAlign w:val="bottom"/>
          </w:tcPr>
          <w:p>
            <w:pPr>
              <w:spacing w:after="0"/>
              <w:rPr>
                <w:sz w:val="1"/>
                <w:szCs w:val="1"/>
                <w:color w:val="auto"/>
              </w:rPr>
            </w:pPr>
          </w:p>
        </w:tc>
      </w:tr>
      <w:tr>
        <w:trPr>
          <w:trHeight w:val="196"/>
        </w:trPr>
        <w:tc>
          <w:tcPr>
            <w:tcW w:w="616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revenues</w:t>
            </w: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418,903</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center"/>
              <w:ind w:right="104"/>
              <w:spacing w:after="0"/>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388,313</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1,085,979</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center"/>
              <w:ind w:right="104"/>
              <w:spacing w:after="0"/>
              <w:rPr>
                <w:sz w:val="20"/>
                <w:szCs w:val="20"/>
                <w:color w:val="auto"/>
              </w:rPr>
            </w:pPr>
            <w:r>
              <w:rPr>
                <w:rFonts w:ascii="Arial" w:cs="Arial" w:eastAsia="Arial" w:hAnsi="Arial"/>
                <w:sz w:val="15"/>
                <w:szCs w:val="15"/>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1,063,254</w:t>
            </w:r>
          </w:p>
        </w:tc>
        <w:tc>
          <w:tcPr>
            <w:tcW w:w="0" w:type="dxa"/>
            <w:vAlign w:val="bottom"/>
          </w:tcPr>
          <w:p>
            <w:pPr>
              <w:spacing w:after="0"/>
              <w:rPr>
                <w:sz w:val="1"/>
                <w:szCs w:val="1"/>
                <w:color w:val="auto"/>
              </w:rPr>
            </w:pPr>
          </w:p>
        </w:tc>
      </w:tr>
      <w:tr>
        <w:trPr>
          <w:trHeight w:val="198"/>
        </w:trPr>
        <w:tc>
          <w:tcPr>
            <w:tcW w:w="61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Cost of revenues</w:t>
            </w: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265,119</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251,778</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695,304</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684,601</w:t>
            </w:r>
          </w:p>
        </w:tc>
        <w:tc>
          <w:tcPr>
            <w:tcW w:w="0" w:type="dxa"/>
            <w:vAlign w:val="bottom"/>
          </w:tcPr>
          <w:p>
            <w:pPr>
              <w:spacing w:after="0"/>
              <w:rPr>
                <w:sz w:val="1"/>
                <w:szCs w:val="1"/>
                <w:color w:val="auto"/>
              </w:rPr>
            </w:pPr>
          </w:p>
        </w:tc>
      </w:tr>
      <w:tr>
        <w:trPr>
          <w:trHeight w:val="200"/>
        </w:trPr>
        <w:tc>
          <w:tcPr>
            <w:tcW w:w="61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Gross profit</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153,784</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136,535</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390,675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378,653</w:t>
            </w:r>
          </w:p>
        </w:tc>
        <w:tc>
          <w:tcPr>
            <w:tcW w:w="0" w:type="dxa"/>
            <w:vAlign w:val="bottom"/>
          </w:tcPr>
          <w:p>
            <w:pPr>
              <w:spacing w:after="0"/>
              <w:rPr>
                <w:sz w:val="1"/>
                <w:szCs w:val="1"/>
                <w:color w:val="auto"/>
              </w:rPr>
            </w:pPr>
          </w:p>
        </w:tc>
      </w:tr>
      <w:tr>
        <w:trPr>
          <w:trHeight w:val="198"/>
        </w:trPr>
        <w:tc>
          <w:tcPr>
            <w:tcW w:w="6160" w:type="dxa"/>
            <w:vAlign w:val="bottom"/>
          </w:tcPr>
          <w:p>
            <w:pPr>
              <w:ind w:left="20"/>
              <w:spacing w:after="0"/>
              <w:rPr>
                <w:sz w:val="20"/>
                <w:szCs w:val="20"/>
                <w:color w:val="auto"/>
              </w:rPr>
            </w:pPr>
            <w:r>
              <w:rPr>
                <w:rFonts w:ascii="Arial" w:cs="Arial" w:eastAsia="Arial" w:hAnsi="Arial"/>
                <w:sz w:val="15"/>
                <w:szCs w:val="15"/>
                <w:color w:val="auto"/>
              </w:rPr>
              <w:t>Operating expenses:</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160" w:type="dxa"/>
            <w:vAlign w:val="bottom"/>
            <w:shd w:val="clear" w:color="auto" w:fill="CCEEFF"/>
          </w:tcPr>
          <w:p>
            <w:pPr>
              <w:ind w:left="340"/>
              <w:spacing w:after="0"/>
              <w:rPr>
                <w:sz w:val="20"/>
                <w:szCs w:val="20"/>
                <w:color w:val="auto"/>
              </w:rPr>
            </w:pPr>
            <w:r>
              <w:rPr>
                <w:rFonts w:ascii="Arial" w:cs="Arial" w:eastAsia="Arial" w:hAnsi="Arial"/>
                <w:sz w:val="15"/>
                <w:szCs w:val="15"/>
                <w:color w:val="auto"/>
              </w:rPr>
              <w:t>Selling, general and administrative expense</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93,036</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82,027</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260,850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243,736</w:t>
            </w:r>
          </w:p>
        </w:tc>
        <w:tc>
          <w:tcPr>
            <w:tcW w:w="0" w:type="dxa"/>
            <w:vAlign w:val="bottom"/>
          </w:tcPr>
          <w:p>
            <w:pPr>
              <w:spacing w:after="0"/>
              <w:rPr>
                <w:sz w:val="1"/>
                <w:szCs w:val="1"/>
                <w:color w:val="auto"/>
              </w:rPr>
            </w:pPr>
          </w:p>
        </w:tc>
      </w:tr>
      <w:tr>
        <w:trPr>
          <w:trHeight w:val="198"/>
        </w:trPr>
        <w:tc>
          <w:tcPr>
            <w:tcW w:w="6160" w:type="dxa"/>
            <w:vAlign w:val="bottom"/>
          </w:tcPr>
          <w:p>
            <w:pPr>
              <w:ind w:left="340"/>
              <w:spacing w:after="0"/>
              <w:rPr>
                <w:sz w:val="20"/>
                <w:szCs w:val="20"/>
                <w:color w:val="auto"/>
              </w:rPr>
            </w:pPr>
            <w:r>
              <w:rPr>
                <w:rFonts w:ascii="Arial" w:cs="Arial" w:eastAsia="Arial" w:hAnsi="Arial"/>
                <w:sz w:val="15"/>
                <w:szCs w:val="15"/>
                <w:color w:val="auto"/>
              </w:rPr>
              <w:t>Management fees</w:t>
            </w: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9,659</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8,874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23,436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28,352</w:t>
            </w:r>
          </w:p>
        </w:tc>
        <w:tc>
          <w:tcPr>
            <w:tcW w:w="0" w:type="dxa"/>
            <w:vAlign w:val="bottom"/>
          </w:tcPr>
          <w:p>
            <w:pPr>
              <w:spacing w:after="0"/>
              <w:rPr>
                <w:sz w:val="1"/>
                <w:szCs w:val="1"/>
                <w:color w:val="auto"/>
              </w:rPr>
            </w:pPr>
          </w:p>
        </w:tc>
      </w:tr>
      <w:tr>
        <w:trPr>
          <w:trHeight w:val="207"/>
        </w:trPr>
        <w:tc>
          <w:tcPr>
            <w:tcW w:w="6160" w:type="dxa"/>
            <w:vAlign w:val="bottom"/>
            <w:shd w:val="clear" w:color="auto" w:fill="CCEEFF"/>
          </w:tcPr>
          <w:p>
            <w:pPr>
              <w:ind w:left="340"/>
              <w:spacing w:after="0"/>
              <w:rPr>
                <w:sz w:val="20"/>
                <w:szCs w:val="20"/>
                <w:color w:val="auto"/>
              </w:rPr>
            </w:pPr>
            <w:r>
              <w:rPr>
                <w:rFonts w:ascii="Arial" w:cs="Arial" w:eastAsia="Arial" w:hAnsi="Arial"/>
                <w:sz w:val="15"/>
                <w:szCs w:val="15"/>
                <w:color w:val="auto"/>
              </w:rPr>
              <w:t>Amortization expense</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15,222</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13,520</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43,506</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40,632</w:t>
            </w:r>
          </w:p>
        </w:tc>
        <w:tc>
          <w:tcPr>
            <w:tcW w:w="0" w:type="dxa"/>
            <w:vAlign w:val="bottom"/>
          </w:tcPr>
          <w:p>
            <w:pPr>
              <w:spacing w:after="0"/>
              <w:rPr>
                <w:sz w:val="1"/>
                <w:szCs w:val="1"/>
                <w:color w:val="auto"/>
              </w:rPr>
            </w:pPr>
          </w:p>
        </w:tc>
      </w:tr>
      <w:tr>
        <w:trPr>
          <w:trHeight w:val="213"/>
        </w:trPr>
        <w:tc>
          <w:tcPr>
            <w:tcW w:w="6160" w:type="dxa"/>
            <w:vAlign w:val="bottom"/>
          </w:tcPr>
          <w:p>
            <w:pPr>
              <w:ind w:left="340"/>
              <w:spacing w:after="0"/>
              <w:rPr>
                <w:sz w:val="20"/>
                <w:szCs w:val="20"/>
                <w:color w:val="auto"/>
              </w:rPr>
            </w:pPr>
            <w:r>
              <w:rPr>
                <w:rFonts w:ascii="Arial" w:cs="Arial" w:eastAsia="Arial" w:hAnsi="Arial"/>
                <w:sz w:val="15"/>
                <w:szCs w:val="15"/>
                <w:color w:val="auto"/>
              </w:rPr>
              <w:t>Impairment expense</w:t>
            </w:r>
          </w:p>
        </w:tc>
        <w:tc>
          <w:tcPr>
            <w:tcW w:w="2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33,381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33,381</w:t>
            </w:r>
          </w:p>
        </w:tc>
        <w:tc>
          <w:tcPr>
            <w:tcW w:w="0" w:type="dxa"/>
            <w:vAlign w:val="bottom"/>
          </w:tcPr>
          <w:p>
            <w:pPr>
              <w:spacing w:after="0"/>
              <w:rPr>
                <w:sz w:val="1"/>
                <w:szCs w:val="1"/>
                <w:color w:val="auto"/>
              </w:rPr>
            </w:pPr>
          </w:p>
        </w:tc>
      </w:tr>
      <w:tr>
        <w:trPr>
          <w:trHeight w:val="199"/>
        </w:trPr>
        <w:tc>
          <w:tcPr>
            <w:tcW w:w="6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Operating income (loss)</w:t>
            </w:r>
          </w:p>
        </w:tc>
        <w:tc>
          <w:tcPr>
            <w:tcW w:w="2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35,867</w:t>
            </w: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(1,267)</w:t>
            </w: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62,883</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32,552</w:t>
            </w:r>
          </w:p>
        </w:tc>
        <w:tc>
          <w:tcPr>
            <w:tcW w:w="0" w:type="dxa"/>
            <w:vAlign w:val="bottom"/>
          </w:tcPr>
          <w:p>
            <w:pPr>
              <w:spacing w:after="0"/>
              <w:rPr>
                <w:sz w:val="1"/>
                <w:szCs w:val="1"/>
                <w:color w:val="auto"/>
              </w:rPr>
            </w:pPr>
          </w:p>
        </w:tc>
      </w:tr>
      <w:tr>
        <w:trPr>
          <w:trHeight w:val="198"/>
        </w:trPr>
        <w:tc>
          <w:tcPr>
            <w:tcW w:w="6160" w:type="dxa"/>
            <w:vAlign w:val="bottom"/>
          </w:tcPr>
          <w:p>
            <w:pPr>
              <w:ind w:left="20"/>
              <w:spacing w:after="0"/>
              <w:rPr>
                <w:sz w:val="20"/>
                <w:szCs w:val="20"/>
                <w:color w:val="auto"/>
              </w:rPr>
            </w:pPr>
            <w:r>
              <w:rPr>
                <w:rFonts w:ascii="Arial" w:cs="Arial" w:eastAsia="Arial" w:hAnsi="Arial"/>
                <w:sz w:val="15"/>
                <w:szCs w:val="15"/>
                <w:color w:val="auto"/>
              </w:rPr>
              <w:t>Other income (expense):</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160" w:type="dxa"/>
            <w:vAlign w:val="bottom"/>
            <w:shd w:val="clear" w:color="auto" w:fill="CCEEFF"/>
          </w:tcPr>
          <w:p>
            <w:pPr>
              <w:ind w:left="340"/>
              <w:spacing w:after="0"/>
              <w:rPr>
                <w:sz w:val="20"/>
                <w:szCs w:val="20"/>
                <w:color w:val="auto"/>
              </w:rPr>
            </w:pPr>
            <w:r>
              <w:rPr>
                <w:rFonts w:ascii="Arial" w:cs="Arial" w:eastAsia="Arial" w:hAnsi="Arial"/>
                <w:sz w:val="15"/>
                <w:szCs w:val="15"/>
                <w:color w:val="auto"/>
              </w:rPr>
              <w:t>Interest expense, net</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(12,351)</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(11,525)</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(32,122)</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(48,424)</w:t>
            </w:r>
          </w:p>
        </w:tc>
        <w:tc>
          <w:tcPr>
            <w:tcW w:w="0" w:type="dxa"/>
            <w:vAlign w:val="bottom"/>
          </w:tcPr>
          <w:p>
            <w:pPr>
              <w:spacing w:after="0"/>
              <w:rPr>
                <w:sz w:val="1"/>
                <w:szCs w:val="1"/>
                <w:color w:val="auto"/>
              </w:rPr>
            </w:pPr>
          </w:p>
        </w:tc>
      </w:tr>
      <w:tr>
        <w:trPr>
          <w:trHeight w:val="198"/>
        </w:trPr>
        <w:tc>
          <w:tcPr>
            <w:tcW w:w="6160" w:type="dxa"/>
            <w:vAlign w:val="bottom"/>
          </w:tcPr>
          <w:p>
            <w:pPr>
              <w:ind w:left="340"/>
              <w:spacing w:after="0"/>
              <w:rPr>
                <w:sz w:val="20"/>
                <w:szCs w:val="20"/>
                <w:color w:val="auto"/>
              </w:rPr>
            </w:pPr>
            <w:r>
              <w:rPr>
                <w:rFonts w:ascii="Arial" w:cs="Arial" w:eastAsia="Arial" w:hAnsi="Arial"/>
                <w:sz w:val="15"/>
                <w:szCs w:val="15"/>
                <w:color w:val="auto"/>
              </w:rPr>
              <w:t>Loss on sale of securities (refer to Note C)</w:t>
            </w:r>
          </w:p>
        </w:tc>
        <w:tc>
          <w:tcPr>
            <w:tcW w:w="20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(4,893)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(10,193)</w:t>
            </w:r>
          </w:p>
        </w:tc>
        <w:tc>
          <w:tcPr>
            <w:tcW w:w="0" w:type="dxa"/>
            <w:vAlign w:val="bottom"/>
          </w:tcPr>
          <w:p>
            <w:pPr>
              <w:spacing w:after="0"/>
              <w:rPr>
                <w:sz w:val="1"/>
                <w:szCs w:val="1"/>
                <w:color w:val="auto"/>
              </w:rPr>
            </w:pPr>
          </w:p>
        </w:tc>
      </w:tr>
      <w:tr>
        <w:trPr>
          <w:trHeight w:val="207"/>
        </w:trPr>
        <w:tc>
          <w:tcPr>
            <w:tcW w:w="6160" w:type="dxa"/>
            <w:vAlign w:val="bottom"/>
            <w:shd w:val="clear" w:color="auto" w:fill="CCEEFF"/>
          </w:tcPr>
          <w:p>
            <w:pPr>
              <w:ind w:left="340"/>
              <w:spacing w:after="0"/>
              <w:rPr>
                <w:sz w:val="20"/>
                <w:szCs w:val="20"/>
                <w:color w:val="auto"/>
              </w:rPr>
            </w:pPr>
            <w:r>
              <w:rPr>
                <w:rFonts w:ascii="Arial" w:cs="Arial" w:eastAsia="Arial" w:hAnsi="Arial"/>
                <w:sz w:val="15"/>
                <w:szCs w:val="15"/>
                <w:color w:val="auto"/>
              </w:rPr>
              <w:t>Amortization of debt issuance costs</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(660)</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(770)</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(1,795)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(2,625)</w:t>
            </w:r>
          </w:p>
        </w:tc>
        <w:tc>
          <w:tcPr>
            <w:tcW w:w="0" w:type="dxa"/>
            <w:vAlign w:val="bottom"/>
          </w:tcPr>
          <w:p>
            <w:pPr>
              <w:spacing w:after="0"/>
              <w:rPr>
                <w:sz w:val="1"/>
                <w:szCs w:val="1"/>
                <w:color w:val="auto"/>
              </w:rPr>
            </w:pPr>
          </w:p>
        </w:tc>
      </w:tr>
      <w:tr>
        <w:trPr>
          <w:trHeight w:val="198"/>
        </w:trPr>
        <w:tc>
          <w:tcPr>
            <w:tcW w:w="6160" w:type="dxa"/>
            <w:vAlign w:val="bottom"/>
          </w:tcPr>
          <w:p>
            <w:pPr>
              <w:ind w:left="340"/>
              <w:spacing w:after="0"/>
              <w:rPr>
                <w:sz w:val="20"/>
                <w:szCs w:val="20"/>
                <w:color w:val="auto"/>
              </w:rPr>
            </w:pPr>
            <w:r>
              <w:rPr>
                <w:rFonts w:ascii="Arial" w:cs="Arial" w:eastAsia="Arial" w:hAnsi="Arial"/>
                <w:sz w:val="15"/>
                <w:szCs w:val="15"/>
                <w:color w:val="auto"/>
              </w:rPr>
              <w:t>Loss on debt extinguishment</w:t>
            </w:r>
          </w:p>
        </w:tc>
        <w:tc>
          <w:tcPr>
            <w:tcW w:w="20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(5,038)</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(5,038)</w:t>
            </w:r>
          </w:p>
        </w:tc>
        <w:tc>
          <w:tcPr>
            <w:tcW w:w="0" w:type="dxa"/>
            <w:vAlign w:val="bottom"/>
          </w:tcPr>
          <w:p>
            <w:pPr>
              <w:spacing w:after="0"/>
              <w:rPr>
                <w:sz w:val="1"/>
                <w:szCs w:val="1"/>
                <w:color w:val="auto"/>
              </w:rPr>
            </w:pPr>
          </w:p>
        </w:tc>
      </w:tr>
      <w:tr>
        <w:trPr>
          <w:trHeight w:val="207"/>
        </w:trPr>
        <w:tc>
          <w:tcPr>
            <w:tcW w:w="6160" w:type="dxa"/>
            <w:vAlign w:val="bottom"/>
            <w:shd w:val="clear" w:color="auto" w:fill="CCEEFF"/>
          </w:tcPr>
          <w:p>
            <w:pPr>
              <w:ind w:left="340"/>
              <w:spacing w:after="0"/>
              <w:rPr>
                <w:sz w:val="20"/>
                <w:szCs w:val="20"/>
                <w:color w:val="auto"/>
              </w:rPr>
            </w:pPr>
            <w:r>
              <w:rPr>
                <w:rFonts w:ascii="Arial" w:cs="Arial" w:eastAsia="Arial" w:hAnsi="Arial"/>
                <w:sz w:val="15"/>
                <w:szCs w:val="15"/>
                <w:color w:val="auto"/>
              </w:rPr>
              <w:t>Other income (expense), net</w:t>
            </w: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(447)</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(689)</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(2,172)</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(1,213)</w:t>
            </w:r>
          </w:p>
        </w:tc>
        <w:tc>
          <w:tcPr>
            <w:tcW w:w="0" w:type="dxa"/>
            <w:vAlign w:val="bottom"/>
          </w:tcPr>
          <w:p>
            <w:pPr>
              <w:spacing w:after="0"/>
              <w:rPr>
                <w:sz w:val="1"/>
                <w:szCs w:val="1"/>
                <w:color w:val="auto"/>
              </w:rPr>
            </w:pPr>
          </w:p>
        </w:tc>
      </w:tr>
      <w:tr>
        <w:trPr>
          <w:trHeight w:val="192"/>
        </w:trPr>
        <w:tc>
          <w:tcPr>
            <w:tcW w:w="6160" w:type="dxa"/>
            <w:vAlign w:val="bottom"/>
          </w:tcPr>
          <w:p>
            <w:pPr>
              <w:ind w:left="20"/>
              <w:spacing w:after="0"/>
              <w:rPr>
                <w:sz w:val="20"/>
                <w:szCs w:val="20"/>
                <w:color w:val="auto"/>
              </w:rPr>
            </w:pPr>
            <w:r>
              <w:rPr>
                <w:rFonts w:ascii="Arial" w:cs="Arial" w:eastAsia="Arial" w:hAnsi="Arial"/>
                <w:sz w:val="15"/>
                <w:szCs w:val="15"/>
                <w:b w:val="1"/>
                <w:bCs w:val="1"/>
                <w:color w:val="auto"/>
              </w:rPr>
              <w:t>Income (loss) from continuing operations before income taxes</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22,409</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(24,182)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26,794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(34,941)</w:t>
            </w:r>
          </w:p>
        </w:tc>
        <w:tc>
          <w:tcPr>
            <w:tcW w:w="0" w:type="dxa"/>
            <w:vAlign w:val="bottom"/>
          </w:tcPr>
          <w:p>
            <w:pPr>
              <w:spacing w:after="0"/>
              <w:rPr>
                <w:sz w:val="1"/>
                <w:szCs w:val="1"/>
                <w:color w:val="auto"/>
              </w:rPr>
            </w:pPr>
          </w:p>
        </w:tc>
      </w:tr>
      <w:tr>
        <w:trPr>
          <w:trHeight w:val="207"/>
        </w:trPr>
        <w:tc>
          <w:tcPr>
            <w:tcW w:w="6160" w:type="dxa"/>
            <w:vAlign w:val="bottom"/>
            <w:shd w:val="clear" w:color="auto" w:fill="CCEEFF"/>
          </w:tcPr>
          <w:p>
            <w:pPr>
              <w:ind w:left="340"/>
              <w:spacing w:after="0"/>
              <w:rPr>
                <w:sz w:val="20"/>
                <w:szCs w:val="20"/>
                <w:color w:val="auto"/>
              </w:rPr>
            </w:pPr>
            <w:r>
              <w:rPr>
                <w:rFonts w:ascii="Arial" w:cs="Arial" w:eastAsia="Arial" w:hAnsi="Arial"/>
                <w:sz w:val="15"/>
                <w:szCs w:val="15"/>
                <w:color w:val="auto"/>
              </w:rPr>
              <w:t>Provision for income taxes</w:t>
            </w: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1,606</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4,400</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8,477</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10,375</w:t>
            </w:r>
          </w:p>
        </w:tc>
        <w:tc>
          <w:tcPr>
            <w:tcW w:w="0" w:type="dxa"/>
            <w:vAlign w:val="bottom"/>
          </w:tcPr>
          <w:p>
            <w:pPr>
              <w:spacing w:after="0"/>
              <w:rPr>
                <w:sz w:val="1"/>
                <w:szCs w:val="1"/>
                <w:color w:val="auto"/>
              </w:rPr>
            </w:pPr>
          </w:p>
        </w:tc>
      </w:tr>
      <w:tr>
        <w:trPr>
          <w:trHeight w:val="192"/>
        </w:trPr>
        <w:tc>
          <w:tcPr>
            <w:tcW w:w="6160" w:type="dxa"/>
            <w:vAlign w:val="bottom"/>
          </w:tcPr>
          <w:p>
            <w:pPr>
              <w:ind w:left="20"/>
              <w:spacing w:after="0"/>
              <w:rPr>
                <w:sz w:val="20"/>
                <w:szCs w:val="20"/>
                <w:color w:val="auto"/>
              </w:rPr>
            </w:pPr>
            <w:r>
              <w:rPr>
                <w:rFonts w:ascii="Arial" w:cs="Arial" w:eastAsia="Arial" w:hAnsi="Arial"/>
                <w:sz w:val="15"/>
                <w:szCs w:val="15"/>
                <w:b w:val="1"/>
                <w:bCs w:val="1"/>
                <w:color w:val="auto"/>
              </w:rPr>
              <w:t>Income (loss) from continuing operations</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20,803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(28,582)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18,317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(45,316)</w:t>
            </w:r>
          </w:p>
        </w:tc>
        <w:tc>
          <w:tcPr>
            <w:tcW w:w="0" w:type="dxa"/>
            <w:vAlign w:val="bottom"/>
          </w:tcPr>
          <w:p>
            <w:pPr>
              <w:spacing w:after="0"/>
              <w:rPr>
                <w:sz w:val="1"/>
                <w:szCs w:val="1"/>
                <w:color w:val="auto"/>
              </w:rPr>
            </w:pPr>
          </w:p>
        </w:tc>
      </w:tr>
      <w:tr>
        <w:trPr>
          <w:trHeight w:val="207"/>
        </w:trPr>
        <w:tc>
          <w:tcPr>
            <w:tcW w:w="6160" w:type="dxa"/>
            <w:vAlign w:val="bottom"/>
            <w:shd w:val="clear" w:color="auto" w:fill="CCEEFF"/>
          </w:tcPr>
          <w:p>
            <w:pPr>
              <w:ind w:left="340"/>
              <w:spacing w:after="0"/>
              <w:rPr>
                <w:sz w:val="20"/>
                <w:szCs w:val="20"/>
                <w:color w:val="auto"/>
              </w:rPr>
            </w:pPr>
            <w:r>
              <w:rPr>
                <w:rFonts w:ascii="Arial" w:cs="Arial" w:eastAsia="Arial" w:hAnsi="Arial"/>
                <w:sz w:val="15"/>
                <w:szCs w:val="15"/>
                <w:color w:val="auto"/>
              </w:rPr>
              <w:t>Income from discontinued operations, net of income tax</w:t>
            </w: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16,901</w:t>
            </w:r>
          </w:p>
        </w:tc>
        <w:tc>
          <w:tcPr>
            <w:tcW w:w="0" w:type="dxa"/>
            <w:vAlign w:val="bottom"/>
          </w:tcPr>
          <w:p>
            <w:pPr>
              <w:spacing w:after="0"/>
              <w:rPr>
                <w:sz w:val="1"/>
                <w:szCs w:val="1"/>
                <w:color w:val="auto"/>
              </w:rPr>
            </w:pPr>
          </w:p>
        </w:tc>
      </w:tr>
      <w:tr>
        <w:trPr>
          <w:trHeight w:val="198"/>
        </w:trPr>
        <w:tc>
          <w:tcPr>
            <w:tcW w:w="6160" w:type="dxa"/>
            <w:vAlign w:val="bottom"/>
            <w:tcBorders>
              <w:bottom w:val="single" w:sz="8" w:color="CCEEFF"/>
            </w:tcBorders>
          </w:tcPr>
          <w:p>
            <w:pPr>
              <w:ind w:left="340"/>
              <w:spacing w:after="0"/>
              <w:rPr>
                <w:sz w:val="20"/>
                <w:szCs w:val="20"/>
                <w:color w:val="auto"/>
              </w:rPr>
            </w:pPr>
            <w:r>
              <w:rPr>
                <w:rFonts w:ascii="Arial" w:cs="Arial" w:eastAsia="Arial" w:hAnsi="Arial"/>
                <w:sz w:val="15"/>
                <w:szCs w:val="15"/>
                <w:color w:val="auto"/>
              </w:rPr>
              <w:t>Gain on sale of discontinued operations</w:t>
            </w: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100</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2,039</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100</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330,203</w:t>
            </w:r>
          </w:p>
        </w:tc>
        <w:tc>
          <w:tcPr>
            <w:tcW w:w="0" w:type="dxa"/>
            <w:vAlign w:val="bottom"/>
          </w:tcPr>
          <w:p>
            <w:pPr>
              <w:spacing w:after="0"/>
              <w:rPr>
                <w:sz w:val="1"/>
                <w:szCs w:val="1"/>
                <w:color w:val="auto"/>
              </w:rPr>
            </w:pPr>
          </w:p>
        </w:tc>
      </w:tr>
      <w:tr>
        <w:trPr>
          <w:trHeight w:val="200"/>
        </w:trPr>
        <w:tc>
          <w:tcPr>
            <w:tcW w:w="61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Net income (loss)</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20,903</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(26,543)</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18,417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301,788</w:t>
            </w:r>
          </w:p>
        </w:tc>
        <w:tc>
          <w:tcPr>
            <w:tcW w:w="0" w:type="dxa"/>
            <w:vAlign w:val="bottom"/>
          </w:tcPr>
          <w:p>
            <w:pPr>
              <w:spacing w:after="0"/>
              <w:rPr>
                <w:sz w:val="1"/>
                <w:szCs w:val="1"/>
                <w:color w:val="auto"/>
              </w:rPr>
            </w:pPr>
          </w:p>
        </w:tc>
      </w:tr>
      <w:tr>
        <w:trPr>
          <w:trHeight w:val="198"/>
        </w:trPr>
        <w:tc>
          <w:tcPr>
            <w:tcW w:w="6160" w:type="dxa"/>
            <w:vAlign w:val="bottom"/>
          </w:tcPr>
          <w:p>
            <w:pPr>
              <w:ind w:left="340"/>
              <w:spacing w:after="0"/>
              <w:rPr>
                <w:sz w:val="20"/>
                <w:szCs w:val="20"/>
                <w:color w:val="auto"/>
              </w:rPr>
            </w:pPr>
            <w:r>
              <w:rPr>
                <w:rFonts w:ascii="Arial" w:cs="Arial" w:eastAsia="Arial" w:hAnsi="Arial"/>
                <w:sz w:val="15"/>
                <w:szCs w:val="15"/>
                <w:color w:val="auto"/>
              </w:rPr>
              <w:t>Less: Net income from continuing operations attributable to noncontrolling interest</w:t>
            </w: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1,717</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1,242</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4,003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3,997</w:t>
            </w:r>
          </w:p>
        </w:tc>
        <w:tc>
          <w:tcPr>
            <w:tcW w:w="0" w:type="dxa"/>
            <w:vAlign w:val="bottom"/>
          </w:tcPr>
          <w:p>
            <w:pPr>
              <w:spacing w:after="0"/>
              <w:rPr>
                <w:sz w:val="1"/>
                <w:szCs w:val="1"/>
                <w:color w:val="auto"/>
              </w:rPr>
            </w:pPr>
          </w:p>
        </w:tc>
      </w:tr>
      <w:tr>
        <w:trPr>
          <w:trHeight w:val="206"/>
        </w:trPr>
        <w:tc>
          <w:tcPr>
            <w:tcW w:w="6160" w:type="dxa"/>
            <w:vAlign w:val="bottom"/>
            <w:shd w:val="clear" w:color="auto" w:fill="CCEEFF"/>
          </w:tcPr>
          <w:p>
            <w:pPr>
              <w:ind w:left="340"/>
              <w:spacing w:after="0"/>
              <w:rPr>
                <w:sz w:val="20"/>
                <w:szCs w:val="20"/>
                <w:color w:val="auto"/>
              </w:rPr>
            </w:pPr>
            <w:r>
              <w:rPr>
                <w:rFonts w:ascii="Arial" w:cs="Arial" w:eastAsia="Arial" w:hAnsi="Arial"/>
                <w:sz w:val="15"/>
                <w:szCs w:val="15"/>
                <w:color w:val="auto"/>
              </w:rPr>
              <w:t>Less: Net loss from discontinued operations attributable to noncontrolling interest</w:t>
            </w: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(266)</w:t>
            </w:r>
          </w:p>
        </w:tc>
        <w:tc>
          <w:tcPr>
            <w:tcW w:w="0" w:type="dxa"/>
            <w:vAlign w:val="bottom"/>
          </w:tcPr>
          <w:p>
            <w:pPr>
              <w:spacing w:after="0"/>
              <w:rPr>
                <w:sz w:val="1"/>
                <w:szCs w:val="1"/>
                <w:color w:val="auto"/>
              </w:rPr>
            </w:pPr>
          </w:p>
        </w:tc>
      </w:tr>
      <w:tr>
        <w:trPr>
          <w:trHeight w:val="190"/>
        </w:trPr>
        <w:tc>
          <w:tcPr>
            <w:tcW w:w="6160" w:type="dxa"/>
            <w:vAlign w:val="bottom"/>
          </w:tcPr>
          <w:p>
            <w:pPr>
              <w:ind w:left="20"/>
              <w:spacing w:after="0"/>
              <w:rPr>
                <w:sz w:val="20"/>
                <w:szCs w:val="20"/>
                <w:color w:val="auto"/>
              </w:rPr>
            </w:pPr>
            <w:r>
              <w:rPr>
                <w:rFonts w:ascii="Arial" w:cs="Arial" w:eastAsia="Arial" w:hAnsi="Arial"/>
                <w:sz w:val="15"/>
                <w:szCs w:val="15"/>
                <w:b w:val="1"/>
                <w:bCs w:val="1"/>
                <w:color w:val="auto"/>
              </w:rPr>
              <w:t>Net income (loss) attributable to Holdings</w:t>
            </w:r>
          </w:p>
        </w:tc>
        <w:tc>
          <w:tcPr>
            <w:tcW w:w="20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w w:val="9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19,186</w:t>
            </w:r>
          </w:p>
        </w:tc>
        <w:tc>
          <w:tcPr>
            <w:tcW w:w="120" w:type="dxa"/>
            <w:vAlign w:val="bottom"/>
          </w:tcPr>
          <w:p>
            <w:pPr>
              <w:spacing w:after="0"/>
              <w:rPr>
                <w:sz w:val="16"/>
                <w:szCs w:val="16"/>
                <w:color w:val="auto"/>
              </w:rPr>
            </w:pPr>
          </w:p>
        </w:tc>
        <w:tc>
          <w:tcPr>
            <w:tcW w:w="280" w:type="dxa"/>
            <w:vAlign w:val="bottom"/>
            <w:tcBorders>
              <w:top w:val="single" w:sz="8" w:color="auto"/>
              <w:bottom w:val="single" w:sz="8" w:color="auto"/>
            </w:tcBorders>
          </w:tcPr>
          <w:p>
            <w:pPr>
              <w:jc w:val="center"/>
              <w:ind w:right="104"/>
              <w:spacing w:after="0"/>
              <w:rPr>
                <w:sz w:val="20"/>
                <w:szCs w:val="20"/>
                <w:color w:val="auto"/>
              </w:rPr>
            </w:pPr>
            <w:r>
              <w:rPr>
                <w:rFonts w:ascii="Arial" w:cs="Arial" w:eastAsia="Arial" w:hAnsi="Arial"/>
                <w:sz w:val="15"/>
                <w:szCs w:val="15"/>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(27,785)</w:t>
            </w:r>
          </w:p>
        </w:tc>
        <w:tc>
          <w:tcPr>
            <w:tcW w:w="12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5"/>
                <w:szCs w:val="15"/>
                <w:color w:val="auto"/>
                <w:w w:val="95"/>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14,414</w:t>
            </w:r>
          </w:p>
        </w:tc>
        <w:tc>
          <w:tcPr>
            <w:tcW w:w="100" w:type="dxa"/>
            <w:vAlign w:val="bottom"/>
          </w:tcPr>
          <w:p>
            <w:pPr>
              <w:spacing w:after="0"/>
              <w:rPr>
                <w:sz w:val="16"/>
                <w:szCs w:val="16"/>
                <w:color w:val="auto"/>
              </w:rPr>
            </w:pPr>
          </w:p>
        </w:tc>
        <w:tc>
          <w:tcPr>
            <w:tcW w:w="320" w:type="dxa"/>
            <w:vAlign w:val="bottom"/>
            <w:tcBorders>
              <w:top w:val="single" w:sz="8" w:color="auto"/>
              <w:bottom w:val="single" w:sz="8" w:color="auto"/>
            </w:tcBorders>
          </w:tcPr>
          <w:p>
            <w:pPr>
              <w:jc w:val="center"/>
              <w:ind w:right="104"/>
              <w:spacing w:after="0"/>
              <w:rPr>
                <w:sz w:val="20"/>
                <w:szCs w:val="20"/>
                <w:color w:val="auto"/>
              </w:rPr>
            </w:pPr>
            <w:r>
              <w:rPr>
                <w:rFonts w:ascii="Arial" w:cs="Arial" w:eastAsia="Arial" w:hAnsi="Arial"/>
                <w:sz w:val="15"/>
                <w:szCs w:val="15"/>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298,057</w:t>
            </w:r>
          </w:p>
        </w:tc>
        <w:tc>
          <w:tcPr>
            <w:tcW w:w="0" w:type="dxa"/>
            <w:vAlign w:val="bottom"/>
          </w:tcPr>
          <w:p>
            <w:pPr>
              <w:spacing w:after="0"/>
              <w:rPr>
                <w:sz w:val="1"/>
                <w:szCs w:val="1"/>
                <w:color w:val="auto"/>
              </w:rPr>
            </w:pPr>
          </w:p>
        </w:tc>
      </w:tr>
      <w:tr>
        <w:trPr>
          <w:trHeight w:val="27"/>
        </w:trPr>
        <w:tc>
          <w:tcPr>
            <w:tcW w:w="616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Amounts attributable to Holdings</w:t>
            </w: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0"/>
        </w:trPr>
        <w:tc>
          <w:tcPr>
            <w:tcW w:w="6160" w:type="dxa"/>
            <w:vAlign w:val="bottom"/>
            <w:vMerge w:val="continue"/>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6160" w:type="dxa"/>
            <w:vAlign w:val="bottom"/>
            <w:shd w:val="clear" w:color="auto" w:fill="CCEEFF"/>
          </w:tcPr>
          <w:p>
            <w:pPr>
              <w:ind w:left="340"/>
              <w:spacing w:after="0"/>
              <w:rPr>
                <w:sz w:val="20"/>
                <w:szCs w:val="20"/>
                <w:color w:val="auto"/>
              </w:rPr>
            </w:pPr>
            <w:r>
              <w:rPr>
                <w:rFonts w:ascii="Arial" w:cs="Arial" w:eastAsia="Arial" w:hAnsi="Arial"/>
                <w:sz w:val="15"/>
                <w:szCs w:val="15"/>
                <w:color w:val="auto"/>
              </w:rPr>
              <w:t>Income (loss) from continuing operations</w:t>
            </w: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19,086</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center"/>
              <w:ind w:right="104"/>
              <w:spacing w:after="0"/>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(29,824)</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14,314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center"/>
              <w:ind w:right="104"/>
              <w:spacing w:after="0"/>
              <w:rPr>
                <w:sz w:val="20"/>
                <w:szCs w:val="20"/>
                <w:color w:val="auto"/>
              </w:rPr>
            </w:pPr>
            <w:r>
              <w:rPr>
                <w:rFonts w:ascii="Arial" w:cs="Arial" w:eastAsia="Arial" w:hAnsi="Arial"/>
                <w:sz w:val="15"/>
                <w:szCs w:val="15"/>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(49,313)</w:t>
            </w:r>
          </w:p>
        </w:tc>
        <w:tc>
          <w:tcPr>
            <w:tcW w:w="0" w:type="dxa"/>
            <w:vAlign w:val="bottom"/>
          </w:tcPr>
          <w:p>
            <w:pPr>
              <w:spacing w:after="0"/>
              <w:rPr>
                <w:sz w:val="1"/>
                <w:szCs w:val="1"/>
                <w:color w:val="auto"/>
              </w:rPr>
            </w:pPr>
          </w:p>
        </w:tc>
      </w:tr>
      <w:tr>
        <w:trPr>
          <w:trHeight w:val="199"/>
        </w:trPr>
        <w:tc>
          <w:tcPr>
            <w:tcW w:w="6160" w:type="dxa"/>
            <w:vAlign w:val="bottom"/>
          </w:tcPr>
          <w:p>
            <w:pPr>
              <w:ind w:left="340"/>
              <w:spacing w:after="0"/>
              <w:rPr>
                <w:sz w:val="20"/>
                <w:szCs w:val="20"/>
                <w:color w:val="auto"/>
              </w:rPr>
            </w:pPr>
            <w:r>
              <w:rPr>
                <w:rFonts w:ascii="Arial" w:cs="Arial" w:eastAsia="Arial" w:hAnsi="Arial"/>
                <w:sz w:val="15"/>
                <w:szCs w:val="15"/>
                <w:color w:val="auto"/>
              </w:rPr>
              <w:t>Income from discontinued operations, net of income tax</w:t>
            </w:r>
          </w:p>
        </w:tc>
        <w:tc>
          <w:tcPr>
            <w:tcW w:w="20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7"/>
                <w:szCs w:val="17"/>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17,167</w:t>
            </w:r>
          </w:p>
        </w:tc>
        <w:tc>
          <w:tcPr>
            <w:tcW w:w="0" w:type="dxa"/>
            <w:vAlign w:val="bottom"/>
          </w:tcPr>
          <w:p>
            <w:pPr>
              <w:spacing w:after="0"/>
              <w:rPr>
                <w:sz w:val="1"/>
                <w:szCs w:val="1"/>
                <w:color w:val="auto"/>
              </w:rPr>
            </w:pPr>
          </w:p>
        </w:tc>
      </w:tr>
      <w:tr>
        <w:trPr>
          <w:trHeight w:val="202"/>
        </w:trPr>
        <w:tc>
          <w:tcPr>
            <w:tcW w:w="6160" w:type="dxa"/>
            <w:vAlign w:val="bottom"/>
            <w:shd w:val="clear" w:color="auto" w:fill="CCEEFF"/>
          </w:tcPr>
          <w:p>
            <w:pPr>
              <w:ind w:left="340"/>
              <w:spacing w:after="0"/>
              <w:rPr>
                <w:sz w:val="20"/>
                <w:szCs w:val="20"/>
                <w:color w:val="auto"/>
              </w:rPr>
            </w:pPr>
            <w:r>
              <w:rPr>
                <w:rFonts w:ascii="Arial" w:cs="Arial" w:eastAsia="Arial" w:hAnsi="Arial"/>
                <w:sz w:val="15"/>
                <w:szCs w:val="15"/>
                <w:color w:val="auto"/>
              </w:rPr>
              <w:t>Gain on sale of discontinued operations, net of income tax</w:t>
            </w: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2,039</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330,203</w:t>
            </w:r>
          </w:p>
        </w:tc>
        <w:tc>
          <w:tcPr>
            <w:tcW w:w="0" w:type="dxa"/>
            <w:vAlign w:val="bottom"/>
          </w:tcPr>
          <w:p>
            <w:pPr>
              <w:spacing w:after="0"/>
              <w:rPr>
                <w:sz w:val="1"/>
                <w:szCs w:val="1"/>
                <w:color w:val="auto"/>
              </w:rPr>
            </w:pPr>
          </w:p>
        </w:tc>
      </w:tr>
      <w:tr>
        <w:trPr>
          <w:trHeight w:val="194"/>
        </w:trPr>
        <w:tc>
          <w:tcPr>
            <w:tcW w:w="6160" w:type="dxa"/>
            <w:vAlign w:val="bottom"/>
          </w:tcPr>
          <w:p>
            <w:pPr>
              <w:ind w:left="340"/>
              <w:spacing w:after="0"/>
              <w:rPr>
                <w:sz w:val="20"/>
                <w:szCs w:val="20"/>
                <w:color w:val="auto"/>
              </w:rPr>
            </w:pPr>
            <w:r>
              <w:rPr>
                <w:rFonts w:ascii="Arial" w:cs="Arial" w:eastAsia="Arial" w:hAnsi="Arial"/>
                <w:sz w:val="15"/>
                <w:szCs w:val="15"/>
                <w:color w:val="auto"/>
              </w:rPr>
              <w:t>Net income (loss) attributable to Holdings</w:t>
            </w:r>
          </w:p>
        </w:tc>
        <w:tc>
          <w:tcPr>
            <w:tcW w:w="2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95"/>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19,186</w:t>
            </w:r>
          </w:p>
        </w:tc>
        <w:tc>
          <w:tcPr>
            <w:tcW w:w="120" w:type="dxa"/>
            <w:vAlign w:val="bottom"/>
          </w:tcPr>
          <w:p>
            <w:pPr>
              <w:spacing w:after="0"/>
              <w:rPr>
                <w:sz w:val="16"/>
                <w:szCs w:val="16"/>
                <w:color w:val="auto"/>
              </w:rPr>
            </w:pPr>
          </w:p>
        </w:tc>
        <w:tc>
          <w:tcPr>
            <w:tcW w:w="280" w:type="dxa"/>
            <w:vAlign w:val="bottom"/>
            <w:tcBorders>
              <w:bottom w:val="single" w:sz="8" w:color="auto"/>
            </w:tcBorders>
          </w:tcPr>
          <w:p>
            <w:pPr>
              <w:jc w:val="center"/>
              <w:ind w:right="104"/>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(27,785)</w:t>
            </w:r>
          </w:p>
        </w:tc>
        <w:tc>
          <w:tcPr>
            <w:tcW w:w="120" w:type="dxa"/>
            <w:vAlign w:val="bottom"/>
          </w:tcPr>
          <w:p>
            <w:pPr>
              <w:spacing w:after="0"/>
              <w:rPr>
                <w:sz w:val="16"/>
                <w:szCs w:val="16"/>
                <w:color w:val="auto"/>
              </w:rPr>
            </w:pPr>
          </w:p>
        </w:tc>
        <w:tc>
          <w:tcPr>
            <w:tcW w:w="2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95"/>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14,414</w:t>
            </w:r>
          </w:p>
        </w:tc>
        <w:tc>
          <w:tcPr>
            <w:tcW w:w="100" w:type="dxa"/>
            <w:vAlign w:val="bottom"/>
          </w:tcPr>
          <w:p>
            <w:pPr>
              <w:spacing w:after="0"/>
              <w:rPr>
                <w:sz w:val="16"/>
                <w:szCs w:val="16"/>
                <w:color w:val="auto"/>
              </w:rPr>
            </w:pPr>
          </w:p>
        </w:tc>
        <w:tc>
          <w:tcPr>
            <w:tcW w:w="320" w:type="dxa"/>
            <w:vAlign w:val="bottom"/>
            <w:tcBorders>
              <w:bottom w:val="single" w:sz="8" w:color="auto"/>
            </w:tcBorders>
          </w:tcPr>
          <w:p>
            <w:pPr>
              <w:jc w:val="center"/>
              <w:ind w:right="104"/>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298,057</w:t>
            </w:r>
          </w:p>
        </w:tc>
        <w:tc>
          <w:tcPr>
            <w:tcW w:w="0" w:type="dxa"/>
            <w:vAlign w:val="bottom"/>
          </w:tcPr>
          <w:p>
            <w:pPr>
              <w:spacing w:after="0"/>
              <w:rPr>
                <w:sz w:val="1"/>
                <w:szCs w:val="1"/>
                <w:color w:val="auto"/>
              </w:rPr>
            </w:pPr>
          </w:p>
        </w:tc>
      </w:tr>
      <w:tr>
        <w:trPr>
          <w:trHeight w:val="27"/>
        </w:trPr>
        <w:tc>
          <w:tcPr>
            <w:tcW w:w="616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Basic income (loss) per common share attributable to Holdings (refer to Note J)</w:t>
            </w: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3"/>
        </w:trPr>
        <w:tc>
          <w:tcPr>
            <w:tcW w:w="61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616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Continuing operations</w:t>
            </w: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0.08</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center"/>
              <w:ind w:right="104"/>
              <w:spacing w:after="0"/>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(1.33)</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(0.33)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center"/>
              <w:ind w:right="104"/>
              <w:spacing w:after="0"/>
              <w:rPr>
                <w:sz w:val="20"/>
                <w:szCs w:val="20"/>
                <w:color w:val="auto"/>
              </w:rPr>
            </w:pPr>
            <w:r>
              <w:rPr>
                <w:rFonts w:ascii="Arial" w:cs="Arial" w:eastAsia="Arial" w:hAnsi="Arial"/>
                <w:sz w:val="15"/>
                <w:szCs w:val="15"/>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(1.95)</w:t>
            </w:r>
          </w:p>
        </w:tc>
        <w:tc>
          <w:tcPr>
            <w:tcW w:w="0" w:type="dxa"/>
            <w:vAlign w:val="bottom"/>
          </w:tcPr>
          <w:p>
            <w:pPr>
              <w:spacing w:after="0"/>
              <w:rPr>
                <w:sz w:val="1"/>
                <w:szCs w:val="1"/>
                <w:color w:val="auto"/>
              </w:rPr>
            </w:pPr>
          </w:p>
        </w:tc>
      </w:tr>
      <w:tr>
        <w:trPr>
          <w:trHeight w:val="198"/>
        </w:trPr>
        <w:tc>
          <w:tcPr>
            <w:tcW w:w="6160" w:type="dxa"/>
            <w:vAlign w:val="bottom"/>
          </w:tcPr>
          <w:p>
            <w:pPr>
              <w:ind w:left="20"/>
              <w:spacing w:after="0"/>
              <w:rPr>
                <w:sz w:val="20"/>
                <w:szCs w:val="20"/>
                <w:color w:val="auto"/>
              </w:rPr>
            </w:pPr>
            <w:r>
              <w:rPr>
                <w:rFonts w:ascii="Arial" w:cs="Arial" w:eastAsia="Arial" w:hAnsi="Arial"/>
                <w:sz w:val="15"/>
                <w:szCs w:val="15"/>
                <w:color w:val="auto"/>
              </w:rPr>
              <w:t>Discontinued operations</w:t>
            </w:r>
          </w:p>
        </w:tc>
        <w:tc>
          <w:tcPr>
            <w:tcW w:w="20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0.03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5.80</w:t>
            </w:r>
          </w:p>
        </w:tc>
        <w:tc>
          <w:tcPr>
            <w:tcW w:w="0" w:type="dxa"/>
            <w:vAlign w:val="bottom"/>
          </w:tcPr>
          <w:p>
            <w:pPr>
              <w:spacing w:after="0"/>
              <w:rPr>
                <w:sz w:val="1"/>
                <w:szCs w:val="1"/>
                <w:color w:val="auto"/>
              </w:rPr>
            </w:pPr>
          </w:p>
        </w:tc>
      </w:tr>
      <w:tr>
        <w:trPr>
          <w:trHeight w:val="221"/>
        </w:trPr>
        <w:tc>
          <w:tcPr>
            <w:tcW w:w="61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0.08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center"/>
              <w:ind w:right="104"/>
              <w:spacing w:after="0"/>
              <w:rPr>
                <w:sz w:val="20"/>
                <w:szCs w:val="20"/>
                <w:color w:val="auto"/>
              </w:rPr>
            </w:pPr>
            <w:r>
              <w:rPr>
                <w:rFonts w:ascii="Arial" w:cs="Arial" w:eastAsia="Arial" w:hAnsi="Arial"/>
                <w:sz w:val="15"/>
                <w:szCs w:val="15"/>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(0.33)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center"/>
              <w:ind w:right="104"/>
              <w:spacing w:after="0"/>
              <w:rPr>
                <w:sz w:val="20"/>
                <w:szCs w:val="20"/>
                <w:color w:val="auto"/>
              </w:rPr>
            </w:pPr>
            <w:r>
              <w:rPr>
                <w:rFonts w:ascii="Arial" w:cs="Arial" w:eastAsia="Arial" w:hAnsi="Arial"/>
                <w:sz w:val="15"/>
                <w:szCs w:val="15"/>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3.85</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
        </w:trPr>
        <w:tc>
          <w:tcPr>
            <w:tcW w:w="6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6160" w:type="dxa"/>
            <w:vAlign w:val="bottom"/>
            <w:shd w:val="clear" w:color="auto" w:fill="CCEEFF"/>
          </w:tcPr>
          <w:p>
            <w:pPr>
              <w:ind w:left="20"/>
              <w:spacing w:after="0"/>
              <w:rPr>
                <w:sz w:val="20"/>
                <w:szCs w:val="20"/>
                <w:color w:val="auto"/>
              </w:rPr>
            </w:pPr>
            <w:r>
              <w:rPr>
                <w:rFonts w:ascii="Arial" w:cs="Arial" w:eastAsia="Arial" w:hAnsi="Arial"/>
                <w:sz w:val="15"/>
                <w:szCs w:val="15"/>
                <w:color w:val="auto"/>
              </w:rPr>
              <w:t>Basic weighted average number of shares of common shares outstanding</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64,900</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59,900</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62,556</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59,900</w:t>
            </w:r>
          </w:p>
        </w:tc>
        <w:tc>
          <w:tcPr>
            <w:tcW w:w="0" w:type="dxa"/>
            <w:vAlign w:val="bottom"/>
          </w:tcPr>
          <w:p>
            <w:pPr>
              <w:spacing w:after="0"/>
              <w:rPr>
                <w:sz w:val="1"/>
                <w:szCs w:val="1"/>
                <w:color w:val="auto"/>
              </w:rPr>
            </w:pPr>
          </w:p>
        </w:tc>
      </w:tr>
      <w:tr>
        <w:trPr>
          <w:trHeight w:val="135"/>
        </w:trPr>
        <w:tc>
          <w:tcPr>
            <w:tcW w:w="616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Cash distributions declared per Trust common share (refer to Note J)</w:t>
            </w: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0.36</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center"/>
              <w:ind w:right="104"/>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0.36</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1.08</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center"/>
              <w:ind w:right="104"/>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1.08</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8" w:right="33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8"/>
          <w:szCs w:val="18"/>
          <w:b w:val="1"/>
          <w:bCs w:val="1"/>
          <w:color w:val="auto"/>
        </w:rPr>
        <w:t>COMPASS DIVERSIFIED HOLDINGS</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40" w:type="dxa"/>
            <w:vAlign w:val="bottom"/>
            <w:gridSpan w:val="5"/>
          </w:tcPr>
          <w:p>
            <w:pPr>
              <w:jc w:val="right"/>
              <w:ind w:right="440"/>
              <w:spacing w:after="0"/>
              <w:rPr>
                <w:sz w:val="20"/>
                <w:szCs w:val="20"/>
                <w:color w:val="auto"/>
              </w:rPr>
            </w:pPr>
            <w:r>
              <w:rPr>
                <w:rFonts w:ascii="Arial" w:cs="Arial" w:eastAsia="Arial" w:hAnsi="Arial"/>
                <w:sz w:val="15"/>
                <w:szCs w:val="15"/>
                <w:b w:val="1"/>
                <w:bCs w:val="1"/>
                <w:color w:val="auto"/>
              </w:rPr>
              <w:t>Three months ended</w:t>
            </w:r>
          </w:p>
        </w:tc>
        <w:tc>
          <w:tcPr>
            <w:tcW w:w="200" w:type="dxa"/>
            <w:vAlign w:val="bottom"/>
          </w:tcPr>
          <w:p>
            <w:pPr>
              <w:spacing w:after="0"/>
              <w:rPr>
                <w:sz w:val="14"/>
                <w:szCs w:val="14"/>
                <w:color w:val="auto"/>
              </w:rPr>
            </w:pPr>
          </w:p>
        </w:tc>
        <w:tc>
          <w:tcPr>
            <w:tcW w:w="1880" w:type="dxa"/>
            <w:vAlign w:val="bottom"/>
            <w:gridSpan w:val="4"/>
          </w:tcPr>
          <w:p>
            <w:pPr>
              <w:jc w:val="right"/>
              <w:ind w:right="284"/>
              <w:spacing w:after="0"/>
              <w:rPr>
                <w:sz w:val="20"/>
                <w:szCs w:val="20"/>
                <w:color w:val="auto"/>
              </w:rPr>
            </w:pPr>
            <w:r>
              <w:rPr>
                <w:rFonts w:ascii="Arial" w:cs="Arial" w:eastAsia="Arial" w:hAnsi="Arial"/>
                <w:sz w:val="15"/>
                <w:szCs w:val="15"/>
                <w:b w:val="1"/>
                <w:bCs w:val="1"/>
                <w:color w:val="auto"/>
              </w:rPr>
              <w:t>Nine months ended</w:t>
            </w:r>
          </w:p>
        </w:tc>
      </w:tr>
      <w:tr>
        <w:trPr>
          <w:trHeight w:val="202"/>
        </w:trPr>
        <w:tc>
          <w:tcPr>
            <w:tcW w:w="6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40" w:type="dxa"/>
            <w:vAlign w:val="bottom"/>
            <w:gridSpan w:val="5"/>
          </w:tcPr>
          <w:p>
            <w:pPr>
              <w:ind w:left="360"/>
              <w:spacing w:after="0"/>
              <w:rPr>
                <w:sz w:val="20"/>
                <w:szCs w:val="20"/>
                <w:color w:val="auto"/>
              </w:rPr>
            </w:pPr>
            <w:r>
              <w:rPr>
                <w:rFonts w:ascii="Arial" w:cs="Arial" w:eastAsia="Arial" w:hAnsi="Arial"/>
                <w:sz w:val="15"/>
                <w:szCs w:val="15"/>
                <w:b w:val="1"/>
                <w:bCs w:val="1"/>
                <w:color w:val="auto"/>
              </w:rPr>
              <w:t>September 30,</w:t>
            </w:r>
          </w:p>
        </w:tc>
        <w:tc>
          <w:tcPr>
            <w:tcW w:w="200" w:type="dxa"/>
            <w:vAlign w:val="bottom"/>
          </w:tcPr>
          <w:p>
            <w:pPr>
              <w:spacing w:after="0"/>
              <w:rPr>
                <w:sz w:val="17"/>
                <w:szCs w:val="17"/>
                <w:color w:val="auto"/>
              </w:rPr>
            </w:pPr>
          </w:p>
        </w:tc>
        <w:tc>
          <w:tcPr>
            <w:tcW w:w="1880" w:type="dxa"/>
            <w:vAlign w:val="bottom"/>
            <w:gridSpan w:val="4"/>
          </w:tcPr>
          <w:p>
            <w:pPr>
              <w:jc w:val="right"/>
              <w:ind w:right="424"/>
              <w:spacing w:after="0"/>
              <w:rPr>
                <w:sz w:val="20"/>
                <w:szCs w:val="20"/>
                <w:color w:val="auto"/>
              </w:rPr>
            </w:pPr>
            <w:r>
              <w:rPr>
                <w:rFonts w:ascii="Arial" w:cs="Arial" w:eastAsia="Arial" w:hAnsi="Arial"/>
                <w:sz w:val="15"/>
                <w:szCs w:val="15"/>
                <w:b w:val="1"/>
                <w:bCs w:val="1"/>
                <w:color w:val="auto"/>
              </w:rPr>
              <w:t>September 30,</w:t>
            </w:r>
          </w:p>
        </w:tc>
      </w:tr>
      <w:tr>
        <w:trPr>
          <w:trHeight w:val="196"/>
        </w:trPr>
        <w:tc>
          <w:tcPr>
            <w:tcW w:w="6860" w:type="dxa"/>
            <w:vAlign w:val="bottom"/>
          </w:tcPr>
          <w:p>
            <w:pPr>
              <w:ind w:left="20"/>
              <w:spacing w:after="0"/>
              <w:rPr>
                <w:sz w:val="20"/>
                <w:szCs w:val="20"/>
                <w:color w:val="auto"/>
              </w:rPr>
            </w:pPr>
            <w:r>
              <w:rPr>
                <w:rFonts w:ascii="Arial" w:cs="Arial" w:eastAsia="Arial" w:hAnsi="Arial"/>
                <w:sz w:val="13"/>
                <w:szCs w:val="13"/>
                <w:i w:val="1"/>
                <w:iCs w:val="1"/>
                <w:color w:val="auto"/>
              </w:rPr>
              <w:t>(in thousands)</w:t>
            </w:r>
          </w:p>
        </w:tc>
        <w:tc>
          <w:tcPr>
            <w:tcW w:w="20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264"/>
              <w:spacing w:after="0"/>
              <w:rPr>
                <w:sz w:val="20"/>
                <w:szCs w:val="20"/>
                <w:color w:val="auto"/>
              </w:rPr>
            </w:pPr>
            <w:r>
              <w:rPr>
                <w:rFonts w:ascii="Arial" w:cs="Arial" w:eastAsia="Arial" w:hAnsi="Arial"/>
                <w:sz w:val="15"/>
                <w:szCs w:val="15"/>
                <w:b w:val="1"/>
                <w:bCs w:val="1"/>
                <w:color w:val="auto"/>
              </w:rPr>
              <w:t>2020</w:t>
            </w:r>
          </w:p>
        </w:tc>
        <w:tc>
          <w:tcPr>
            <w:tcW w:w="12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244"/>
              <w:spacing w:after="0"/>
              <w:rPr>
                <w:sz w:val="20"/>
                <w:szCs w:val="20"/>
                <w:color w:val="auto"/>
              </w:rPr>
            </w:pPr>
            <w:r>
              <w:rPr>
                <w:rFonts w:ascii="Arial" w:cs="Arial" w:eastAsia="Arial" w:hAnsi="Arial"/>
                <w:sz w:val="15"/>
                <w:szCs w:val="15"/>
                <w:b w:val="1"/>
                <w:bCs w:val="1"/>
                <w:color w:val="auto"/>
              </w:rPr>
              <w:t>2019</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244"/>
              <w:spacing w:after="0"/>
              <w:rPr>
                <w:sz w:val="20"/>
                <w:szCs w:val="20"/>
                <w:color w:val="auto"/>
              </w:rPr>
            </w:pPr>
            <w:r>
              <w:rPr>
                <w:rFonts w:ascii="Arial" w:cs="Arial" w:eastAsia="Arial" w:hAnsi="Arial"/>
                <w:sz w:val="15"/>
                <w:szCs w:val="15"/>
                <w:b w:val="1"/>
                <w:bCs w:val="1"/>
                <w:color w:val="auto"/>
              </w:rPr>
              <w:t>2020</w:t>
            </w:r>
          </w:p>
        </w:tc>
        <w:tc>
          <w:tcPr>
            <w:tcW w:w="10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244"/>
              <w:spacing w:after="0"/>
              <w:rPr>
                <w:sz w:val="20"/>
                <w:szCs w:val="20"/>
                <w:color w:val="auto"/>
              </w:rPr>
            </w:pPr>
            <w:r>
              <w:rPr>
                <w:rFonts w:ascii="Arial" w:cs="Arial" w:eastAsia="Arial" w:hAnsi="Arial"/>
                <w:sz w:val="15"/>
                <w:szCs w:val="15"/>
                <w:b w:val="1"/>
                <w:bCs w:val="1"/>
                <w:color w:val="auto"/>
              </w:rPr>
              <w:t>2019</w:t>
            </w:r>
          </w:p>
        </w:tc>
      </w:tr>
      <w:tr>
        <w:trPr>
          <w:trHeight w:val="34"/>
        </w:trPr>
        <w:tc>
          <w:tcPr>
            <w:tcW w:w="6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03"/>
        </w:trPr>
        <w:tc>
          <w:tcPr>
            <w:tcW w:w="68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Net income (loss)</w:t>
            </w: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20,903</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(26,543)</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18,417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301,788</w:t>
            </w:r>
          </w:p>
        </w:tc>
      </w:tr>
      <w:tr>
        <w:trPr>
          <w:trHeight w:val="198"/>
        </w:trPr>
        <w:tc>
          <w:tcPr>
            <w:tcW w:w="6860" w:type="dxa"/>
            <w:vAlign w:val="bottom"/>
          </w:tcPr>
          <w:p>
            <w:pPr>
              <w:ind w:left="20"/>
              <w:spacing w:after="0"/>
              <w:rPr>
                <w:sz w:val="20"/>
                <w:szCs w:val="20"/>
                <w:color w:val="auto"/>
              </w:rPr>
            </w:pPr>
            <w:r>
              <w:rPr>
                <w:rFonts w:ascii="Arial" w:cs="Arial" w:eastAsia="Arial" w:hAnsi="Arial"/>
                <w:sz w:val="15"/>
                <w:szCs w:val="15"/>
                <w:color w:val="auto"/>
              </w:rPr>
              <w:t>Other comprehensive income (loss)</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7"/>
        </w:trPr>
        <w:tc>
          <w:tcPr>
            <w:tcW w:w="68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Foreign currency translation adjustments</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913</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(861)</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(1,038)</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(608)</w:t>
            </w:r>
          </w:p>
        </w:tc>
      </w:tr>
      <w:tr>
        <w:trPr>
          <w:trHeight w:val="159"/>
        </w:trPr>
        <w:tc>
          <w:tcPr>
            <w:tcW w:w="6860" w:type="dxa"/>
            <w:vAlign w:val="bottom"/>
          </w:tcPr>
          <w:p>
            <w:pPr>
              <w:ind w:left="320"/>
              <w:spacing w:after="0" w:line="159" w:lineRule="exact"/>
              <w:rPr>
                <w:sz w:val="20"/>
                <w:szCs w:val="20"/>
                <w:color w:val="auto"/>
              </w:rPr>
            </w:pPr>
            <w:r>
              <w:rPr>
                <w:rFonts w:ascii="Arial" w:cs="Arial" w:eastAsia="Arial" w:hAnsi="Arial"/>
                <w:sz w:val="15"/>
                <w:szCs w:val="15"/>
                <w:color w:val="auto"/>
              </w:rPr>
              <w:t>Foreign currency amounts reclassified from accumulated other comprehensive income (loss)</w:t>
            </w: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88"/>
        </w:trPr>
        <w:tc>
          <w:tcPr>
            <w:tcW w:w="6860" w:type="dxa"/>
            <w:vAlign w:val="bottom"/>
          </w:tcPr>
          <w:p>
            <w:pPr>
              <w:ind w:left="320"/>
              <w:spacing w:after="0"/>
              <w:rPr>
                <w:sz w:val="20"/>
                <w:szCs w:val="20"/>
                <w:color w:val="auto"/>
              </w:rPr>
            </w:pPr>
            <w:r>
              <w:rPr>
                <w:rFonts w:ascii="Arial" w:cs="Arial" w:eastAsia="Arial" w:hAnsi="Arial"/>
                <w:sz w:val="15"/>
                <w:szCs w:val="15"/>
                <w:color w:val="auto"/>
              </w:rPr>
              <w:t>that increase net income:</w:t>
            </w: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07"/>
        </w:trPr>
        <w:tc>
          <w:tcPr>
            <w:tcW w:w="6860" w:type="dxa"/>
            <w:vAlign w:val="bottom"/>
            <w:shd w:val="clear" w:color="auto" w:fill="CCEEFF"/>
          </w:tcPr>
          <w:p>
            <w:pPr>
              <w:ind w:left="600"/>
              <w:spacing w:after="0"/>
              <w:rPr>
                <w:sz w:val="20"/>
                <w:szCs w:val="20"/>
                <w:color w:val="auto"/>
              </w:rPr>
            </w:pPr>
            <w:r>
              <w:rPr>
                <w:rFonts w:ascii="Arial" w:cs="Arial" w:eastAsia="Arial" w:hAnsi="Arial"/>
                <w:sz w:val="15"/>
                <w:szCs w:val="15"/>
                <w:color w:val="auto"/>
              </w:rPr>
              <w:t>Disposition of Manitoba Harvest</w:t>
            </w: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4,791</w:t>
            </w:r>
          </w:p>
        </w:tc>
      </w:tr>
      <w:tr>
        <w:trPr>
          <w:trHeight w:val="198"/>
        </w:trPr>
        <w:tc>
          <w:tcPr>
            <w:tcW w:w="6860" w:type="dxa"/>
            <w:vAlign w:val="bottom"/>
            <w:tcBorders>
              <w:bottom w:val="single" w:sz="8" w:color="CCEEFF"/>
            </w:tcBorders>
          </w:tcPr>
          <w:p>
            <w:pPr>
              <w:ind w:left="320"/>
              <w:spacing w:after="0"/>
              <w:rPr>
                <w:sz w:val="20"/>
                <w:szCs w:val="20"/>
                <w:color w:val="auto"/>
              </w:rPr>
            </w:pPr>
            <w:r>
              <w:rPr>
                <w:rFonts w:ascii="Arial" w:cs="Arial" w:eastAsia="Arial" w:hAnsi="Arial"/>
                <w:sz w:val="15"/>
                <w:szCs w:val="15"/>
                <w:color w:val="auto"/>
              </w:rPr>
              <w:t>Pension benefit liability, net</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168</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(690)</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524</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(1,470)</w:t>
            </w:r>
          </w:p>
        </w:tc>
      </w:tr>
      <w:tr>
        <w:trPr>
          <w:trHeight w:val="200"/>
        </w:trPr>
        <w:tc>
          <w:tcPr>
            <w:tcW w:w="68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Other comprehensive income (loss)</w:t>
            </w: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1,081</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(1,551)</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(514)</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2,713</w:t>
            </w:r>
          </w:p>
        </w:tc>
      </w:tr>
      <w:tr>
        <w:trPr>
          <w:trHeight w:val="192"/>
        </w:trPr>
        <w:tc>
          <w:tcPr>
            <w:tcW w:w="6860" w:type="dxa"/>
            <w:vAlign w:val="bottom"/>
          </w:tcPr>
          <w:p>
            <w:pPr>
              <w:ind w:left="20"/>
              <w:spacing w:after="0"/>
              <w:rPr>
                <w:sz w:val="20"/>
                <w:szCs w:val="20"/>
                <w:color w:val="auto"/>
              </w:rPr>
            </w:pPr>
            <w:r>
              <w:rPr>
                <w:rFonts w:ascii="Arial" w:cs="Arial" w:eastAsia="Arial" w:hAnsi="Arial"/>
                <w:sz w:val="15"/>
                <w:szCs w:val="15"/>
                <w:color w:val="auto"/>
              </w:rPr>
              <w:t>Total comprehensive income (loss), net of tax</w:t>
            </w: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21,984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(28,094)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17,903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4"/>
              <w:spacing w:after="0"/>
              <w:rPr>
                <w:sz w:val="20"/>
                <w:szCs w:val="20"/>
                <w:color w:val="auto"/>
              </w:rPr>
            </w:pPr>
            <w:r>
              <w:rPr>
                <w:rFonts w:ascii="Arial" w:cs="Arial" w:eastAsia="Arial" w:hAnsi="Arial"/>
                <w:sz w:val="15"/>
                <w:szCs w:val="15"/>
                <w:color w:val="auto"/>
              </w:rPr>
              <w:t>304,501</w:t>
            </w:r>
          </w:p>
        </w:tc>
      </w:tr>
      <w:tr>
        <w:trPr>
          <w:trHeight w:val="207"/>
        </w:trPr>
        <w:tc>
          <w:tcPr>
            <w:tcW w:w="6860" w:type="dxa"/>
            <w:vAlign w:val="bottom"/>
            <w:shd w:val="clear" w:color="auto" w:fill="CCEEFF"/>
          </w:tcPr>
          <w:p>
            <w:pPr>
              <w:ind w:left="20"/>
              <w:spacing w:after="0"/>
              <w:rPr>
                <w:sz w:val="20"/>
                <w:szCs w:val="20"/>
                <w:color w:val="auto"/>
              </w:rPr>
            </w:pPr>
            <w:r>
              <w:rPr>
                <w:rFonts w:ascii="Arial" w:cs="Arial" w:eastAsia="Arial" w:hAnsi="Arial"/>
                <w:sz w:val="15"/>
                <w:szCs w:val="15"/>
                <w:color w:val="auto"/>
              </w:rPr>
              <w:t>Less: Net income attributable to noncontrolling interests</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1,717</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1,242</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4,003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3,731</w:t>
            </w:r>
          </w:p>
        </w:tc>
      </w:tr>
      <w:tr>
        <w:trPr>
          <w:trHeight w:val="198"/>
        </w:trPr>
        <w:tc>
          <w:tcPr>
            <w:tcW w:w="68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Less: Other comprehensive income (loss) attributable to noncontrolling interests</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39</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(67)</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(97)</w:t>
            </w:r>
          </w:p>
        </w:tc>
      </w:tr>
      <w:tr>
        <w:trPr>
          <w:trHeight w:val="225"/>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Total comprehensive income (loss) attributable to Holdings, net of tax</w:t>
            </w: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20,228</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(29,269)</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13,884</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300,867</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886" w:right="35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COMPASS DIVERSIFIED HOLDINGS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160" w:type="dxa"/>
            <w:vAlign w:val="bottom"/>
            <w:vMerge w:val="restart"/>
          </w:tcPr>
          <w:p>
            <w:pPr>
              <w:ind w:left="20"/>
              <w:spacing w:after="0"/>
              <w:rPr>
                <w:sz w:val="20"/>
                <w:szCs w:val="20"/>
                <w:color w:val="auto"/>
              </w:rPr>
            </w:pPr>
            <w:r>
              <w:rPr>
                <w:rFonts w:ascii="Arial" w:cs="Arial" w:eastAsia="Arial" w:hAnsi="Arial"/>
                <w:sz w:val="13"/>
                <w:szCs w:val="13"/>
                <w:i w:val="1"/>
                <w:iCs w:val="1"/>
                <w:color w:val="auto"/>
              </w:rPr>
              <w:t>(in thousands)</w:t>
            </w:r>
          </w:p>
        </w:tc>
        <w:tc>
          <w:tcPr>
            <w:tcW w:w="2180" w:type="dxa"/>
            <w:vAlign w:val="bottom"/>
            <w:gridSpan w:val="7"/>
            <w:vMerge w:val="restart"/>
          </w:tcPr>
          <w:p>
            <w:pPr>
              <w:ind w:left="320"/>
              <w:spacing w:after="0"/>
              <w:rPr>
                <w:sz w:val="20"/>
                <w:szCs w:val="20"/>
                <w:color w:val="auto"/>
              </w:rPr>
            </w:pPr>
            <w:r>
              <w:rPr>
                <w:rFonts w:ascii="Arial" w:cs="Arial" w:eastAsia="Arial" w:hAnsi="Arial"/>
                <w:sz w:val="13"/>
                <w:szCs w:val="13"/>
                <w:b w:val="1"/>
                <w:bCs w:val="1"/>
                <w:color w:val="auto"/>
              </w:rPr>
              <w:t>Trust Preferred Shares</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Non-</w:t>
            </w: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2160" w:type="dxa"/>
            <w:vAlign w:val="bottom"/>
            <w:vMerge w:val="continue"/>
          </w:tcPr>
          <w:p>
            <w:pPr>
              <w:spacing w:after="0"/>
              <w:rPr>
                <w:sz w:val="10"/>
                <w:szCs w:val="10"/>
                <w:color w:val="auto"/>
              </w:rPr>
            </w:pPr>
          </w:p>
        </w:tc>
        <w:tc>
          <w:tcPr>
            <w:tcW w:w="2180" w:type="dxa"/>
            <w:vAlign w:val="bottom"/>
            <w:gridSpan w:val="7"/>
            <w:vMerge w:val="continue"/>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center"/>
              <w:ind w:right="180"/>
              <w:spacing w:after="0" w:line="115" w:lineRule="exact"/>
              <w:rPr>
                <w:sz w:val="20"/>
                <w:szCs w:val="20"/>
                <w:color w:val="auto"/>
              </w:rPr>
            </w:pPr>
            <w:r>
              <w:rPr>
                <w:rFonts w:ascii="Arial" w:cs="Arial" w:eastAsia="Arial" w:hAnsi="Arial"/>
                <w:sz w:val="13"/>
                <w:szCs w:val="13"/>
                <w:b w:val="1"/>
                <w:bCs w:val="1"/>
                <w:color w:val="auto"/>
              </w:rPr>
              <w:t>Accumulated</w:t>
            </w:r>
          </w:p>
        </w:tc>
        <w:tc>
          <w:tcPr>
            <w:tcW w:w="1020" w:type="dxa"/>
            <w:vAlign w:val="bottom"/>
            <w:gridSpan w:val="3"/>
          </w:tcPr>
          <w:p>
            <w:pPr>
              <w:ind w:left="20"/>
              <w:spacing w:after="0" w:line="115" w:lineRule="exact"/>
              <w:rPr>
                <w:sz w:val="20"/>
                <w:szCs w:val="20"/>
                <w:color w:val="auto"/>
              </w:rPr>
            </w:pPr>
            <w:r>
              <w:rPr>
                <w:rFonts w:ascii="Arial" w:cs="Arial" w:eastAsia="Arial" w:hAnsi="Arial"/>
                <w:sz w:val="13"/>
                <w:szCs w:val="13"/>
                <w:b w:val="1"/>
                <w:bCs w:val="1"/>
                <w:color w:val="auto"/>
              </w:rPr>
              <w:t>Stockholders'</w:t>
            </w: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center"/>
              <w:ind w:right="180"/>
              <w:spacing w:after="0" w:line="115" w:lineRule="exact"/>
              <w:rPr>
                <w:sz w:val="20"/>
                <w:szCs w:val="20"/>
                <w:color w:val="auto"/>
              </w:rPr>
            </w:pPr>
            <w:r>
              <w:rPr>
                <w:rFonts w:ascii="Arial" w:cs="Arial" w:eastAsia="Arial" w:hAnsi="Arial"/>
                <w:sz w:val="13"/>
                <w:szCs w:val="13"/>
                <w:b w:val="1"/>
                <w:bCs w:val="1"/>
                <w:color w:val="auto"/>
              </w:rPr>
              <w:t>Controlling</w:t>
            </w: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16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98"/>
              </w:rPr>
              <w:t>Trust</w:t>
            </w:r>
          </w:p>
        </w:tc>
        <w:tc>
          <w:tcPr>
            <w:tcW w:w="98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Accumulated</w:t>
            </w:r>
          </w:p>
        </w:tc>
        <w:tc>
          <w:tcPr>
            <w:tcW w:w="100" w:type="dxa"/>
            <w:vAlign w:val="bottom"/>
          </w:tcPr>
          <w:p>
            <w:pPr>
              <w:spacing w:after="0"/>
              <w:rPr>
                <w:sz w:val="11"/>
                <w:szCs w:val="11"/>
                <w:color w:val="auto"/>
              </w:rPr>
            </w:pPr>
          </w:p>
        </w:tc>
        <w:tc>
          <w:tcPr>
            <w:tcW w:w="102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rPr>
              <w:t>Other</w:t>
            </w:r>
          </w:p>
        </w:tc>
        <w:tc>
          <w:tcPr>
            <w:tcW w:w="100" w:type="dxa"/>
            <w:vAlign w:val="bottom"/>
          </w:tcPr>
          <w:p>
            <w:pPr>
              <w:spacing w:after="0"/>
              <w:rPr>
                <w:sz w:val="11"/>
                <w:szCs w:val="11"/>
                <w:color w:val="auto"/>
              </w:rPr>
            </w:pPr>
          </w:p>
        </w:tc>
        <w:tc>
          <w:tcPr>
            <w:tcW w:w="92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rPr>
              <w:t>Equity</w:t>
            </w:r>
          </w:p>
        </w:tc>
        <w:tc>
          <w:tcPr>
            <w:tcW w:w="120" w:type="dxa"/>
            <w:vAlign w:val="bottom"/>
          </w:tcPr>
          <w:p>
            <w:pPr>
              <w:spacing w:after="0"/>
              <w:rPr>
                <w:sz w:val="11"/>
                <w:szCs w:val="11"/>
                <w:color w:val="auto"/>
              </w:rPr>
            </w:pPr>
          </w:p>
        </w:tc>
        <w:tc>
          <w:tcPr>
            <w:tcW w:w="720" w:type="dxa"/>
            <w:vAlign w:val="bottom"/>
            <w:gridSpan w:val="2"/>
          </w:tcPr>
          <w:p>
            <w:pPr>
              <w:ind w:left="100"/>
              <w:spacing w:after="0" w:line="135" w:lineRule="exact"/>
              <w:rPr>
                <w:sz w:val="20"/>
                <w:szCs w:val="20"/>
                <w:color w:val="auto"/>
              </w:rPr>
            </w:pPr>
            <w:r>
              <w:rPr>
                <w:rFonts w:ascii="Arial" w:cs="Arial" w:eastAsia="Arial" w:hAnsi="Arial"/>
                <w:sz w:val="13"/>
                <w:szCs w:val="13"/>
                <w:b w:val="1"/>
                <w:bCs w:val="1"/>
                <w:color w:val="auto"/>
              </w:rPr>
              <w:t>Non-</w:t>
            </w:r>
          </w:p>
        </w:tc>
        <w:tc>
          <w:tcPr>
            <w:tcW w:w="100" w:type="dxa"/>
            <w:vAlign w:val="bottom"/>
          </w:tcPr>
          <w:p>
            <w:pPr>
              <w:spacing w:after="0"/>
              <w:rPr>
                <w:sz w:val="11"/>
                <w:szCs w:val="11"/>
                <w:color w:val="auto"/>
              </w:rPr>
            </w:pPr>
          </w:p>
        </w:tc>
        <w:tc>
          <w:tcPr>
            <w:tcW w:w="90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rPr>
              <w:t>Interest</w:t>
            </w:r>
          </w:p>
        </w:tc>
        <w:tc>
          <w:tcPr>
            <w:tcW w:w="180" w:type="dxa"/>
            <w:vAlign w:val="bottom"/>
          </w:tcPr>
          <w:p>
            <w:pPr>
              <w:spacing w:after="0"/>
              <w:rPr>
                <w:sz w:val="11"/>
                <w:szCs w:val="11"/>
                <w:color w:val="auto"/>
              </w:rPr>
            </w:pPr>
          </w:p>
        </w:tc>
        <w:tc>
          <w:tcPr>
            <w:tcW w:w="800" w:type="dxa"/>
            <w:vAlign w:val="bottom"/>
          </w:tcPr>
          <w:p>
            <w:pPr>
              <w:jc w:val="center"/>
              <w:ind w:right="110"/>
              <w:spacing w:after="0" w:line="135" w:lineRule="exact"/>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35"/>
        </w:trPr>
        <w:tc>
          <w:tcPr>
            <w:tcW w:w="216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Series A</w:t>
            </w:r>
          </w:p>
        </w:tc>
        <w:tc>
          <w:tcPr>
            <w:tcW w:w="100" w:type="dxa"/>
            <w:vAlign w:val="bottom"/>
            <w:vMerge w:val="restart"/>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9"/>
              </w:rPr>
              <w:t>Series B</w:t>
            </w:r>
          </w:p>
        </w:tc>
        <w:tc>
          <w:tcPr>
            <w:tcW w:w="80" w:type="dxa"/>
            <w:vAlign w:val="bottom"/>
            <w:vMerge w:val="restart"/>
          </w:tcPr>
          <w:p>
            <w:pPr>
              <w:spacing w:after="0"/>
              <w:rPr>
                <w:sz w:val="11"/>
                <w:szCs w:val="11"/>
                <w:color w:val="auto"/>
              </w:rPr>
            </w:pPr>
          </w:p>
        </w:tc>
        <w:tc>
          <w:tcPr>
            <w:tcW w:w="6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Series C</w:t>
            </w:r>
          </w:p>
        </w:tc>
        <w:tc>
          <w:tcPr>
            <w:tcW w:w="8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rPr>
              <w:t>Common</w:t>
            </w:r>
          </w:p>
        </w:tc>
        <w:tc>
          <w:tcPr>
            <w:tcW w:w="980" w:type="dxa"/>
            <w:vAlign w:val="bottom"/>
            <w:gridSpan w:val="3"/>
            <w:vMerge w:val="continue"/>
          </w:tcPr>
          <w:p>
            <w:pPr>
              <w:spacing w:after="0"/>
              <w:rPr>
                <w:sz w:val="11"/>
                <w:szCs w:val="11"/>
                <w:color w:val="auto"/>
              </w:rPr>
            </w:pPr>
          </w:p>
        </w:tc>
        <w:tc>
          <w:tcPr>
            <w:tcW w:w="112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rPr>
              <w:t>Comprehensive</w:t>
            </w:r>
          </w:p>
        </w:tc>
        <w:tc>
          <w:tcPr>
            <w:tcW w:w="1020" w:type="dxa"/>
            <w:vAlign w:val="bottom"/>
            <w:gridSpan w:val="3"/>
          </w:tcPr>
          <w:p>
            <w:pPr>
              <w:jc w:val="center"/>
              <w:ind w:right="60"/>
              <w:spacing w:after="0" w:line="135" w:lineRule="exact"/>
              <w:rPr>
                <w:sz w:val="20"/>
                <w:szCs w:val="20"/>
                <w:color w:val="auto"/>
              </w:rPr>
            </w:pPr>
            <w:r>
              <w:rPr>
                <w:rFonts w:ascii="Arial" w:cs="Arial" w:eastAsia="Arial" w:hAnsi="Arial"/>
                <w:sz w:val="13"/>
                <w:szCs w:val="13"/>
                <w:b w:val="1"/>
                <w:bCs w:val="1"/>
                <w:color w:val="auto"/>
              </w:rPr>
              <w:t>Attributable</w:t>
            </w:r>
          </w:p>
        </w:tc>
        <w:tc>
          <w:tcPr>
            <w:tcW w:w="84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rPr>
              <w:t>Controlling</w:t>
            </w:r>
          </w:p>
        </w:tc>
        <w:tc>
          <w:tcPr>
            <w:tcW w:w="1000" w:type="dxa"/>
            <w:vAlign w:val="bottom"/>
            <w:gridSpan w:val="3"/>
          </w:tcPr>
          <w:p>
            <w:pPr>
              <w:jc w:val="center"/>
              <w:ind w:right="80"/>
              <w:spacing w:after="0" w:line="135" w:lineRule="exact"/>
              <w:rPr>
                <w:sz w:val="20"/>
                <w:szCs w:val="20"/>
                <w:color w:val="auto"/>
              </w:rPr>
            </w:pPr>
            <w:r>
              <w:rPr>
                <w:rFonts w:ascii="Arial" w:cs="Arial" w:eastAsia="Arial" w:hAnsi="Arial"/>
                <w:sz w:val="13"/>
                <w:szCs w:val="13"/>
                <w:b w:val="1"/>
                <w:bCs w:val="1"/>
                <w:color w:val="auto"/>
              </w:rPr>
              <w:t>Attributable</w:t>
            </w:r>
          </w:p>
        </w:tc>
        <w:tc>
          <w:tcPr>
            <w:tcW w:w="98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rPr>
              <w:t>Stockholders’</w:t>
            </w:r>
          </w:p>
        </w:tc>
        <w:tc>
          <w:tcPr>
            <w:tcW w:w="0" w:type="dxa"/>
            <w:vAlign w:val="bottom"/>
          </w:tcPr>
          <w:p>
            <w:pPr>
              <w:spacing w:after="0"/>
              <w:rPr>
                <w:sz w:val="1"/>
                <w:szCs w:val="1"/>
                <w:color w:val="auto"/>
              </w:rPr>
            </w:pPr>
          </w:p>
        </w:tc>
      </w:tr>
      <w:tr>
        <w:trPr>
          <w:trHeight w:val="184"/>
        </w:trPr>
        <w:tc>
          <w:tcPr>
            <w:tcW w:w="216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680" w:type="dxa"/>
            <w:vAlign w:val="bottom"/>
            <w:tcBorders>
              <w:bottom w:val="single" w:sz="8" w:color="auto"/>
            </w:tcBorders>
            <w:gridSpan w:val="2"/>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31"/>
              <w:spacing w:after="0"/>
              <w:rPr>
                <w:sz w:val="20"/>
                <w:szCs w:val="20"/>
                <w:color w:val="auto"/>
              </w:rPr>
            </w:pPr>
            <w:r>
              <w:rPr>
                <w:rFonts w:ascii="Arial" w:cs="Arial" w:eastAsia="Arial" w:hAnsi="Arial"/>
                <w:sz w:val="13"/>
                <w:szCs w:val="13"/>
                <w:b w:val="1"/>
                <w:bCs w:val="1"/>
                <w:color w:val="auto"/>
              </w:rPr>
              <w:t>Shares</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70"/>
              <w:spacing w:after="0"/>
              <w:rPr>
                <w:sz w:val="20"/>
                <w:szCs w:val="20"/>
                <w:color w:val="auto"/>
              </w:rPr>
            </w:pPr>
            <w:r>
              <w:rPr>
                <w:rFonts w:ascii="Arial" w:cs="Arial" w:eastAsia="Arial" w:hAnsi="Arial"/>
                <w:sz w:val="13"/>
                <w:szCs w:val="13"/>
                <w:b w:val="1"/>
                <w:bCs w:val="1"/>
                <w:color w:val="auto"/>
              </w:rPr>
              <w:t>Deficit</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31"/>
              <w:spacing w:after="0"/>
              <w:rPr>
                <w:sz w:val="20"/>
                <w:szCs w:val="20"/>
                <w:color w:val="auto"/>
              </w:rPr>
            </w:pPr>
            <w:r>
              <w:rPr>
                <w:rFonts w:ascii="Arial" w:cs="Arial" w:eastAsia="Arial" w:hAnsi="Arial"/>
                <w:sz w:val="13"/>
                <w:szCs w:val="13"/>
                <w:b w:val="1"/>
                <w:bCs w:val="1"/>
                <w:color w:val="auto"/>
              </w:rPr>
              <w:t>Loss</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30"/>
              <w:spacing w:after="0"/>
              <w:rPr>
                <w:sz w:val="20"/>
                <w:szCs w:val="20"/>
                <w:color w:val="auto"/>
              </w:rPr>
            </w:pPr>
            <w:r>
              <w:rPr>
                <w:rFonts w:ascii="Arial" w:cs="Arial" w:eastAsia="Arial" w:hAnsi="Arial"/>
                <w:sz w:val="13"/>
                <w:szCs w:val="13"/>
                <w:b w:val="1"/>
                <w:bCs w:val="1"/>
                <w:color w:val="auto"/>
              </w:rPr>
              <w:t>to Holdings</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70"/>
              <w:spacing w:after="0"/>
              <w:rPr>
                <w:sz w:val="20"/>
                <w:szCs w:val="20"/>
                <w:color w:val="auto"/>
              </w:rPr>
            </w:pPr>
            <w:r>
              <w:rPr>
                <w:rFonts w:ascii="Arial" w:cs="Arial" w:eastAsia="Arial" w:hAnsi="Arial"/>
                <w:sz w:val="13"/>
                <w:szCs w:val="13"/>
                <w:b w:val="1"/>
                <w:bCs w:val="1"/>
                <w:color w:val="auto"/>
              </w:rPr>
              <w:t>Interest</w:t>
            </w:r>
          </w:p>
        </w:tc>
        <w:tc>
          <w:tcPr>
            <w:tcW w:w="8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rPr>
              <w:t>to Disc. Ops.</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110"/>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88"/>
        </w:trPr>
        <w:tc>
          <w:tcPr>
            <w:tcW w:w="21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 July 1, 2019</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$ 96,417</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w w:val="95"/>
              </w:rPr>
              <w:t>$ 96,504</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924,680</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17,715</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(4,512)</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1,130,804</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45,977</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1,176,781</w:t>
            </w:r>
          </w:p>
        </w:tc>
        <w:tc>
          <w:tcPr>
            <w:tcW w:w="0" w:type="dxa"/>
            <w:vAlign w:val="bottom"/>
          </w:tcPr>
          <w:p>
            <w:pPr>
              <w:spacing w:after="0"/>
              <w:rPr>
                <w:sz w:val="1"/>
                <w:szCs w:val="1"/>
                <w:color w:val="auto"/>
              </w:rPr>
            </w:pPr>
          </w:p>
        </w:tc>
      </w:tr>
      <w:tr>
        <w:trPr>
          <w:trHeight w:val="189"/>
        </w:trPr>
        <w:tc>
          <w:tcPr>
            <w:tcW w:w="216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(27,785)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(27,785)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ind w:right="10"/>
              <w:spacing w:after="0"/>
              <w:rPr>
                <w:sz w:val="20"/>
                <w:szCs w:val="20"/>
                <w:color w:val="auto"/>
              </w:rPr>
            </w:pPr>
            <w:r>
              <w:rPr>
                <w:rFonts w:ascii="Arial" w:cs="Arial" w:eastAsia="Arial" w:hAnsi="Arial"/>
                <w:sz w:val="14"/>
                <w:szCs w:val="14"/>
                <w:color w:val="auto"/>
              </w:rPr>
              <w:t>1,242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(26,543)</w:t>
            </w:r>
          </w:p>
        </w:tc>
        <w:tc>
          <w:tcPr>
            <w:tcW w:w="0" w:type="dxa"/>
            <w:vAlign w:val="bottom"/>
          </w:tcPr>
          <w:p>
            <w:pPr>
              <w:spacing w:after="0"/>
              <w:rPr>
                <w:sz w:val="1"/>
                <w:szCs w:val="1"/>
                <w:color w:val="auto"/>
              </w:rPr>
            </w:pPr>
          </w:p>
        </w:tc>
      </w:tr>
      <w:tr>
        <w:trPr>
          <w:trHeight w:val="189"/>
        </w:trPr>
        <w:tc>
          <w:tcPr>
            <w:tcW w:w="2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comprehensive loss, net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(1,551)</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(1,551)</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(1,551)</w:t>
            </w:r>
          </w:p>
        </w:tc>
        <w:tc>
          <w:tcPr>
            <w:tcW w:w="0" w:type="dxa"/>
            <w:vAlign w:val="bottom"/>
          </w:tcPr>
          <w:p>
            <w:pPr>
              <w:spacing w:after="0"/>
              <w:rPr>
                <w:sz w:val="1"/>
                <w:szCs w:val="1"/>
                <w:color w:val="auto"/>
              </w:rPr>
            </w:pPr>
          </w:p>
        </w:tc>
      </w:tr>
      <w:tr>
        <w:trPr>
          <w:trHeight w:val="153"/>
        </w:trPr>
        <w:tc>
          <w:tcPr>
            <w:tcW w:w="2160" w:type="dxa"/>
            <w:vAlign w:val="bottom"/>
          </w:tcPr>
          <w:p>
            <w:pPr>
              <w:ind w:left="20"/>
              <w:spacing w:after="0" w:line="153" w:lineRule="exact"/>
              <w:rPr>
                <w:sz w:val="20"/>
                <w:szCs w:val="20"/>
                <w:color w:val="auto"/>
              </w:rPr>
            </w:pPr>
            <w:r>
              <w:rPr>
                <w:rFonts w:ascii="Arial" w:cs="Arial" w:eastAsia="Arial" w:hAnsi="Arial"/>
                <w:sz w:val="14"/>
                <w:szCs w:val="14"/>
                <w:color w:val="auto"/>
              </w:rPr>
              <w:t>Option activity attributable to</w:t>
            </w: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40" w:type="dxa"/>
            <w:vAlign w:val="bottom"/>
            <w:vMerge w:val="restart"/>
          </w:tcPr>
          <w:p>
            <w:pPr>
              <w:jc w:val="right"/>
              <w:ind w:right="10"/>
              <w:spacing w:after="0"/>
              <w:rPr>
                <w:sz w:val="20"/>
                <w:szCs w:val="20"/>
                <w:color w:val="auto"/>
              </w:rPr>
            </w:pPr>
            <w:r>
              <w:rPr>
                <w:rFonts w:ascii="Arial" w:cs="Arial" w:eastAsia="Arial" w:hAnsi="Arial"/>
                <w:sz w:val="14"/>
                <w:szCs w:val="14"/>
                <w:color w:val="auto"/>
              </w:rPr>
              <w:t>936</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vMerge w:val="restart"/>
          </w:tcPr>
          <w:p>
            <w:pPr>
              <w:ind w:left="6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936</w:t>
            </w:r>
          </w:p>
        </w:tc>
        <w:tc>
          <w:tcPr>
            <w:tcW w:w="0" w:type="dxa"/>
            <w:vAlign w:val="bottom"/>
          </w:tcPr>
          <w:p>
            <w:pPr>
              <w:spacing w:after="0"/>
              <w:rPr>
                <w:sz w:val="1"/>
                <w:szCs w:val="1"/>
                <w:color w:val="auto"/>
              </w:rPr>
            </w:pPr>
          </w:p>
        </w:tc>
      </w:tr>
      <w:tr>
        <w:trPr>
          <w:trHeight w:val="171"/>
        </w:trPr>
        <w:tc>
          <w:tcPr>
            <w:tcW w:w="2160" w:type="dxa"/>
            <w:vAlign w:val="bottom"/>
          </w:tcPr>
          <w:p>
            <w:pPr>
              <w:ind w:left="20"/>
              <w:spacing w:after="0"/>
              <w:rPr>
                <w:sz w:val="20"/>
                <w:szCs w:val="20"/>
                <w:color w:val="auto"/>
              </w:rPr>
            </w:pPr>
            <w:r>
              <w:rPr>
                <w:rFonts w:ascii="Arial" w:cs="Arial" w:eastAsia="Arial" w:hAnsi="Arial"/>
                <w:sz w:val="14"/>
                <w:szCs w:val="14"/>
                <w:color w:val="auto"/>
              </w:rPr>
              <w:t>noncontrolling shareholders</w:t>
            </w:r>
          </w:p>
        </w:tc>
        <w:tc>
          <w:tcPr>
            <w:tcW w:w="72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16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Purchase of noncontrolling</w:t>
            </w: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0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(710)</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(710)</w:t>
            </w:r>
          </w:p>
        </w:tc>
        <w:tc>
          <w:tcPr>
            <w:tcW w:w="0" w:type="dxa"/>
            <w:vAlign w:val="bottom"/>
          </w:tcPr>
          <w:p>
            <w:pPr>
              <w:spacing w:after="0"/>
              <w:rPr>
                <w:sz w:val="1"/>
                <w:szCs w:val="1"/>
                <w:color w:val="auto"/>
              </w:rPr>
            </w:pPr>
          </w:p>
        </w:tc>
      </w:tr>
      <w:tr>
        <w:trPr>
          <w:trHeight w:val="171"/>
        </w:trPr>
        <w:tc>
          <w:tcPr>
            <w:tcW w:w="2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w:t>
            </w:r>
          </w:p>
        </w:tc>
        <w:tc>
          <w:tcPr>
            <w:tcW w:w="72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160" w:type="dxa"/>
            <w:vAlign w:val="bottom"/>
          </w:tcPr>
          <w:p>
            <w:pPr>
              <w:ind w:left="20"/>
              <w:spacing w:after="0" w:line="153" w:lineRule="exact"/>
              <w:rPr>
                <w:sz w:val="20"/>
                <w:szCs w:val="20"/>
                <w:color w:val="auto"/>
              </w:rPr>
            </w:pPr>
            <w:r>
              <w:rPr>
                <w:rFonts w:ascii="Arial" w:cs="Arial" w:eastAsia="Arial" w:hAnsi="Arial"/>
                <w:sz w:val="14"/>
                <w:szCs w:val="14"/>
                <w:color w:val="auto"/>
              </w:rPr>
              <w:t>Distributions paid - Allocation</w:t>
            </w: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(43,313)</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(43,313)</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00" w:type="dxa"/>
            <w:vAlign w:val="bottom"/>
            <w:gridSpan w:val="2"/>
            <w:vMerge w:val="restart"/>
          </w:tcPr>
          <w:p>
            <w:pPr>
              <w:ind w:left="6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(43,313)</w:t>
            </w:r>
          </w:p>
        </w:tc>
        <w:tc>
          <w:tcPr>
            <w:tcW w:w="0" w:type="dxa"/>
            <w:vAlign w:val="bottom"/>
          </w:tcPr>
          <w:p>
            <w:pPr>
              <w:spacing w:after="0"/>
              <w:rPr>
                <w:sz w:val="1"/>
                <w:szCs w:val="1"/>
                <w:color w:val="auto"/>
              </w:rPr>
            </w:pPr>
          </w:p>
        </w:tc>
      </w:tr>
      <w:tr>
        <w:trPr>
          <w:trHeight w:val="171"/>
        </w:trPr>
        <w:tc>
          <w:tcPr>
            <w:tcW w:w="2160" w:type="dxa"/>
            <w:vAlign w:val="bottom"/>
          </w:tcPr>
          <w:p>
            <w:pPr>
              <w:ind w:left="20"/>
              <w:spacing w:after="0"/>
              <w:rPr>
                <w:sz w:val="20"/>
                <w:szCs w:val="20"/>
                <w:color w:val="auto"/>
              </w:rPr>
            </w:pPr>
            <w:r>
              <w:rPr>
                <w:rFonts w:ascii="Arial" w:cs="Arial" w:eastAsia="Arial" w:hAnsi="Arial"/>
                <w:sz w:val="14"/>
                <w:szCs w:val="14"/>
                <w:color w:val="auto"/>
              </w:rPr>
              <w:t>interests</w:t>
            </w:r>
          </w:p>
        </w:tc>
        <w:tc>
          <w:tcPr>
            <w:tcW w:w="72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16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Distributions paid - Trust</w:t>
            </w: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(21,564)</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(21,564)</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(21,564)</w:t>
            </w:r>
          </w:p>
        </w:tc>
        <w:tc>
          <w:tcPr>
            <w:tcW w:w="0" w:type="dxa"/>
            <w:vAlign w:val="bottom"/>
          </w:tcPr>
          <w:p>
            <w:pPr>
              <w:spacing w:after="0"/>
              <w:rPr>
                <w:sz w:val="1"/>
                <w:szCs w:val="1"/>
                <w:color w:val="auto"/>
              </w:rPr>
            </w:pPr>
          </w:p>
        </w:tc>
      </w:tr>
      <w:tr>
        <w:trPr>
          <w:trHeight w:val="171"/>
        </w:trPr>
        <w:tc>
          <w:tcPr>
            <w:tcW w:w="2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Shares</w:t>
            </w:r>
          </w:p>
        </w:tc>
        <w:tc>
          <w:tcPr>
            <w:tcW w:w="72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160" w:type="dxa"/>
            <w:vAlign w:val="bottom"/>
          </w:tcPr>
          <w:p>
            <w:pPr>
              <w:ind w:left="20"/>
              <w:spacing w:after="0" w:line="153" w:lineRule="exact"/>
              <w:rPr>
                <w:sz w:val="20"/>
                <w:szCs w:val="20"/>
                <w:color w:val="auto"/>
              </w:rPr>
            </w:pPr>
            <w:r>
              <w:rPr>
                <w:rFonts w:ascii="Arial" w:cs="Arial" w:eastAsia="Arial" w:hAnsi="Arial"/>
                <w:sz w:val="14"/>
                <w:szCs w:val="14"/>
                <w:color w:val="auto"/>
              </w:rPr>
              <w:t>Distributions paid - Trust</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3"/>
                <w:szCs w:val="13"/>
                <w:color w:val="auto"/>
              </w:rPr>
            </w:pPr>
          </w:p>
        </w:tc>
        <w:tc>
          <w:tcPr>
            <w:tcW w:w="620" w:type="dxa"/>
            <w:vAlign w:val="bottom"/>
            <w:vMerge w:val="restart"/>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(3,781)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(3,781)</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vMerge w:val="restart"/>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vMerge w:val="restart"/>
          </w:tcPr>
          <w:p>
            <w:pPr>
              <w:ind w:left="600"/>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(3,781)</w:t>
            </w:r>
          </w:p>
        </w:tc>
        <w:tc>
          <w:tcPr>
            <w:tcW w:w="0" w:type="dxa"/>
            <w:vAlign w:val="bottom"/>
          </w:tcPr>
          <w:p>
            <w:pPr>
              <w:spacing w:after="0"/>
              <w:rPr>
                <w:sz w:val="1"/>
                <w:szCs w:val="1"/>
                <w:color w:val="auto"/>
              </w:rPr>
            </w:pPr>
          </w:p>
        </w:tc>
      </w:tr>
      <w:tr>
        <w:trPr>
          <w:trHeight w:val="171"/>
        </w:trPr>
        <w:tc>
          <w:tcPr>
            <w:tcW w:w="21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Preferred Shares</w:t>
            </w:r>
          </w:p>
        </w:tc>
        <w:tc>
          <w:tcPr>
            <w:tcW w:w="6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 September 30, 2019</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$ 96,417</w:t>
            </w:r>
          </w:p>
        </w:tc>
        <w:tc>
          <w:tcPr>
            <w:tcW w:w="1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w w:val="95"/>
              </w:rPr>
              <w:t>$ 96,504</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924,680</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(78,728)</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(6,063)</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1,032,810</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47,445</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1,080,255</w:t>
            </w:r>
          </w:p>
        </w:tc>
        <w:tc>
          <w:tcPr>
            <w:tcW w:w="0" w:type="dxa"/>
            <w:vAlign w:val="bottom"/>
          </w:tcPr>
          <w:p>
            <w:pPr>
              <w:spacing w:after="0"/>
              <w:rPr>
                <w:sz w:val="1"/>
                <w:szCs w:val="1"/>
                <w:color w:val="auto"/>
              </w:rPr>
            </w:pPr>
          </w:p>
        </w:tc>
      </w:tr>
      <w:tr>
        <w:trPr>
          <w:trHeight w:val="20"/>
        </w:trPr>
        <w:tc>
          <w:tcPr>
            <w:tcW w:w="21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Balance — July 1, 2020</w:t>
            </w: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160" w:type="dxa"/>
            <w:vAlign w:val="bottom"/>
            <w:vMerge w:val="continue"/>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w w:val="99"/>
              </w:rPr>
              <w:t>$ 96,417</w:t>
            </w:r>
          </w:p>
        </w:tc>
        <w:tc>
          <w:tcPr>
            <w:tcW w:w="100" w:type="dxa"/>
            <w:vAlign w:val="bottom"/>
          </w:tcPr>
          <w:p>
            <w:pPr>
              <w:spacing w:after="0"/>
              <w:rPr>
                <w:sz w:val="24"/>
                <w:szCs w:val="24"/>
                <w:color w:val="auto"/>
              </w:rPr>
            </w:pPr>
          </w:p>
        </w:tc>
        <w:tc>
          <w:tcPr>
            <w:tcW w:w="620" w:type="dxa"/>
            <w:vAlign w:val="bottom"/>
          </w:tcPr>
          <w:p>
            <w:pPr>
              <w:jc w:val="right"/>
              <w:ind w:right="10"/>
              <w:spacing w:after="0"/>
              <w:rPr>
                <w:sz w:val="20"/>
                <w:szCs w:val="20"/>
                <w:color w:val="auto"/>
              </w:rPr>
            </w:pPr>
            <w:r>
              <w:rPr>
                <w:rFonts w:ascii="Arial" w:cs="Arial" w:eastAsia="Arial" w:hAnsi="Arial"/>
                <w:sz w:val="14"/>
                <w:szCs w:val="14"/>
                <w:color w:val="auto"/>
                <w:w w:val="95"/>
              </w:rPr>
              <w:t>$ 96,504</w:t>
            </w:r>
          </w:p>
        </w:tc>
        <w:tc>
          <w:tcPr>
            <w:tcW w:w="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w w:val="98"/>
              </w:rPr>
              <w:t>110,997</w:t>
            </w:r>
          </w:p>
        </w:tc>
        <w:tc>
          <w:tcPr>
            <w:tcW w:w="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w w:val="99"/>
              </w:rPr>
              <w:t>1,008,588</w:t>
            </w:r>
          </w:p>
        </w:tc>
        <w:tc>
          <w:tcPr>
            <w:tcW w:w="80" w:type="dxa"/>
            <w:vAlign w:val="bottom"/>
          </w:tcPr>
          <w:p>
            <w:pPr>
              <w:spacing w:after="0"/>
              <w:rPr>
                <w:sz w:val="24"/>
                <w:szCs w:val="24"/>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(177,912)</w:t>
            </w:r>
          </w:p>
        </w:tc>
        <w:tc>
          <w:tcPr>
            <w:tcW w:w="8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(5,528)</w:t>
            </w:r>
          </w:p>
        </w:tc>
        <w:tc>
          <w:tcPr>
            <w:tcW w:w="80" w:type="dxa"/>
            <w:vAlign w:val="bottom"/>
          </w:tcPr>
          <w:p>
            <w:pPr>
              <w:spacing w:after="0"/>
              <w:rPr>
                <w:sz w:val="24"/>
                <w:szCs w:val="24"/>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1,129,066</w:t>
            </w:r>
          </w:p>
        </w:tc>
        <w:tc>
          <w:tcPr>
            <w:tcW w:w="80" w:type="dxa"/>
            <w:vAlign w:val="bottom"/>
          </w:tcPr>
          <w:p>
            <w:pPr>
              <w:spacing w:after="0"/>
              <w:rPr>
                <w:sz w:val="24"/>
                <w:szCs w:val="24"/>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0"/>
              <w:spacing w:after="0"/>
              <w:rPr>
                <w:sz w:val="20"/>
                <w:szCs w:val="20"/>
                <w:color w:val="auto"/>
              </w:rPr>
            </w:pPr>
            <w:r>
              <w:rPr>
                <w:rFonts w:ascii="Arial" w:cs="Arial" w:eastAsia="Arial" w:hAnsi="Arial"/>
                <w:sz w:val="14"/>
                <w:szCs w:val="14"/>
                <w:color w:val="auto"/>
              </w:rPr>
              <w:t>67,816</w:t>
            </w:r>
          </w:p>
        </w:tc>
        <w:tc>
          <w:tcPr>
            <w:tcW w:w="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31"/>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1,196,882</w:t>
            </w:r>
          </w:p>
        </w:tc>
        <w:tc>
          <w:tcPr>
            <w:tcW w:w="0" w:type="dxa"/>
            <w:vAlign w:val="bottom"/>
          </w:tcPr>
          <w:p>
            <w:pPr>
              <w:spacing w:after="0"/>
              <w:rPr>
                <w:sz w:val="1"/>
                <w:szCs w:val="1"/>
                <w:color w:val="auto"/>
              </w:rPr>
            </w:pPr>
          </w:p>
        </w:tc>
      </w:tr>
      <w:tr>
        <w:trPr>
          <w:trHeight w:val="189"/>
        </w:trPr>
        <w:tc>
          <w:tcPr>
            <w:tcW w:w="2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19,186</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19,186</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1,717</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20,903</w:t>
            </w:r>
          </w:p>
        </w:tc>
        <w:tc>
          <w:tcPr>
            <w:tcW w:w="0" w:type="dxa"/>
            <w:vAlign w:val="bottom"/>
          </w:tcPr>
          <w:p>
            <w:pPr>
              <w:spacing w:after="0"/>
              <w:rPr>
                <w:sz w:val="1"/>
                <w:szCs w:val="1"/>
                <w:color w:val="auto"/>
              </w:rPr>
            </w:pPr>
          </w:p>
        </w:tc>
      </w:tr>
      <w:tr>
        <w:trPr>
          <w:trHeight w:val="189"/>
        </w:trPr>
        <w:tc>
          <w:tcPr>
            <w:tcW w:w="2160" w:type="dxa"/>
            <w:vAlign w:val="bottom"/>
          </w:tcPr>
          <w:p>
            <w:pPr>
              <w:ind w:left="20"/>
              <w:spacing w:after="0"/>
              <w:rPr>
                <w:sz w:val="20"/>
                <w:szCs w:val="20"/>
                <w:color w:val="auto"/>
              </w:rPr>
            </w:pPr>
            <w:r>
              <w:rPr>
                <w:rFonts w:ascii="Arial" w:cs="Arial" w:eastAsia="Arial" w:hAnsi="Arial"/>
                <w:sz w:val="14"/>
                <w:szCs w:val="14"/>
                <w:color w:val="auto"/>
              </w:rPr>
              <w:t>Total comprehensive income, net</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1,081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1,081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1,081</w:t>
            </w:r>
          </w:p>
        </w:tc>
        <w:tc>
          <w:tcPr>
            <w:tcW w:w="0" w:type="dxa"/>
            <w:vAlign w:val="bottom"/>
          </w:tcPr>
          <w:p>
            <w:pPr>
              <w:spacing w:after="0"/>
              <w:rPr>
                <w:sz w:val="1"/>
                <w:szCs w:val="1"/>
                <w:color w:val="auto"/>
              </w:rPr>
            </w:pPr>
          </w:p>
        </w:tc>
      </w:tr>
      <w:tr>
        <w:trPr>
          <w:trHeight w:val="153"/>
        </w:trPr>
        <w:tc>
          <w:tcPr>
            <w:tcW w:w="216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Issuance of trust common</w:t>
            </w: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0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71"/>
        </w:trPr>
        <w:tc>
          <w:tcPr>
            <w:tcW w:w="2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 net of offering costs</w:t>
            </w:r>
          </w:p>
        </w:tc>
        <w:tc>
          <w:tcPr>
            <w:tcW w:w="72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160" w:type="dxa"/>
            <w:vAlign w:val="bottom"/>
          </w:tcPr>
          <w:p>
            <w:pPr>
              <w:ind w:left="20"/>
              <w:spacing w:after="0" w:line="153" w:lineRule="exact"/>
              <w:rPr>
                <w:sz w:val="20"/>
                <w:szCs w:val="20"/>
                <w:color w:val="auto"/>
              </w:rPr>
            </w:pPr>
            <w:r>
              <w:rPr>
                <w:rFonts w:ascii="Arial" w:cs="Arial" w:eastAsia="Arial" w:hAnsi="Arial"/>
                <w:sz w:val="14"/>
                <w:szCs w:val="14"/>
                <w:color w:val="auto"/>
              </w:rPr>
              <w:t>Option activity attributable to</w:t>
            </w: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40" w:type="dxa"/>
            <w:vAlign w:val="bottom"/>
            <w:vMerge w:val="restart"/>
          </w:tcPr>
          <w:p>
            <w:pPr>
              <w:jc w:val="right"/>
              <w:ind w:right="10"/>
              <w:spacing w:after="0"/>
              <w:rPr>
                <w:sz w:val="20"/>
                <w:szCs w:val="20"/>
                <w:color w:val="auto"/>
              </w:rPr>
            </w:pPr>
            <w:r>
              <w:rPr>
                <w:rFonts w:ascii="Arial" w:cs="Arial" w:eastAsia="Arial" w:hAnsi="Arial"/>
                <w:sz w:val="14"/>
                <w:szCs w:val="14"/>
                <w:color w:val="auto"/>
              </w:rPr>
              <w:t>2,171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vMerge w:val="restart"/>
          </w:tcPr>
          <w:p>
            <w:pPr>
              <w:ind w:left="6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2,171</w:t>
            </w:r>
          </w:p>
        </w:tc>
        <w:tc>
          <w:tcPr>
            <w:tcW w:w="0" w:type="dxa"/>
            <w:vAlign w:val="bottom"/>
          </w:tcPr>
          <w:p>
            <w:pPr>
              <w:spacing w:after="0"/>
              <w:rPr>
                <w:sz w:val="1"/>
                <w:szCs w:val="1"/>
                <w:color w:val="auto"/>
              </w:rPr>
            </w:pPr>
          </w:p>
        </w:tc>
      </w:tr>
      <w:tr>
        <w:trPr>
          <w:trHeight w:val="171"/>
        </w:trPr>
        <w:tc>
          <w:tcPr>
            <w:tcW w:w="2160" w:type="dxa"/>
            <w:vAlign w:val="bottom"/>
          </w:tcPr>
          <w:p>
            <w:pPr>
              <w:ind w:left="20"/>
              <w:spacing w:after="0"/>
              <w:rPr>
                <w:sz w:val="20"/>
                <w:szCs w:val="20"/>
                <w:color w:val="auto"/>
              </w:rPr>
            </w:pPr>
            <w:r>
              <w:rPr>
                <w:rFonts w:ascii="Arial" w:cs="Arial" w:eastAsia="Arial" w:hAnsi="Arial"/>
                <w:sz w:val="14"/>
                <w:szCs w:val="14"/>
                <w:color w:val="auto"/>
              </w:rPr>
              <w:t>noncontrolling shareholders</w:t>
            </w:r>
          </w:p>
        </w:tc>
        <w:tc>
          <w:tcPr>
            <w:tcW w:w="72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16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Effect of subsidiary stock option</w:t>
            </w: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0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2,203</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2,203</w:t>
            </w:r>
          </w:p>
        </w:tc>
        <w:tc>
          <w:tcPr>
            <w:tcW w:w="0" w:type="dxa"/>
            <w:vAlign w:val="bottom"/>
          </w:tcPr>
          <w:p>
            <w:pPr>
              <w:spacing w:after="0"/>
              <w:rPr>
                <w:sz w:val="1"/>
                <w:szCs w:val="1"/>
                <w:color w:val="auto"/>
              </w:rPr>
            </w:pPr>
          </w:p>
        </w:tc>
      </w:tr>
      <w:tr>
        <w:trPr>
          <w:trHeight w:val="171"/>
        </w:trPr>
        <w:tc>
          <w:tcPr>
            <w:tcW w:w="2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exercise</w:t>
            </w:r>
          </w:p>
        </w:tc>
        <w:tc>
          <w:tcPr>
            <w:tcW w:w="72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160" w:type="dxa"/>
            <w:vAlign w:val="bottom"/>
          </w:tcPr>
          <w:p>
            <w:pPr>
              <w:ind w:left="20"/>
              <w:spacing w:after="0" w:line="153" w:lineRule="exact"/>
              <w:rPr>
                <w:sz w:val="20"/>
                <w:szCs w:val="20"/>
                <w:color w:val="auto"/>
              </w:rPr>
            </w:pPr>
            <w:r>
              <w:rPr>
                <w:rFonts w:ascii="Arial" w:cs="Arial" w:eastAsia="Arial" w:hAnsi="Arial"/>
                <w:sz w:val="14"/>
                <w:szCs w:val="14"/>
                <w:color w:val="auto"/>
              </w:rPr>
              <w:t>Purchase of noncontrolling</w:t>
            </w: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(3,113)</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vMerge w:val="restart"/>
          </w:tcPr>
          <w:p>
            <w:pPr>
              <w:ind w:left="6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(3,113)</w:t>
            </w:r>
          </w:p>
        </w:tc>
        <w:tc>
          <w:tcPr>
            <w:tcW w:w="0" w:type="dxa"/>
            <w:vAlign w:val="bottom"/>
          </w:tcPr>
          <w:p>
            <w:pPr>
              <w:spacing w:after="0"/>
              <w:rPr>
                <w:sz w:val="1"/>
                <w:szCs w:val="1"/>
                <w:color w:val="auto"/>
              </w:rPr>
            </w:pPr>
          </w:p>
        </w:tc>
      </w:tr>
      <w:tr>
        <w:trPr>
          <w:trHeight w:val="171"/>
        </w:trPr>
        <w:tc>
          <w:tcPr>
            <w:tcW w:w="2160" w:type="dxa"/>
            <w:vAlign w:val="bottom"/>
          </w:tcPr>
          <w:p>
            <w:pPr>
              <w:ind w:left="20"/>
              <w:spacing w:after="0"/>
              <w:rPr>
                <w:sz w:val="20"/>
                <w:szCs w:val="20"/>
                <w:color w:val="auto"/>
              </w:rPr>
            </w:pPr>
            <w:r>
              <w:rPr>
                <w:rFonts w:ascii="Arial" w:cs="Arial" w:eastAsia="Arial" w:hAnsi="Arial"/>
                <w:sz w:val="14"/>
                <w:szCs w:val="14"/>
                <w:color w:val="auto"/>
              </w:rPr>
              <w:t>interest</w:t>
            </w:r>
          </w:p>
        </w:tc>
        <w:tc>
          <w:tcPr>
            <w:tcW w:w="72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16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Distributions paid - Trust</w:t>
            </w: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(23,364)</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(23,364)</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(23,364)</w:t>
            </w:r>
          </w:p>
        </w:tc>
        <w:tc>
          <w:tcPr>
            <w:tcW w:w="0" w:type="dxa"/>
            <w:vAlign w:val="bottom"/>
          </w:tcPr>
          <w:p>
            <w:pPr>
              <w:spacing w:after="0"/>
              <w:rPr>
                <w:sz w:val="1"/>
                <w:szCs w:val="1"/>
                <w:color w:val="auto"/>
              </w:rPr>
            </w:pPr>
          </w:p>
        </w:tc>
      </w:tr>
      <w:tr>
        <w:trPr>
          <w:trHeight w:val="171"/>
        </w:trPr>
        <w:tc>
          <w:tcPr>
            <w:tcW w:w="2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Shares</w:t>
            </w:r>
          </w:p>
        </w:tc>
        <w:tc>
          <w:tcPr>
            <w:tcW w:w="72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160" w:type="dxa"/>
            <w:vAlign w:val="bottom"/>
          </w:tcPr>
          <w:p>
            <w:pPr>
              <w:ind w:left="20"/>
              <w:spacing w:after="0" w:line="153" w:lineRule="exact"/>
              <w:rPr>
                <w:sz w:val="20"/>
                <w:szCs w:val="20"/>
                <w:color w:val="auto"/>
              </w:rPr>
            </w:pPr>
            <w:r>
              <w:rPr>
                <w:rFonts w:ascii="Arial" w:cs="Arial" w:eastAsia="Arial" w:hAnsi="Arial"/>
                <w:sz w:val="14"/>
                <w:szCs w:val="14"/>
                <w:color w:val="auto"/>
              </w:rPr>
              <w:t>Distributions paid - Trust</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3"/>
                <w:szCs w:val="13"/>
                <w:color w:val="auto"/>
              </w:rPr>
            </w:pPr>
          </w:p>
        </w:tc>
        <w:tc>
          <w:tcPr>
            <w:tcW w:w="620" w:type="dxa"/>
            <w:vAlign w:val="bottom"/>
            <w:vMerge w:val="restart"/>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(6,046)</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(6,046)</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vMerge w:val="restart"/>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vMerge w:val="restart"/>
          </w:tcPr>
          <w:p>
            <w:pPr>
              <w:ind w:left="600"/>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(6,046)</w:t>
            </w:r>
          </w:p>
        </w:tc>
        <w:tc>
          <w:tcPr>
            <w:tcW w:w="0" w:type="dxa"/>
            <w:vAlign w:val="bottom"/>
          </w:tcPr>
          <w:p>
            <w:pPr>
              <w:spacing w:after="0"/>
              <w:rPr>
                <w:sz w:val="1"/>
                <w:szCs w:val="1"/>
                <w:color w:val="auto"/>
              </w:rPr>
            </w:pPr>
          </w:p>
        </w:tc>
      </w:tr>
      <w:tr>
        <w:trPr>
          <w:trHeight w:val="171"/>
        </w:trPr>
        <w:tc>
          <w:tcPr>
            <w:tcW w:w="21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Preferred Shares</w:t>
            </w:r>
          </w:p>
        </w:tc>
        <w:tc>
          <w:tcPr>
            <w:tcW w:w="6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1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 September 30, 2020</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$ 96,417</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w w:val="95"/>
              </w:rPr>
              <w:t>$ 96,504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110,997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1,008,564</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(188,136)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(4,447)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1,119,899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70,794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1,190,693</w:t>
            </w:r>
          </w:p>
        </w:tc>
        <w:tc>
          <w:tcPr>
            <w:tcW w:w="0" w:type="dxa"/>
            <w:vAlign w:val="bottom"/>
          </w:tcPr>
          <w:p>
            <w:pPr>
              <w:spacing w:after="0"/>
              <w:rPr>
                <w:sz w:val="1"/>
                <w:szCs w:val="1"/>
                <w:color w:val="auto"/>
              </w:rPr>
            </w:pPr>
          </w:p>
        </w:tc>
      </w:tr>
      <w:tr>
        <w:trPr>
          <w:trHeight w:val="20"/>
        </w:trPr>
        <w:tc>
          <w:tcPr>
            <w:tcW w:w="21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60" w:top="886" w:right="37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COMPASS DIVERSIFIED HOLDINGS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200" w:type="dxa"/>
            <w:vAlign w:val="bottom"/>
            <w:vMerge w:val="restart"/>
          </w:tcPr>
          <w:p>
            <w:pPr>
              <w:ind w:left="20"/>
              <w:spacing w:after="0"/>
              <w:rPr>
                <w:sz w:val="20"/>
                <w:szCs w:val="20"/>
                <w:color w:val="auto"/>
              </w:rPr>
            </w:pPr>
            <w:r>
              <w:rPr>
                <w:rFonts w:ascii="Arial" w:cs="Arial" w:eastAsia="Arial" w:hAnsi="Arial"/>
                <w:sz w:val="13"/>
                <w:szCs w:val="13"/>
                <w:i w:val="1"/>
                <w:iCs w:val="1"/>
                <w:color w:val="auto"/>
              </w:rPr>
              <w:t>(in thousands)</w:t>
            </w:r>
          </w:p>
        </w:tc>
        <w:tc>
          <w:tcPr>
            <w:tcW w:w="2180" w:type="dxa"/>
            <w:vAlign w:val="bottom"/>
            <w:gridSpan w:val="7"/>
            <w:vMerge w:val="restart"/>
          </w:tcPr>
          <w:p>
            <w:pPr>
              <w:ind w:left="320"/>
              <w:spacing w:after="0"/>
              <w:rPr>
                <w:sz w:val="20"/>
                <w:szCs w:val="20"/>
                <w:color w:val="auto"/>
              </w:rPr>
            </w:pPr>
            <w:r>
              <w:rPr>
                <w:rFonts w:ascii="Arial" w:cs="Arial" w:eastAsia="Arial" w:hAnsi="Arial"/>
                <w:sz w:val="13"/>
                <w:szCs w:val="13"/>
                <w:b w:val="1"/>
                <w:bCs w:val="1"/>
                <w:color w:val="auto"/>
              </w:rPr>
              <w:t>Trust Preferred Shares</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Non-</w:t>
            </w: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2200" w:type="dxa"/>
            <w:vAlign w:val="bottom"/>
            <w:vMerge w:val="continue"/>
          </w:tcPr>
          <w:p>
            <w:pPr>
              <w:spacing w:after="0"/>
              <w:rPr>
                <w:sz w:val="10"/>
                <w:szCs w:val="10"/>
                <w:color w:val="auto"/>
              </w:rPr>
            </w:pPr>
          </w:p>
        </w:tc>
        <w:tc>
          <w:tcPr>
            <w:tcW w:w="2180" w:type="dxa"/>
            <w:vAlign w:val="bottom"/>
            <w:gridSpan w:val="7"/>
            <w:vMerge w:val="continue"/>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center"/>
              <w:ind w:right="200"/>
              <w:spacing w:after="0" w:line="115" w:lineRule="exact"/>
              <w:rPr>
                <w:sz w:val="20"/>
                <w:szCs w:val="20"/>
                <w:color w:val="auto"/>
              </w:rPr>
            </w:pPr>
            <w:r>
              <w:rPr>
                <w:rFonts w:ascii="Arial" w:cs="Arial" w:eastAsia="Arial" w:hAnsi="Arial"/>
                <w:sz w:val="13"/>
                <w:szCs w:val="13"/>
                <w:b w:val="1"/>
                <w:bCs w:val="1"/>
                <w:color w:val="auto"/>
              </w:rPr>
              <w:t>Accumulated</w:t>
            </w:r>
          </w:p>
        </w:tc>
        <w:tc>
          <w:tcPr>
            <w:tcW w:w="1000" w:type="dxa"/>
            <w:vAlign w:val="bottom"/>
            <w:gridSpan w:val="3"/>
          </w:tcPr>
          <w:p>
            <w:pPr>
              <w:ind w:left="20"/>
              <w:spacing w:after="0" w:line="115" w:lineRule="exact"/>
              <w:rPr>
                <w:sz w:val="20"/>
                <w:szCs w:val="20"/>
                <w:color w:val="auto"/>
              </w:rPr>
            </w:pPr>
            <w:r>
              <w:rPr>
                <w:rFonts w:ascii="Arial" w:cs="Arial" w:eastAsia="Arial" w:hAnsi="Arial"/>
                <w:sz w:val="13"/>
                <w:szCs w:val="13"/>
                <w:b w:val="1"/>
                <w:bCs w:val="1"/>
                <w:color w:val="auto"/>
              </w:rPr>
              <w:t>Stockholders'</w:t>
            </w: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center"/>
              <w:ind w:right="180"/>
              <w:spacing w:after="0" w:line="115" w:lineRule="exact"/>
              <w:rPr>
                <w:sz w:val="20"/>
                <w:szCs w:val="20"/>
                <w:color w:val="auto"/>
              </w:rPr>
            </w:pPr>
            <w:r>
              <w:rPr>
                <w:rFonts w:ascii="Arial" w:cs="Arial" w:eastAsia="Arial" w:hAnsi="Arial"/>
                <w:sz w:val="13"/>
                <w:szCs w:val="13"/>
                <w:b w:val="1"/>
                <w:bCs w:val="1"/>
                <w:color w:val="auto"/>
              </w:rPr>
              <w:t>Controlling</w:t>
            </w: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20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rPr>
              <w:t>Trust</w:t>
            </w:r>
          </w:p>
        </w:tc>
        <w:tc>
          <w:tcPr>
            <w:tcW w:w="98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Accumulated</w:t>
            </w:r>
          </w:p>
        </w:tc>
        <w:tc>
          <w:tcPr>
            <w:tcW w:w="100" w:type="dxa"/>
            <w:vAlign w:val="bottom"/>
          </w:tcPr>
          <w:p>
            <w:pPr>
              <w:spacing w:after="0"/>
              <w:rPr>
                <w:sz w:val="11"/>
                <w:szCs w:val="11"/>
                <w:color w:val="auto"/>
              </w:rPr>
            </w:pPr>
          </w:p>
        </w:tc>
        <w:tc>
          <w:tcPr>
            <w:tcW w:w="104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rPr>
              <w:t>Other</w:t>
            </w:r>
          </w:p>
        </w:tc>
        <w:tc>
          <w:tcPr>
            <w:tcW w:w="80" w:type="dxa"/>
            <w:vAlign w:val="bottom"/>
          </w:tcPr>
          <w:p>
            <w:pPr>
              <w:spacing w:after="0"/>
              <w:rPr>
                <w:sz w:val="11"/>
                <w:szCs w:val="11"/>
                <w:color w:val="auto"/>
              </w:rPr>
            </w:pPr>
          </w:p>
        </w:tc>
        <w:tc>
          <w:tcPr>
            <w:tcW w:w="92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rPr>
              <w:t>Equity</w:t>
            </w:r>
          </w:p>
        </w:tc>
        <w:tc>
          <w:tcPr>
            <w:tcW w:w="120" w:type="dxa"/>
            <w:vAlign w:val="bottom"/>
          </w:tcPr>
          <w:p>
            <w:pPr>
              <w:spacing w:after="0"/>
              <w:rPr>
                <w:sz w:val="11"/>
                <w:szCs w:val="11"/>
                <w:color w:val="auto"/>
              </w:rPr>
            </w:pPr>
          </w:p>
        </w:tc>
        <w:tc>
          <w:tcPr>
            <w:tcW w:w="720" w:type="dxa"/>
            <w:vAlign w:val="bottom"/>
            <w:gridSpan w:val="2"/>
          </w:tcPr>
          <w:p>
            <w:pPr>
              <w:ind w:left="100"/>
              <w:spacing w:after="0" w:line="135" w:lineRule="exact"/>
              <w:rPr>
                <w:sz w:val="20"/>
                <w:szCs w:val="20"/>
                <w:color w:val="auto"/>
              </w:rPr>
            </w:pPr>
            <w:r>
              <w:rPr>
                <w:rFonts w:ascii="Arial" w:cs="Arial" w:eastAsia="Arial" w:hAnsi="Arial"/>
                <w:sz w:val="13"/>
                <w:szCs w:val="13"/>
                <w:b w:val="1"/>
                <w:bCs w:val="1"/>
                <w:color w:val="auto"/>
              </w:rPr>
              <w:t>Non-</w:t>
            </w:r>
          </w:p>
        </w:tc>
        <w:tc>
          <w:tcPr>
            <w:tcW w:w="100" w:type="dxa"/>
            <w:vAlign w:val="bottom"/>
          </w:tcPr>
          <w:p>
            <w:pPr>
              <w:spacing w:after="0"/>
              <w:rPr>
                <w:sz w:val="11"/>
                <w:szCs w:val="11"/>
                <w:color w:val="auto"/>
              </w:rPr>
            </w:pPr>
          </w:p>
        </w:tc>
        <w:tc>
          <w:tcPr>
            <w:tcW w:w="90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rPr>
              <w:t>Interest</w:t>
            </w:r>
          </w:p>
        </w:tc>
        <w:tc>
          <w:tcPr>
            <w:tcW w:w="200" w:type="dxa"/>
            <w:vAlign w:val="bottom"/>
          </w:tcPr>
          <w:p>
            <w:pPr>
              <w:spacing w:after="0"/>
              <w:rPr>
                <w:sz w:val="11"/>
                <w:szCs w:val="11"/>
                <w:color w:val="auto"/>
              </w:rPr>
            </w:pPr>
          </w:p>
        </w:tc>
        <w:tc>
          <w:tcPr>
            <w:tcW w:w="800" w:type="dxa"/>
            <w:vAlign w:val="bottom"/>
          </w:tcPr>
          <w:p>
            <w:pPr>
              <w:jc w:val="center"/>
              <w:ind w:right="130"/>
              <w:spacing w:after="0" w:line="135"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35"/>
        </w:trPr>
        <w:tc>
          <w:tcPr>
            <w:tcW w:w="220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Series A</w:t>
            </w:r>
          </w:p>
        </w:tc>
        <w:tc>
          <w:tcPr>
            <w:tcW w:w="100" w:type="dxa"/>
            <w:vAlign w:val="bottom"/>
            <w:vMerge w:val="restart"/>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9"/>
              </w:rPr>
              <w:t>Series B</w:t>
            </w:r>
          </w:p>
        </w:tc>
        <w:tc>
          <w:tcPr>
            <w:tcW w:w="80" w:type="dxa"/>
            <w:vAlign w:val="bottom"/>
            <w:vMerge w:val="restart"/>
          </w:tcPr>
          <w:p>
            <w:pPr>
              <w:spacing w:after="0"/>
              <w:rPr>
                <w:sz w:val="11"/>
                <w:szCs w:val="11"/>
                <w:color w:val="auto"/>
              </w:rPr>
            </w:pPr>
          </w:p>
        </w:tc>
        <w:tc>
          <w:tcPr>
            <w:tcW w:w="6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Series C</w:t>
            </w:r>
          </w:p>
        </w:tc>
        <w:tc>
          <w:tcPr>
            <w:tcW w:w="8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rPr>
              <w:t>Common</w:t>
            </w:r>
          </w:p>
        </w:tc>
        <w:tc>
          <w:tcPr>
            <w:tcW w:w="980" w:type="dxa"/>
            <w:vAlign w:val="bottom"/>
            <w:gridSpan w:val="3"/>
            <w:vMerge w:val="continue"/>
          </w:tcPr>
          <w:p>
            <w:pPr>
              <w:spacing w:after="0"/>
              <w:rPr>
                <w:sz w:val="11"/>
                <w:szCs w:val="11"/>
                <w:color w:val="auto"/>
              </w:rPr>
            </w:pPr>
          </w:p>
        </w:tc>
        <w:tc>
          <w:tcPr>
            <w:tcW w:w="114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rPr>
              <w:t>Comprehensive</w:t>
            </w:r>
          </w:p>
        </w:tc>
        <w:tc>
          <w:tcPr>
            <w:tcW w:w="1000" w:type="dxa"/>
            <w:vAlign w:val="bottom"/>
            <w:gridSpan w:val="3"/>
          </w:tcPr>
          <w:p>
            <w:pPr>
              <w:jc w:val="center"/>
              <w:ind w:right="80"/>
              <w:spacing w:after="0" w:line="135" w:lineRule="exact"/>
              <w:rPr>
                <w:sz w:val="20"/>
                <w:szCs w:val="20"/>
                <w:color w:val="auto"/>
              </w:rPr>
            </w:pPr>
            <w:r>
              <w:rPr>
                <w:rFonts w:ascii="Arial" w:cs="Arial" w:eastAsia="Arial" w:hAnsi="Arial"/>
                <w:sz w:val="13"/>
                <w:szCs w:val="13"/>
                <w:b w:val="1"/>
                <w:bCs w:val="1"/>
                <w:color w:val="auto"/>
              </w:rPr>
              <w:t>Attributable</w:t>
            </w:r>
          </w:p>
        </w:tc>
        <w:tc>
          <w:tcPr>
            <w:tcW w:w="84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rPr>
              <w:t>Controlling</w:t>
            </w:r>
          </w:p>
        </w:tc>
        <w:tc>
          <w:tcPr>
            <w:tcW w:w="1000" w:type="dxa"/>
            <w:vAlign w:val="bottom"/>
            <w:gridSpan w:val="3"/>
          </w:tcPr>
          <w:p>
            <w:pPr>
              <w:jc w:val="center"/>
              <w:ind w:right="80"/>
              <w:spacing w:after="0" w:line="135" w:lineRule="exact"/>
              <w:rPr>
                <w:sz w:val="20"/>
                <w:szCs w:val="20"/>
                <w:color w:val="auto"/>
              </w:rPr>
            </w:pPr>
            <w:r>
              <w:rPr>
                <w:rFonts w:ascii="Arial" w:cs="Arial" w:eastAsia="Arial" w:hAnsi="Arial"/>
                <w:sz w:val="13"/>
                <w:szCs w:val="13"/>
                <w:b w:val="1"/>
                <w:bCs w:val="1"/>
                <w:color w:val="auto"/>
              </w:rPr>
              <w:t>Attributable</w:t>
            </w:r>
          </w:p>
        </w:tc>
        <w:tc>
          <w:tcPr>
            <w:tcW w:w="100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rPr>
              <w:t>Stockholders’</w:t>
            </w:r>
          </w:p>
        </w:tc>
        <w:tc>
          <w:tcPr>
            <w:tcW w:w="0" w:type="dxa"/>
            <w:vAlign w:val="bottom"/>
          </w:tcPr>
          <w:p>
            <w:pPr>
              <w:spacing w:after="0"/>
              <w:rPr>
                <w:sz w:val="1"/>
                <w:szCs w:val="1"/>
                <w:color w:val="auto"/>
              </w:rPr>
            </w:pPr>
          </w:p>
        </w:tc>
      </w:tr>
      <w:tr>
        <w:trPr>
          <w:trHeight w:val="184"/>
        </w:trPr>
        <w:tc>
          <w:tcPr>
            <w:tcW w:w="220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680" w:type="dxa"/>
            <w:vAlign w:val="bottom"/>
            <w:tcBorders>
              <w:bottom w:val="single" w:sz="8" w:color="auto"/>
            </w:tcBorders>
            <w:gridSpan w:val="2"/>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31"/>
              <w:spacing w:after="0"/>
              <w:rPr>
                <w:sz w:val="20"/>
                <w:szCs w:val="20"/>
                <w:color w:val="auto"/>
              </w:rPr>
            </w:pPr>
            <w:r>
              <w:rPr>
                <w:rFonts w:ascii="Arial" w:cs="Arial" w:eastAsia="Arial" w:hAnsi="Arial"/>
                <w:sz w:val="13"/>
                <w:szCs w:val="13"/>
                <w:b w:val="1"/>
                <w:bCs w:val="1"/>
                <w:color w:val="auto"/>
              </w:rPr>
              <w:t>Shares</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3"/>
                <w:szCs w:val="13"/>
                <w:b w:val="1"/>
                <w:bCs w:val="1"/>
                <w:color w:val="auto"/>
              </w:rPr>
              <w:t>Deficit</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51"/>
              <w:spacing w:after="0"/>
              <w:rPr>
                <w:sz w:val="20"/>
                <w:szCs w:val="20"/>
                <w:color w:val="auto"/>
              </w:rPr>
            </w:pPr>
            <w:r>
              <w:rPr>
                <w:rFonts w:ascii="Arial" w:cs="Arial" w:eastAsia="Arial" w:hAnsi="Arial"/>
                <w:sz w:val="13"/>
                <w:szCs w:val="13"/>
                <w:b w:val="1"/>
                <w:bCs w:val="1"/>
                <w:color w:val="auto"/>
              </w:rPr>
              <w:t>Loss</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30"/>
              <w:spacing w:after="0"/>
              <w:rPr>
                <w:sz w:val="20"/>
                <w:szCs w:val="20"/>
                <w:color w:val="auto"/>
              </w:rPr>
            </w:pPr>
            <w:r>
              <w:rPr>
                <w:rFonts w:ascii="Arial" w:cs="Arial" w:eastAsia="Arial" w:hAnsi="Arial"/>
                <w:sz w:val="13"/>
                <w:szCs w:val="13"/>
                <w:b w:val="1"/>
                <w:bCs w:val="1"/>
                <w:color w:val="auto"/>
              </w:rPr>
              <w:t>to Holdings</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70"/>
              <w:spacing w:after="0"/>
              <w:rPr>
                <w:sz w:val="20"/>
                <w:szCs w:val="20"/>
                <w:color w:val="auto"/>
              </w:rPr>
            </w:pPr>
            <w:r>
              <w:rPr>
                <w:rFonts w:ascii="Arial" w:cs="Arial" w:eastAsia="Arial" w:hAnsi="Arial"/>
                <w:sz w:val="13"/>
                <w:szCs w:val="13"/>
                <w:b w:val="1"/>
                <w:bCs w:val="1"/>
                <w:color w:val="auto"/>
              </w:rPr>
              <w:t>Interest</w:t>
            </w:r>
          </w:p>
        </w:tc>
        <w:tc>
          <w:tcPr>
            <w:tcW w:w="8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rPr>
              <w:t>to Disc. Ops.</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130"/>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88"/>
        </w:trPr>
        <w:tc>
          <w:tcPr>
            <w:tcW w:w="22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 January 1, 2019</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$ 96,417</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w w:val="95"/>
              </w:rPr>
              <w:t>$ 96,504</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924,680</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(249,453)</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(8,776)</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859,372</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39,922</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20,048</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919,342</w:t>
            </w:r>
          </w:p>
        </w:tc>
        <w:tc>
          <w:tcPr>
            <w:tcW w:w="0" w:type="dxa"/>
            <w:vAlign w:val="bottom"/>
          </w:tcPr>
          <w:p>
            <w:pPr>
              <w:spacing w:after="0"/>
              <w:rPr>
                <w:sz w:val="1"/>
                <w:szCs w:val="1"/>
                <w:color w:val="auto"/>
              </w:rPr>
            </w:pPr>
          </w:p>
        </w:tc>
      </w:tr>
      <w:tr>
        <w:trPr>
          <w:trHeight w:val="189"/>
        </w:trPr>
        <w:tc>
          <w:tcPr>
            <w:tcW w:w="220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298,057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298,057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3,997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(266)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301,788</w:t>
            </w:r>
          </w:p>
        </w:tc>
        <w:tc>
          <w:tcPr>
            <w:tcW w:w="0" w:type="dxa"/>
            <w:vAlign w:val="bottom"/>
          </w:tcPr>
          <w:p>
            <w:pPr>
              <w:spacing w:after="0"/>
              <w:rPr>
                <w:sz w:val="1"/>
                <w:szCs w:val="1"/>
                <w:color w:val="auto"/>
              </w:rPr>
            </w:pPr>
          </w:p>
        </w:tc>
      </w:tr>
      <w:tr>
        <w:trPr>
          <w:trHeight w:val="189"/>
        </w:trPr>
        <w:tc>
          <w:tcPr>
            <w:tcW w:w="2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comprehensive income, net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2,713</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2,713</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2,713</w:t>
            </w:r>
          </w:p>
        </w:tc>
        <w:tc>
          <w:tcPr>
            <w:tcW w:w="0" w:type="dxa"/>
            <w:vAlign w:val="bottom"/>
          </w:tcPr>
          <w:p>
            <w:pPr>
              <w:spacing w:after="0"/>
              <w:rPr>
                <w:sz w:val="1"/>
                <w:szCs w:val="1"/>
                <w:color w:val="auto"/>
              </w:rPr>
            </w:pPr>
          </w:p>
        </w:tc>
      </w:tr>
      <w:tr>
        <w:trPr>
          <w:trHeight w:val="153"/>
        </w:trPr>
        <w:tc>
          <w:tcPr>
            <w:tcW w:w="2200" w:type="dxa"/>
            <w:vAlign w:val="bottom"/>
          </w:tcPr>
          <w:p>
            <w:pPr>
              <w:ind w:left="20"/>
              <w:spacing w:after="0" w:line="153" w:lineRule="exact"/>
              <w:rPr>
                <w:sz w:val="20"/>
                <w:szCs w:val="20"/>
                <w:color w:val="auto"/>
              </w:rPr>
            </w:pPr>
            <w:r>
              <w:rPr>
                <w:rFonts w:ascii="Arial" w:cs="Arial" w:eastAsia="Arial" w:hAnsi="Arial"/>
                <w:sz w:val="14"/>
                <w:szCs w:val="14"/>
                <w:color w:val="auto"/>
              </w:rPr>
              <w:t>Option activity attributable to</w:t>
            </w: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4,265</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1,939</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6,204</w:t>
            </w:r>
          </w:p>
        </w:tc>
        <w:tc>
          <w:tcPr>
            <w:tcW w:w="0" w:type="dxa"/>
            <w:vAlign w:val="bottom"/>
          </w:tcPr>
          <w:p>
            <w:pPr>
              <w:spacing w:after="0"/>
              <w:rPr>
                <w:sz w:val="1"/>
                <w:szCs w:val="1"/>
                <w:color w:val="auto"/>
              </w:rPr>
            </w:pPr>
          </w:p>
        </w:tc>
      </w:tr>
      <w:tr>
        <w:trPr>
          <w:trHeight w:val="171"/>
        </w:trPr>
        <w:tc>
          <w:tcPr>
            <w:tcW w:w="2200" w:type="dxa"/>
            <w:vAlign w:val="bottom"/>
          </w:tcPr>
          <w:p>
            <w:pPr>
              <w:ind w:left="20"/>
              <w:spacing w:after="0"/>
              <w:rPr>
                <w:sz w:val="20"/>
                <w:szCs w:val="20"/>
                <w:color w:val="auto"/>
              </w:rPr>
            </w:pPr>
            <w:r>
              <w:rPr>
                <w:rFonts w:ascii="Arial" w:cs="Arial" w:eastAsia="Arial" w:hAnsi="Arial"/>
                <w:sz w:val="14"/>
                <w:szCs w:val="14"/>
                <w:color w:val="auto"/>
              </w:rPr>
              <w:t>noncontrolling shareholders</w:t>
            </w:r>
          </w:p>
        </w:tc>
        <w:tc>
          <w:tcPr>
            <w:tcW w:w="72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20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Effect of subsidiary stock option</w:t>
            </w: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71"/>
        </w:trPr>
        <w:tc>
          <w:tcPr>
            <w:tcW w:w="2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exercise</w:t>
            </w:r>
          </w:p>
        </w:tc>
        <w:tc>
          <w:tcPr>
            <w:tcW w:w="72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200" w:type="dxa"/>
            <w:vAlign w:val="bottom"/>
          </w:tcPr>
          <w:p>
            <w:pPr>
              <w:ind w:left="20"/>
              <w:spacing w:after="0" w:line="153" w:lineRule="exact"/>
              <w:rPr>
                <w:sz w:val="20"/>
                <w:szCs w:val="20"/>
                <w:color w:val="auto"/>
              </w:rPr>
            </w:pPr>
            <w:r>
              <w:rPr>
                <w:rFonts w:ascii="Arial" w:cs="Arial" w:eastAsia="Arial" w:hAnsi="Arial"/>
                <w:sz w:val="14"/>
                <w:szCs w:val="14"/>
                <w:color w:val="auto"/>
              </w:rPr>
              <w:t>Purchase of noncontrolling</w:t>
            </w: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(780)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(780)</w:t>
            </w:r>
          </w:p>
        </w:tc>
        <w:tc>
          <w:tcPr>
            <w:tcW w:w="0" w:type="dxa"/>
            <w:vAlign w:val="bottom"/>
          </w:tcPr>
          <w:p>
            <w:pPr>
              <w:spacing w:after="0"/>
              <w:rPr>
                <w:sz w:val="1"/>
                <w:szCs w:val="1"/>
                <w:color w:val="auto"/>
              </w:rPr>
            </w:pPr>
          </w:p>
        </w:tc>
      </w:tr>
      <w:tr>
        <w:trPr>
          <w:trHeight w:val="171"/>
        </w:trPr>
        <w:tc>
          <w:tcPr>
            <w:tcW w:w="2200" w:type="dxa"/>
            <w:vAlign w:val="bottom"/>
          </w:tcPr>
          <w:p>
            <w:pPr>
              <w:ind w:left="20"/>
              <w:spacing w:after="0"/>
              <w:rPr>
                <w:sz w:val="20"/>
                <w:szCs w:val="20"/>
                <w:color w:val="auto"/>
              </w:rPr>
            </w:pPr>
            <w:r>
              <w:rPr>
                <w:rFonts w:ascii="Arial" w:cs="Arial" w:eastAsia="Arial" w:hAnsi="Arial"/>
                <w:sz w:val="14"/>
                <w:szCs w:val="14"/>
                <w:color w:val="auto"/>
              </w:rPr>
              <w:t>interest</w:t>
            </w:r>
          </w:p>
        </w:tc>
        <w:tc>
          <w:tcPr>
            <w:tcW w:w="72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Disposition of Manitoba Harvest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(10,799)</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(10,799)</w:t>
            </w:r>
          </w:p>
        </w:tc>
        <w:tc>
          <w:tcPr>
            <w:tcW w:w="0" w:type="dxa"/>
            <w:vAlign w:val="bottom"/>
          </w:tcPr>
          <w:p>
            <w:pPr>
              <w:spacing w:after="0"/>
              <w:rPr>
                <w:sz w:val="1"/>
                <w:szCs w:val="1"/>
                <w:color w:val="auto"/>
              </w:rPr>
            </w:pPr>
          </w:p>
        </w:tc>
      </w:tr>
      <w:tr>
        <w:trPr>
          <w:trHeight w:val="189"/>
        </w:trPr>
        <w:tc>
          <w:tcPr>
            <w:tcW w:w="2200" w:type="dxa"/>
            <w:vAlign w:val="bottom"/>
          </w:tcPr>
          <w:p>
            <w:pPr>
              <w:ind w:left="20"/>
              <w:spacing w:after="0"/>
              <w:rPr>
                <w:sz w:val="20"/>
                <w:szCs w:val="20"/>
                <w:color w:val="auto"/>
              </w:rPr>
            </w:pPr>
            <w:r>
              <w:rPr>
                <w:rFonts w:ascii="Arial" w:cs="Arial" w:eastAsia="Arial" w:hAnsi="Arial"/>
                <w:sz w:val="14"/>
                <w:szCs w:val="14"/>
                <w:color w:val="auto"/>
              </w:rPr>
              <w:t>Disposition of Clean Earth</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(10,922)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(10,922)</w:t>
            </w:r>
          </w:p>
        </w:tc>
        <w:tc>
          <w:tcPr>
            <w:tcW w:w="0" w:type="dxa"/>
            <w:vAlign w:val="bottom"/>
          </w:tcPr>
          <w:p>
            <w:pPr>
              <w:spacing w:after="0"/>
              <w:rPr>
                <w:sz w:val="1"/>
                <w:szCs w:val="1"/>
                <w:color w:val="auto"/>
              </w:rPr>
            </w:pPr>
          </w:p>
        </w:tc>
      </w:tr>
      <w:tr>
        <w:trPr>
          <w:trHeight w:val="153"/>
        </w:trPr>
        <w:tc>
          <w:tcPr>
            <w:tcW w:w="220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Distributions paid - Allocation</w:t>
            </w: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(51,296)</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(51,296)</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(51,296)</w:t>
            </w:r>
          </w:p>
        </w:tc>
        <w:tc>
          <w:tcPr>
            <w:tcW w:w="0" w:type="dxa"/>
            <w:vAlign w:val="bottom"/>
          </w:tcPr>
          <w:p>
            <w:pPr>
              <w:spacing w:after="0"/>
              <w:rPr>
                <w:sz w:val="1"/>
                <w:szCs w:val="1"/>
                <w:color w:val="auto"/>
              </w:rPr>
            </w:pPr>
          </w:p>
        </w:tc>
      </w:tr>
      <w:tr>
        <w:trPr>
          <w:trHeight w:val="171"/>
        </w:trPr>
        <w:tc>
          <w:tcPr>
            <w:tcW w:w="2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interests</w:t>
            </w:r>
          </w:p>
        </w:tc>
        <w:tc>
          <w:tcPr>
            <w:tcW w:w="72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200" w:type="dxa"/>
            <w:vAlign w:val="bottom"/>
          </w:tcPr>
          <w:p>
            <w:pPr>
              <w:ind w:left="20"/>
              <w:spacing w:after="0" w:line="153" w:lineRule="exact"/>
              <w:rPr>
                <w:sz w:val="20"/>
                <w:szCs w:val="20"/>
                <w:color w:val="auto"/>
              </w:rPr>
            </w:pPr>
            <w:r>
              <w:rPr>
                <w:rFonts w:ascii="Arial" w:cs="Arial" w:eastAsia="Arial" w:hAnsi="Arial"/>
                <w:sz w:val="14"/>
                <w:szCs w:val="14"/>
                <w:color w:val="auto"/>
              </w:rPr>
              <w:t>Distributions paid - Trust</w:t>
            </w: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(64,692)</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(64,692)</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(64,692)</w:t>
            </w:r>
          </w:p>
        </w:tc>
        <w:tc>
          <w:tcPr>
            <w:tcW w:w="0" w:type="dxa"/>
            <w:vAlign w:val="bottom"/>
          </w:tcPr>
          <w:p>
            <w:pPr>
              <w:spacing w:after="0"/>
              <w:rPr>
                <w:sz w:val="1"/>
                <w:szCs w:val="1"/>
                <w:color w:val="auto"/>
              </w:rPr>
            </w:pPr>
          </w:p>
        </w:tc>
      </w:tr>
      <w:tr>
        <w:trPr>
          <w:trHeight w:val="171"/>
        </w:trPr>
        <w:tc>
          <w:tcPr>
            <w:tcW w:w="2200" w:type="dxa"/>
            <w:vAlign w:val="bottom"/>
          </w:tcPr>
          <w:p>
            <w:pPr>
              <w:ind w:left="20"/>
              <w:spacing w:after="0"/>
              <w:rPr>
                <w:sz w:val="20"/>
                <w:szCs w:val="20"/>
                <w:color w:val="auto"/>
              </w:rPr>
            </w:pPr>
            <w:r>
              <w:rPr>
                <w:rFonts w:ascii="Arial" w:cs="Arial" w:eastAsia="Arial" w:hAnsi="Arial"/>
                <w:sz w:val="14"/>
                <w:szCs w:val="14"/>
                <w:color w:val="auto"/>
              </w:rPr>
              <w:t>Common Shares</w:t>
            </w:r>
          </w:p>
        </w:tc>
        <w:tc>
          <w:tcPr>
            <w:tcW w:w="72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20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Distributions paid - Trust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3"/>
                <w:szCs w:val="13"/>
                <w:color w:val="auto"/>
              </w:rPr>
            </w:pPr>
          </w:p>
        </w:tc>
        <w:tc>
          <w:tcPr>
            <w:tcW w:w="62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(11,344)</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(11,344)</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(11,344)</w:t>
            </w:r>
          </w:p>
        </w:tc>
        <w:tc>
          <w:tcPr>
            <w:tcW w:w="0" w:type="dxa"/>
            <w:vAlign w:val="bottom"/>
          </w:tcPr>
          <w:p>
            <w:pPr>
              <w:spacing w:after="0"/>
              <w:rPr>
                <w:sz w:val="1"/>
                <w:szCs w:val="1"/>
                <w:color w:val="auto"/>
              </w:rPr>
            </w:pPr>
          </w:p>
        </w:tc>
      </w:tr>
      <w:tr>
        <w:trPr>
          <w:trHeight w:val="171"/>
        </w:trPr>
        <w:tc>
          <w:tcPr>
            <w:tcW w:w="2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Preferred Shares</w:t>
            </w:r>
          </w:p>
        </w:tc>
        <w:tc>
          <w:tcPr>
            <w:tcW w:w="62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62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200" w:type="dxa"/>
            <w:vAlign w:val="bottom"/>
          </w:tcPr>
          <w:p>
            <w:pPr>
              <w:ind w:left="20"/>
              <w:spacing w:after="0"/>
              <w:rPr>
                <w:sz w:val="20"/>
                <w:szCs w:val="20"/>
                <w:color w:val="auto"/>
              </w:rPr>
            </w:pPr>
            <w:r>
              <w:rPr>
                <w:rFonts w:ascii="Arial" w:cs="Arial" w:eastAsia="Arial" w:hAnsi="Arial"/>
                <w:sz w:val="14"/>
                <w:szCs w:val="14"/>
                <w:b w:val="1"/>
                <w:bCs w:val="1"/>
                <w:color w:val="auto"/>
              </w:rPr>
              <w:t>Balance — September 30, 2019</w:t>
            </w:r>
          </w:p>
        </w:tc>
        <w:tc>
          <w:tcPr>
            <w:tcW w:w="620" w:type="dxa"/>
            <w:vAlign w:val="bottom"/>
          </w:tcPr>
          <w:p>
            <w:pPr>
              <w:jc w:val="right"/>
              <w:spacing w:after="0"/>
              <w:rPr>
                <w:sz w:val="20"/>
                <w:szCs w:val="20"/>
                <w:color w:val="auto"/>
              </w:rPr>
            </w:pPr>
            <w:r>
              <w:rPr>
                <w:rFonts w:ascii="Arial" w:cs="Arial" w:eastAsia="Arial" w:hAnsi="Arial"/>
                <w:sz w:val="14"/>
                <w:szCs w:val="14"/>
                <w:color w:val="auto"/>
                <w:w w:val="99"/>
              </w:rPr>
              <w:t>$ 96,417</w:t>
            </w:r>
          </w:p>
        </w:tc>
        <w:tc>
          <w:tcPr>
            <w:tcW w:w="100" w:type="dxa"/>
            <w:vAlign w:val="bottom"/>
          </w:tcPr>
          <w:p>
            <w:pPr>
              <w:spacing w:after="0"/>
              <w:rPr>
                <w:sz w:val="15"/>
                <w:szCs w:val="15"/>
                <w:color w:val="auto"/>
              </w:rPr>
            </w:pPr>
          </w:p>
        </w:tc>
        <w:tc>
          <w:tcPr>
            <w:tcW w:w="620" w:type="dxa"/>
            <w:vAlign w:val="bottom"/>
          </w:tcPr>
          <w:p>
            <w:pPr>
              <w:jc w:val="right"/>
              <w:ind w:right="10"/>
              <w:spacing w:after="0"/>
              <w:rPr>
                <w:sz w:val="20"/>
                <w:szCs w:val="20"/>
                <w:color w:val="auto"/>
              </w:rPr>
            </w:pPr>
            <w:r>
              <w:rPr>
                <w:rFonts w:ascii="Arial" w:cs="Arial" w:eastAsia="Arial" w:hAnsi="Arial"/>
                <w:sz w:val="14"/>
                <w:szCs w:val="14"/>
                <w:color w:val="auto"/>
                <w:w w:val="95"/>
              </w:rPr>
              <w:t>$ 96,504</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924,680</w:t>
            </w:r>
          </w:p>
        </w:tc>
        <w:tc>
          <w:tcPr>
            <w:tcW w:w="80" w:type="dxa"/>
            <w:vAlign w:val="bottom"/>
          </w:tcPr>
          <w:p>
            <w:pPr>
              <w:spacing w:after="0"/>
              <w:rPr>
                <w:sz w:val="15"/>
                <w:szCs w:val="15"/>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(78,728)</w:t>
            </w:r>
          </w:p>
        </w:tc>
        <w:tc>
          <w:tcPr>
            <w:tcW w:w="80" w:type="dxa"/>
            <w:vAlign w:val="bottom"/>
          </w:tcPr>
          <w:p>
            <w:pPr>
              <w:spacing w:after="0"/>
              <w:rPr>
                <w:sz w:val="15"/>
                <w:szCs w:val="15"/>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(6,063)</w:t>
            </w:r>
          </w:p>
        </w:tc>
        <w:tc>
          <w:tcPr>
            <w:tcW w:w="80" w:type="dxa"/>
            <w:vAlign w:val="bottom"/>
          </w:tcPr>
          <w:p>
            <w:pPr>
              <w:spacing w:after="0"/>
              <w:rPr>
                <w:sz w:val="15"/>
                <w:szCs w:val="15"/>
                <w:color w:val="auto"/>
              </w:rPr>
            </w:pP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1,032,810</w:t>
            </w:r>
          </w:p>
        </w:tc>
        <w:tc>
          <w:tcPr>
            <w:tcW w:w="80" w:type="dxa"/>
            <w:vAlign w:val="bottom"/>
          </w:tcPr>
          <w:p>
            <w:pPr>
              <w:spacing w:after="0"/>
              <w:rPr>
                <w:sz w:val="15"/>
                <w:szCs w:val="15"/>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47,445</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1,080,255</w:t>
            </w:r>
          </w:p>
        </w:tc>
        <w:tc>
          <w:tcPr>
            <w:tcW w:w="0" w:type="dxa"/>
            <w:vAlign w:val="bottom"/>
          </w:tcPr>
          <w:p>
            <w:pPr>
              <w:spacing w:after="0"/>
              <w:rPr>
                <w:sz w:val="1"/>
                <w:szCs w:val="1"/>
                <w:color w:val="auto"/>
              </w:rPr>
            </w:pPr>
          </w:p>
        </w:tc>
      </w:tr>
      <w:tr>
        <w:trPr>
          <w:trHeight w:val="26"/>
        </w:trPr>
        <w:tc>
          <w:tcPr>
            <w:tcW w:w="2200" w:type="dxa"/>
            <w:vAlign w:val="bottom"/>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58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96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82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80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2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 January 1, 2020</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$ 96,417</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w w:val="95"/>
              </w:rPr>
              <w:t>$ 96,504</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110,997</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924,680</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(109,338)</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(3,933)</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1,115,327</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50,548</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1,165,875</w:t>
            </w:r>
          </w:p>
        </w:tc>
        <w:tc>
          <w:tcPr>
            <w:tcW w:w="0" w:type="dxa"/>
            <w:vAlign w:val="bottom"/>
          </w:tcPr>
          <w:p>
            <w:pPr>
              <w:spacing w:after="0"/>
              <w:rPr>
                <w:sz w:val="1"/>
                <w:szCs w:val="1"/>
                <w:color w:val="auto"/>
              </w:rPr>
            </w:pPr>
          </w:p>
        </w:tc>
      </w:tr>
      <w:tr>
        <w:trPr>
          <w:trHeight w:val="189"/>
        </w:trPr>
        <w:tc>
          <w:tcPr>
            <w:tcW w:w="220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14,414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14,414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4,003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18,417</w:t>
            </w:r>
          </w:p>
        </w:tc>
        <w:tc>
          <w:tcPr>
            <w:tcW w:w="0" w:type="dxa"/>
            <w:vAlign w:val="bottom"/>
          </w:tcPr>
          <w:p>
            <w:pPr>
              <w:spacing w:after="0"/>
              <w:rPr>
                <w:sz w:val="1"/>
                <w:szCs w:val="1"/>
                <w:color w:val="auto"/>
              </w:rPr>
            </w:pPr>
          </w:p>
        </w:tc>
      </w:tr>
      <w:tr>
        <w:trPr>
          <w:trHeight w:val="189"/>
        </w:trPr>
        <w:tc>
          <w:tcPr>
            <w:tcW w:w="2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comprehensive loss, net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(514)</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(514)</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(514)</w:t>
            </w:r>
          </w:p>
        </w:tc>
        <w:tc>
          <w:tcPr>
            <w:tcW w:w="0" w:type="dxa"/>
            <w:vAlign w:val="bottom"/>
          </w:tcPr>
          <w:p>
            <w:pPr>
              <w:spacing w:after="0"/>
              <w:rPr>
                <w:sz w:val="1"/>
                <w:szCs w:val="1"/>
                <w:color w:val="auto"/>
              </w:rPr>
            </w:pPr>
          </w:p>
        </w:tc>
      </w:tr>
      <w:tr>
        <w:trPr>
          <w:trHeight w:val="153"/>
        </w:trPr>
        <w:tc>
          <w:tcPr>
            <w:tcW w:w="2200" w:type="dxa"/>
            <w:vAlign w:val="bottom"/>
          </w:tcPr>
          <w:p>
            <w:pPr>
              <w:ind w:left="20"/>
              <w:spacing w:after="0" w:line="153" w:lineRule="exact"/>
              <w:rPr>
                <w:sz w:val="20"/>
                <w:szCs w:val="20"/>
                <w:color w:val="auto"/>
              </w:rPr>
            </w:pPr>
            <w:r>
              <w:rPr>
                <w:rFonts w:ascii="Arial" w:cs="Arial" w:eastAsia="Arial" w:hAnsi="Arial"/>
                <w:sz w:val="14"/>
                <w:szCs w:val="14"/>
                <w:color w:val="auto"/>
              </w:rPr>
              <w:t>Issuance of trust common shares,</w:t>
            </w: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83,884</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83,884</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83,884</w:t>
            </w:r>
          </w:p>
        </w:tc>
        <w:tc>
          <w:tcPr>
            <w:tcW w:w="0" w:type="dxa"/>
            <w:vAlign w:val="bottom"/>
          </w:tcPr>
          <w:p>
            <w:pPr>
              <w:spacing w:after="0"/>
              <w:rPr>
                <w:sz w:val="1"/>
                <w:szCs w:val="1"/>
                <w:color w:val="auto"/>
              </w:rPr>
            </w:pPr>
          </w:p>
        </w:tc>
      </w:tr>
      <w:tr>
        <w:trPr>
          <w:trHeight w:val="171"/>
        </w:trPr>
        <w:tc>
          <w:tcPr>
            <w:tcW w:w="2200" w:type="dxa"/>
            <w:vAlign w:val="bottom"/>
          </w:tcPr>
          <w:p>
            <w:pPr>
              <w:ind w:left="20"/>
              <w:spacing w:after="0"/>
              <w:rPr>
                <w:sz w:val="20"/>
                <w:szCs w:val="20"/>
                <w:color w:val="auto"/>
              </w:rPr>
            </w:pPr>
            <w:r>
              <w:rPr>
                <w:rFonts w:ascii="Arial" w:cs="Arial" w:eastAsia="Arial" w:hAnsi="Arial"/>
                <w:sz w:val="14"/>
                <w:szCs w:val="14"/>
                <w:color w:val="auto"/>
              </w:rPr>
              <w:t>net of offering costs</w:t>
            </w:r>
          </w:p>
        </w:tc>
        <w:tc>
          <w:tcPr>
            <w:tcW w:w="72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20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Option activity attributable to</w:t>
            </w: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6,116</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6,116</w:t>
            </w:r>
          </w:p>
        </w:tc>
        <w:tc>
          <w:tcPr>
            <w:tcW w:w="0" w:type="dxa"/>
            <w:vAlign w:val="bottom"/>
          </w:tcPr>
          <w:p>
            <w:pPr>
              <w:spacing w:after="0"/>
              <w:rPr>
                <w:sz w:val="1"/>
                <w:szCs w:val="1"/>
                <w:color w:val="auto"/>
              </w:rPr>
            </w:pPr>
          </w:p>
        </w:tc>
      </w:tr>
      <w:tr>
        <w:trPr>
          <w:trHeight w:val="171"/>
        </w:trPr>
        <w:tc>
          <w:tcPr>
            <w:tcW w:w="2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noncontrolling shareholders</w:t>
            </w:r>
          </w:p>
        </w:tc>
        <w:tc>
          <w:tcPr>
            <w:tcW w:w="72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200" w:type="dxa"/>
            <w:vAlign w:val="bottom"/>
          </w:tcPr>
          <w:p>
            <w:pPr>
              <w:ind w:left="20"/>
              <w:spacing w:after="0" w:line="153" w:lineRule="exact"/>
              <w:rPr>
                <w:sz w:val="20"/>
                <w:szCs w:val="20"/>
                <w:color w:val="auto"/>
              </w:rPr>
            </w:pPr>
            <w:r>
              <w:rPr>
                <w:rFonts w:ascii="Arial" w:cs="Arial" w:eastAsia="Arial" w:hAnsi="Arial"/>
                <w:sz w:val="14"/>
                <w:szCs w:val="14"/>
                <w:color w:val="auto"/>
              </w:rPr>
              <w:t>Effect of subsidiary stock option</w:t>
            </w: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2,456</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2,456</w:t>
            </w:r>
          </w:p>
        </w:tc>
        <w:tc>
          <w:tcPr>
            <w:tcW w:w="0" w:type="dxa"/>
            <w:vAlign w:val="bottom"/>
          </w:tcPr>
          <w:p>
            <w:pPr>
              <w:spacing w:after="0"/>
              <w:rPr>
                <w:sz w:val="1"/>
                <w:szCs w:val="1"/>
                <w:color w:val="auto"/>
              </w:rPr>
            </w:pPr>
          </w:p>
        </w:tc>
      </w:tr>
      <w:tr>
        <w:trPr>
          <w:trHeight w:val="171"/>
        </w:trPr>
        <w:tc>
          <w:tcPr>
            <w:tcW w:w="2200" w:type="dxa"/>
            <w:vAlign w:val="bottom"/>
          </w:tcPr>
          <w:p>
            <w:pPr>
              <w:ind w:left="20"/>
              <w:spacing w:after="0"/>
              <w:rPr>
                <w:sz w:val="20"/>
                <w:szCs w:val="20"/>
                <w:color w:val="auto"/>
              </w:rPr>
            </w:pPr>
            <w:r>
              <w:rPr>
                <w:rFonts w:ascii="Arial" w:cs="Arial" w:eastAsia="Arial" w:hAnsi="Arial"/>
                <w:sz w:val="14"/>
                <w:szCs w:val="14"/>
                <w:color w:val="auto"/>
              </w:rPr>
              <w:t>exercise</w:t>
            </w:r>
          </w:p>
        </w:tc>
        <w:tc>
          <w:tcPr>
            <w:tcW w:w="72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20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Purchase of noncontrolling</w:t>
            </w: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(3,456)</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(3,456)</w:t>
            </w:r>
          </w:p>
        </w:tc>
        <w:tc>
          <w:tcPr>
            <w:tcW w:w="0" w:type="dxa"/>
            <w:vAlign w:val="bottom"/>
          </w:tcPr>
          <w:p>
            <w:pPr>
              <w:spacing w:after="0"/>
              <w:rPr>
                <w:sz w:val="1"/>
                <w:szCs w:val="1"/>
                <w:color w:val="auto"/>
              </w:rPr>
            </w:pPr>
          </w:p>
        </w:tc>
      </w:tr>
      <w:tr>
        <w:trPr>
          <w:trHeight w:val="171"/>
        </w:trPr>
        <w:tc>
          <w:tcPr>
            <w:tcW w:w="2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w:t>
            </w:r>
          </w:p>
        </w:tc>
        <w:tc>
          <w:tcPr>
            <w:tcW w:w="72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200" w:type="dxa"/>
            <w:vAlign w:val="bottom"/>
          </w:tcPr>
          <w:p>
            <w:pPr>
              <w:ind w:left="20"/>
              <w:spacing w:after="0"/>
              <w:rPr>
                <w:sz w:val="20"/>
                <w:szCs w:val="20"/>
                <w:color w:val="auto"/>
              </w:rPr>
            </w:pPr>
            <w:r>
              <w:rPr>
                <w:rFonts w:ascii="Arial" w:cs="Arial" w:eastAsia="Arial" w:hAnsi="Arial"/>
                <w:sz w:val="14"/>
                <w:szCs w:val="14"/>
                <w:color w:val="auto"/>
              </w:rPr>
              <w:t>Acquisition of Marucci Sports</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11,127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11,127</w:t>
            </w:r>
          </w:p>
        </w:tc>
        <w:tc>
          <w:tcPr>
            <w:tcW w:w="0" w:type="dxa"/>
            <w:vAlign w:val="bottom"/>
          </w:tcPr>
          <w:p>
            <w:pPr>
              <w:spacing w:after="0"/>
              <w:rPr>
                <w:sz w:val="1"/>
                <w:szCs w:val="1"/>
                <w:color w:val="auto"/>
              </w:rPr>
            </w:pPr>
          </w:p>
        </w:tc>
      </w:tr>
      <w:tr>
        <w:trPr>
          <w:trHeight w:val="153"/>
        </w:trPr>
        <w:tc>
          <w:tcPr>
            <w:tcW w:w="220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Distributions paid - Allocation</w:t>
            </w: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(9,087)</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(9,087)</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(9,087)</w:t>
            </w:r>
          </w:p>
        </w:tc>
        <w:tc>
          <w:tcPr>
            <w:tcW w:w="0" w:type="dxa"/>
            <w:vAlign w:val="bottom"/>
          </w:tcPr>
          <w:p>
            <w:pPr>
              <w:spacing w:after="0"/>
              <w:rPr>
                <w:sz w:val="1"/>
                <w:szCs w:val="1"/>
                <w:color w:val="auto"/>
              </w:rPr>
            </w:pPr>
          </w:p>
        </w:tc>
      </w:tr>
      <w:tr>
        <w:trPr>
          <w:trHeight w:val="171"/>
        </w:trPr>
        <w:tc>
          <w:tcPr>
            <w:tcW w:w="2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Interests</w:t>
            </w:r>
          </w:p>
        </w:tc>
        <w:tc>
          <w:tcPr>
            <w:tcW w:w="72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200" w:type="dxa"/>
            <w:vAlign w:val="bottom"/>
          </w:tcPr>
          <w:p>
            <w:pPr>
              <w:ind w:left="20"/>
              <w:spacing w:after="0" w:line="153" w:lineRule="exact"/>
              <w:rPr>
                <w:sz w:val="20"/>
                <w:szCs w:val="20"/>
                <w:color w:val="auto"/>
              </w:rPr>
            </w:pPr>
            <w:r>
              <w:rPr>
                <w:rFonts w:ascii="Arial" w:cs="Arial" w:eastAsia="Arial" w:hAnsi="Arial"/>
                <w:sz w:val="14"/>
                <w:szCs w:val="14"/>
                <w:color w:val="auto"/>
              </w:rPr>
              <w:t>Distributions paid - Trust</w:t>
            </w: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(66,492)</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(66,492)</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(66,492)</w:t>
            </w:r>
          </w:p>
        </w:tc>
        <w:tc>
          <w:tcPr>
            <w:tcW w:w="0" w:type="dxa"/>
            <w:vAlign w:val="bottom"/>
          </w:tcPr>
          <w:p>
            <w:pPr>
              <w:spacing w:after="0"/>
              <w:rPr>
                <w:sz w:val="1"/>
                <w:szCs w:val="1"/>
                <w:color w:val="auto"/>
              </w:rPr>
            </w:pPr>
          </w:p>
        </w:tc>
      </w:tr>
      <w:tr>
        <w:trPr>
          <w:trHeight w:val="171"/>
        </w:trPr>
        <w:tc>
          <w:tcPr>
            <w:tcW w:w="2200" w:type="dxa"/>
            <w:vAlign w:val="bottom"/>
          </w:tcPr>
          <w:p>
            <w:pPr>
              <w:ind w:left="20"/>
              <w:spacing w:after="0"/>
              <w:rPr>
                <w:sz w:val="20"/>
                <w:szCs w:val="20"/>
                <w:color w:val="auto"/>
              </w:rPr>
            </w:pPr>
            <w:r>
              <w:rPr>
                <w:rFonts w:ascii="Arial" w:cs="Arial" w:eastAsia="Arial" w:hAnsi="Arial"/>
                <w:sz w:val="14"/>
                <w:szCs w:val="14"/>
                <w:color w:val="auto"/>
              </w:rPr>
              <w:t>Common Shares</w:t>
            </w:r>
          </w:p>
        </w:tc>
        <w:tc>
          <w:tcPr>
            <w:tcW w:w="72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20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Distributions paid - Trust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3"/>
                <w:szCs w:val="13"/>
                <w:color w:val="auto"/>
              </w:rPr>
            </w:pPr>
          </w:p>
        </w:tc>
        <w:tc>
          <w:tcPr>
            <w:tcW w:w="62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(17,633)</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(17,633)</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(17,633)</w:t>
            </w:r>
          </w:p>
        </w:tc>
        <w:tc>
          <w:tcPr>
            <w:tcW w:w="0" w:type="dxa"/>
            <w:vAlign w:val="bottom"/>
          </w:tcPr>
          <w:p>
            <w:pPr>
              <w:spacing w:after="0"/>
              <w:rPr>
                <w:sz w:val="1"/>
                <w:szCs w:val="1"/>
                <w:color w:val="auto"/>
              </w:rPr>
            </w:pPr>
          </w:p>
        </w:tc>
      </w:tr>
      <w:tr>
        <w:trPr>
          <w:trHeight w:val="171"/>
        </w:trPr>
        <w:tc>
          <w:tcPr>
            <w:tcW w:w="2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Preferred Shares</w:t>
            </w:r>
          </w:p>
        </w:tc>
        <w:tc>
          <w:tcPr>
            <w:tcW w:w="62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62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200" w:type="dxa"/>
            <w:vAlign w:val="bottom"/>
          </w:tcPr>
          <w:p>
            <w:pPr>
              <w:ind w:left="20"/>
              <w:spacing w:after="0"/>
              <w:rPr>
                <w:sz w:val="20"/>
                <w:szCs w:val="20"/>
                <w:color w:val="auto"/>
              </w:rPr>
            </w:pPr>
            <w:r>
              <w:rPr>
                <w:rFonts w:ascii="Arial" w:cs="Arial" w:eastAsia="Arial" w:hAnsi="Arial"/>
                <w:sz w:val="14"/>
                <w:szCs w:val="14"/>
                <w:b w:val="1"/>
                <w:bCs w:val="1"/>
                <w:color w:val="auto"/>
              </w:rPr>
              <w:t>Balance — September 30, 2020</w:t>
            </w:r>
          </w:p>
        </w:tc>
        <w:tc>
          <w:tcPr>
            <w:tcW w:w="620" w:type="dxa"/>
            <w:vAlign w:val="bottom"/>
          </w:tcPr>
          <w:p>
            <w:pPr>
              <w:jc w:val="right"/>
              <w:spacing w:after="0"/>
              <w:rPr>
                <w:sz w:val="20"/>
                <w:szCs w:val="20"/>
                <w:color w:val="auto"/>
              </w:rPr>
            </w:pPr>
            <w:r>
              <w:rPr>
                <w:rFonts w:ascii="Arial" w:cs="Arial" w:eastAsia="Arial" w:hAnsi="Arial"/>
                <w:sz w:val="14"/>
                <w:szCs w:val="14"/>
                <w:color w:val="auto"/>
                <w:w w:val="99"/>
              </w:rPr>
              <w:t>$ 96,417</w:t>
            </w:r>
          </w:p>
        </w:tc>
        <w:tc>
          <w:tcPr>
            <w:tcW w:w="100" w:type="dxa"/>
            <w:vAlign w:val="bottom"/>
          </w:tcPr>
          <w:p>
            <w:pPr>
              <w:spacing w:after="0"/>
              <w:rPr>
                <w:sz w:val="15"/>
                <w:szCs w:val="15"/>
                <w:color w:val="auto"/>
              </w:rPr>
            </w:pPr>
          </w:p>
        </w:tc>
        <w:tc>
          <w:tcPr>
            <w:tcW w:w="620" w:type="dxa"/>
            <w:vAlign w:val="bottom"/>
          </w:tcPr>
          <w:p>
            <w:pPr>
              <w:jc w:val="right"/>
              <w:ind w:right="10"/>
              <w:spacing w:after="0"/>
              <w:rPr>
                <w:sz w:val="20"/>
                <w:szCs w:val="20"/>
                <w:color w:val="auto"/>
              </w:rPr>
            </w:pPr>
            <w:r>
              <w:rPr>
                <w:rFonts w:ascii="Arial" w:cs="Arial" w:eastAsia="Arial" w:hAnsi="Arial"/>
                <w:sz w:val="14"/>
                <w:szCs w:val="14"/>
                <w:color w:val="auto"/>
                <w:w w:val="95"/>
              </w:rPr>
              <w:t>$ 96,504</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w w:val="98"/>
              </w:rPr>
              <w:t>110,997</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1,008,564</w:t>
            </w:r>
          </w:p>
        </w:tc>
        <w:tc>
          <w:tcPr>
            <w:tcW w:w="80" w:type="dxa"/>
            <w:vAlign w:val="bottom"/>
          </w:tcPr>
          <w:p>
            <w:pPr>
              <w:spacing w:after="0"/>
              <w:rPr>
                <w:sz w:val="15"/>
                <w:szCs w:val="15"/>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(188,136)</w:t>
            </w:r>
          </w:p>
        </w:tc>
        <w:tc>
          <w:tcPr>
            <w:tcW w:w="80" w:type="dxa"/>
            <w:vAlign w:val="bottom"/>
          </w:tcPr>
          <w:p>
            <w:pPr>
              <w:spacing w:after="0"/>
              <w:rPr>
                <w:sz w:val="15"/>
                <w:szCs w:val="15"/>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(4,447)</w:t>
            </w:r>
          </w:p>
        </w:tc>
        <w:tc>
          <w:tcPr>
            <w:tcW w:w="80" w:type="dxa"/>
            <w:vAlign w:val="bottom"/>
          </w:tcPr>
          <w:p>
            <w:pPr>
              <w:spacing w:after="0"/>
              <w:rPr>
                <w:sz w:val="15"/>
                <w:szCs w:val="15"/>
                <w:color w:val="auto"/>
              </w:rPr>
            </w:pP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1,119,899</w:t>
            </w:r>
          </w:p>
        </w:tc>
        <w:tc>
          <w:tcPr>
            <w:tcW w:w="80" w:type="dxa"/>
            <w:vAlign w:val="bottom"/>
          </w:tcPr>
          <w:p>
            <w:pPr>
              <w:spacing w:after="0"/>
              <w:rPr>
                <w:sz w:val="15"/>
                <w:szCs w:val="15"/>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70,794</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1,190,693</w:t>
            </w:r>
          </w:p>
        </w:tc>
        <w:tc>
          <w:tcPr>
            <w:tcW w:w="0" w:type="dxa"/>
            <w:vAlign w:val="bottom"/>
          </w:tcPr>
          <w:p>
            <w:pPr>
              <w:spacing w:after="0"/>
              <w:rPr>
                <w:sz w:val="1"/>
                <w:szCs w:val="1"/>
                <w:color w:val="auto"/>
              </w:rPr>
            </w:pPr>
          </w:p>
        </w:tc>
      </w:tr>
      <w:tr>
        <w:trPr>
          <w:trHeight w:val="21"/>
        </w:trPr>
        <w:tc>
          <w:tcPr>
            <w:tcW w:w="22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 w:name="page10"/>
    <w:bookmarkEnd w:id="9"/>
    <w:p>
      <w:pPr>
        <w:spacing w:after="0" w:line="14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COMPASS DIVERSIFIED HOLDINGS</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366" w:lineRule="exact"/>
        <w:rPr>
          <w:sz w:val="20"/>
          <w:szCs w:val="20"/>
          <w:color w:val="auto"/>
        </w:rPr>
      </w:pPr>
    </w:p>
    <w:p>
      <w:pPr>
        <w:ind w:left="8040"/>
        <w:spacing w:after="0"/>
        <w:rPr>
          <w:sz w:val="20"/>
          <w:szCs w:val="20"/>
          <w:color w:val="auto"/>
        </w:rPr>
      </w:pPr>
      <w:r>
        <w:rPr>
          <w:rFonts w:ascii="Arial" w:cs="Arial" w:eastAsia="Arial" w:hAnsi="Arial"/>
          <w:sz w:val="15"/>
          <w:szCs w:val="15"/>
          <w:b w:val="1"/>
          <w:bCs w:val="1"/>
          <w:color w:val="auto"/>
        </w:rPr>
        <w:t>Nine months ended September 30,</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66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thousands)</w:t>
            </w:r>
          </w:p>
        </w:tc>
        <w:tc>
          <w:tcPr>
            <w:tcW w:w="36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44"/>
              <w:spacing w:after="0"/>
              <w:rPr>
                <w:sz w:val="20"/>
                <w:szCs w:val="20"/>
                <w:color w:val="auto"/>
              </w:rPr>
            </w:pPr>
            <w:r>
              <w:rPr>
                <w:rFonts w:ascii="Arial" w:cs="Arial" w:eastAsia="Arial" w:hAnsi="Arial"/>
                <w:sz w:val="15"/>
                <w:szCs w:val="15"/>
                <w:b w:val="1"/>
                <w:bCs w:val="1"/>
                <w:color w:val="auto"/>
              </w:rPr>
              <w:t>2020</w:t>
            </w:r>
          </w:p>
        </w:tc>
        <w:tc>
          <w:tcPr>
            <w:tcW w:w="12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44"/>
              <w:spacing w:after="0"/>
              <w:rPr>
                <w:sz w:val="20"/>
                <w:szCs w:val="20"/>
                <w:color w:val="auto"/>
              </w:rPr>
            </w:pPr>
            <w:r>
              <w:rPr>
                <w:rFonts w:ascii="Arial" w:cs="Arial" w:eastAsia="Arial" w:hAnsi="Arial"/>
                <w:sz w:val="15"/>
                <w:szCs w:val="15"/>
                <w:b w:val="1"/>
                <w:bCs w:val="1"/>
                <w:color w:val="auto"/>
              </w:rPr>
              <w:t>2019</w:t>
            </w:r>
          </w:p>
        </w:tc>
      </w:tr>
      <w:tr>
        <w:trPr>
          <w:trHeight w:val="183"/>
        </w:trPr>
        <w:tc>
          <w:tcPr>
            <w:tcW w:w="76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Cash flows from operating activities:</w:t>
            </w: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198"/>
        </w:trPr>
        <w:tc>
          <w:tcPr>
            <w:tcW w:w="7660" w:type="dxa"/>
            <w:vAlign w:val="bottom"/>
          </w:tcPr>
          <w:p>
            <w:pPr>
              <w:ind w:left="120"/>
              <w:spacing w:after="0"/>
              <w:rPr>
                <w:sz w:val="20"/>
                <w:szCs w:val="20"/>
                <w:color w:val="auto"/>
              </w:rPr>
            </w:pPr>
            <w:r>
              <w:rPr>
                <w:rFonts w:ascii="Arial" w:cs="Arial" w:eastAsia="Arial" w:hAnsi="Arial"/>
                <w:sz w:val="15"/>
                <w:szCs w:val="15"/>
                <w:color w:val="auto"/>
              </w:rPr>
              <w:t>Net income</w:t>
            </w:r>
          </w:p>
        </w:tc>
        <w:tc>
          <w:tcPr>
            <w:tcW w:w="360" w:type="dxa"/>
            <w:vAlign w:val="bottom"/>
          </w:tcPr>
          <w:p>
            <w:pPr>
              <w:jc w:val="right"/>
              <w:ind w:right="184"/>
              <w:spacing w:after="0"/>
              <w:rPr>
                <w:sz w:val="20"/>
                <w:szCs w:val="20"/>
                <w:color w:val="auto"/>
              </w:rPr>
            </w:pPr>
            <w:r>
              <w:rPr>
                <w:rFonts w:ascii="Arial" w:cs="Arial" w:eastAsia="Arial" w:hAnsi="Arial"/>
                <w:sz w:val="15"/>
                <w:szCs w:val="15"/>
                <w:color w:val="auto"/>
                <w:w w:val="95"/>
              </w:rPr>
              <w:t>$</w:t>
            </w:r>
          </w:p>
        </w:tc>
        <w:tc>
          <w:tcPr>
            <w:tcW w:w="1220" w:type="dxa"/>
            <w:vAlign w:val="bottom"/>
          </w:tcPr>
          <w:p>
            <w:pPr>
              <w:jc w:val="right"/>
              <w:spacing w:after="0"/>
              <w:rPr>
                <w:sz w:val="20"/>
                <w:szCs w:val="20"/>
                <w:color w:val="auto"/>
              </w:rPr>
            </w:pPr>
            <w:r>
              <w:rPr>
                <w:rFonts w:ascii="Arial" w:cs="Arial" w:eastAsia="Arial" w:hAnsi="Arial"/>
                <w:sz w:val="15"/>
                <w:szCs w:val="15"/>
                <w:color w:val="auto"/>
              </w:rPr>
              <w:t>18,417</w:t>
            </w:r>
          </w:p>
        </w:tc>
        <w:tc>
          <w:tcPr>
            <w:tcW w:w="120" w:type="dxa"/>
            <w:vAlign w:val="bottom"/>
          </w:tcPr>
          <w:p>
            <w:pPr>
              <w:spacing w:after="0"/>
              <w:rPr>
                <w:sz w:val="17"/>
                <w:szCs w:val="17"/>
                <w:color w:val="auto"/>
              </w:rPr>
            </w:pPr>
          </w:p>
        </w:tc>
        <w:tc>
          <w:tcPr>
            <w:tcW w:w="360" w:type="dxa"/>
            <w:vAlign w:val="bottom"/>
          </w:tcPr>
          <w:p>
            <w:pPr>
              <w:jc w:val="right"/>
              <w:ind w:right="184"/>
              <w:spacing w:after="0"/>
              <w:rPr>
                <w:sz w:val="20"/>
                <w:szCs w:val="20"/>
                <w:color w:val="auto"/>
              </w:rPr>
            </w:pPr>
            <w:r>
              <w:rPr>
                <w:rFonts w:ascii="Arial" w:cs="Arial" w:eastAsia="Arial" w:hAnsi="Arial"/>
                <w:sz w:val="15"/>
                <w:szCs w:val="15"/>
                <w:color w:val="auto"/>
                <w:w w:val="95"/>
              </w:rPr>
              <w:t>$</w:t>
            </w:r>
          </w:p>
        </w:tc>
        <w:tc>
          <w:tcPr>
            <w:tcW w:w="1220" w:type="dxa"/>
            <w:vAlign w:val="bottom"/>
          </w:tcPr>
          <w:p>
            <w:pPr>
              <w:jc w:val="right"/>
              <w:ind w:right="4"/>
              <w:spacing w:after="0"/>
              <w:rPr>
                <w:sz w:val="20"/>
                <w:szCs w:val="20"/>
                <w:color w:val="auto"/>
              </w:rPr>
            </w:pPr>
            <w:r>
              <w:rPr>
                <w:rFonts w:ascii="Arial" w:cs="Arial" w:eastAsia="Arial" w:hAnsi="Arial"/>
                <w:sz w:val="15"/>
                <w:szCs w:val="15"/>
                <w:color w:val="auto"/>
              </w:rPr>
              <w:t>301,788</w:t>
            </w:r>
          </w:p>
        </w:tc>
      </w:tr>
      <w:tr>
        <w:trPr>
          <w:trHeight w:val="207"/>
        </w:trPr>
        <w:tc>
          <w:tcPr>
            <w:tcW w:w="76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Income from discontinued operations, net of income tax</w:t>
            </w:r>
          </w:p>
        </w:tc>
        <w:tc>
          <w:tcPr>
            <w:tcW w:w="3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16,901</w:t>
            </w:r>
          </w:p>
        </w:tc>
      </w:tr>
      <w:tr>
        <w:trPr>
          <w:trHeight w:val="198"/>
        </w:trPr>
        <w:tc>
          <w:tcPr>
            <w:tcW w:w="7660" w:type="dxa"/>
            <w:vAlign w:val="bottom"/>
            <w:tcBorders>
              <w:bottom w:val="single" w:sz="8" w:color="CCEEFF"/>
            </w:tcBorders>
          </w:tcPr>
          <w:p>
            <w:pPr>
              <w:ind w:left="120"/>
              <w:spacing w:after="0"/>
              <w:rPr>
                <w:sz w:val="20"/>
                <w:szCs w:val="20"/>
                <w:color w:val="auto"/>
              </w:rPr>
            </w:pPr>
            <w:r>
              <w:rPr>
                <w:rFonts w:ascii="Arial" w:cs="Arial" w:eastAsia="Arial" w:hAnsi="Arial"/>
                <w:sz w:val="15"/>
                <w:szCs w:val="15"/>
                <w:color w:val="auto"/>
              </w:rPr>
              <w:t>Gain on sale of discontinued operations</w:t>
            </w: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100</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330,203</w:t>
            </w:r>
          </w:p>
        </w:tc>
      </w:tr>
      <w:tr>
        <w:trPr>
          <w:trHeight w:val="200"/>
        </w:trPr>
        <w:tc>
          <w:tcPr>
            <w:tcW w:w="76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Income (loss) from continuing operations</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18,317</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(45,316)</w:t>
            </w:r>
          </w:p>
        </w:tc>
      </w:tr>
      <w:tr>
        <w:trPr>
          <w:trHeight w:val="199"/>
        </w:trPr>
        <w:tc>
          <w:tcPr>
            <w:tcW w:w="7660" w:type="dxa"/>
            <w:vAlign w:val="bottom"/>
          </w:tcPr>
          <w:p>
            <w:pPr>
              <w:ind w:left="120"/>
              <w:spacing w:after="0"/>
              <w:rPr>
                <w:sz w:val="20"/>
                <w:szCs w:val="20"/>
                <w:color w:val="auto"/>
              </w:rPr>
            </w:pPr>
            <w:r>
              <w:rPr>
                <w:rFonts w:ascii="Arial" w:cs="Arial" w:eastAsia="Arial" w:hAnsi="Arial"/>
                <w:sz w:val="15"/>
                <w:szCs w:val="15"/>
                <w:color w:val="auto"/>
              </w:rPr>
              <w:t>Adjustments to reconcile net income to net cash provided by (used in) operating activities:</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6"/>
        </w:trPr>
        <w:tc>
          <w:tcPr>
            <w:tcW w:w="7660" w:type="dxa"/>
            <w:vAlign w:val="bottom"/>
            <w:shd w:val="clear" w:color="auto" w:fill="CCEEFF"/>
          </w:tcPr>
          <w:p>
            <w:pPr>
              <w:ind w:left="440"/>
              <w:spacing w:after="0"/>
              <w:rPr>
                <w:sz w:val="20"/>
                <w:szCs w:val="20"/>
                <w:color w:val="auto"/>
              </w:rPr>
            </w:pPr>
            <w:r>
              <w:rPr>
                <w:rFonts w:ascii="Arial" w:cs="Arial" w:eastAsia="Arial" w:hAnsi="Arial"/>
                <w:sz w:val="15"/>
                <w:szCs w:val="15"/>
                <w:color w:val="auto"/>
              </w:rPr>
              <w:t>Depreciation expense</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25,692</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24,628</w:t>
            </w:r>
          </w:p>
        </w:tc>
      </w:tr>
      <w:tr>
        <w:trPr>
          <w:trHeight w:val="199"/>
        </w:trPr>
        <w:tc>
          <w:tcPr>
            <w:tcW w:w="7660" w:type="dxa"/>
            <w:vAlign w:val="bottom"/>
          </w:tcPr>
          <w:p>
            <w:pPr>
              <w:ind w:left="440"/>
              <w:spacing w:after="0"/>
              <w:rPr>
                <w:sz w:val="20"/>
                <w:szCs w:val="20"/>
                <w:color w:val="auto"/>
              </w:rPr>
            </w:pPr>
            <w:r>
              <w:rPr>
                <w:rFonts w:ascii="Arial" w:cs="Arial" w:eastAsia="Arial" w:hAnsi="Arial"/>
                <w:sz w:val="15"/>
                <w:szCs w:val="15"/>
                <w:color w:val="auto"/>
              </w:rPr>
              <w:t>Amortization expense</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47,886</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4"/>
              <w:spacing w:after="0"/>
              <w:rPr>
                <w:sz w:val="20"/>
                <w:szCs w:val="20"/>
                <w:color w:val="auto"/>
              </w:rPr>
            </w:pPr>
            <w:r>
              <w:rPr>
                <w:rFonts w:ascii="Arial" w:cs="Arial" w:eastAsia="Arial" w:hAnsi="Arial"/>
                <w:sz w:val="15"/>
                <w:szCs w:val="15"/>
                <w:color w:val="auto"/>
              </w:rPr>
              <w:t>40,632</w:t>
            </w:r>
          </w:p>
        </w:tc>
      </w:tr>
      <w:tr>
        <w:trPr>
          <w:trHeight w:val="206"/>
        </w:trPr>
        <w:tc>
          <w:tcPr>
            <w:tcW w:w="7660" w:type="dxa"/>
            <w:vAlign w:val="bottom"/>
            <w:shd w:val="clear" w:color="auto" w:fill="CCEEFF"/>
          </w:tcPr>
          <w:p>
            <w:pPr>
              <w:ind w:left="440"/>
              <w:spacing w:after="0"/>
              <w:rPr>
                <w:sz w:val="20"/>
                <w:szCs w:val="20"/>
                <w:color w:val="auto"/>
              </w:rPr>
            </w:pPr>
            <w:r>
              <w:rPr>
                <w:rFonts w:ascii="Arial" w:cs="Arial" w:eastAsia="Arial" w:hAnsi="Arial"/>
                <w:sz w:val="15"/>
                <w:szCs w:val="15"/>
                <w:color w:val="auto"/>
              </w:rPr>
              <w:t>Impairment expense</w:t>
            </w:r>
          </w:p>
        </w:tc>
        <w:tc>
          <w:tcPr>
            <w:tcW w:w="3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33,381</w:t>
            </w:r>
          </w:p>
        </w:tc>
      </w:tr>
      <w:tr>
        <w:trPr>
          <w:trHeight w:val="199"/>
        </w:trPr>
        <w:tc>
          <w:tcPr>
            <w:tcW w:w="7660" w:type="dxa"/>
            <w:vAlign w:val="bottom"/>
          </w:tcPr>
          <w:p>
            <w:pPr>
              <w:ind w:left="440"/>
              <w:spacing w:after="0"/>
              <w:rPr>
                <w:sz w:val="20"/>
                <w:szCs w:val="20"/>
                <w:color w:val="auto"/>
              </w:rPr>
            </w:pPr>
            <w:r>
              <w:rPr>
                <w:rFonts w:ascii="Arial" w:cs="Arial" w:eastAsia="Arial" w:hAnsi="Arial"/>
                <w:sz w:val="15"/>
                <w:szCs w:val="15"/>
                <w:color w:val="auto"/>
              </w:rPr>
              <w:t>Amortization of debt issuance costs, discount and premium</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1,656</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4"/>
              <w:spacing w:after="0"/>
              <w:rPr>
                <w:sz w:val="20"/>
                <w:szCs w:val="20"/>
                <w:color w:val="auto"/>
              </w:rPr>
            </w:pPr>
            <w:r>
              <w:rPr>
                <w:rFonts w:ascii="Arial" w:cs="Arial" w:eastAsia="Arial" w:hAnsi="Arial"/>
                <w:sz w:val="15"/>
                <w:szCs w:val="15"/>
                <w:color w:val="auto"/>
              </w:rPr>
              <w:t>3,022</w:t>
            </w:r>
          </w:p>
        </w:tc>
      </w:tr>
      <w:tr>
        <w:trPr>
          <w:trHeight w:val="206"/>
        </w:trPr>
        <w:tc>
          <w:tcPr>
            <w:tcW w:w="7660" w:type="dxa"/>
            <w:vAlign w:val="bottom"/>
            <w:shd w:val="clear" w:color="auto" w:fill="CCEEFF"/>
          </w:tcPr>
          <w:p>
            <w:pPr>
              <w:ind w:left="440"/>
              <w:spacing w:after="0"/>
              <w:rPr>
                <w:sz w:val="20"/>
                <w:szCs w:val="20"/>
                <w:color w:val="auto"/>
              </w:rPr>
            </w:pPr>
            <w:r>
              <w:rPr>
                <w:rFonts w:ascii="Arial" w:cs="Arial" w:eastAsia="Arial" w:hAnsi="Arial"/>
                <w:sz w:val="15"/>
                <w:szCs w:val="15"/>
                <w:color w:val="auto"/>
              </w:rPr>
              <w:t>Unrealized loss on interest rate swap</w:t>
            </w:r>
          </w:p>
        </w:tc>
        <w:tc>
          <w:tcPr>
            <w:tcW w:w="3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3,486</w:t>
            </w:r>
          </w:p>
        </w:tc>
      </w:tr>
      <w:tr>
        <w:trPr>
          <w:trHeight w:val="199"/>
        </w:trPr>
        <w:tc>
          <w:tcPr>
            <w:tcW w:w="7660" w:type="dxa"/>
            <w:vAlign w:val="bottom"/>
          </w:tcPr>
          <w:p>
            <w:pPr>
              <w:ind w:left="440"/>
              <w:spacing w:after="0"/>
              <w:rPr>
                <w:sz w:val="20"/>
                <w:szCs w:val="20"/>
                <w:color w:val="auto"/>
              </w:rPr>
            </w:pPr>
            <w:r>
              <w:rPr>
                <w:rFonts w:ascii="Arial" w:cs="Arial" w:eastAsia="Arial" w:hAnsi="Arial"/>
                <w:sz w:val="15"/>
                <w:szCs w:val="15"/>
                <w:color w:val="auto"/>
              </w:rPr>
              <w:t>Noncontrolling stockholder stock based compensation</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6,116</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4"/>
              <w:spacing w:after="0"/>
              <w:rPr>
                <w:sz w:val="20"/>
                <w:szCs w:val="20"/>
                <w:color w:val="auto"/>
              </w:rPr>
            </w:pPr>
            <w:r>
              <w:rPr>
                <w:rFonts w:ascii="Arial" w:cs="Arial" w:eastAsia="Arial" w:hAnsi="Arial"/>
                <w:sz w:val="15"/>
                <w:szCs w:val="15"/>
                <w:color w:val="auto"/>
              </w:rPr>
              <w:t>4,265</w:t>
            </w:r>
          </w:p>
        </w:tc>
      </w:tr>
      <w:tr>
        <w:trPr>
          <w:trHeight w:val="206"/>
        </w:trPr>
        <w:tc>
          <w:tcPr>
            <w:tcW w:w="7660" w:type="dxa"/>
            <w:vAlign w:val="bottom"/>
            <w:shd w:val="clear" w:color="auto" w:fill="CCEEFF"/>
          </w:tcPr>
          <w:p>
            <w:pPr>
              <w:ind w:left="440"/>
              <w:spacing w:after="0"/>
              <w:rPr>
                <w:sz w:val="20"/>
                <w:szCs w:val="20"/>
                <w:color w:val="auto"/>
              </w:rPr>
            </w:pPr>
            <w:r>
              <w:rPr>
                <w:rFonts w:ascii="Arial" w:cs="Arial" w:eastAsia="Arial" w:hAnsi="Arial"/>
                <w:sz w:val="15"/>
                <w:szCs w:val="15"/>
                <w:color w:val="auto"/>
              </w:rPr>
              <w:t>Provision for loss on receivables</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4,374</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2,539</w:t>
            </w:r>
          </w:p>
        </w:tc>
      </w:tr>
      <w:tr>
        <w:trPr>
          <w:trHeight w:val="198"/>
        </w:trPr>
        <w:tc>
          <w:tcPr>
            <w:tcW w:w="7660" w:type="dxa"/>
            <w:vAlign w:val="bottom"/>
          </w:tcPr>
          <w:p>
            <w:pPr>
              <w:ind w:left="440"/>
              <w:spacing w:after="0"/>
              <w:rPr>
                <w:sz w:val="20"/>
                <w:szCs w:val="20"/>
                <w:color w:val="auto"/>
              </w:rPr>
            </w:pPr>
            <w:r>
              <w:rPr>
                <w:rFonts w:ascii="Arial" w:cs="Arial" w:eastAsia="Arial" w:hAnsi="Arial"/>
                <w:sz w:val="15"/>
                <w:szCs w:val="15"/>
                <w:color w:val="auto"/>
              </w:rPr>
              <w:t>Deferred taxes</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(3,352)</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(2,208)</w:t>
            </w:r>
          </w:p>
        </w:tc>
      </w:tr>
      <w:tr>
        <w:trPr>
          <w:trHeight w:val="207"/>
        </w:trPr>
        <w:tc>
          <w:tcPr>
            <w:tcW w:w="7660" w:type="dxa"/>
            <w:vAlign w:val="bottom"/>
            <w:shd w:val="clear" w:color="auto" w:fill="CCEEFF"/>
          </w:tcPr>
          <w:p>
            <w:pPr>
              <w:ind w:left="440"/>
              <w:spacing w:after="0"/>
              <w:rPr>
                <w:sz w:val="20"/>
                <w:szCs w:val="20"/>
                <w:color w:val="auto"/>
              </w:rPr>
            </w:pPr>
            <w:r>
              <w:rPr>
                <w:rFonts w:ascii="Arial" w:cs="Arial" w:eastAsia="Arial" w:hAnsi="Arial"/>
                <w:sz w:val="15"/>
                <w:szCs w:val="15"/>
                <w:color w:val="auto"/>
              </w:rPr>
              <w:t>Loss on debt extinguishment</w:t>
            </w:r>
          </w:p>
        </w:tc>
        <w:tc>
          <w:tcPr>
            <w:tcW w:w="3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5,038</w:t>
            </w:r>
          </w:p>
        </w:tc>
      </w:tr>
      <w:tr>
        <w:trPr>
          <w:trHeight w:val="198"/>
        </w:trPr>
        <w:tc>
          <w:tcPr>
            <w:tcW w:w="7660" w:type="dxa"/>
            <w:vAlign w:val="bottom"/>
          </w:tcPr>
          <w:p>
            <w:pPr>
              <w:ind w:left="440"/>
              <w:spacing w:after="0"/>
              <w:rPr>
                <w:sz w:val="20"/>
                <w:szCs w:val="20"/>
                <w:color w:val="auto"/>
              </w:rPr>
            </w:pPr>
            <w:r>
              <w:rPr>
                <w:rFonts w:ascii="Arial" w:cs="Arial" w:eastAsia="Arial" w:hAnsi="Arial"/>
                <w:sz w:val="15"/>
                <w:szCs w:val="15"/>
                <w:color w:val="auto"/>
              </w:rPr>
              <w:t>Other</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1,776</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4"/>
              <w:spacing w:after="0"/>
              <w:rPr>
                <w:sz w:val="20"/>
                <w:szCs w:val="20"/>
                <w:color w:val="auto"/>
              </w:rPr>
            </w:pPr>
            <w:r>
              <w:rPr>
                <w:rFonts w:ascii="Arial" w:cs="Arial" w:eastAsia="Arial" w:hAnsi="Arial"/>
                <w:sz w:val="15"/>
                <w:szCs w:val="15"/>
                <w:color w:val="auto"/>
              </w:rPr>
              <w:t>853</w:t>
            </w:r>
          </w:p>
        </w:tc>
      </w:tr>
      <w:tr>
        <w:trPr>
          <w:trHeight w:val="207"/>
        </w:trPr>
        <w:tc>
          <w:tcPr>
            <w:tcW w:w="76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Changes in operating assets and liabilities, net of acquisitions:</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198"/>
        </w:trPr>
        <w:tc>
          <w:tcPr>
            <w:tcW w:w="7660" w:type="dxa"/>
            <w:vAlign w:val="bottom"/>
          </w:tcPr>
          <w:p>
            <w:pPr>
              <w:ind w:left="440"/>
              <w:spacing w:after="0"/>
              <w:rPr>
                <w:sz w:val="20"/>
                <w:szCs w:val="20"/>
                <w:color w:val="auto"/>
              </w:rPr>
            </w:pPr>
            <w:r>
              <w:rPr>
                <w:rFonts w:ascii="Arial" w:cs="Arial" w:eastAsia="Arial" w:hAnsi="Arial"/>
                <w:sz w:val="15"/>
                <w:szCs w:val="15"/>
                <w:color w:val="auto"/>
              </w:rPr>
              <w:t>Accounts receivable</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(42,163)</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(19,187)</w:t>
            </w:r>
          </w:p>
        </w:tc>
      </w:tr>
      <w:tr>
        <w:trPr>
          <w:trHeight w:val="207"/>
        </w:trPr>
        <w:tc>
          <w:tcPr>
            <w:tcW w:w="7660" w:type="dxa"/>
            <w:vAlign w:val="bottom"/>
            <w:shd w:val="clear" w:color="auto" w:fill="CCEEFF"/>
          </w:tcPr>
          <w:p>
            <w:pPr>
              <w:ind w:left="440"/>
              <w:spacing w:after="0"/>
              <w:rPr>
                <w:sz w:val="20"/>
                <w:szCs w:val="20"/>
                <w:color w:val="auto"/>
              </w:rPr>
            </w:pPr>
            <w:r>
              <w:rPr>
                <w:rFonts w:ascii="Arial" w:cs="Arial" w:eastAsia="Arial" w:hAnsi="Arial"/>
                <w:sz w:val="15"/>
                <w:szCs w:val="15"/>
                <w:color w:val="auto"/>
              </w:rPr>
              <w:t>Inventories</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(15,749)</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(24,863)</w:t>
            </w:r>
          </w:p>
        </w:tc>
      </w:tr>
      <w:tr>
        <w:trPr>
          <w:trHeight w:val="198"/>
        </w:trPr>
        <w:tc>
          <w:tcPr>
            <w:tcW w:w="7660" w:type="dxa"/>
            <w:vAlign w:val="bottom"/>
          </w:tcPr>
          <w:p>
            <w:pPr>
              <w:ind w:left="440"/>
              <w:spacing w:after="0"/>
              <w:rPr>
                <w:sz w:val="20"/>
                <w:szCs w:val="20"/>
                <w:color w:val="auto"/>
              </w:rPr>
            </w:pPr>
            <w:r>
              <w:rPr>
                <w:rFonts w:ascii="Arial" w:cs="Arial" w:eastAsia="Arial" w:hAnsi="Arial"/>
                <w:sz w:val="15"/>
                <w:szCs w:val="15"/>
                <w:color w:val="auto"/>
              </w:rPr>
              <w:t>Other current and non-current assets</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(356)</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(11,826)</w:t>
            </w:r>
          </w:p>
        </w:tc>
      </w:tr>
      <w:tr>
        <w:trPr>
          <w:trHeight w:val="207"/>
        </w:trPr>
        <w:tc>
          <w:tcPr>
            <w:tcW w:w="7660" w:type="dxa"/>
            <w:vAlign w:val="bottom"/>
            <w:shd w:val="clear" w:color="auto" w:fill="CCEEFF"/>
          </w:tcPr>
          <w:p>
            <w:pPr>
              <w:ind w:left="440"/>
              <w:spacing w:after="0"/>
              <w:rPr>
                <w:sz w:val="20"/>
                <w:szCs w:val="20"/>
                <w:color w:val="auto"/>
              </w:rPr>
            </w:pPr>
            <w:r>
              <w:rPr>
                <w:rFonts w:ascii="Arial" w:cs="Arial" w:eastAsia="Arial" w:hAnsi="Arial"/>
                <w:sz w:val="15"/>
                <w:szCs w:val="15"/>
                <w:color w:val="auto"/>
              </w:rPr>
              <w:t>Accounts payable and accrued expenses</w:t>
            </w:r>
          </w:p>
        </w:tc>
        <w:tc>
          <w:tcPr>
            <w:tcW w:w="3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68,675</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27,278</w:t>
            </w:r>
          </w:p>
        </w:tc>
      </w:tr>
      <w:tr>
        <w:trPr>
          <w:trHeight w:val="192"/>
        </w:trPr>
        <w:tc>
          <w:tcPr>
            <w:tcW w:w="7660" w:type="dxa"/>
            <w:vAlign w:val="bottom"/>
          </w:tcPr>
          <w:p>
            <w:pPr>
              <w:ind w:left="640"/>
              <w:spacing w:after="0"/>
              <w:rPr>
                <w:sz w:val="20"/>
                <w:szCs w:val="20"/>
                <w:color w:val="auto"/>
              </w:rPr>
            </w:pPr>
            <w:r>
              <w:rPr>
                <w:rFonts w:ascii="Arial" w:cs="Arial" w:eastAsia="Arial" w:hAnsi="Arial"/>
                <w:sz w:val="15"/>
                <w:szCs w:val="15"/>
                <w:color w:val="auto"/>
              </w:rPr>
              <w:t>Cash provided by operating activities - continuing operations</w:t>
            </w: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112,872</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ind w:right="4"/>
              <w:spacing w:after="0"/>
              <w:rPr>
                <w:sz w:val="20"/>
                <w:szCs w:val="20"/>
                <w:color w:val="auto"/>
              </w:rPr>
            </w:pPr>
            <w:r>
              <w:rPr>
                <w:rFonts w:ascii="Arial" w:cs="Arial" w:eastAsia="Arial" w:hAnsi="Arial"/>
                <w:sz w:val="15"/>
                <w:szCs w:val="15"/>
                <w:color w:val="auto"/>
              </w:rPr>
              <w:t>41,722</w:t>
            </w:r>
          </w:p>
        </w:tc>
      </w:tr>
      <w:tr>
        <w:trPr>
          <w:trHeight w:val="207"/>
        </w:trPr>
        <w:tc>
          <w:tcPr>
            <w:tcW w:w="7660" w:type="dxa"/>
            <w:vAlign w:val="bottom"/>
            <w:shd w:val="clear" w:color="auto" w:fill="CCEEFF"/>
          </w:tcPr>
          <w:p>
            <w:pPr>
              <w:ind w:left="640"/>
              <w:spacing w:after="0"/>
              <w:rPr>
                <w:sz w:val="20"/>
                <w:szCs w:val="20"/>
                <w:color w:val="auto"/>
              </w:rPr>
            </w:pPr>
            <w:r>
              <w:rPr>
                <w:rFonts w:ascii="Arial" w:cs="Arial" w:eastAsia="Arial" w:hAnsi="Arial"/>
                <w:sz w:val="15"/>
                <w:szCs w:val="15"/>
                <w:color w:val="auto"/>
              </w:rPr>
              <w:t>Cash used in operating activities - discontinued operations</w:t>
            </w:r>
          </w:p>
        </w:tc>
        <w:tc>
          <w:tcPr>
            <w:tcW w:w="3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(10,138)</w:t>
            </w:r>
          </w:p>
        </w:tc>
      </w:tr>
      <w:tr>
        <w:trPr>
          <w:trHeight w:val="192"/>
        </w:trPr>
        <w:tc>
          <w:tcPr>
            <w:tcW w:w="7660" w:type="dxa"/>
            <w:vAlign w:val="bottom"/>
          </w:tcPr>
          <w:p>
            <w:pPr>
              <w:ind w:left="640"/>
              <w:spacing w:after="0"/>
              <w:rPr>
                <w:sz w:val="20"/>
                <w:szCs w:val="20"/>
                <w:color w:val="auto"/>
              </w:rPr>
            </w:pPr>
            <w:r>
              <w:rPr>
                <w:rFonts w:ascii="Arial" w:cs="Arial" w:eastAsia="Arial" w:hAnsi="Arial"/>
                <w:sz w:val="15"/>
                <w:szCs w:val="15"/>
                <w:color w:val="auto"/>
              </w:rPr>
              <w:t>Cash provided by operating activities</w:t>
            </w:r>
          </w:p>
        </w:tc>
        <w:tc>
          <w:tcPr>
            <w:tcW w:w="3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112,872</w:t>
            </w:r>
          </w:p>
        </w:tc>
        <w:tc>
          <w:tcPr>
            <w:tcW w:w="12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4"/>
              <w:spacing w:after="0"/>
              <w:rPr>
                <w:sz w:val="20"/>
                <w:szCs w:val="20"/>
                <w:color w:val="auto"/>
              </w:rPr>
            </w:pPr>
            <w:r>
              <w:rPr>
                <w:rFonts w:ascii="Arial" w:cs="Arial" w:eastAsia="Arial" w:hAnsi="Arial"/>
                <w:sz w:val="15"/>
                <w:szCs w:val="15"/>
                <w:color w:val="auto"/>
              </w:rPr>
              <w:t>31,584</w:t>
            </w:r>
          </w:p>
        </w:tc>
      </w:tr>
      <w:tr>
        <w:trPr>
          <w:trHeight w:val="207"/>
        </w:trPr>
        <w:tc>
          <w:tcPr>
            <w:tcW w:w="76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Cash flows from investing activities:</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198"/>
        </w:trPr>
        <w:tc>
          <w:tcPr>
            <w:tcW w:w="7660" w:type="dxa"/>
            <w:vAlign w:val="bottom"/>
          </w:tcPr>
          <w:p>
            <w:pPr>
              <w:ind w:left="120"/>
              <w:spacing w:after="0"/>
              <w:rPr>
                <w:sz w:val="20"/>
                <w:szCs w:val="20"/>
                <w:color w:val="auto"/>
              </w:rPr>
            </w:pPr>
            <w:r>
              <w:rPr>
                <w:rFonts w:ascii="Arial" w:cs="Arial" w:eastAsia="Arial" w:hAnsi="Arial"/>
                <w:sz w:val="15"/>
                <w:szCs w:val="15"/>
                <w:color w:val="auto"/>
              </w:rPr>
              <w:t>Acquisitions, net of cash acquired</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(212,834)</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4"/>
              <w:spacing w:after="0"/>
              <w:rPr>
                <w:sz w:val="20"/>
                <w:szCs w:val="20"/>
                <w:color w:val="auto"/>
              </w:rPr>
            </w:pPr>
            <w:r>
              <w:rPr>
                <w:rFonts w:ascii="Arial" w:cs="Arial" w:eastAsia="Arial" w:hAnsi="Arial"/>
                <w:sz w:val="15"/>
                <w:szCs w:val="15"/>
                <w:color w:val="auto"/>
              </w:rPr>
              <w:t>—</w:t>
            </w:r>
          </w:p>
        </w:tc>
      </w:tr>
      <w:tr>
        <w:trPr>
          <w:trHeight w:val="207"/>
        </w:trPr>
        <w:tc>
          <w:tcPr>
            <w:tcW w:w="76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Purchases of property and equipment</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(20,065)</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(21,964)</w:t>
            </w:r>
          </w:p>
        </w:tc>
      </w:tr>
      <w:tr>
        <w:trPr>
          <w:trHeight w:val="198"/>
        </w:trPr>
        <w:tc>
          <w:tcPr>
            <w:tcW w:w="7660" w:type="dxa"/>
            <w:vAlign w:val="bottom"/>
          </w:tcPr>
          <w:p>
            <w:pPr>
              <w:ind w:left="120"/>
              <w:spacing w:after="0"/>
              <w:rPr>
                <w:sz w:val="20"/>
                <w:szCs w:val="20"/>
                <w:color w:val="auto"/>
              </w:rPr>
            </w:pPr>
            <w:r>
              <w:rPr>
                <w:rFonts w:ascii="Arial" w:cs="Arial" w:eastAsia="Arial" w:hAnsi="Arial"/>
                <w:sz w:val="15"/>
                <w:szCs w:val="15"/>
                <w:color w:val="auto"/>
              </w:rPr>
              <w:t>Payment of interest rate swap</w:t>
            </w:r>
          </w:p>
        </w:tc>
        <w:tc>
          <w:tcPr>
            <w:tcW w:w="360" w:type="dxa"/>
            <w:vAlign w:val="bottom"/>
          </w:tcPr>
          <w:p>
            <w:pPr>
              <w:spacing w:after="0"/>
              <w:rPr>
                <w:sz w:val="17"/>
                <w:szCs w:val="17"/>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(675)</w:t>
            </w:r>
          </w:p>
        </w:tc>
      </w:tr>
      <w:tr>
        <w:trPr>
          <w:trHeight w:val="207"/>
        </w:trPr>
        <w:tc>
          <w:tcPr>
            <w:tcW w:w="76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Proceeds from sale of businesses</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501,895</w:t>
            </w:r>
          </w:p>
        </w:tc>
      </w:tr>
      <w:tr>
        <w:trPr>
          <w:trHeight w:val="198"/>
        </w:trPr>
        <w:tc>
          <w:tcPr>
            <w:tcW w:w="7660" w:type="dxa"/>
            <w:vAlign w:val="bottom"/>
            <w:tcBorders>
              <w:bottom w:val="single" w:sz="8" w:color="CCEEFF"/>
            </w:tcBorders>
          </w:tcPr>
          <w:p>
            <w:pPr>
              <w:ind w:left="120"/>
              <w:spacing w:after="0"/>
              <w:rPr>
                <w:sz w:val="20"/>
                <w:szCs w:val="20"/>
                <w:color w:val="auto"/>
              </w:rPr>
            </w:pPr>
            <w:r>
              <w:rPr>
                <w:rFonts w:ascii="Arial" w:cs="Arial" w:eastAsia="Arial" w:hAnsi="Arial"/>
                <w:sz w:val="15"/>
                <w:szCs w:val="15"/>
                <w:color w:val="auto"/>
              </w:rPr>
              <w:t>Other investing activities</w:t>
            </w: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(3,703)</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1,673</w:t>
            </w:r>
          </w:p>
        </w:tc>
      </w:tr>
      <w:tr>
        <w:trPr>
          <w:trHeight w:val="200"/>
        </w:trPr>
        <w:tc>
          <w:tcPr>
            <w:tcW w:w="7660" w:type="dxa"/>
            <w:vAlign w:val="bottom"/>
            <w:shd w:val="clear" w:color="auto" w:fill="CCEEFF"/>
          </w:tcPr>
          <w:p>
            <w:pPr>
              <w:ind w:left="640"/>
              <w:spacing w:after="0"/>
              <w:rPr>
                <w:sz w:val="20"/>
                <w:szCs w:val="20"/>
                <w:color w:val="auto"/>
              </w:rPr>
            </w:pPr>
            <w:r>
              <w:rPr>
                <w:rFonts w:ascii="Arial" w:cs="Arial" w:eastAsia="Arial" w:hAnsi="Arial"/>
                <w:sz w:val="15"/>
                <w:szCs w:val="15"/>
                <w:color w:val="auto"/>
              </w:rPr>
              <w:t>Cash (used in) provided by investing activities - continuing operations</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(236,502)</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480,929</w:t>
            </w:r>
          </w:p>
        </w:tc>
      </w:tr>
      <w:tr>
        <w:trPr>
          <w:trHeight w:val="198"/>
        </w:trPr>
        <w:tc>
          <w:tcPr>
            <w:tcW w:w="7660" w:type="dxa"/>
            <w:vAlign w:val="bottom"/>
          </w:tcPr>
          <w:p>
            <w:pPr>
              <w:ind w:left="640"/>
              <w:spacing w:after="0"/>
              <w:rPr>
                <w:sz w:val="20"/>
                <w:szCs w:val="20"/>
                <w:color w:val="auto"/>
              </w:rPr>
            </w:pPr>
            <w:r>
              <w:rPr>
                <w:rFonts w:ascii="Arial" w:cs="Arial" w:eastAsia="Arial" w:hAnsi="Arial"/>
                <w:sz w:val="15"/>
                <w:szCs w:val="15"/>
                <w:color w:val="auto"/>
              </w:rPr>
              <w:t>Cash provided by investing activities - discontinued operations</w:t>
            </w:r>
          </w:p>
        </w:tc>
        <w:tc>
          <w:tcPr>
            <w:tcW w:w="360" w:type="dxa"/>
            <w:vAlign w:val="bottom"/>
          </w:tcPr>
          <w:p>
            <w:pPr>
              <w:spacing w:after="0"/>
              <w:rPr>
                <w:sz w:val="17"/>
                <w:szCs w:val="17"/>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7"/>
                <w:szCs w:val="17"/>
                <w:color w:val="auto"/>
              </w:rPr>
            </w:pPr>
          </w:p>
        </w:tc>
        <w:tc>
          <w:tcPr>
            <w:tcW w:w="1220" w:type="dxa"/>
            <w:vAlign w:val="bottom"/>
          </w:tcPr>
          <w:p>
            <w:pPr>
              <w:jc w:val="right"/>
              <w:ind w:right="4"/>
              <w:spacing w:after="0"/>
              <w:rPr>
                <w:sz w:val="20"/>
                <w:szCs w:val="20"/>
                <w:color w:val="auto"/>
              </w:rPr>
            </w:pPr>
            <w:r>
              <w:rPr>
                <w:rFonts w:ascii="Arial" w:cs="Arial" w:eastAsia="Arial" w:hAnsi="Arial"/>
                <w:sz w:val="15"/>
                <w:szCs w:val="15"/>
                <w:color w:val="auto"/>
              </w:rPr>
              <w:t>279,219</w:t>
            </w:r>
          </w:p>
        </w:tc>
      </w:tr>
      <w:tr>
        <w:trPr>
          <w:trHeight w:val="200"/>
        </w:trPr>
        <w:tc>
          <w:tcPr>
            <w:tcW w:w="7660" w:type="dxa"/>
            <w:vAlign w:val="bottom"/>
            <w:tcBorders>
              <w:top w:val="single" w:sz="8" w:color="CCEEFF"/>
            </w:tcBorders>
            <w:shd w:val="clear" w:color="auto" w:fill="CCEEFF"/>
          </w:tcPr>
          <w:p>
            <w:pPr>
              <w:ind w:left="640"/>
              <w:spacing w:after="0"/>
              <w:rPr>
                <w:sz w:val="20"/>
                <w:szCs w:val="20"/>
                <w:color w:val="auto"/>
              </w:rPr>
            </w:pPr>
            <w:r>
              <w:rPr>
                <w:rFonts w:ascii="Arial" w:cs="Arial" w:eastAsia="Arial" w:hAnsi="Arial"/>
                <w:sz w:val="15"/>
                <w:szCs w:val="15"/>
                <w:color w:val="auto"/>
              </w:rPr>
              <w:t>Cash (used in) provided by investing activities</w:t>
            </w:r>
          </w:p>
        </w:tc>
        <w:tc>
          <w:tcPr>
            <w:tcW w:w="3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(236,502)</w:t>
            </w:r>
          </w:p>
        </w:tc>
        <w:tc>
          <w:tcPr>
            <w:tcW w:w="1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760,148</w:t>
            </w:r>
          </w:p>
        </w:tc>
      </w:tr>
    </w:tbl>
    <w:p>
      <w:pPr>
        <w:spacing w:after="0" w:line="200" w:lineRule="exact"/>
        <w:rPr>
          <w:sz w:val="20"/>
          <w:szCs w:val="20"/>
          <w:color w:val="auto"/>
        </w:rPr>
      </w:pPr>
    </w:p>
    <w:p>
      <w:pPr>
        <w:spacing w:after="0" w:line="38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70485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40"/>
          </w:cols>
          <w:pgMar w:left="480" w:top="1440" w:right="479" w:bottom="1440" w:gutter="0" w:footer="0" w:header="0"/>
        </w:sectPr>
      </w:pPr>
    </w:p>
    <w:bookmarkStart w:id="10" w:name="page11"/>
    <w:bookmarkEnd w:id="10"/>
    <w:p>
      <w:pPr>
        <w:ind w:left="8192"/>
        <w:spacing w:after="0"/>
        <w:rPr>
          <w:sz w:val="20"/>
          <w:szCs w:val="20"/>
          <w:color w:val="auto"/>
        </w:rPr>
      </w:pPr>
      <w:r>
        <w:rPr>
          <w:rFonts w:ascii="Arial" w:cs="Arial" w:eastAsia="Arial" w:hAnsi="Arial"/>
          <w:sz w:val="15"/>
          <w:szCs w:val="15"/>
          <w:b w:val="1"/>
          <w:bCs w:val="1"/>
          <w:color w:val="auto"/>
        </w:rPr>
        <w:t>Nine months ended September 30,</w:t>
      </w:r>
    </w:p>
    <w:p>
      <w:pPr>
        <w:spacing w:after="0" w:line="30" w:lineRule="exact"/>
        <w:rPr>
          <w:sz w:val="20"/>
          <w:szCs w:val="20"/>
          <w:color w:val="auto"/>
        </w:rPr>
      </w:pPr>
    </w:p>
    <w:tbl>
      <w:tblPr>
        <w:tblLayout w:type="fixed"/>
        <w:tblInd w:w="152" w:type="dxa"/>
        <w:tblCellMar>
          <w:top w:w="0" w:type="dxa"/>
          <w:left w:w="0" w:type="dxa"/>
          <w:bottom w:w="0" w:type="dxa"/>
          <w:right w:w="0" w:type="dxa"/>
        </w:tblCellMar>
      </w:tblPr>
      <w:tr>
        <w:trPr>
          <w:trHeight w:val="204"/>
        </w:trPr>
        <w:tc>
          <w:tcPr>
            <w:tcW w:w="7660" w:type="dxa"/>
            <w:vAlign w:val="bottom"/>
          </w:tcPr>
          <w:p>
            <w:pPr>
              <w:ind w:left="20"/>
              <w:spacing w:after="0"/>
              <w:rPr>
                <w:sz w:val="20"/>
                <w:szCs w:val="20"/>
                <w:color w:val="auto"/>
              </w:rPr>
            </w:pPr>
            <w:r>
              <w:rPr>
                <w:rFonts w:ascii="Arial" w:cs="Arial" w:eastAsia="Arial" w:hAnsi="Arial"/>
                <w:sz w:val="13"/>
                <w:szCs w:val="13"/>
                <w:i w:val="1"/>
                <w:iCs w:val="1"/>
                <w:color w:val="auto"/>
              </w:rPr>
              <w:t>(in thousands)</w:t>
            </w:r>
          </w:p>
        </w:tc>
        <w:tc>
          <w:tcPr>
            <w:tcW w:w="36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44"/>
              <w:spacing w:after="0"/>
              <w:rPr>
                <w:sz w:val="20"/>
                <w:szCs w:val="20"/>
                <w:color w:val="auto"/>
              </w:rPr>
            </w:pPr>
            <w:r>
              <w:rPr>
                <w:rFonts w:ascii="Arial" w:cs="Arial" w:eastAsia="Arial" w:hAnsi="Arial"/>
                <w:sz w:val="15"/>
                <w:szCs w:val="15"/>
                <w:b w:val="1"/>
                <w:bCs w:val="1"/>
                <w:color w:val="auto"/>
              </w:rPr>
              <w:t>2020</w:t>
            </w:r>
          </w:p>
        </w:tc>
        <w:tc>
          <w:tcPr>
            <w:tcW w:w="120" w:type="dxa"/>
            <w:vAlign w:val="bottom"/>
            <w:tcBorders>
              <w:top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44"/>
              <w:spacing w:after="0"/>
              <w:rPr>
                <w:sz w:val="20"/>
                <w:szCs w:val="20"/>
                <w:color w:val="auto"/>
              </w:rPr>
            </w:pPr>
            <w:r>
              <w:rPr>
                <w:rFonts w:ascii="Arial" w:cs="Arial" w:eastAsia="Arial" w:hAnsi="Arial"/>
                <w:sz w:val="15"/>
                <w:szCs w:val="15"/>
                <w:b w:val="1"/>
                <w:bCs w:val="1"/>
                <w:color w:val="auto"/>
              </w:rPr>
              <w:t>2019</w:t>
            </w:r>
          </w:p>
        </w:tc>
      </w:tr>
      <w:tr>
        <w:trPr>
          <w:trHeight w:val="183"/>
        </w:trPr>
        <w:tc>
          <w:tcPr>
            <w:tcW w:w="7660" w:type="dxa"/>
            <w:vAlign w:val="bottom"/>
          </w:tcPr>
          <w:p>
            <w:pPr>
              <w:ind w:left="20"/>
              <w:spacing w:after="0"/>
              <w:rPr>
                <w:sz w:val="20"/>
                <w:szCs w:val="20"/>
                <w:color w:val="auto"/>
              </w:rPr>
            </w:pPr>
            <w:r>
              <w:rPr>
                <w:rFonts w:ascii="Arial" w:cs="Arial" w:eastAsia="Arial" w:hAnsi="Arial"/>
                <w:sz w:val="15"/>
                <w:szCs w:val="15"/>
                <w:b w:val="1"/>
                <w:bCs w:val="1"/>
                <w:color w:val="auto"/>
              </w:rPr>
              <w:t>Cash flows from financing activities:</w:t>
            </w: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03"/>
        </w:trPr>
        <w:tc>
          <w:tcPr>
            <w:tcW w:w="76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Proceeds from issuance of Trust common shares, net</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83,884</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r>
      <w:tr>
        <w:trPr>
          <w:trHeight w:val="198"/>
        </w:trPr>
        <w:tc>
          <w:tcPr>
            <w:tcW w:w="7660" w:type="dxa"/>
            <w:vAlign w:val="bottom"/>
          </w:tcPr>
          <w:p>
            <w:pPr>
              <w:ind w:left="120"/>
              <w:spacing w:after="0"/>
              <w:rPr>
                <w:sz w:val="20"/>
                <w:szCs w:val="20"/>
                <w:color w:val="auto"/>
              </w:rPr>
            </w:pPr>
            <w:r>
              <w:rPr>
                <w:rFonts w:ascii="Arial" w:cs="Arial" w:eastAsia="Arial" w:hAnsi="Arial"/>
                <w:sz w:val="15"/>
                <w:szCs w:val="15"/>
                <w:color w:val="auto"/>
              </w:rPr>
              <w:t>Borrowings under credit facility</w:t>
            </w:r>
          </w:p>
        </w:tc>
        <w:tc>
          <w:tcPr>
            <w:tcW w:w="360" w:type="dxa"/>
            <w:vAlign w:val="bottom"/>
          </w:tcPr>
          <w:p>
            <w:pPr>
              <w:spacing w:after="0"/>
              <w:rPr>
                <w:sz w:val="17"/>
                <w:szCs w:val="17"/>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7"/>
                <w:szCs w:val="17"/>
                <w:color w:val="auto"/>
              </w:rPr>
            </w:pPr>
          </w:p>
        </w:tc>
        <w:tc>
          <w:tcPr>
            <w:tcW w:w="1220" w:type="dxa"/>
            <w:vAlign w:val="bottom"/>
          </w:tcPr>
          <w:p>
            <w:pPr>
              <w:jc w:val="right"/>
              <w:ind w:right="4"/>
              <w:spacing w:after="0"/>
              <w:rPr>
                <w:sz w:val="20"/>
                <w:szCs w:val="20"/>
                <w:color w:val="auto"/>
              </w:rPr>
            </w:pPr>
            <w:r>
              <w:rPr>
                <w:rFonts w:ascii="Arial" w:cs="Arial" w:eastAsia="Arial" w:hAnsi="Arial"/>
                <w:sz w:val="15"/>
                <w:szCs w:val="15"/>
                <w:color w:val="auto"/>
              </w:rPr>
              <w:t>108,000</w:t>
            </w:r>
          </w:p>
        </w:tc>
      </w:tr>
      <w:tr>
        <w:trPr>
          <w:trHeight w:val="207"/>
        </w:trPr>
        <w:tc>
          <w:tcPr>
            <w:tcW w:w="76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Repayments under credit facility</w:t>
            </w:r>
          </w:p>
        </w:tc>
        <w:tc>
          <w:tcPr>
            <w:tcW w:w="3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(533,500)</w:t>
            </w:r>
          </w:p>
        </w:tc>
      </w:tr>
      <w:tr>
        <w:trPr>
          <w:trHeight w:val="198"/>
        </w:trPr>
        <w:tc>
          <w:tcPr>
            <w:tcW w:w="7660" w:type="dxa"/>
            <w:vAlign w:val="bottom"/>
          </w:tcPr>
          <w:p>
            <w:pPr>
              <w:ind w:left="120"/>
              <w:spacing w:after="0"/>
              <w:rPr>
                <w:sz w:val="20"/>
                <w:szCs w:val="20"/>
                <w:color w:val="auto"/>
              </w:rPr>
            </w:pPr>
            <w:r>
              <w:rPr>
                <w:rFonts w:ascii="Arial" w:cs="Arial" w:eastAsia="Arial" w:hAnsi="Arial"/>
                <w:sz w:val="15"/>
                <w:szCs w:val="15"/>
                <w:color w:val="auto"/>
              </w:rPr>
              <w:t>Proceeds from issuance of Senior Notes</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202,000</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4"/>
              <w:spacing w:after="0"/>
              <w:rPr>
                <w:sz w:val="20"/>
                <w:szCs w:val="20"/>
                <w:color w:val="auto"/>
              </w:rPr>
            </w:pPr>
            <w:r>
              <w:rPr>
                <w:rFonts w:ascii="Arial" w:cs="Arial" w:eastAsia="Arial" w:hAnsi="Arial"/>
                <w:sz w:val="15"/>
                <w:szCs w:val="15"/>
                <w:color w:val="auto"/>
              </w:rPr>
              <w:t>—</w:t>
            </w:r>
          </w:p>
        </w:tc>
      </w:tr>
      <w:tr>
        <w:trPr>
          <w:trHeight w:val="207"/>
        </w:trPr>
        <w:tc>
          <w:tcPr>
            <w:tcW w:w="76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Distributions paid - common shares</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(66,492)</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(64,692)</w:t>
            </w:r>
          </w:p>
        </w:tc>
      </w:tr>
      <w:tr>
        <w:trPr>
          <w:trHeight w:val="198"/>
        </w:trPr>
        <w:tc>
          <w:tcPr>
            <w:tcW w:w="7660" w:type="dxa"/>
            <w:vAlign w:val="bottom"/>
          </w:tcPr>
          <w:p>
            <w:pPr>
              <w:ind w:left="120"/>
              <w:spacing w:after="0"/>
              <w:rPr>
                <w:sz w:val="20"/>
                <w:szCs w:val="20"/>
                <w:color w:val="auto"/>
              </w:rPr>
            </w:pPr>
            <w:r>
              <w:rPr>
                <w:rFonts w:ascii="Arial" w:cs="Arial" w:eastAsia="Arial" w:hAnsi="Arial"/>
                <w:sz w:val="15"/>
                <w:szCs w:val="15"/>
                <w:color w:val="auto"/>
              </w:rPr>
              <w:t>Distributions paid - preferred shares</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(17,633)</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(11,344)</w:t>
            </w:r>
          </w:p>
        </w:tc>
      </w:tr>
      <w:tr>
        <w:trPr>
          <w:trHeight w:val="206"/>
        </w:trPr>
        <w:tc>
          <w:tcPr>
            <w:tcW w:w="76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Distributions paid - allocation interests</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(9,087)</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(51,296)</w:t>
            </w:r>
          </w:p>
        </w:tc>
      </w:tr>
      <w:tr>
        <w:trPr>
          <w:trHeight w:val="199"/>
        </w:trPr>
        <w:tc>
          <w:tcPr>
            <w:tcW w:w="7660" w:type="dxa"/>
            <w:vAlign w:val="bottom"/>
          </w:tcPr>
          <w:p>
            <w:pPr>
              <w:ind w:left="120"/>
              <w:spacing w:after="0"/>
              <w:rPr>
                <w:sz w:val="20"/>
                <w:szCs w:val="20"/>
                <w:color w:val="auto"/>
              </w:rPr>
            </w:pPr>
            <w:r>
              <w:rPr>
                <w:rFonts w:ascii="Arial" w:cs="Arial" w:eastAsia="Arial" w:hAnsi="Arial"/>
                <w:sz w:val="15"/>
                <w:szCs w:val="15"/>
                <w:color w:val="auto"/>
              </w:rPr>
              <w:t>Net proceeds provided by noncontrolling shareholders - acquisition</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11,127</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4"/>
              <w:spacing w:after="0"/>
              <w:rPr>
                <w:sz w:val="20"/>
                <w:szCs w:val="20"/>
                <w:color w:val="auto"/>
              </w:rPr>
            </w:pPr>
            <w:r>
              <w:rPr>
                <w:rFonts w:ascii="Arial" w:cs="Arial" w:eastAsia="Arial" w:hAnsi="Arial"/>
                <w:sz w:val="15"/>
                <w:szCs w:val="15"/>
                <w:color w:val="auto"/>
              </w:rPr>
              <w:t>—</w:t>
            </w:r>
          </w:p>
        </w:tc>
      </w:tr>
      <w:tr>
        <w:trPr>
          <w:trHeight w:val="206"/>
        </w:trPr>
        <w:tc>
          <w:tcPr>
            <w:tcW w:w="76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Net proceeds provided by noncontrolling shareholders</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252</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41</w:t>
            </w:r>
          </w:p>
        </w:tc>
      </w:tr>
      <w:tr>
        <w:trPr>
          <w:trHeight w:val="199"/>
        </w:trPr>
        <w:tc>
          <w:tcPr>
            <w:tcW w:w="7660" w:type="dxa"/>
            <w:vAlign w:val="bottom"/>
          </w:tcPr>
          <w:p>
            <w:pPr>
              <w:ind w:left="120"/>
              <w:spacing w:after="0"/>
              <w:rPr>
                <w:sz w:val="20"/>
                <w:szCs w:val="20"/>
                <w:color w:val="auto"/>
              </w:rPr>
            </w:pPr>
            <w:r>
              <w:rPr>
                <w:rFonts w:ascii="Arial" w:cs="Arial" w:eastAsia="Arial" w:hAnsi="Arial"/>
                <w:sz w:val="15"/>
                <w:szCs w:val="15"/>
                <w:color w:val="auto"/>
              </w:rPr>
              <w:t>Purchase of noncontrolling interest</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(1,253)</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(778)</w:t>
            </w:r>
          </w:p>
        </w:tc>
      </w:tr>
      <w:tr>
        <w:trPr>
          <w:trHeight w:val="206"/>
        </w:trPr>
        <w:tc>
          <w:tcPr>
            <w:tcW w:w="76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Debt issuance costs</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(3,214)</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r>
      <w:tr>
        <w:trPr>
          <w:trHeight w:val="199"/>
        </w:trPr>
        <w:tc>
          <w:tcPr>
            <w:tcW w:w="7660" w:type="dxa"/>
            <w:vAlign w:val="bottom"/>
            <w:tcBorders>
              <w:bottom w:val="single" w:sz="8" w:color="CCEEFF"/>
            </w:tcBorders>
          </w:tcPr>
          <w:p>
            <w:pPr>
              <w:ind w:left="120"/>
              <w:spacing w:after="0"/>
              <w:rPr>
                <w:sz w:val="20"/>
                <w:szCs w:val="20"/>
                <w:color w:val="auto"/>
              </w:rPr>
            </w:pPr>
            <w:r>
              <w:rPr>
                <w:rFonts w:ascii="Arial" w:cs="Arial" w:eastAsia="Arial" w:hAnsi="Arial"/>
                <w:sz w:val="15"/>
                <w:szCs w:val="15"/>
                <w:color w:val="auto"/>
              </w:rPr>
              <w:t>Other</w:t>
            </w: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811</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(3,549)</w:t>
            </w:r>
          </w:p>
        </w:tc>
      </w:tr>
      <w:tr>
        <w:trPr>
          <w:trHeight w:val="200"/>
        </w:trPr>
        <w:tc>
          <w:tcPr>
            <w:tcW w:w="7660" w:type="dxa"/>
            <w:vAlign w:val="bottom"/>
            <w:shd w:val="clear" w:color="auto" w:fill="CCEEFF"/>
          </w:tcPr>
          <w:p>
            <w:pPr>
              <w:ind w:left="640"/>
              <w:spacing w:after="0"/>
              <w:rPr>
                <w:sz w:val="20"/>
                <w:szCs w:val="20"/>
                <w:color w:val="auto"/>
              </w:rPr>
            </w:pPr>
            <w:r>
              <w:rPr>
                <w:rFonts w:ascii="Arial" w:cs="Arial" w:eastAsia="Arial" w:hAnsi="Arial"/>
                <w:sz w:val="15"/>
                <w:szCs w:val="15"/>
                <w:color w:val="auto"/>
              </w:rPr>
              <w:t>Net cash provided by (used in) financing activities</w:t>
            </w:r>
          </w:p>
        </w:tc>
        <w:tc>
          <w:tcPr>
            <w:tcW w:w="3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200,395</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(557,118)</w:t>
            </w:r>
          </w:p>
        </w:tc>
      </w:tr>
      <w:tr>
        <w:trPr>
          <w:trHeight w:val="192"/>
        </w:trPr>
        <w:tc>
          <w:tcPr>
            <w:tcW w:w="7660" w:type="dxa"/>
            <w:vAlign w:val="bottom"/>
          </w:tcPr>
          <w:p>
            <w:pPr>
              <w:ind w:left="120"/>
              <w:spacing w:after="0"/>
              <w:rPr>
                <w:sz w:val="20"/>
                <w:szCs w:val="20"/>
                <w:color w:val="auto"/>
              </w:rPr>
            </w:pPr>
            <w:r>
              <w:rPr>
                <w:rFonts w:ascii="Arial" w:cs="Arial" w:eastAsia="Arial" w:hAnsi="Arial"/>
                <w:sz w:val="15"/>
                <w:szCs w:val="15"/>
                <w:color w:val="auto"/>
              </w:rPr>
              <w:t>Foreign currency impact on cash</w:t>
            </w: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(260)</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(2,102)</w:t>
            </w:r>
          </w:p>
        </w:tc>
      </w:tr>
      <w:tr>
        <w:trPr>
          <w:trHeight w:val="207"/>
        </w:trPr>
        <w:tc>
          <w:tcPr>
            <w:tcW w:w="7660" w:type="dxa"/>
            <w:vAlign w:val="bottom"/>
            <w:shd w:val="clear" w:color="auto" w:fill="CCEEFF"/>
          </w:tcPr>
          <w:p>
            <w:pPr>
              <w:ind w:left="640"/>
              <w:spacing w:after="0"/>
              <w:rPr>
                <w:sz w:val="20"/>
                <w:szCs w:val="20"/>
                <w:color w:val="auto"/>
              </w:rPr>
            </w:pPr>
            <w:r>
              <w:rPr>
                <w:rFonts w:ascii="Arial" w:cs="Arial" w:eastAsia="Arial" w:hAnsi="Arial"/>
                <w:sz w:val="15"/>
                <w:szCs w:val="15"/>
                <w:color w:val="auto"/>
              </w:rPr>
              <w:t>Net increase in cash and cash equivalents</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76,505</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232,512</w:t>
            </w:r>
          </w:p>
        </w:tc>
      </w:tr>
      <w:tr>
        <w:trPr>
          <w:trHeight w:val="203"/>
        </w:trPr>
        <w:tc>
          <w:tcPr>
            <w:tcW w:w="7660" w:type="dxa"/>
            <w:vAlign w:val="bottom"/>
            <w:tcBorders>
              <w:bottom w:val="single" w:sz="8" w:color="CCEEFF"/>
            </w:tcBorders>
          </w:tcPr>
          <w:p>
            <w:pPr>
              <w:ind w:left="140"/>
              <w:spacing w:after="0" w:line="203" w:lineRule="exact"/>
              <w:rPr>
                <w:sz w:val="20"/>
                <w:szCs w:val="20"/>
                <w:color w:val="auto"/>
              </w:rPr>
            </w:pPr>
            <w:r>
              <w:rPr>
                <w:rFonts w:ascii="Arial" w:cs="Arial" w:eastAsia="Arial" w:hAnsi="Arial"/>
                <w:sz w:val="15"/>
                <w:szCs w:val="15"/>
                <w:color w:val="auto"/>
              </w:rPr>
              <w:t xml:space="preserve">Cash and cash equivalents — beginning of period </w:t>
            </w:r>
            <w:r>
              <w:rPr>
                <w:rFonts w:ascii="Arial" w:cs="Arial" w:eastAsia="Arial" w:hAnsi="Arial"/>
                <w:sz w:val="19"/>
                <w:szCs w:val="19"/>
                <w:color w:val="auto"/>
                <w:vertAlign w:val="superscript"/>
              </w:rPr>
              <w:t>(1)</w:t>
            </w: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100,314</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53,326</w:t>
            </w:r>
          </w:p>
        </w:tc>
      </w:tr>
      <w:tr>
        <w:trPr>
          <w:trHeight w:val="217"/>
        </w:trPr>
        <w:tc>
          <w:tcPr>
            <w:tcW w:w="76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5"/>
                <w:szCs w:val="15"/>
                <w:color w:val="auto"/>
              </w:rPr>
              <w:t>Cash and cash equivalents — end of period</w:t>
            </w:r>
          </w:p>
        </w:tc>
        <w:tc>
          <w:tcPr>
            <w:tcW w:w="360" w:type="dxa"/>
            <w:vAlign w:val="bottom"/>
            <w:tcBorders>
              <w:bottom w:val="single" w:sz="8" w:color="auto"/>
            </w:tcBorders>
            <w:shd w:val="clear" w:color="auto" w:fill="CCEEFF"/>
          </w:tcPr>
          <w:p>
            <w:pPr>
              <w:jc w:val="right"/>
              <w:ind w:right="184"/>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176,819</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84"/>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285,838</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ind w:left="192" w:hanging="192"/>
        <w:spacing w:after="0"/>
        <w:tabs>
          <w:tab w:leader="none" w:pos="192" w:val="left"/>
        </w:tabs>
        <w:numPr>
          <w:ilvl w:val="0"/>
          <w:numId w:val="5"/>
        </w:numPr>
        <w:rPr>
          <w:rFonts w:ascii="Arial" w:cs="Arial" w:eastAsia="Arial" w:hAnsi="Arial"/>
          <w:sz w:val="23"/>
          <w:szCs w:val="23"/>
          <w:b w:val="1"/>
          <w:bCs w:val="1"/>
          <w:color w:val="auto"/>
          <w:vertAlign w:val="superscript"/>
        </w:rPr>
      </w:pPr>
      <w:r>
        <w:rPr>
          <w:rFonts w:ascii="Arial" w:cs="Arial" w:eastAsia="Arial" w:hAnsi="Arial"/>
          <w:sz w:val="16"/>
          <w:szCs w:val="16"/>
          <w:color w:val="auto"/>
        </w:rPr>
        <w:t>Includes cash from discontinued operations of $4.6 million at January 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31"/>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0" w:lineRule="exact"/>
        <w:rPr>
          <w:sz w:val="20"/>
          <w:szCs w:val="20"/>
          <w:color w:val="auto"/>
        </w:rPr>
      </w:pPr>
    </w:p>
    <w:p>
      <w:pPr>
        <w:spacing w:after="0" w:line="386" w:lineRule="exact"/>
        <w:rPr>
          <w:sz w:val="20"/>
          <w:szCs w:val="20"/>
          <w:color w:val="auto"/>
        </w:rPr>
      </w:pPr>
    </w:p>
    <w:p>
      <w:pPr>
        <w:jc w:val="center"/>
        <w:ind w:right="-131"/>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70485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92"/>
          </w:cols>
          <w:pgMar w:left="328" w:top="1023" w:right="47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COMPASS DIVERSIFIED HOLDINGS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2020</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 Presentation and Principles of Consolidation</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Compass Diversified Holdings, a Delaware statutory trust (the "Trust" or "Holdings") and Compass Group Diversified Holdings LLC, a Delaware limited liability company (the "Company"), were formed to acquire and manage a group of small and middle-market businesses headquartered in North America. In accordance with the second amended and restated Trust Agreement, dated as of December 6, 2016 (as amended and restated, the "Trust Agreement"), the Trust is sole owner of 100% of the Trust Interests (as defined in the Company’s fifth amended and restated operating agreement, dated as of December 6, 2016 (as amended and restated, the "LLC Agreement")) of the Company and, pursuant to the LLC Agreement, the Company has, outstanding, the identical number of Trust Interests as the number of outstanding shares of the Trust. The Company is the operating entity with a board of directors and other corporate governance responsibilities, similar to that of a Delaware corporation.</w:t>
      </w:r>
    </w:p>
    <w:p>
      <w:pPr>
        <w:spacing w:after="0" w:line="151" w:lineRule="exact"/>
        <w:rPr>
          <w:sz w:val="20"/>
          <w:szCs w:val="20"/>
          <w:color w:val="auto"/>
        </w:rPr>
      </w:pPr>
    </w:p>
    <w:p>
      <w:pPr>
        <w:jc w:val="both"/>
        <w:spacing w:after="0" w:line="252" w:lineRule="auto"/>
        <w:rPr>
          <w:rFonts w:ascii="Arial" w:cs="Arial" w:eastAsia="Arial" w:hAnsi="Arial"/>
          <w:sz w:val="18"/>
          <w:szCs w:val="18"/>
          <w:color w:val="auto"/>
        </w:rPr>
      </w:pPr>
      <w:r>
        <w:rPr>
          <w:rFonts w:ascii="Arial" w:cs="Arial" w:eastAsia="Arial" w:hAnsi="Arial"/>
          <w:sz w:val="18"/>
          <w:szCs w:val="18"/>
          <w:color w:val="auto"/>
        </w:rPr>
        <w:t xml:space="preserve">The Company is a controlling owner of nine businesses, or reportable operating segments, at September 30, 2020. The segments are as follows: 5.11 Acquisition Corp. ("5.11"), Velocity Outdoor, Inc. (formerly Crosman Corp.) ("Velocity Outdoor" or "Velocity"), The Ergo Baby Carrier, Inc. ("Ergobaby"), Liberty Safe and Security Products, Inc. ("Liberty Safe" or "Liberty"), Marucci Sports, LLC ("Marucci Sports" or "Marucci"), Compass AC Holdings, Inc. ("ACI" or "Advanced Circuits"), AMT Acquisition Corporation ("Arnold"), FFI Compass, Inc. ("Foam Fabricators" or "Foam"), and The Sterno Group, LLC ("Sterno"). Refer to </w:t>
      </w:r>
      <w:hyperlink w:anchor="page18">
        <w:r>
          <w:rPr>
            <w:rFonts w:ascii="Arial" w:cs="Arial" w:eastAsia="Arial" w:hAnsi="Arial"/>
            <w:sz w:val="18"/>
            <w:szCs w:val="18"/>
            <w:u w:val="single" w:color="auto"/>
            <w:color w:val="0000FF"/>
          </w:rPr>
          <w:t>Note E - "Operating Segment Data"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further discussion of the operating segments. Compass Group Management LLC, a Delaware limited liability company ("CGM" or the "Manager"), manages the day to day operations of the Company and oversees the management and operations of our businesses pursuant to a Management Services Agreement ("MSA").</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Basis of Presentation</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condensed consolidated financial statements for the three and nine month periods ended September 30, 2020 and September 30, 2019 are unaudited, and in the opinion of management, contain all adjustments necessary for a fair presentation of the condensed consolidated financial statements. Such adjustments consist solely of normal recurring items. Interim results are not necessarily indicative of results for a full year or any subsequent interim period. The condensed consolidated financial statements and notes are prepared in accordance with accounting principles generally accepted in the United States of America ("U.S. GAAP" or "GAAP") and presented as permitted by Form 10-Q and do not contain certain information included in the annual consolidated financial statements and accompanying notes of the Company. These interim condensed consolidated financial statements should be read in conjunction with the consolidated financial statements and accompanying notes included in the Company’s Annual Report on Form 10-K for the year ended December 31, 2019.</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Consolidation</w:t>
      </w:r>
    </w:p>
    <w:p>
      <w:pPr>
        <w:spacing w:after="0" w:line="135"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condensed consolidated financial statements include the accounts of Holdings and all majority owned subsidiaries. All significant intercompany transactions and balances have been eliminated in consolidation.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Discontinued Operations</w:t>
      </w:r>
    </w:p>
    <w:p>
      <w:pPr>
        <w:spacing w:after="0" w:line="135" w:lineRule="exact"/>
        <w:rPr>
          <w:sz w:val="20"/>
          <w:szCs w:val="20"/>
          <w:color w:val="auto"/>
        </w:rPr>
      </w:pPr>
    </w:p>
    <w:p>
      <w:pPr>
        <w:jc w:val="both"/>
        <w:spacing w:after="0" w:line="252" w:lineRule="auto"/>
        <w:rPr>
          <w:rFonts w:ascii="Arial" w:cs="Arial" w:eastAsia="Arial" w:hAnsi="Arial"/>
          <w:sz w:val="18"/>
          <w:szCs w:val="18"/>
          <w:color w:val="auto"/>
        </w:rPr>
      </w:pPr>
      <w:r>
        <w:rPr>
          <w:rFonts w:ascii="Arial" w:cs="Arial" w:eastAsia="Arial" w:hAnsi="Arial"/>
          <w:sz w:val="18"/>
          <w:szCs w:val="18"/>
          <w:color w:val="auto"/>
        </w:rPr>
        <w:t xml:space="preserve">During the first quarter of 2019, the Company completed the sale of FHF Holdings Ltd. ("Manitoba Harvest"), the parent company of Fresh Hemp Foods Ltd. Additionally, during the second quarter of 2019, the Company completed the sale of CEHI Acquisition Corp. ("Clean Earth"), the parent company of Clean Earth Holdings, Inc. and Clean Earth Inc. The results of operations of Manitoba Harvest and Clean Earth are reported as discontinued operations in the condensed consolidated statements of operations for the three and nine months ended September 30, 2019. Refer to </w:t>
      </w:r>
      <w:hyperlink w:anchor="page15">
        <w:r>
          <w:rPr>
            <w:rFonts w:ascii="Arial" w:cs="Arial" w:eastAsia="Arial" w:hAnsi="Arial"/>
            <w:sz w:val="18"/>
            <w:szCs w:val="18"/>
            <w:u w:val="single" w:color="auto"/>
            <w:color w:val="0000FF"/>
          </w:rPr>
          <w:t>Note C - "Discontinued Operations"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additional information. Unless otherwise indicated, the disclosures accompanying the condensed consolidated financial statements reflect the Company's continuing operations.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Seasonality</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Earnings of certain of our operating segments are seasonal in nature due to various recurring events, holidays and seasonal weather patterns, as well as the timing of our acquisitions during a given year. Historically, the third and fourth quarter produce the highest net sales during our fiscal year.</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i w:val="1"/>
          <w:iCs w:val="1"/>
          <w:u w:val="single" w:color="auto"/>
          <w:color w:val="auto"/>
        </w:rPr>
        <w:t>Recently Adopted Accounting Pronouncements</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June 2016, the Financial Accounting Standards Board ("FASB") issued ASU No. 2016-13, Financial Instruments—Credit Losses, which requires companies to present assets held at amortized cost, trade receivables and available for sale debt securities net of the amount expected to be collected. The guidance requires the measurement of expected credit losses to be based on relevant information from past events, including historical experiences, current conditions and reasonable and supportable forecasts that affect collectibility. The guidance was effective for fiscal years and interim periods beginning after December 15, 2019, with early adoption permitted. The adoption of this guidance on January 1, 2020 did not have a material impact on our consolidated financial statements.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Recently Issued Accounting Pronouncements</w:t>
      </w:r>
    </w:p>
    <w:p>
      <w:pPr>
        <w:spacing w:after="0" w:line="1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December 2019, the FASB issued ASU No. 2019-12, Income Taxes (Topic 740): Simplifying the Accounting for Income Taxes. This guidance removes certain exceptions related to the approach for intraperiod tax allocation, the methodology for calculating income taxes in an interim period, and the recognition of deferred tax liabilities for outside basis differences. This guidance also clarifies and simplifies other areas of ASC 740. The guidance will be effective for fiscal years and interim periods beginning after December 15, 2021 and early adoption is permitted. The adoption of this guidance is not expected to have a material impact on our consolidated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 Acquisition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Marucci Sports, LLC</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April 20, 2020, pursuant to an Agreement and Plan of Merger entered into on March 6, 2020, the Company, through a wholly-owned subsidiary, Wheelhouse Holdings Inc., a Delaware corporation (“Buyer”) and Wheelhouse Holdings Merger Sub LLC, a Delaware limited liability company and a wholly owned Subsidiary of Buyer (“Merger Sub”), completed a merger (the “Transaction”) with Marucci Sports, LLC, a Delaware limited liability company (“Marucci”). Upon the completion of the Transaction, Marucci became a wholly owned subsidiary of Buyer and an indirect subsidiary of the Company. Headquartered in Baton Rouge, Louisiana, Marucci is a leading manufacturer and distributor of baseball and softball equipment. Founded in 2009, Marucci has a product portfolio that includes wood and metal bats, apparel and accessories, batting and fielding gloves and bags and protective gear.</w:t>
      </w:r>
    </w:p>
    <w:p>
      <w:pPr>
        <w:spacing w:after="0" w:line="9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Company made loans to, and purchased a 92.2% equity interest in, Marucci. The purchase price, including proceeds from noncontrolling shareholders and net of transaction costs, was $198.9 million. Marucci management and certain existing shareholders invested in the Transaction along with the Company, representing 7.8% initial noncontrolling interest on both a primary and fully diluted basis. The fair value of the noncontrolling interest was determined based on the enterprise value of the acquired entity multiplied by the ratio of the number of shares acquired by the minority holders to total shares. The transaction was accounted for as a business combination. CGM acted as an advisor to the Company in the acquisition and will continue to provide integration services during the first year of the Company's ownership of Marucci. CGM will receive integration service fees of $2.0 million payable quarterly over a twelve month period as services are rendered beginning in the quarter ended September 30, 2020. The Company incurred $2.0 million of transaction costs in conjunction with the Marucci acquisition, which was included in selling, general and administrative expense in the consolidated statements of operations during the second quarter of 2020.</w:t>
      </w:r>
    </w:p>
    <w:p>
      <w:pPr>
        <w:spacing w:after="0" w:line="34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results of operations of Marucci have been included in the consolidated results of operations since the date of acquisition. Marucci's results of operations are reported as a separate operating segment as a branded consumer business. The table below provides the recording of assets acquired and liabilities assumed as of the date of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13" w:name="page14"/>
    <w:bookmarkEnd w:id="13"/>
    <w:tbl>
      <w:tblPr>
        <w:tblLayout w:type="fixed"/>
        <w:tblInd w:w="420" w:type="dxa"/>
        <w:tblCellMar>
          <w:top w:w="0" w:type="dxa"/>
          <w:left w:w="0" w:type="dxa"/>
          <w:bottom w:w="0" w:type="dxa"/>
          <w:right w:w="0" w:type="dxa"/>
        </w:tblCellMar>
      </w:tblPr>
      <w:tr>
        <w:trPr>
          <w:trHeight w:val="172"/>
        </w:trPr>
        <w:tc>
          <w:tcPr>
            <w:tcW w:w="4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80" w:type="dxa"/>
            <w:vAlign w:val="bottom"/>
            <w:gridSpan w:val="3"/>
          </w:tcPr>
          <w:p>
            <w:pPr>
              <w:ind w:left="20"/>
              <w:spacing w:after="0"/>
              <w:rPr>
                <w:sz w:val="20"/>
                <w:szCs w:val="20"/>
                <w:color w:val="auto"/>
              </w:rPr>
            </w:pPr>
            <w:r>
              <w:rPr>
                <w:rFonts w:ascii="Arial" w:cs="Arial" w:eastAsia="Arial" w:hAnsi="Arial"/>
                <w:sz w:val="15"/>
                <w:szCs w:val="15"/>
                <w:b w:val="1"/>
                <w:bCs w:val="1"/>
                <w:color w:val="auto"/>
              </w:rPr>
              <w:t>Preliminary Purchase Price</w:t>
            </w:r>
          </w:p>
        </w:tc>
        <w:tc>
          <w:tcPr>
            <w:tcW w:w="100" w:type="dxa"/>
            <w:vAlign w:val="bottom"/>
          </w:tcPr>
          <w:p>
            <w:pPr>
              <w:spacing w:after="0"/>
              <w:rPr>
                <w:sz w:val="14"/>
                <w:szCs w:val="14"/>
                <w:color w:val="auto"/>
              </w:rPr>
            </w:pPr>
          </w:p>
        </w:tc>
        <w:tc>
          <w:tcPr>
            <w:tcW w:w="1760" w:type="dxa"/>
            <w:vAlign w:val="bottom"/>
            <w:gridSpan w:val="2"/>
          </w:tcPr>
          <w:p>
            <w:pPr>
              <w:ind w:left="20"/>
              <w:spacing w:after="0"/>
              <w:rPr>
                <w:sz w:val="20"/>
                <w:szCs w:val="20"/>
                <w:color w:val="auto"/>
              </w:rPr>
            </w:pPr>
            <w:r>
              <w:rPr>
                <w:rFonts w:ascii="Arial" w:cs="Arial" w:eastAsia="Arial" w:hAnsi="Arial"/>
                <w:sz w:val="15"/>
                <w:szCs w:val="15"/>
                <w:b w:val="1"/>
                <w:bCs w:val="1"/>
                <w:color w:val="auto"/>
              </w:rPr>
              <w:t>Measurement Period</w:t>
            </w:r>
          </w:p>
        </w:tc>
        <w:tc>
          <w:tcPr>
            <w:tcW w:w="2040" w:type="dxa"/>
            <w:vAlign w:val="bottom"/>
            <w:gridSpan w:val="2"/>
          </w:tcPr>
          <w:p>
            <w:pPr>
              <w:ind w:left="20"/>
              <w:spacing w:after="0"/>
              <w:rPr>
                <w:sz w:val="20"/>
                <w:szCs w:val="20"/>
                <w:color w:val="auto"/>
              </w:rPr>
            </w:pPr>
            <w:r>
              <w:rPr>
                <w:rFonts w:ascii="Arial" w:cs="Arial" w:eastAsia="Arial" w:hAnsi="Arial"/>
                <w:sz w:val="15"/>
                <w:szCs w:val="15"/>
                <w:b w:val="1"/>
                <w:bCs w:val="1"/>
                <w:color w:val="auto"/>
              </w:rPr>
              <w:t>Preliminary Purchase Price</w:t>
            </w:r>
          </w:p>
        </w:tc>
        <w:tc>
          <w:tcPr>
            <w:tcW w:w="0" w:type="dxa"/>
            <w:vAlign w:val="bottom"/>
          </w:tcPr>
          <w:p>
            <w:pPr>
              <w:spacing w:after="0"/>
              <w:rPr>
                <w:sz w:val="1"/>
                <w:szCs w:val="1"/>
                <w:color w:val="auto"/>
              </w:rPr>
            </w:pPr>
          </w:p>
        </w:tc>
      </w:tr>
      <w:tr>
        <w:trPr>
          <w:trHeight w:val="202"/>
        </w:trPr>
        <w:tc>
          <w:tcPr>
            <w:tcW w:w="416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601"/>
              <w:spacing w:after="0"/>
              <w:rPr>
                <w:sz w:val="20"/>
                <w:szCs w:val="20"/>
                <w:color w:val="auto"/>
              </w:rPr>
            </w:pPr>
            <w:r>
              <w:rPr>
                <w:rFonts w:ascii="Arial" w:cs="Arial" w:eastAsia="Arial" w:hAnsi="Arial"/>
                <w:sz w:val="15"/>
                <w:szCs w:val="15"/>
                <w:b w:val="1"/>
                <w:bCs w:val="1"/>
                <w:color w:val="auto"/>
              </w:rPr>
              <w:t>Allocation</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342"/>
              <w:spacing w:after="0"/>
              <w:rPr>
                <w:sz w:val="20"/>
                <w:szCs w:val="20"/>
                <w:color w:val="auto"/>
              </w:rPr>
            </w:pPr>
            <w:r>
              <w:rPr>
                <w:rFonts w:ascii="Arial" w:cs="Arial" w:eastAsia="Arial" w:hAnsi="Arial"/>
                <w:sz w:val="15"/>
                <w:szCs w:val="15"/>
                <w:b w:val="1"/>
                <w:bCs w:val="1"/>
                <w:color w:val="auto"/>
              </w:rPr>
              <w:t>Adjustments</w:t>
            </w: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581"/>
              <w:spacing w:after="0"/>
              <w:rPr>
                <w:sz w:val="20"/>
                <w:szCs w:val="20"/>
                <w:color w:val="auto"/>
              </w:rPr>
            </w:pPr>
            <w:r>
              <w:rPr>
                <w:rFonts w:ascii="Arial" w:cs="Arial" w:eastAsia="Arial" w:hAnsi="Arial"/>
                <w:sz w:val="15"/>
                <w:szCs w:val="15"/>
                <w:b w:val="1"/>
                <w:bCs w:val="1"/>
                <w:color w:val="auto"/>
              </w:rPr>
              <w:t>Allocation</w:t>
            </w:r>
          </w:p>
        </w:tc>
        <w:tc>
          <w:tcPr>
            <w:tcW w:w="0" w:type="dxa"/>
            <w:vAlign w:val="bottom"/>
          </w:tcPr>
          <w:p>
            <w:pPr>
              <w:spacing w:after="0"/>
              <w:rPr>
                <w:sz w:val="1"/>
                <w:szCs w:val="1"/>
                <w:color w:val="auto"/>
              </w:rPr>
            </w:pPr>
          </w:p>
        </w:tc>
      </w:tr>
      <w:tr>
        <w:trPr>
          <w:trHeight w:val="196"/>
        </w:trPr>
        <w:tc>
          <w:tcPr>
            <w:tcW w:w="4320" w:type="dxa"/>
            <w:vAlign w:val="bottom"/>
            <w:gridSpan w:val="3"/>
          </w:tcPr>
          <w:p>
            <w:pPr>
              <w:spacing w:after="0"/>
              <w:rPr>
                <w:sz w:val="20"/>
                <w:szCs w:val="20"/>
                <w:color w:val="auto"/>
              </w:rPr>
            </w:pPr>
            <w:r>
              <w:rPr>
                <w:rFonts w:ascii="Arial" w:cs="Arial" w:eastAsia="Arial" w:hAnsi="Arial"/>
                <w:sz w:val="14"/>
                <w:szCs w:val="14"/>
                <w:i w:val="1"/>
                <w:iCs w:val="1"/>
                <w:color w:val="auto"/>
              </w:rPr>
              <w:t>(in thousands)</w:t>
            </w: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40" w:type="dxa"/>
            <w:vAlign w:val="bottom"/>
            <w:gridSpan w:val="2"/>
          </w:tcPr>
          <w:p>
            <w:pPr>
              <w:jc w:val="right"/>
              <w:ind w:right="21"/>
              <w:spacing w:after="0"/>
              <w:rPr>
                <w:sz w:val="20"/>
                <w:szCs w:val="20"/>
                <w:color w:val="auto"/>
              </w:rPr>
            </w:pPr>
            <w:r>
              <w:rPr>
                <w:rFonts w:ascii="Arial" w:cs="Arial" w:eastAsia="Arial" w:hAnsi="Arial"/>
                <w:sz w:val="15"/>
                <w:szCs w:val="15"/>
                <w:b w:val="1"/>
                <w:bCs w:val="1"/>
                <w:color w:val="auto"/>
              </w:rPr>
              <w:t>As of September 30, 2020</w:t>
            </w:r>
          </w:p>
        </w:tc>
        <w:tc>
          <w:tcPr>
            <w:tcW w:w="0" w:type="dxa"/>
            <w:vAlign w:val="bottom"/>
          </w:tcPr>
          <w:p>
            <w:pPr>
              <w:spacing w:after="0"/>
              <w:rPr>
                <w:sz w:val="1"/>
                <w:szCs w:val="1"/>
                <w:color w:val="auto"/>
              </w:rPr>
            </w:pPr>
          </w:p>
        </w:tc>
      </w:tr>
      <w:tr>
        <w:trPr>
          <w:trHeight w:val="196"/>
        </w:trPr>
        <w:tc>
          <w:tcPr>
            <w:tcW w:w="4160" w:type="dxa"/>
            <w:vAlign w:val="bottom"/>
            <w:tcBorders>
              <w:top w:val="single" w:sz="8" w:color="auto"/>
            </w:tcBorders>
          </w:tcPr>
          <w:p>
            <w:pPr>
              <w:spacing w:after="0"/>
              <w:rPr>
                <w:sz w:val="20"/>
                <w:szCs w:val="20"/>
                <w:color w:val="auto"/>
              </w:rPr>
            </w:pPr>
            <w:r>
              <w:rPr>
                <w:rFonts w:ascii="Arial" w:cs="Arial" w:eastAsia="Arial" w:hAnsi="Arial"/>
                <w:sz w:val="15"/>
                <w:szCs w:val="15"/>
                <w:b w:val="1"/>
                <w:bCs w:val="1"/>
                <w:color w:val="auto"/>
              </w:rPr>
              <w:t>Assets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2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Cash</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2,730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2,730</w:t>
            </w:r>
          </w:p>
        </w:tc>
        <w:tc>
          <w:tcPr>
            <w:tcW w:w="0" w:type="dxa"/>
            <w:vAlign w:val="bottom"/>
          </w:tcPr>
          <w:p>
            <w:pPr>
              <w:spacing w:after="0"/>
              <w:rPr>
                <w:sz w:val="1"/>
                <w:szCs w:val="1"/>
                <w:color w:val="auto"/>
              </w:rPr>
            </w:pPr>
          </w:p>
        </w:tc>
      </w:tr>
      <w:tr>
        <w:trPr>
          <w:trHeight w:val="216"/>
        </w:trPr>
        <w:tc>
          <w:tcPr>
            <w:tcW w:w="4320" w:type="dxa"/>
            <w:vAlign w:val="bottom"/>
            <w:gridSpan w:val="3"/>
          </w:tcPr>
          <w:p>
            <w:pPr>
              <w:spacing w:after="0" w:line="216" w:lineRule="exact"/>
              <w:rPr>
                <w:sz w:val="20"/>
                <w:szCs w:val="20"/>
                <w:color w:val="auto"/>
              </w:rPr>
            </w:pPr>
            <w:r>
              <w:rPr>
                <w:rFonts w:ascii="Arial" w:cs="Arial" w:eastAsia="Arial" w:hAnsi="Arial"/>
                <w:sz w:val="15"/>
                <w:szCs w:val="15"/>
                <w:color w:val="auto"/>
              </w:rPr>
              <w:t xml:space="preserve">Accounts Receivable </w:t>
            </w:r>
            <w:r>
              <w:rPr>
                <w:rFonts w:ascii="Arial" w:cs="Arial" w:eastAsia="Arial" w:hAnsi="Arial"/>
                <w:sz w:val="23"/>
                <w:szCs w:val="23"/>
                <w:b w:val="1"/>
                <w:bCs w:val="1"/>
                <w:color w:val="auto"/>
                <w:vertAlign w:val="superscript"/>
              </w:rPr>
              <w:t>(1)</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80" w:type="dxa"/>
            <w:vAlign w:val="bottom"/>
          </w:tcPr>
          <w:p>
            <w:pPr>
              <w:jc w:val="right"/>
              <w:ind w:right="1"/>
              <w:spacing w:after="0"/>
              <w:rPr>
                <w:sz w:val="20"/>
                <w:szCs w:val="20"/>
                <w:color w:val="auto"/>
              </w:rPr>
            </w:pPr>
            <w:r>
              <w:rPr>
                <w:rFonts w:ascii="Arial" w:cs="Arial" w:eastAsia="Arial" w:hAnsi="Arial"/>
                <w:sz w:val="16"/>
                <w:szCs w:val="16"/>
                <w:color w:val="auto"/>
              </w:rPr>
              <w:t>11,471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680" w:type="dxa"/>
            <w:vAlign w:val="bottom"/>
          </w:tcPr>
          <w:p>
            <w:pPr>
              <w:jc w:val="right"/>
              <w:ind w:right="1"/>
              <w:spacing w:after="0"/>
              <w:rPr>
                <w:sz w:val="20"/>
                <w:szCs w:val="20"/>
                <w:color w:val="auto"/>
              </w:rPr>
            </w:pPr>
            <w:r>
              <w:rPr>
                <w:rFonts w:ascii="Arial" w:cs="Arial" w:eastAsia="Arial" w:hAnsi="Arial"/>
                <w:sz w:val="16"/>
                <w:szCs w:val="16"/>
                <w:color w:val="auto"/>
              </w:rPr>
              <w:t>11,471</w:t>
            </w:r>
          </w:p>
        </w:tc>
        <w:tc>
          <w:tcPr>
            <w:tcW w:w="0" w:type="dxa"/>
            <w:vAlign w:val="bottom"/>
          </w:tcPr>
          <w:p>
            <w:pPr>
              <w:spacing w:after="0"/>
              <w:rPr>
                <w:sz w:val="1"/>
                <w:szCs w:val="1"/>
                <w:color w:val="auto"/>
              </w:rPr>
            </w:pPr>
          </w:p>
        </w:tc>
      </w:tr>
      <w:tr>
        <w:trPr>
          <w:trHeight w:val="216"/>
        </w:trPr>
        <w:tc>
          <w:tcPr>
            <w:tcW w:w="4320" w:type="dxa"/>
            <w:vAlign w:val="bottom"/>
            <w:gridSpan w:val="3"/>
            <w:shd w:val="clear" w:color="auto" w:fill="CCEEFF"/>
          </w:tcPr>
          <w:p>
            <w:pPr>
              <w:spacing w:after="0" w:line="216" w:lineRule="exact"/>
              <w:rPr>
                <w:sz w:val="20"/>
                <w:szCs w:val="20"/>
                <w:color w:val="auto"/>
              </w:rPr>
            </w:pPr>
            <w:r>
              <w:rPr>
                <w:rFonts w:ascii="Arial" w:cs="Arial" w:eastAsia="Arial" w:hAnsi="Arial"/>
                <w:sz w:val="15"/>
                <w:szCs w:val="15"/>
                <w:color w:val="auto"/>
              </w:rPr>
              <w:t xml:space="preserve">Inventory </w:t>
            </w:r>
            <w:r>
              <w:rPr>
                <w:rFonts w:ascii="Arial" w:cs="Arial" w:eastAsia="Arial" w:hAnsi="Arial"/>
                <w:sz w:val="23"/>
                <w:szCs w:val="23"/>
                <w:b w:val="1"/>
                <w:bCs w:val="1"/>
                <w:color w:val="auto"/>
                <w:vertAlign w:val="superscript"/>
              </w:rPr>
              <w:t>(2)</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14,795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14,481</w:t>
            </w:r>
          </w:p>
        </w:tc>
        <w:tc>
          <w:tcPr>
            <w:tcW w:w="0" w:type="dxa"/>
            <w:vAlign w:val="bottom"/>
          </w:tcPr>
          <w:p>
            <w:pPr>
              <w:spacing w:after="0"/>
              <w:rPr>
                <w:sz w:val="1"/>
                <w:szCs w:val="1"/>
                <w:color w:val="auto"/>
              </w:rPr>
            </w:pPr>
          </w:p>
        </w:tc>
      </w:tr>
      <w:tr>
        <w:trPr>
          <w:trHeight w:val="216"/>
        </w:trPr>
        <w:tc>
          <w:tcPr>
            <w:tcW w:w="4320" w:type="dxa"/>
            <w:vAlign w:val="bottom"/>
            <w:gridSpan w:val="3"/>
          </w:tcPr>
          <w:p>
            <w:pPr>
              <w:spacing w:after="0" w:line="216" w:lineRule="exact"/>
              <w:rPr>
                <w:sz w:val="20"/>
                <w:szCs w:val="20"/>
                <w:color w:val="auto"/>
              </w:rPr>
            </w:pPr>
            <w:r>
              <w:rPr>
                <w:rFonts w:ascii="Arial" w:cs="Arial" w:eastAsia="Arial" w:hAnsi="Arial"/>
                <w:sz w:val="15"/>
                <w:szCs w:val="15"/>
                <w:color w:val="auto"/>
              </w:rPr>
              <w:t xml:space="preserve">Property, plant and equipment </w:t>
            </w:r>
            <w:r>
              <w:rPr>
                <w:rFonts w:ascii="Arial" w:cs="Arial" w:eastAsia="Arial" w:hAnsi="Arial"/>
                <w:sz w:val="23"/>
                <w:szCs w:val="23"/>
                <w:b w:val="1"/>
                <w:bCs w:val="1"/>
                <w:color w:val="auto"/>
                <w:vertAlign w:val="superscript"/>
              </w:rPr>
              <w:t>(3)</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80" w:type="dxa"/>
            <w:vAlign w:val="bottom"/>
          </w:tcPr>
          <w:p>
            <w:pPr>
              <w:jc w:val="right"/>
              <w:ind w:right="1"/>
              <w:spacing w:after="0"/>
              <w:rPr>
                <w:sz w:val="20"/>
                <w:szCs w:val="20"/>
                <w:color w:val="auto"/>
              </w:rPr>
            </w:pPr>
            <w:r>
              <w:rPr>
                <w:rFonts w:ascii="Arial" w:cs="Arial" w:eastAsia="Arial" w:hAnsi="Arial"/>
                <w:sz w:val="16"/>
                <w:szCs w:val="16"/>
                <w:color w:val="auto"/>
              </w:rPr>
              <w:t>10,681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(374)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tcPr>
          <w:p>
            <w:pPr>
              <w:jc w:val="right"/>
              <w:ind w:right="1"/>
              <w:spacing w:after="0"/>
              <w:rPr>
                <w:sz w:val="20"/>
                <w:szCs w:val="20"/>
                <w:color w:val="auto"/>
              </w:rPr>
            </w:pPr>
            <w:r>
              <w:rPr>
                <w:rFonts w:ascii="Arial" w:cs="Arial" w:eastAsia="Arial" w:hAnsi="Arial"/>
                <w:sz w:val="16"/>
                <w:szCs w:val="16"/>
                <w:color w:val="auto"/>
              </w:rPr>
              <w:t>10,307</w:t>
            </w:r>
          </w:p>
        </w:tc>
        <w:tc>
          <w:tcPr>
            <w:tcW w:w="0" w:type="dxa"/>
            <w:vAlign w:val="bottom"/>
          </w:tcPr>
          <w:p>
            <w:pPr>
              <w:spacing w:after="0"/>
              <w:rPr>
                <w:sz w:val="1"/>
                <w:szCs w:val="1"/>
                <w:color w:val="auto"/>
              </w:rPr>
            </w:pPr>
          </w:p>
        </w:tc>
      </w:tr>
      <w:tr>
        <w:trPr>
          <w:trHeight w:val="216"/>
        </w:trPr>
        <w:tc>
          <w:tcPr>
            <w:tcW w:w="432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Intangible assets</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99,249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99,249</w:t>
            </w:r>
          </w:p>
        </w:tc>
        <w:tc>
          <w:tcPr>
            <w:tcW w:w="0" w:type="dxa"/>
            <w:vAlign w:val="bottom"/>
          </w:tcPr>
          <w:p>
            <w:pPr>
              <w:spacing w:after="0"/>
              <w:rPr>
                <w:sz w:val="1"/>
                <w:szCs w:val="1"/>
                <w:color w:val="auto"/>
              </w:rPr>
            </w:pPr>
          </w:p>
        </w:tc>
      </w:tr>
      <w:tr>
        <w:trPr>
          <w:trHeight w:val="213"/>
        </w:trPr>
        <w:tc>
          <w:tcPr>
            <w:tcW w:w="4320" w:type="dxa"/>
            <w:vAlign w:val="bottom"/>
            <w:gridSpan w:val="3"/>
          </w:tcPr>
          <w:p>
            <w:pPr>
              <w:spacing w:after="0"/>
              <w:rPr>
                <w:sz w:val="20"/>
                <w:szCs w:val="20"/>
                <w:color w:val="auto"/>
              </w:rPr>
            </w:pPr>
            <w:r>
              <w:rPr>
                <w:rFonts w:ascii="Arial" w:cs="Arial" w:eastAsia="Arial" w:hAnsi="Arial"/>
                <w:sz w:val="15"/>
                <w:szCs w:val="15"/>
                <w:color w:val="auto"/>
              </w:rPr>
              <w:t>Goodwill</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80" w:type="dxa"/>
            <w:vAlign w:val="bottom"/>
          </w:tcPr>
          <w:p>
            <w:pPr>
              <w:jc w:val="right"/>
              <w:ind w:right="1"/>
              <w:spacing w:after="0"/>
              <w:rPr>
                <w:sz w:val="20"/>
                <w:szCs w:val="20"/>
                <w:color w:val="auto"/>
              </w:rPr>
            </w:pPr>
            <w:r>
              <w:rPr>
                <w:rFonts w:ascii="Arial" w:cs="Arial" w:eastAsia="Arial" w:hAnsi="Arial"/>
                <w:sz w:val="16"/>
                <w:szCs w:val="16"/>
                <w:color w:val="auto"/>
              </w:rPr>
              <w:t>67,733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jc w:val="right"/>
              <w:ind w:right="2"/>
              <w:spacing w:after="0"/>
              <w:rPr>
                <w:sz w:val="20"/>
                <w:szCs w:val="20"/>
                <w:color w:val="auto"/>
              </w:rPr>
            </w:pPr>
            <w:r>
              <w:rPr>
                <w:rFonts w:ascii="Arial" w:cs="Arial" w:eastAsia="Arial" w:hAnsi="Arial"/>
                <w:sz w:val="16"/>
                <w:szCs w:val="16"/>
                <w:color w:val="auto"/>
              </w:rPr>
              <w:t>238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tcPr>
          <w:p>
            <w:pPr>
              <w:jc w:val="right"/>
              <w:ind w:right="1"/>
              <w:spacing w:after="0"/>
              <w:rPr>
                <w:sz w:val="20"/>
                <w:szCs w:val="20"/>
                <w:color w:val="auto"/>
              </w:rPr>
            </w:pPr>
            <w:r>
              <w:rPr>
                <w:rFonts w:ascii="Arial" w:cs="Arial" w:eastAsia="Arial" w:hAnsi="Arial"/>
                <w:sz w:val="16"/>
                <w:szCs w:val="16"/>
                <w:color w:val="auto"/>
              </w:rPr>
              <w:t>67,971</w:t>
            </w:r>
          </w:p>
        </w:tc>
        <w:tc>
          <w:tcPr>
            <w:tcW w:w="0" w:type="dxa"/>
            <w:vAlign w:val="bottom"/>
          </w:tcPr>
          <w:p>
            <w:pPr>
              <w:spacing w:after="0"/>
              <w:rPr>
                <w:sz w:val="1"/>
                <w:szCs w:val="1"/>
                <w:color w:val="auto"/>
              </w:rPr>
            </w:pPr>
          </w:p>
        </w:tc>
      </w:tr>
      <w:tr>
        <w:trPr>
          <w:trHeight w:val="219"/>
        </w:trPr>
        <w:tc>
          <w:tcPr>
            <w:tcW w:w="432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Other current and noncurrent assets</w:t>
            </w:r>
          </w:p>
        </w:tc>
        <w:tc>
          <w:tcPr>
            <w:tcW w:w="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956</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1,252</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2,208</w:t>
            </w:r>
          </w:p>
        </w:tc>
        <w:tc>
          <w:tcPr>
            <w:tcW w:w="0" w:type="dxa"/>
            <w:vAlign w:val="bottom"/>
          </w:tcPr>
          <w:p>
            <w:pPr>
              <w:spacing w:after="0"/>
              <w:rPr>
                <w:sz w:val="1"/>
                <w:szCs w:val="1"/>
                <w:color w:val="auto"/>
              </w:rPr>
            </w:pPr>
          </w:p>
        </w:tc>
      </w:tr>
      <w:tr>
        <w:trPr>
          <w:trHeight w:val="192"/>
        </w:trPr>
        <w:tc>
          <w:tcPr>
            <w:tcW w:w="4320" w:type="dxa"/>
            <w:vAlign w:val="bottom"/>
            <w:gridSpan w:val="3"/>
          </w:tcPr>
          <w:p>
            <w:pPr>
              <w:spacing w:after="0"/>
              <w:rPr>
                <w:sz w:val="20"/>
                <w:szCs w:val="20"/>
                <w:color w:val="auto"/>
              </w:rPr>
            </w:pPr>
            <w:r>
              <w:rPr>
                <w:rFonts w:ascii="Arial" w:cs="Arial" w:eastAsia="Arial" w:hAnsi="Arial"/>
                <w:sz w:val="15"/>
                <w:szCs w:val="15"/>
                <w:b w:val="1"/>
                <w:bCs w:val="1"/>
                <w:color w:val="auto"/>
              </w:rPr>
              <w:t>Total Assets</w:t>
            </w: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80" w:type="dxa"/>
            <w:vAlign w:val="bottom"/>
          </w:tcPr>
          <w:p>
            <w:pPr>
              <w:jc w:val="right"/>
              <w:ind w:right="1"/>
              <w:spacing w:after="0"/>
              <w:rPr>
                <w:sz w:val="20"/>
                <w:szCs w:val="20"/>
                <w:color w:val="auto"/>
              </w:rPr>
            </w:pPr>
            <w:r>
              <w:rPr>
                <w:rFonts w:ascii="Arial" w:cs="Arial" w:eastAsia="Arial" w:hAnsi="Arial"/>
                <w:sz w:val="15"/>
                <w:szCs w:val="15"/>
                <w:color w:val="auto"/>
              </w:rPr>
              <w:t>207,615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802</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5"/>
                <w:szCs w:val="15"/>
                <w:color w:val="auto"/>
              </w:rPr>
              <w:t>208,417</w:t>
            </w:r>
          </w:p>
        </w:tc>
        <w:tc>
          <w:tcPr>
            <w:tcW w:w="0" w:type="dxa"/>
            <w:vAlign w:val="bottom"/>
          </w:tcPr>
          <w:p>
            <w:pPr>
              <w:spacing w:after="0"/>
              <w:rPr>
                <w:sz w:val="1"/>
                <w:szCs w:val="1"/>
                <w:color w:val="auto"/>
              </w:rPr>
            </w:pPr>
          </w:p>
        </w:tc>
      </w:tr>
      <w:tr>
        <w:trPr>
          <w:trHeight w:val="274"/>
        </w:trPr>
        <w:tc>
          <w:tcPr>
            <w:tcW w:w="41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2"/>
        </w:trPr>
        <w:tc>
          <w:tcPr>
            <w:tcW w:w="4320" w:type="dxa"/>
            <w:vAlign w:val="bottom"/>
            <w:gridSpan w:val="3"/>
          </w:tcPr>
          <w:p>
            <w:pPr>
              <w:spacing w:after="0"/>
              <w:rPr>
                <w:sz w:val="20"/>
                <w:szCs w:val="20"/>
                <w:color w:val="auto"/>
              </w:rPr>
            </w:pPr>
            <w:r>
              <w:rPr>
                <w:rFonts w:ascii="Arial" w:cs="Arial" w:eastAsia="Arial" w:hAnsi="Arial"/>
                <w:sz w:val="15"/>
                <w:szCs w:val="15"/>
                <w:b w:val="1"/>
                <w:bCs w:val="1"/>
                <w:color w:val="auto"/>
              </w:rPr>
              <w:t>Liabilities and noncontrolling interest</w:t>
            </w: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2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Current liabilities</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6,207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294</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6,501</w:t>
            </w:r>
          </w:p>
        </w:tc>
        <w:tc>
          <w:tcPr>
            <w:tcW w:w="0" w:type="dxa"/>
            <w:vAlign w:val="bottom"/>
          </w:tcPr>
          <w:p>
            <w:pPr>
              <w:spacing w:after="0"/>
              <w:rPr>
                <w:sz w:val="1"/>
                <w:szCs w:val="1"/>
                <w:color w:val="auto"/>
              </w:rPr>
            </w:pPr>
          </w:p>
        </w:tc>
      </w:tr>
      <w:tr>
        <w:trPr>
          <w:trHeight w:val="213"/>
        </w:trPr>
        <w:tc>
          <w:tcPr>
            <w:tcW w:w="4320" w:type="dxa"/>
            <w:vAlign w:val="bottom"/>
            <w:gridSpan w:val="3"/>
          </w:tcPr>
          <w:p>
            <w:pPr>
              <w:spacing w:after="0"/>
              <w:rPr>
                <w:sz w:val="20"/>
                <w:szCs w:val="20"/>
                <w:color w:val="auto"/>
              </w:rPr>
            </w:pPr>
            <w:r>
              <w:rPr>
                <w:rFonts w:ascii="Arial" w:cs="Arial" w:eastAsia="Arial" w:hAnsi="Arial"/>
                <w:sz w:val="15"/>
                <w:szCs w:val="15"/>
                <w:color w:val="auto"/>
              </w:rPr>
              <w:t>Other liabilities</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80" w:type="dxa"/>
            <w:vAlign w:val="bottom"/>
          </w:tcPr>
          <w:p>
            <w:pPr>
              <w:jc w:val="right"/>
              <w:ind w:right="1"/>
              <w:spacing w:after="0"/>
              <w:rPr>
                <w:sz w:val="20"/>
                <w:szCs w:val="20"/>
                <w:color w:val="auto"/>
              </w:rPr>
            </w:pPr>
            <w:r>
              <w:rPr>
                <w:rFonts w:ascii="Arial" w:cs="Arial" w:eastAsia="Arial" w:hAnsi="Arial"/>
                <w:sz w:val="16"/>
                <w:szCs w:val="16"/>
                <w:color w:val="auto"/>
              </w:rPr>
              <w:t>42,100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jc w:val="right"/>
              <w:ind w:right="2"/>
              <w:spacing w:after="0"/>
              <w:rPr>
                <w:sz w:val="20"/>
                <w:szCs w:val="20"/>
                <w:color w:val="auto"/>
              </w:rPr>
            </w:pPr>
            <w:r>
              <w:rPr>
                <w:rFonts w:ascii="Arial" w:cs="Arial" w:eastAsia="Arial" w:hAnsi="Arial"/>
                <w:sz w:val="16"/>
                <w:szCs w:val="16"/>
                <w:color w:val="auto"/>
              </w:rPr>
              <w:t>958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tcPr>
          <w:p>
            <w:pPr>
              <w:jc w:val="right"/>
              <w:ind w:right="1"/>
              <w:spacing w:after="0"/>
              <w:rPr>
                <w:sz w:val="20"/>
                <w:szCs w:val="20"/>
                <w:color w:val="auto"/>
              </w:rPr>
            </w:pPr>
            <w:r>
              <w:rPr>
                <w:rFonts w:ascii="Arial" w:cs="Arial" w:eastAsia="Arial" w:hAnsi="Arial"/>
                <w:sz w:val="16"/>
                <w:szCs w:val="16"/>
                <w:color w:val="auto"/>
              </w:rPr>
              <w:t>43,058</w:t>
            </w:r>
          </w:p>
        </w:tc>
        <w:tc>
          <w:tcPr>
            <w:tcW w:w="0" w:type="dxa"/>
            <w:vAlign w:val="bottom"/>
          </w:tcPr>
          <w:p>
            <w:pPr>
              <w:spacing w:after="0"/>
              <w:rPr>
                <w:sz w:val="1"/>
                <w:szCs w:val="1"/>
                <w:color w:val="auto"/>
              </w:rPr>
            </w:pPr>
          </w:p>
        </w:tc>
      </w:tr>
      <w:tr>
        <w:trPr>
          <w:trHeight w:val="219"/>
        </w:trPr>
        <w:tc>
          <w:tcPr>
            <w:tcW w:w="432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Noncontrolling interest</w:t>
            </w: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11,127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11,127</w:t>
            </w:r>
          </w:p>
        </w:tc>
        <w:tc>
          <w:tcPr>
            <w:tcW w:w="0" w:type="dxa"/>
            <w:vAlign w:val="bottom"/>
          </w:tcPr>
          <w:p>
            <w:pPr>
              <w:spacing w:after="0"/>
              <w:rPr>
                <w:sz w:val="1"/>
                <w:szCs w:val="1"/>
                <w:color w:val="auto"/>
              </w:rPr>
            </w:pPr>
          </w:p>
        </w:tc>
      </w:tr>
      <w:tr>
        <w:trPr>
          <w:trHeight w:val="192"/>
        </w:trPr>
        <w:tc>
          <w:tcPr>
            <w:tcW w:w="4320" w:type="dxa"/>
            <w:vAlign w:val="bottom"/>
            <w:gridSpan w:val="3"/>
          </w:tcPr>
          <w:p>
            <w:pPr>
              <w:spacing w:after="0"/>
              <w:rPr>
                <w:sz w:val="20"/>
                <w:szCs w:val="20"/>
                <w:color w:val="auto"/>
              </w:rPr>
            </w:pPr>
            <w:r>
              <w:rPr>
                <w:rFonts w:ascii="Arial" w:cs="Arial" w:eastAsia="Arial" w:hAnsi="Arial"/>
                <w:sz w:val="15"/>
                <w:szCs w:val="15"/>
                <w:b w:val="1"/>
                <w:bCs w:val="1"/>
                <w:color w:val="auto"/>
              </w:rPr>
              <w:t>Total liabilities and noncontrolling interest</w:t>
            </w:r>
          </w:p>
        </w:tc>
        <w:tc>
          <w:tcPr>
            <w:tcW w:w="2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680" w:type="dxa"/>
            <w:vAlign w:val="bottom"/>
            <w:tcBorders>
              <w:top w:val="single" w:sz="8" w:color="auto"/>
            </w:tcBorders>
          </w:tcPr>
          <w:p>
            <w:pPr>
              <w:jc w:val="right"/>
              <w:ind w:right="1"/>
              <w:spacing w:after="0"/>
              <w:rPr>
                <w:sz w:val="20"/>
                <w:szCs w:val="20"/>
                <w:color w:val="auto"/>
              </w:rPr>
            </w:pPr>
            <w:r>
              <w:rPr>
                <w:rFonts w:ascii="Arial" w:cs="Arial" w:eastAsia="Arial" w:hAnsi="Arial"/>
                <w:sz w:val="15"/>
                <w:szCs w:val="15"/>
                <w:color w:val="auto"/>
              </w:rPr>
              <w:t>59,434</w:t>
            </w: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1,252</w:t>
            </w:r>
          </w:p>
        </w:tc>
        <w:tc>
          <w:tcPr>
            <w:tcW w:w="12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60,686</w:t>
            </w:r>
          </w:p>
        </w:tc>
        <w:tc>
          <w:tcPr>
            <w:tcW w:w="0" w:type="dxa"/>
            <w:vAlign w:val="bottom"/>
          </w:tcPr>
          <w:p>
            <w:pPr>
              <w:spacing w:after="0"/>
              <w:rPr>
                <w:sz w:val="1"/>
                <w:szCs w:val="1"/>
                <w:color w:val="auto"/>
              </w:rPr>
            </w:pPr>
          </w:p>
        </w:tc>
      </w:tr>
      <w:tr>
        <w:trPr>
          <w:trHeight w:val="274"/>
        </w:trPr>
        <w:tc>
          <w:tcPr>
            <w:tcW w:w="41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3"/>
        </w:trPr>
        <w:tc>
          <w:tcPr>
            <w:tcW w:w="4320" w:type="dxa"/>
            <w:vAlign w:val="bottom"/>
            <w:gridSpan w:val="3"/>
          </w:tcPr>
          <w:p>
            <w:pPr>
              <w:spacing w:after="0"/>
              <w:rPr>
                <w:sz w:val="20"/>
                <w:szCs w:val="20"/>
                <w:color w:val="auto"/>
              </w:rPr>
            </w:pPr>
            <w:r>
              <w:rPr>
                <w:rFonts w:ascii="Arial" w:cs="Arial" w:eastAsia="Arial" w:hAnsi="Arial"/>
                <w:sz w:val="15"/>
                <w:szCs w:val="15"/>
                <w:color w:val="auto"/>
              </w:rPr>
              <w:t>Net assets acquired</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80" w:type="dxa"/>
            <w:vAlign w:val="bottom"/>
          </w:tcPr>
          <w:p>
            <w:pPr>
              <w:jc w:val="right"/>
              <w:ind w:right="1"/>
              <w:spacing w:after="0"/>
              <w:rPr>
                <w:sz w:val="20"/>
                <w:szCs w:val="20"/>
                <w:color w:val="auto"/>
              </w:rPr>
            </w:pPr>
            <w:r>
              <w:rPr>
                <w:rFonts w:ascii="Arial" w:cs="Arial" w:eastAsia="Arial" w:hAnsi="Arial"/>
                <w:sz w:val="16"/>
                <w:szCs w:val="16"/>
                <w:color w:val="auto"/>
              </w:rPr>
              <w:t>148,181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(450)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tcPr>
          <w:p>
            <w:pPr>
              <w:jc w:val="right"/>
              <w:ind w:right="1"/>
              <w:spacing w:after="0"/>
              <w:rPr>
                <w:sz w:val="20"/>
                <w:szCs w:val="20"/>
                <w:color w:val="auto"/>
              </w:rPr>
            </w:pPr>
            <w:r>
              <w:rPr>
                <w:rFonts w:ascii="Arial" w:cs="Arial" w:eastAsia="Arial" w:hAnsi="Arial"/>
                <w:sz w:val="16"/>
                <w:szCs w:val="16"/>
                <w:color w:val="auto"/>
              </w:rPr>
              <w:t>147,731</w:t>
            </w:r>
          </w:p>
        </w:tc>
        <w:tc>
          <w:tcPr>
            <w:tcW w:w="0" w:type="dxa"/>
            <w:vAlign w:val="bottom"/>
          </w:tcPr>
          <w:p>
            <w:pPr>
              <w:spacing w:after="0"/>
              <w:rPr>
                <w:sz w:val="1"/>
                <w:szCs w:val="1"/>
                <w:color w:val="auto"/>
              </w:rPr>
            </w:pPr>
          </w:p>
        </w:tc>
      </w:tr>
      <w:tr>
        <w:trPr>
          <w:trHeight w:val="219"/>
        </w:trPr>
        <w:tc>
          <w:tcPr>
            <w:tcW w:w="432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Noncontrolling interest</w:t>
            </w: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11,127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11,127</w:t>
            </w:r>
          </w:p>
        </w:tc>
        <w:tc>
          <w:tcPr>
            <w:tcW w:w="0" w:type="dxa"/>
            <w:vAlign w:val="bottom"/>
          </w:tcPr>
          <w:p>
            <w:pPr>
              <w:spacing w:after="0"/>
              <w:rPr>
                <w:sz w:val="1"/>
                <w:szCs w:val="1"/>
                <w:color w:val="auto"/>
              </w:rPr>
            </w:pPr>
          </w:p>
        </w:tc>
      </w:tr>
      <w:tr>
        <w:trPr>
          <w:trHeight w:val="213"/>
        </w:trPr>
        <w:tc>
          <w:tcPr>
            <w:tcW w:w="4320" w:type="dxa"/>
            <w:vAlign w:val="bottom"/>
            <w:gridSpan w:val="3"/>
          </w:tcPr>
          <w:p>
            <w:pPr>
              <w:spacing w:after="0"/>
              <w:rPr>
                <w:sz w:val="20"/>
                <w:szCs w:val="20"/>
                <w:color w:val="auto"/>
              </w:rPr>
            </w:pPr>
            <w:r>
              <w:rPr>
                <w:rFonts w:ascii="Arial" w:cs="Arial" w:eastAsia="Arial" w:hAnsi="Arial"/>
                <w:sz w:val="15"/>
                <w:szCs w:val="15"/>
                <w:color w:val="auto"/>
              </w:rPr>
              <w:t>Intercompany loans</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80" w:type="dxa"/>
            <w:vAlign w:val="bottom"/>
          </w:tcPr>
          <w:p>
            <w:pPr>
              <w:jc w:val="right"/>
              <w:ind w:right="1"/>
              <w:spacing w:after="0"/>
              <w:rPr>
                <w:sz w:val="20"/>
                <w:szCs w:val="20"/>
                <w:color w:val="auto"/>
              </w:rPr>
            </w:pPr>
            <w:r>
              <w:rPr>
                <w:rFonts w:ascii="Arial" w:cs="Arial" w:eastAsia="Arial" w:hAnsi="Arial"/>
                <w:sz w:val="16"/>
                <w:szCs w:val="16"/>
                <w:color w:val="auto"/>
              </w:rPr>
              <w:t>42,100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8"/>
                <w:szCs w:val="18"/>
                <w:color w:val="auto"/>
              </w:rPr>
            </w:pPr>
          </w:p>
        </w:tc>
        <w:tc>
          <w:tcPr>
            <w:tcW w:w="1680" w:type="dxa"/>
            <w:vAlign w:val="bottom"/>
          </w:tcPr>
          <w:p>
            <w:pPr>
              <w:jc w:val="right"/>
              <w:ind w:right="1"/>
              <w:spacing w:after="0"/>
              <w:rPr>
                <w:sz w:val="20"/>
                <w:szCs w:val="20"/>
                <w:color w:val="auto"/>
              </w:rPr>
            </w:pPr>
            <w:r>
              <w:rPr>
                <w:rFonts w:ascii="Arial" w:cs="Arial" w:eastAsia="Arial" w:hAnsi="Arial"/>
                <w:sz w:val="16"/>
                <w:szCs w:val="16"/>
                <w:color w:val="auto"/>
              </w:rPr>
              <w:t>42,100</w:t>
            </w:r>
          </w:p>
        </w:tc>
        <w:tc>
          <w:tcPr>
            <w:tcW w:w="0" w:type="dxa"/>
            <w:vAlign w:val="bottom"/>
          </w:tcPr>
          <w:p>
            <w:pPr>
              <w:spacing w:after="0"/>
              <w:rPr>
                <w:sz w:val="1"/>
                <w:szCs w:val="1"/>
                <w:color w:val="auto"/>
              </w:rPr>
            </w:pPr>
          </w:p>
        </w:tc>
      </w:tr>
      <w:tr>
        <w:trPr>
          <w:trHeight w:val="220"/>
        </w:trPr>
        <w:tc>
          <w:tcPr>
            <w:tcW w:w="41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gridSpan w:val="2"/>
            <w:shd w:val="clear" w:color="auto" w:fill="CCEEFF"/>
          </w:tcPr>
          <w:p>
            <w:pPr>
              <w:jc w:val="right"/>
              <w:ind w:right="224"/>
              <w:spacing w:after="0"/>
              <w:rPr>
                <w:sz w:val="20"/>
                <w:szCs w:val="20"/>
                <w:color w:val="auto"/>
              </w:rPr>
            </w:pPr>
            <w:r>
              <w:rPr>
                <w:rFonts w:ascii="Arial" w:cs="Arial" w:eastAsia="Arial" w:hAnsi="Arial"/>
                <w:sz w:val="15"/>
                <w:szCs w:val="15"/>
                <w:color w:val="auto"/>
                <w:w w:val="95"/>
              </w:rPr>
              <w:t>$</w:t>
            </w:r>
          </w:p>
        </w:tc>
        <w:tc>
          <w:tcPr>
            <w:tcW w:w="16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5"/>
                <w:szCs w:val="15"/>
                <w:color w:val="auto"/>
              </w:rPr>
              <w:t>201,408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(450)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200,958</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5"/>
                <w:szCs w:val="15"/>
                <w:b w:val="1"/>
                <w:bCs w:val="1"/>
                <w:color w:val="auto"/>
              </w:rPr>
              <w:t>Acquisition consideration</w:t>
            </w: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180" w:type="dxa"/>
            <w:vAlign w:val="bottom"/>
            <w:tcBorders>
              <w:bottom w:val="single" w:sz="8" w:color="auto"/>
            </w:tcBorders>
            <w:gridSpan w:val="2"/>
            <w:vMerge w:val="continue"/>
          </w:tcPr>
          <w:p>
            <w:pPr>
              <w:spacing w:after="0"/>
              <w:rPr>
                <w:sz w:val="17"/>
                <w:szCs w:val="17"/>
                <w:color w:val="auto"/>
              </w:rPr>
            </w:pPr>
          </w:p>
        </w:tc>
        <w:tc>
          <w:tcPr>
            <w:tcW w:w="140" w:type="dxa"/>
            <w:vAlign w:val="bottom"/>
            <w:tcBorders>
              <w:bottom w:val="single" w:sz="8" w:color="CCEEFF"/>
            </w:tcBorders>
            <w:vMerge w:val="continue"/>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80" w:type="dxa"/>
            <w:vAlign w:val="bottom"/>
            <w:tcBorders>
              <w:bottom w:val="single" w:sz="8" w:color="CCEEFF"/>
            </w:tcBorders>
          </w:tcPr>
          <w:p>
            <w:pPr>
              <w:spacing w:after="0"/>
              <w:rPr>
                <w:sz w:val="17"/>
                <w:szCs w:val="17"/>
                <w:color w:val="auto"/>
              </w:rPr>
            </w:pPr>
          </w:p>
        </w:tc>
        <w:tc>
          <w:tcPr>
            <w:tcW w:w="16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CCEEFF"/>
            </w:tcBorders>
          </w:tcPr>
          <w:p>
            <w:pPr>
              <w:spacing w:after="0"/>
              <w:rPr>
                <w:sz w:val="17"/>
                <w:szCs w:val="17"/>
                <w:color w:val="auto"/>
              </w:rPr>
            </w:pPr>
          </w:p>
        </w:tc>
        <w:tc>
          <w:tcPr>
            <w:tcW w:w="16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32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Purchase price</w:t>
            </w:r>
          </w:p>
        </w:tc>
        <w:tc>
          <w:tcPr>
            <w:tcW w:w="400" w:type="dxa"/>
            <w:vAlign w:val="bottom"/>
            <w:gridSpan w:val="2"/>
            <w:shd w:val="clear" w:color="auto" w:fill="CCEEFF"/>
          </w:tcPr>
          <w:p>
            <w:pPr>
              <w:jc w:val="right"/>
              <w:ind w:right="204"/>
              <w:spacing w:after="0"/>
              <w:rPr>
                <w:sz w:val="20"/>
                <w:szCs w:val="20"/>
                <w:color w:val="auto"/>
              </w:rPr>
            </w:pPr>
            <w:r>
              <w:rPr>
                <w:rFonts w:ascii="Arial" w:cs="Arial" w:eastAsia="Arial" w:hAnsi="Arial"/>
                <w:sz w:val="15"/>
                <w:szCs w:val="15"/>
                <w:color w:val="auto"/>
              </w:rPr>
              <w:t>$</w:t>
            </w:r>
          </w:p>
        </w:tc>
        <w:tc>
          <w:tcPr>
            <w:tcW w:w="1680" w:type="dxa"/>
            <w:vAlign w:val="bottom"/>
            <w:shd w:val="clear" w:color="auto" w:fill="CCEEFF"/>
          </w:tcPr>
          <w:p>
            <w:pPr>
              <w:jc w:val="right"/>
              <w:ind w:right="1"/>
              <w:spacing w:after="0"/>
              <w:rPr>
                <w:sz w:val="20"/>
                <w:szCs w:val="20"/>
                <w:color w:val="auto"/>
              </w:rPr>
            </w:pPr>
            <w:r>
              <w:rPr>
                <w:rFonts w:ascii="Arial" w:cs="Arial" w:eastAsia="Arial" w:hAnsi="Arial"/>
                <w:sz w:val="15"/>
                <w:szCs w:val="15"/>
                <w:color w:val="auto"/>
              </w:rPr>
              <w:t>200,000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200,000</w:t>
            </w:r>
          </w:p>
        </w:tc>
        <w:tc>
          <w:tcPr>
            <w:tcW w:w="0" w:type="dxa"/>
            <w:vAlign w:val="bottom"/>
          </w:tcPr>
          <w:p>
            <w:pPr>
              <w:spacing w:after="0"/>
              <w:rPr>
                <w:sz w:val="1"/>
                <w:szCs w:val="1"/>
                <w:color w:val="auto"/>
              </w:rPr>
            </w:pPr>
          </w:p>
        </w:tc>
      </w:tr>
      <w:tr>
        <w:trPr>
          <w:trHeight w:val="199"/>
        </w:trPr>
        <w:tc>
          <w:tcPr>
            <w:tcW w:w="4320" w:type="dxa"/>
            <w:vAlign w:val="bottom"/>
            <w:gridSpan w:val="3"/>
          </w:tcPr>
          <w:p>
            <w:pPr>
              <w:spacing w:after="0"/>
              <w:rPr>
                <w:sz w:val="20"/>
                <w:szCs w:val="20"/>
                <w:color w:val="auto"/>
              </w:rPr>
            </w:pPr>
            <w:r>
              <w:rPr>
                <w:rFonts w:ascii="Arial" w:cs="Arial" w:eastAsia="Arial" w:hAnsi="Arial"/>
                <w:sz w:val="15"/>
                <w:szCs w:val="15"/>
                <w:color w:val="auto"/>
              </w:rPr>
              <w:t>Cash acquired</w:t>
            </w: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80" w:type="dxa"/>
            <w:vAlign w:val="bottom"/>
          </w:tcPr>
          <w:p>
            <w:pPr>
              <w:jc w:val="right"/>
              <w:ind w:right="1"/>
              <w:spacing w:after="0"/>
              <w:rPr>
                <w:sz w:val="20"/>
                <w:szCs w:val="20"/>
                <w:color w:val="auto"/>
              </w:rPr>
            </w:pPr>
            <w:r>
              <w:rPr>
                <w:rFonts w:ascii="Arial" w:cs="Arial" w:eastAsia="Arial" w:hAnsi="Arial"/>
                <w:sz w:val="15"/>
                <w:szCs w:val="15"/>
                <w:color w:val="auto"/>
              </w:rPr>
              <w:t>3,750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(1,019)</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5"/>
                <w:szCs w:val="15"/>
                <w:color w:val="auto"/>
              </w:rPr>
              <w:t>2,731</w:t>
            </w:r>
          </w:p>
        </w:tc>
        <w:tc>
          <w:tcPr>
            <w:tcW w:w="0" w:type="dxa"/>
            <w:vAlign w:val="bottom"/>
          </w:tcPr>
          <w:p>
            <w:pPr>
              <w:spacing w:after="0"/>
              <w:rPr>
                <w:sz w:val="1"/>
                <w:szCs w:val="1"/>
                <w:color w:val="auto"/>
              </w:rPr>
            </w:pPr>
          </w:p>
        </w:tc>
      </w:tr>
      <w:tr>
        <w:trPr>
          <w:trHeight w:val="206"/>
        </w:trPr>
        <w:tc>
          <w:tcPr>
            <w:tcW w:w="432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Net working capital adjustment</w:t>
            </w: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80" w:type="dxa"/>
            <w:vAlign w:val="bottom"/>
            <w:shd w:val="clear" w:color="auto" w:fill="CCEEFF"/>
          </w:tcPr>
          <w:p>
            <w:pPr>
              <w:jc w:val="right"/>
              <w:ind w:right="1"/>
              <w:spacing w:after="0"/>
              <w:rPr>
                <w:sz w:val="20"/>
                <w:szCs w:val="20"/>
                <w:color w:val="auto"/>
              </w:rPr>
            </w:pPr>
            <w:r>
              <w:rPr>
                <w:rFonts w:ascii="Arial" w:cs="Arial" w:eastAsia="Arial" w:hAnsi="Arial"/>
                <w:sz w:val="15"/>
                <w:szCs w:val="15"/>
                <w:color w:val="auto"/>
              </w:rPr>
              <w:t>158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569</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727</w:t>
            </w:r>
          </w:p>
        </w:tc>
        <w:tc>
          <w:tcPr>
            <w:tcW w:w="0" w:type="dxa"/>
            <w:vAlign w:val="bottom"/>
          </w:tcPr>
          <w:p>
            <w:pPr>
              <w:spacing w:after="0"/>
              <w:rPr>
                <w:sz w:val="1"/>
                <w:szCs w:val="1"/>
                <w:color w:val="auto"/>
              </w:rPr>
            </w:pPr>
          </w:p>
        </w:tc>
      </w:tr>
      <w:tr>
        <w:trPr>
          <w:trHeight w:val="198"/>
        </w:trPr>
        <w:tc>
          <w:tcPr>
            <w:tcW w:w="4320" w:type="dxa"/>
            <w:vAlign w:val="bottom"/>
            <w:tcBorders>
              <w:bottom w:val="single" w:sz="8" w:color="CCEEFF"/>
            </w:tcBorders>
            <w:gridSpan w:val="3"/>
          </w:tcPr>
          <w:p>
            <w:pPr>
              <w:spacing w:after="0"/>
              <w:rPr>
                <w:sz w:val="20"/>
                <w:szCs w:val="20"/>
                <w:color w:val="auto"/>
              </w:rPr>
            </w:pPr>
            <w:r>
              <w:rPr>
                <w:rFonts w:ascii="Arial" w:cs="Arial" w:eastAsia="Arial" w:hAnsi="Arial"/>
                <w:sz w:val="15"/>
                <w:szCs w:val="15"/>
                <w:color w:val="auto"/>
              </w:rPr>
              <w:t>Other adjustments</w:t>
            </w:r>
          </w:p>
        </w:tc>
        <w:tc>
          <w:tcPr>
            <w:tcW w:w="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(2,500)</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(2,500)</w:t>
            </w:r>
          </w:p>
        </w:tc>
        <w:tc>
          <w:tcPr>
            <w:tcW w:w="0" w:type="dxa"/>
            <w:vAlign w:val="bottom"/>
          </w:tcPr>
          <w:p>
            <w:pPr>
              <w:spacing w:after="0"/>
              <w:rPr>
                <w:sz w:val="1"/>
                <w:szCs w:val="1"/>
                <w:color w:val="auto"/>
              </w:rPr>
            </w:pPr>
          </w:p>
        </w:tc>
      </w:tr>
      <w:tr>
        <w:trPr>
          <w:trHeight w:val="200"/>
        </w:trPr>
        <w:tc>
          <w:tcPr>
            <w:tcW w:w="432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Total purchase consideration</w:t>
            </w:r>
          </w:p>
        </w:tc>
        <w:tc>
          <w:tcPr>
            <w:tcW w:w="400" w:type="dxa"/>
            <w:vAlign w:val="bottom"/>
            <w:gridSpan w:val="2"/>
            <w:shd w:val="clear" w:color="auto" w:fill="CCEEFF"/>
          </w:tcPr>
          <w:p>
            <w:pPr>
              <w:jc w:val="right"/>
              <w:ind w:right="204"/>
              <w:spacing w:after="0"/>
              <w:rPr>
                <w:sz w:val="20"/>
                <w:szCs w:val="20"/>
                <w:color w:val="auto"/>
              </w:rPr>
            </w:pPr>
            <w:r>
              <w:rPr>
                <w:rFonts w:ascii="Arial" w:cs="Arial" w:eastAsia="Arial" w:hAnsi="Arial"/>
                <w:sz w:val="15"/>
                <w:szCs w:val="15"/>
                <w:color w:val="auto"/>
              </w:rPr>
              <w:t>$</w:t>
            </w:r>
          </w:p>
        </w:tc>
        <w:tc>
          <w:tcPr>
            <w:tcW w:w="1680" w:type="dxa"/>
            <w:vAlign w:val="bottom"/>
            <w:shd w:val="clear" w:color="auto" w:fill="CCEEFF"/>
          </w:tcPr>
          <w:p>
            <w:pPr>
              <w:jc w:val="right"/>
              <w:ind w:right="1"/>
              <w:spacing w:after="0"/>
              <w:rPr>
                <w:sz w:val="20"/>
                <w:szCs w:val="20"/>
                <w:color w:val="auto"/>
              </w:rPr>
            </w:pPr>
            <w:r>
              <w:rPr>
                <w:rFonts w:ascii="Arial" w:cs="Arial" w:eastAsia="Arial" w:hAnsi="Arial"/>
                <w:sz w:val="15"/>
                <w:szCs w:val="15"/>
                <w:color w:val="auto"/>
              </w:rPr>
              <w:t>201,408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(450)</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200,958</w:t>
            </w:r>
          </w:p>
        </w:tc>
        <w:tc>
          <w:tcPr>
            <w:tcW w:w="0" w:type="dxa"/>
            <w:vAlign w:val="bottom"/>
          </w:tcPr>
          <w:p>
            <w:pPr>
              <w:spacing w:after="0"/>
              <w:rPr>
                <w:sz w:val="1"/>
                <w:szCs w:val="1"/>
                <w:color w:val="auto"/>
              </w:rPr>
            </w:pPr>
          </w:p>
        </w:tc>
      </w:tr>
      <w:tr>
        <w:trPr>
          <w:trHeight w:val="198"/>
        </w:trPr>
        <w:tc>
          <w:tcPr>
            <w:tcW w:w="4320" w:type="dxa"/>
            <w:vAlign w:val="bottom"/>
            <w:tcBorders>
              <w:bottom w:val="single" w:sz="8" w:color="CCEEFF"/>
            </w:tcBorders>
            <w:gridSpan w:val="3"/>
          </w:tcPr>
          <w:p>
            <w:pPr>
              <w:spacing w:after="0"/>
              <w:rPr>
                <w:sz w:val="20"/>
                <w:szCs w:val="20"/>
                <w:color w:val="auto"/>
              </w:rPr>
            </w:pPr>
            <w:r>
              <w:rPr>
                <w:rFonts w:ascii="Arial" w:cs="Arial" w:eastAsia="Arial" w:hAnsi="Arial"/>
                <w:sz w:val="15"/>
                <w:szCs w:val="15"/>
                <w:color w:val="auto"/>
              </w:rPr>
              <w:t>Less: Transaction costs</w:t>
            </w:r>
          </w:p>
        </w:tc>
        <w:tc>
          <w:tcPr>
            <w:tcW w:w="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1"/>
              <w:spacing w:after="0"/>
              <w:rPr>
                <w:sz w:val="20"/>
                <w:szCs w:val="20"/>
                <w:color w:val="auto"/>
              </w:rPr>
            </w:pPr>
            <w:r>
              <w:rPr>
                <w:rFonts w:ascii="Arial" w:cs="Arial" w:eastAsia="Arial" w:hAnsi="Arial"/>
                <w:sz w:val="15"/>
                <w:szCs w:val="15"/>
                <w:color w:val="auto"/>
              </w:rPr>
              <w:t>2,042</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2,042</w:t>
            </w:r>
          </w:p>
        </w:tc>
        <w:tc>
          <w:tcPr>
            <w:tcW w:w="0" w:type="dxa"/>
            <w:vAlign w:val="bottom"/>
          </w:tcPr>
          <w:p>
            <w:pPr>
              <w:spacing w:after="0"/>
              <w:rPr>
                <w:sz w:val="1"/>
                <w:szCs w:val="1"/>
                <w:color w:val="auto"/>
              </w:rPr>
            </w:pPr>
          </w:p>
        </w:tc>
      </w:tr>
      <w:tr>
        <w:trPr>
          <w:trHeight w:val="220"/>
        </w:trPr>
        <w:tc>
          <w:tcPr>
            <w:tcW w:w="432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Net purchase price</w:t>
            </w:r>
          </w:p>
        </w:tc>
        <w:tc>
          <w:tcPr>
            <w:tcW w:w="400" w:type="dxa"/>
            <w:vAlign w:val="bottom"/>
            <w:gridSpan w:val="2"/>
            <w:shd w:val="clear" w:color="auto" w:fill="CCEEFF"/>
          </w:tcPr>
          <w:p>
            <w:pPr>
              <w:jc w:val="right"/>
              <w:ind w:right="204"/>
              <w:spacing w:after="0"/>
              <w:rPr>
                <w:sz w:val="20"/>
                <w:szCs w:val="20"/>
                <w:color w:val="auto"/>
              </w:rPr>
            </w:pPr>
            <w:r>
              <w:rPr>
                <w:rFonts w:ascii="Arial" w:cs="Arial" w:eastAsia="Arial" w:hAnsi="Arial"/>
                <w:sz w:val="15"/>
                <w:szCs w:val="15"/>
                <w:color w:val="auto"/>
              </w:rPr>
              <w:t>$</w:t>
            </w:r>
          </w:p>
        </w:tc>
        <w:tc>
          <w:tcPr>
            <w:tcW w:w="1680" w:type="dxa"/>
            <w:vAlign w:val="bottom"/>
            <w:shd w:val="clear" w:color="auto" w:fill="CCEEFF"/>
          </w:tcPr>
          <w:p>
            <w:pPr>
              <w:jc w:val="right"/>
              <w:ind w:right="1"/>
              <w:spacing w:after="0"/>
              <w:rPr>
                <w:sz w:val="20"/>
                <w:szCs w:val="20"/>
                <w:color w:val="auto"/>
              </w:rPr>
            </w:pPr>
            <w:r>
              <w:rPr>
                <w:rFonts w:ascii="Arial" w:cs="Arial" w:eastAsia="Arial" w:hAnsi="Arial"/>
                <w:sz w:val="15"/>
                <w:szCs w:val="15"/>
                <w:color w:val="auto"/>
              </w:rPr>
              <w:t>199,366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198,916</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5" w:lineRule="exact"/>
        <w:rPr>
          <w:sz w:val="20"/>
          <w:szCs w:val="20"/>
          <w:color w:val="auto"/>
        </w:rPr>
      </w:pPr>
    </w:p>
    <w:p>
      <w:pPr>
        <w:ind w:right="20" w:firstLine="8"/>
        <w:spacing w:after="0" w:line="278" w:lineRule="auto"/>
        <w:tabs>
          <w:tab w:leader="none" w:pos="275" w:val="left"/>
        </w:tabs>
        <w:numPr>
          <w:ilvl w:val="0"/>
          <w:numId w:val="6"/>
        </w:numPr>
        <w:rPr>
          <w:rFonts w:ascii="Arial" w:cs="Arial" w:eastAsia="Arial" w:hAnsi="Arial"/>
          <w:sz w:val="16"/>
          <w:szCs w:val="16"/>
          <w:b w:val="1"/>
          <w:bCs w:val="1"/>
          <w:color w:val="auto"/>
        </w:rPr>
      </w:pPr>
      <w:r>
        <w:rPr>
          <w:rFonts w:ascii="Arial" w:cs="Arial" w:eastAsia="Arial" w:hAnsi="Arial"/>
          <w:sz w:val="16"/>
          <w:szCs w:val="16"/>
          <w:color w:val="auto"/>
        </w:rPr>
        <w:t>Includes $12.7 million in gross contractual accounts receivable, of which $1.2 million is not expected to be collected. The fair value of accounts receivable approximates book value acquired.</w:t>
      </w:r>
    </w:p>
    <w:p>
      <w:pPr>
        <w:spacing w:after="0" w:line="127" w:lineRule="exact"/>
        <w:rPr>
          <w:rFonts w:ascii="Arial" w:cs="Arial" w:eastAsia="Arial" w:hAnsi="Arial"/>
          <w:sz w:val="16"/>
          <w:szCs w:val="16"/>
          <w:b w:val="1"/>
          <w:bCs w:val="1"/>
          <w:color w:val="auto"/>
        </w:rPr>
      </w:pPr>
    </w:p>
    <w:p>
      <w:pPr>
        <w:ind w:firstLine="8"/>
        <w:spacing w:after="0" w:line="260" w:lineRule="auto"/>
        <w:tabs>
          <w:tab w:leader="none" w:pos="256" w:val="left"/>
        </w:tabs>
        <w:numPr>
          <w:ilvl w:val="0"/>
          <w:numId w:val="6"/>
        </w:numPr>
        <w:rPr>
          <w:rFonts w:ascii="Arial" w:cs="Arial" w:eastAsia="Arial" w:hAnsi="Arial"/>
          <w:sz w:val="16"/>
          <w:szCs w:val="16"/>
          <w:b w:val="1"/>
          <w:bCs w:val="1"/>
          <w:color w:val="auto"/>
        </w:rPr>
      </w:pPr>
      <w:r>
        <w:rPr>
          <w:rFonts w:ascii="Arial" w:cs="Arial" w:eastAsia="Arial" w:hAnsi="Arial"/>
          <w:sz w:val="16"/>
          <w:szCs w:val="16"/>
          <w:color w:val="auto"/>
        </w:rPr>
        <w:t>Includes $4.3 million in inventory basis step-up, which will be charged to cost of goods sold. $3.0 million was amortized to cost of goods sold in the second quarter of 2020, and $1.3 million was charged to cost of goods sold in the third quarter of 2020.</w:t>
      </w:r>
    </w:p>
    <w:p>
      <w:pPr>
        <w:spacing w:after="0" w:line="141" w:lineRule="exact"/>
        <w:rPr>
          <w:rFonts w:ascii="Arial" w:cs="Arial" w:eastAsia="Arial" w:hAnsi="Arial"/>
          <w:sz w:val="16"/>
          <w:szCs w:val="16"/>
          <w:b w:val="1"/>
          <w:bCs w:val="1"/>
          <w:color w:val="auto"/>
        </w:rPr>
      </w:pPr>
    </w:p>
    <w:p>
      <w:pPr>
        <w:ind w:right="700" w:firstLine="8"/>
        <w:spacing w:after="0" w:line="260" w:lineRule="auto"/>
        <w:tabs>
          <w:tab w:leader="none" w:pos="243" w:val="left"/>
        </w:tabs>
        <w:numPr>
          <w:ilvl w:val="0"/>
          <w:numId w:val="6"/>
        </w:numPr>
        <w:rPr>
          <w:rFonts w:ascii="Arial" w:cs="Arial" w:eastAsia="Arial" w:hAnsi="Arial"/>
          <w:sz w:val="16"/>
          <w:szCs w:val="16"/>
          <w:b w:val="1"/>
          <w:bCs w:val="1"/>
          <w:color w:val="auto"/>
        </w:rPr>
      </w:pPr>
      <w:r>
        <w:rPr>
          <w:rFonts w:ascii="Arial" w:cs="Arial" w:eastAsia="Arial" w:hAnsi="Arial"/>
          <w:sz w:val="16"/>
          <w:szCs w:val="16"/>
          <w:color w:val="auto"/>
        </w:rPr>
        <w:t>Includes $2.5 million of property, plant and equipment basis step-up. The fair value of property, plant and equipment will be depreciated over the remaining useful lives of the assets.</w:t>
      </w:r>
    </w:p>
    <w:p>
      <w:pPr>
        <w:spacing w:after="0" w:line="32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allocation of the purchase price presented above is based on management's estimate of the fair values using valuation techniques including the income, cost and market approach. In estimating the fair value of the acquired assets and assumed liabilities, the fair value estimates are based on, but not limited to, expected future revenue and cash flows, expected future growth rates and estimated discount rates. Current and noncurrent assets and current and other liabilities are valued at historical carrying values. Property, plant and equipment is valued through a purchase price appraisal and will be depreciated on a straight-line basis over the respective remaining useful lives of the assets. Goodwill is calculated as the excess of the consideration transferred over the fair value of the identifiable net assets acquired and represents the future economic benefits expected to arise from other intangible assets acquired that do not qualify for separate recognition, including assembled workforce and non-contractual relationships, as well as expected future synergies. The goodwill of $68.0 million reflects the strategic fit of Marucci</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14" w:name="page15"/>
    <w:bookmarkEnd w:id="14"/>
    <w:p>
      <w:pPr>
        <w:jc w:val="both"/>
        <w:spacing w:after="0" w:line="261" w:lineRule="auto"/>
        <w:rPr>
          <w:sz w:val="20"/>
          <w:szCs w:val="20"/>
          <w:color w:val="auto"/>
        </w:rPr>
      </w:pPr>
      <w:r>
        <w:rPr>
          <w:rFonts w:ascii="Arial" w:cs="Arial" w:eastAsia="Arial" w:hAnsi="Arial"/>
          <w:sz w:val="18"/>
          <w:szCs w:val="18"/>
          <w:color w:val="auto"/>
        </w:rPr>
        <w:t>in the Company's branded consumer business and is expected to be deductible for income tax purposes. The purchase accounting for Marucci is expected to be finalized in the fourth quarter of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intangible assets recorded related to the Marucci acquisition are as follows (in thousands):</w:t>
      </w:r>
    </w:p>
    <w:p>
      <w:pPr>
        <w:spacing w:after="0" w:line="350" w:lineRule="exact"/>
        <w:rPr>
          <w:sz w:val="20"/>
          <w:szCs w:val="20"/>
          <w:color w:val="auto"/>
        </w:rPr>
      </w:pPr>
    </w:p>
    <w:tbl>
      <w:tblPr>
        <w:tblLayout w:type="fixed"/>
        <w:tblInd w:w="1420" w:type="dxa"/>
        <w:tblCellMar>
          <w:top w:w="0" w:type="dxa"/>
          <w:left w:w="0" w:type="dxa"/>
          <w:bottom w:w="0" w:type="dxa"/>
          <w:right w:w="0" w:type="dxa"/>
        </w:tblCellMar>
      </w:tblPr>
      <w:tr>
        <w:trPr>
          <w:trHeight w:val="172"/>
        </w:trPr>
        <w:tc>
          <w:tcPr>
            <w:tcW w:w="1620" w:type="dxa"/>
            <w:vAlign w:val="bottom"/>
          </w:tcPr>
          <w:p>
            <w:pPr>
              <w:spacing w:after="0"/>
              <w:rPr>
                <w:sz w:val="14"/>
                <w:szCs w:val="14"/>
                <w:color w:val="auto"/>
              </w:rPr>
            </w:pPr>
          </w:p>
        </w:tc>
        <w:tc>
          <w:tcPr>
            <w:tcW w:w="290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Intangible Assets</w:t>
            </w:r>
          </w:p>
        </w:tc>
        <w:tc>
          <w:tcPr>
            <w:tcW w:w="180" w:type="dxa"/>
            <w:vAlign w:val="bottom"/>
            <w:vMerge w:val="restart"/>
          </w:tcPr>
          <w:p>
            <w:pPr>
              <w:spacing w:after="0"/>
              <w:rPr>
                <w:sz w:val="14"/>
                <w:szCs w:val="14"/>
                <w:color w:val="auto"/>
              </w:rPr>
            </w:pPr>
          </w:p>
        </w:tc>
        <w:tc>
          <w:tcPr>
            <w:tcW w:w="460" w:type="dxa"/>
            <w:vAlign w:val="bottom"/>
            <w:vMerge w:val="restart"/>
          </w:tcPr>
          <w:p>
            <w:pPr>
              <w:spacing w:after="0"/>
              <w:rPr>
                <w:sz w:val="14"/>
                <w:szCs w:val="14"/>
                <w:color w:val="auto"/>
              </w:rPr>
            </w:pPr>
          </w:p>
        </w:tc>
        <w:tc>
          <w:tcPr>
            <w:tcW w:w="1740" w:type="dxa"/>
            <w:vAlign w:val="bottom"/>
            <w:vMerge w:val="restart"/>
          </w:tcPr>
          <w:p>
            <w:pPr>
              <w:jc w:val="right"/>
              <w:ind w:right="744"/>
              <w:spacing w:after="0"/>
              <w:rPr>
                <w:sz w:val="20"/>
                <w:szCs w:val="20"/>
                <w:color w:val="auto"/>
              </w:rPr>
            </w:pPr>
            <w:r>
              <w:rPr>
                <w:rFonts w:ascii="Arial" w:cs="Arial" w:eastAsia="Arial" w:hAnsi="Arial"/>
                <w:sz w:val="15"/>
                <w:szCs w:val="15"/>
                <w:b w:val="1"/>
                <w:bCs w:val="1"/>
                <w:color w:val="auto"/>
              </w:rPr>
              <w:t>Amount</w:t>
            </w:r>
          </w:p>
        </w:tc>
        <w:tc>
          <w:tcPr>
            <w:tcW w:w="10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5"/>
                <w:szCs w:val="15"/>
                <w:b w:val="1"/>
                <w:bCs w:val="1"/>
                <w:color w:val="auto"/>
              </w:rPr>
              <w:t>Estimated Useful</w:t>
            </w:r>
          </w:p>
        </w:tc>
        <w:tc>
          <w:tcPr>
            <w:tcW w:w="0" w:type="dxa"/>
            <w:vAlign w:val="bottom"/>
          </w:tcPr>
          <w:p>
            <w:pPr>
              <w:spacing w:after="0"/>
              <w:rPr>
                <w:sz w:val="1"/>
                <w:szCs w:val="1"/>
                <w:color w:val="auto"/>
              </w:rPr>
            </w:pPr>
          </w:p>
        </w:tc>
      </w:tr>
      <w:tr>
        <w:trPr>
          <w:trHeight w:val="202"/>
        </w:trPr>
        <w:tc>
          <w:tcPr>
            <w:tcW w:w="162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CCEEFF"/>
            </w:tcBorders>
            <w:vMerge w:val="continue"/>
          </w:tcPr>
          <w:p>
            <w:pPr>
              <w:spacing w:after="0"/>
              <w:rPr>
                <w:sz w:val="17"/>
                <w:szCs w:val="17"/>
                <w:color w:val="auto"/>
              </w:rPr>
            </w:pPr>
          </w:p>
        </w:tc>
        <w:tc>
          <w:tcPr>
            <w:tcW w:w="460" w:type="dxa"/>
            <w:vAlign w:val="bottom"/>
            <w:tcBorders>
              <w:bottom w:val="single" w:sz="8" w:color="auto"/>
            </w:tcBorders>
            <w:vMerge w:val="continue"/>
          </w:tcPr>
          <w:p>
            <w:pPr>
              <w:spacing w:after="0"/>
              <w:rPr>
                <w:sz w:val="17"/>
                <w:szCs w:val="17"/>
                <w:color w:val="auto"/>
              </w:rPr>
            </w:pPr>
          </w:p>
        </w:tc>
        <w:tc>
          <w:tcPr>
            <w:tcW w:w="17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Life</w:t>
            </w:r>
          </w:p>
        </w:tc>
        <w:tc>
          <w:tcPr>
            <w:tcW w:w="0" w:type="dxa"/>
            <w:vAlign w:val="bottom"/>
          </w:tcPr>
          <w:p>
            <w:pPr>
              <w:spacing w:after="0"/>
              <w:rPr>
                <w:sz w:val="1"/>
                <w:szCs w:val="1"/>
                <w:color w:val="auto"/>
              </w:rPr>
            </w:pPr>
          </w:p>
        </w:tc>
      </w:tr>
      <w:tr>
        <w:trPr>
          <w:trHeight w:val="196"/>
        </w:trPr>
        <w:tc>
          <w:tcPr>
            <w:tcW w:w="1620" w:type="dxa"/>
            <w:vAlign w:val="bottom"/>
            <w:shd w:val="clear" w:color="auto" w:fill="CCEEFF"/>
          </w:tcPr>
          <w:p>
            <w:pPr>
              <w:ind w:left="20"/>
              <w:spacing w:after="0"/>
              <w:rPr>
                <w:sz w:val="20"/>
                <w:szCs w:val="20"/>
                <w:color w:val="auto"/>
              </w:rPr>
            </w:pPr>
            <w:r>
              <w:rPr>
                <w:rFonts w:ascii="Arial" w:cs="Arial" w:eastAsia="Arial" w:hAnsi="Arial"/>
                <w:sz w:val="15"/>
                <w:szCs w:val="15"/>
                <w:color w:val="auto"/>
              </w:rPr>
              <w:t>Tradename</w:t>
            </w:r>
          </w:p>
        </w:tc>
        <w:tc>
          <w:tcPr>
            <w:tcW w:w="3540" w:type="dxa"/>
            <w:vAlign w:val="bottom"/>
            <w:gridSpan w:val="3"/>
            <w:shd w:val="clear" w:color="auto" w:fill="CCEEFF"/>
          </w:tcPr>
          <w:p>
            <w:pPr>
              <w:jc w:val="right"/>
              <w:ind w:right="360"/>
              <w:spacing w:after="0"/>
              <w:rPr>
                <w:sz w:val="20"/>
                <w:szCs w:val="20"/>
                <w:color w:val="auto"/>
              </w:rPr>
            </w:pPr>
            <w:r>
              <w:rPr>
                <w:rFonts w:ascii="Arial" w:cs="Arial" w:eastAsia="Arial" w:hAnsi="Arial"/>
                <w:sz w:val="15"/>
                <w:szCs w:val="15"/>
                <w:color w:val="auto"/>
              </w:rPr>
              <w:t>$</w:t>
            </w:r>
          </w:p>
        </w:tc>
        <w:tc>
          <w:tcPr>
            <w:tcW w:w="17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83,929</w:t>
            </w: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15 years</w:t>
            </w:r>
          </w:p>
        </w:tc>
        <w:tc>
          <w:tcPr>
            <w:tcW w:w="0" w:type="dxa"/>
            <w:vAlign w:val="bottom"/>
          </w:tcPr>
          <w:p>
            <w:pPr>
              <w:spacing w:after="0"/>
              <w:rPr>
                <w:sz w:val="1"/>
                <w:szCs w:val="1"/>
                <w:color w:val="auto"/>
              </w:rPr>
            </w:pPr>
          </w:p>
        </w:tc>
      </w:tr>
      <w:tr>
        <w:trPr>
          <w:trHeight w:val="198"/>
        </w:trPr>
        <w:tc>
          <w:tcPr>
            <w:tcW w:w="1620" w:type="dxa"/>
            <w:vAlign w:val="bottom"/>
          </w:tcPr>
          <w:p>
            <w:pPr>
              <w:ind w:left="20"/>
              <w:spacing w:after="0"/>
              <w:rPr>
                <w:sz w:val="20"/>
                <w:szCs w:val="20"/>
                <w:color w:val="auto"/>
              </w:rPr>
            </w:pPr>
            <w:r>
              <w:rPr>
                <w:rFonts w:ascii="Arial" w:cs="Arial" w:eastAsia="Arial" w:hAnsi="Arial"/>
                <w:sz w:val="15"/>
                <w:szCs w:val="15"/>
                <w:color w:val="auto"/>
              </w:rPr>
              <w:t>Customer relationships</w:t>
            </w:r>
          </w:p>
        </w:tc>
        <w:tc>
          <w:tcPr>
            <w:tcW w:w="2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740" w:type="dxa"/>
            <w:vAlign w:val="bottom"/>
          </w:tcPr>
          <w:p>
            <w:pPr>
              <w:jc w:val="right"/>
              <w:ind w:right="4"/>
              <w:spacing w:after="0"/>
              <w:rPr>
                <w:sz w:val="20"/>
                <w:szCs w:val="20"/>
                <w:color w:val="auto"/>
              </w:rPr>
            </w:pPr>
            <w:r>
              <w:rPr>
                <w:rFonts w:ascii="Arial" w:cs="Arial" w:eastAsia="Arial" w:hAnsi="Arial"/>
                <w:sz w:val="15"/>
                <w:szCs w:val="15"/>
                <w:color w:val="auto"/>
              </w:rPr>
              <w:t>11,120</w:t>
            </w:r>
          </w:p>
        </w:tc>
        <w:tc>
          <w:tcPr>
            <w:tcW w:w="100" w:type="dxa"/>
            <w:vAlign w:val="bottom"/>
          </w:tcPr>
          <w:p>
            <w:pPr>
              <w:spacing w:after="0"/>
              <w:rPr>
                <w:sz w:val="17"/>
                <w:szCs w:val="17"/>
                <w:color w:val="auto"/>
              </w:rPr>
            </w:pPr>
          </w:p>
        </w:tc>
        <w:tc>
          <w:tcPr>
            <w:tcW w:w="1400" w:type="dxa"/>
            <w:vAlign w:val="bottom"/>
          </w:tcPr>
          <w:p>
            <w:pPr>
              <w:jc w:val="center"/>
              <w:spacing w:after="0"/>
              <w:rPr>
                <w:sz w:val="20"/>
                <w:szCs w:val="20"/>
                <w:color w:val="auto"/>
              </w:rPr>
            </w:pPr>
            <w:r>
              <w:rPr>
                <w:rFonts w:ascii="Arial" w:cs="Arial" w:eastAsia="Arial" w:hAnsi="Arial"/>
                <w:sz w:val="15"/>
                <w:szCs w:val="15"/>
                <w:color w:val="auto"/>
              </w:rPr>
              <w:t>15 years</w:t>
            </w:r>
          </w:p>
        </w:tc>
        <w:tc>
          <w:tcPr>
            <w:tcW w:w="0" w:type="dxa"/>
            <w:vAlign w:val="bottom"/>
          </w:tcPr>
          <w:p>
            <w:pPr>
              <w:spacing w:after="0"/>
              <w:rPr>
                <w:sz w:val="1"/>
                <w:szCs w:val="1"/>
                <w:color w:val="auto"/>
              </w:rPr>
            </w:pPr>
          </w:p>
        </w:tc>
      </w:tr>
      <w:tr>
        <w:trPr>
          <w:trHeight w:val="203"/>
        </w:trPr>
        <w:tc>
          <w:tcPr>
            <w:tcW w:w="1620" w:type="dxa"/>
            <w:vAlign w:val="bottom"/>
            <w:shd w:val="clear" w:color="auto" w:fill="CCEEFF"/>
          </w:tcPr>
          <w:p>
            <w:pPr>
              <w:ind w:left="20"/>
              <w:spacing w:after="0"/>
              <w:rPr>
                <w:sz w:val="20"/>
                <w:szCs w:val="20"/>
                <w:color w:val="auto"/>
              </w:rPr>
            </w:pPr>
            <w:r>
              <w:rPr>
                <w:rFonts w:ascii="Arial" w:cs="Arial" w:eastAsia="Arial" w:hAnsi="Arial"/>
                <w:sz w:val="15"/>
                <w:szCs w:val="15"/>
                <w:color w:val="auto"/>
              </w:rPr>
              <w:t>Technology</w:t>
            </w:r>
          </w:p>
        </w:tc>
        <w:tc>
          <w:tcPr>
            <w:tcW w:w="2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7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4,200</w:t>
            </w: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15 years</w:t>
            </w: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3540" w:type="dxa"/>
            <w:vAlign w:val="bottom"/>
            <w:gridSpan w:val="3"/>
          </w:tcPr>
          <w:p>
            <w:pPr>
              <w:jc w:val="right"/>
              <w:ind w:right="360"/>
              <w:spacing w:after="0"/>
              <w:rPr>
                <w:sz w:val="20"/>
                <w:szCs w:val="20"/>
                <w:color w:val="auto"/>
              </w:rPr>
            </w:pPr>
            <w:r>
              <w:rPr>
                <w:rFonts w:ascii="Arial" w:cs="Arial" w:eastAsia="Arial" w:hAnsi="Arial"/>
                <w:sz w:val="15"/>
                <w:szCs w:val="15"/>
                <w:color w:val="auto"/>
              </w:rPr>
              <w:t>$</w:t>
            </w:r>
          </w:p>
        </w:tc>
        <w:tc>
          <w:tcPr>
            <w:tcW w:w="1740" w:type="dxa"/>
            <w:vAlign w:val="bottom"/>
          </w:tcPr>
          <w:p>
            <w:pPr>
              <w:jc w:val="right"/>
              <w:ind w:right="4"/>
              <w:spacing w:after="0"/>
              <w:rPr>
                <w:sz w:val="20"/>
                <w:szCs w:val="20"/>
                <w:color w:val="auto"/>
              </w:rPr>
            </w:pPr>
            <w:r>
              <w:rPr>
                <w:rFonts w:ascii="Arial" w:cs="Arial" w:eastAsia="Arial" w:hAnsi="Arial"/>
                <w:sz w:val="15"/>
                <w:szCs w:val="15"/>
                <w:color w:val="auto"/>
              </w:rPr>
              <w:t>99,249</w:t>
            </w: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16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Borders>
              <w:top w:val="single" w:sz="8" w:color="auto"/>
              <w:bottom w:val="single" w:sz="8" w:color="auto"/>
            </w:tcBorders>
          </w:tcPr>
          <w:p>
            <w:pPr>
              <w:spacing w:after="0"/>
              <w:rPr>
                <w:sz w:val="2"/>
                <w:szCs w:val="2"/>
                <w:color w:val="auto"/>
              </w:rPr>
            </w:pPr>
          </w:p>
        </w:tc>
        <w:tc>
          <w:tcPr>
            <w:tcW w:w="17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tradename was valued at $83.9 million using a multi-period excess earnings methodology. The customer relationships intangible asset was valued at $11.1 million using the distributor method, a variation of the multi-period excess earnings methodology, in which an asset is valuable to the extent it enables its owners to earn a return in excess of the required returns on the other assets utilized in the business. The technology was valued at $4.2 million using a relief from royalty method.</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pro forma information</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following unaudited pro forma data for the three and nine months ended September 30, 2020 and 2019 gives effect to the acquisition of Marucci, as described above, as if the acquisition had been completed as of January 1, 2019. The pro forma data gives effect to historical operating results with adjustments to interest expense, amortization and depreciation expense, management fees and related tax effects. The information is provided for illustrative purposes only and is not necessarily indicative of the operating results that would have occurred if the transaction had been consummated on the date indicated, nor is it necessarily indicative of future operating results of the consolidated companies, and should not be construed as representing results for any future period.</w:t>
      </w:r>
    </w:p>
    <w:p>
      <w:pPr>
        <w:spacing w:after="0" w:line="201" w:lineRule="exact"/>
        <w:rPr>
          <w:sz w:val="20"/>
          <w:szCs w:val="20"/>
          <w:color w:val="auto"/>
        </w:rPr>
      </w:pPr>
    </w:p>
    <w:tbl>
      <w:tblPr>
        <w:tblLayout w:type="fixed"/>
        <w:tblInd w:w="300" w:type="dxa"/>
        <w:tblCellMar>
          <w:top w:w="0" w:type="dxa"/>
          <w:left w:w="0" w:type="dxa"/>
          <w:bottom w:w="0" w:type="dxa"/>
          <w:right w:w="0" w:type="dxa"/>
        </w:tblCellMar>
      </w:tblPr>
      <w:tr>
        <w:trPr>
          <w:trHeight w:val="206"/>
        </w:trPr>
        <w:tc>
          <w:tcPr>
            <w:tcW w:w="40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ind w:right="264"/>
              <w:spacing w:after="0"/>
              <w:rPr>
                <w:sz w:val="20"/>
                <w:szCs w:val="20"/>
                <w:color w:val="auto"/>
              </w:rPr>
            </w:pPr>
            <w:r>
              <w:rPr>
                <w:rFonts w:ascii="Arial" w:cs="Arial" w:eastAsia="Arial" w:hAnsi="Arial"/>
                <w:sz w:val="15"/>
                <w:szCs w:val="15"/>
                <w:b w:val="1"/>
                <w:bCs w:val="1"/>
                <w:color w:val="auto"/>
              </w:rPr>
              <w:t>Three months ended</w:t>
            </w: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4020" w:type="dxa"/>
            <w:vAlign w:val="bottom"/>
            <w:tcBorders>
              <w:bottom w:val="single" w:sz="8" w:color="auto"/>
            </w:tcBorders>
            <w:gridSpan w:val="4"/>
          </w:tcPr>
          <w:p>
            <w:pPr>
              <w:jc w:val="right"/>
              <w:ind w:right="1324"/>
              <w:spacing w:after="0"/>
              <w:rPr>
                <w:sz w:val="20"/>
                <w:szCs w:val="20"/>
                <w:color w:val="auto"/>
              </w:rPr>
            </w:pPr>
            <w:r>
              <w:rPr>
                <w:rFonts w:ascii="Arial" w:cs="Arial" w:eastAsia="Arial" w:hAnsi="Arial"/>
                <w:sz w:val="15"/>
                <w:szCs w:val="15"/>
                <w:b w:val="1"/>
                <w:bCs w:val="1"/>
                <w:color w:val="auto"/>
              </w:rPr>
              <w:t>Nine months ended</w:t>
            </w:r>
          </w:p>
        </w:tc>
      </w:tr>
      <w:tr>
        <w:trPr>
          <w:trHeight w:val="200"/>
        </w:trPr>
        <w:tc>
          <w:tcPr>
            <w:tcW w:w="418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 except per share data)</w:t>
            </w:r>
          </w:p>
        </w:tc>
        <w:tc>
          <w:tcPr>
            <w:tcW w:w="160" w:type="dxa"/>
            <w:vAlign w:val="bottom"/>
          </w:tcPr>
          <w:p>
            <w:pPr>
              <w:spacing w:after="0"/>
              <w:rPr>
                <w:sz w:val="17"/>
                <w:szCs w:val="17"/>
                <w:color w:val="auto"/>
              </w:rPr>
            </w:pPr>
          </w:p>
        </w:tc>
        <w:tc>
          <w:tcPr>
            <w:tcW w:w="1900" w:type="dxa"/>
            <w:vAlign w:val="bottom"/>
          </w:tcPr>
          <w:p>
            <w:pPr>
              <w:jc w:val="right"/>
              <w:ind w:right="244"/>
              <w:spacing w:after="0"/>
              <w:rPr>
                <w:sz w:val="20"/>
                <w:szCs w:val="20"/>
                <w:color w:val="auto"/>
              </w:rPr>
            </w:pPr>
            <w:r>
              <w:rPr>
                <w:rFonts w:ascii="Arial" w:cs="Arial" w:eastAsia="Arial" w:hAnsi="Arial"/>
                <w:sz w:val="15"/>
                <w:szCs w:val="15"/>
                <w:b w:val="1"/>
                <w:bCs w:val="1"/>
                <w:color w:val="auto"/>
              </w:rPr>
              <w:t>September 30, 2019</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60" w:type="dxa"/>
            <w:vAlign w:val="bottom"/>
            <w:gridSpan w:val="2"/>
          </w:tcPr>
          <w:p>
            <w:pPr>
              <w:ind w:left="100"/>
              <w:spacing w:after="0"/>
              <w:rPr>
                <w:sz w:val="20"/>
                <w:szCs w:val="20"/>
                <w:color w:val="auto"/>
              </w:rPr>
            </w:pPr>
            <w:r>
              <w:rPr>
                <w:rFonts w:ascii="Arial" w:cs="Arial" w:eastAsia="Arial" w:hAnsi="Arial"/>
                <w:sz w:val="15"/>
                <w:szCs w:val="15"/>
                <w:b w:val="1"/>
                <w:bCs w:val="1"/>
                <w:color w:val="auto"/>
              </w:rPr>
              <w:t>September 30, 2020</w:t>
            </w:r>
          </w:p>
        </w:tc>
        <w:tc>
          <w:tcPr>
            <w:tcW w:w="200" w:type="dxa"/>
            <w:vAlign w:val="bottom"/>
          </w:tcPr>
          <w:p>
            <w:pPr>
              <w:spacing w:after="0"/>
              <w:rPr>
                <w:sz w:val="17"/>
                <w:szCs w:val="17"/>
                <w:color w:val="auto"/>
              </w:rPr>
            </w:pPr>
          </w:p>
        </w:tc>
        <w:tc>
          <w:tcPr>
            <w:tcW w:w="1860" w:type="dxa"/>
            <w:vAlign w:val="bottom"/>
          </w:tcPr>
          <w:p>
            <w:pPr>
              <w:jc w:val="right"/>
              <w:ind w:right="244"/>
              <w:spacing w:after="0"/>
              <w:rPr>
                <w:sz w:val="20"/>
                <w:szCs w:val="20"/>
                <w:color w:val="auto"/>
              </w:rPr>
            </w:pPr>
            <w:r>
              <w:rPr>
                <w:rFonts w:ascii="Arial" w:cs="Arial" w:eastAsia="Arial" w:hAnsi="Arial"/>
                <w:sz w:val="15"/>
                <w:szCs w:val="15"/>
                <w:b w:val="1"/>
                <w:bCs w:val="1"/>
                <w:color w:val="auto"/>
              </w:rPr>
              <w:t>September 30, 2019</w:t>
            </w:r>
          </w:p>
        </w:tc>
      </w:tr>
      <w:tr>
        <w:trPr>
          <w:trHeight w:val="196"/>
        </w:trPr>
        <w:tc>
          <w:tcPr>
            <w:tcW w:w="41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Net sales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90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403,259</w:t>
            </w: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8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1,108,479</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8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1,113,241</w:t>
            </w:r>
          </w:p>
        </w:tc>
      </w:tr>
      <w:tr>
        <w:trPr>
          <w:trHeight w:val="198"/>
        </w:trPr>
        <w:tc>
          <w:tcPr>
            <w:tcW w:w="4180" w:type="dxa"/>
            <w:vAlign w:val="bottom"/>
            <w:gridSpan w:val="2"/>
          </w:tcPr>
          <w:p>
            <w:pPr>
              <w:ind w:left="20"/>
              <w:spacing w:after="0"/>
              <w:rPr>
                <w:sz w:val="20"/>
                <w:szCs w:val="20"/>
                <w:color w:val="auto"/>
              </w:rPr>
            </w:pPr>
            <w:r>
              <w:rPr>
                <w:rFonts w:ascii="Arial" w:cs="Arial" w:eastAsia="Arial" w:hAnsi="Arial"/>
                <w:sz w:val="15"/>
                <w:szCs w:val="15"/>
                <w:color w:val="auto"/>
              </w:rPr>
              <w:t>Gross profit</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900" w:type="dxa"/>
            <w:vAlign w:val="bottom"/>
          </w:tcPr>
          <w:p>
            <w:pPr>
              <w:jc w:val="right"/>
              <w:ind w:right="4"/>
              <w:spacing w:after="0"/>
              <w:rPr>
                <w:sz w:val="20"/>
                <w:szCs w:val="20"/>
                <w:color w:val="auto"/>
              </w:rPr>
            </w:pPr>
            <w:r>
              <w:rPr>
                <w:rFonts w:ascii="Arial" w:cs="Arial" w:eastAsia="Arial" w:hAnsi="Arial"/>
                <w:sz w:val="15"/>
                <w:szCs w:val="15"/>
                <w:color w:val="auto"/>
              </w:rPr>
              <w:t>144,952</w:t>
            </w:r>
          </w:p>
        </w:tc>
        <w:tc>
          <w:tcPr>
            <w:tcW w:w="200" w:type="dxa"/>
            <w:vAlign w:val="bottom"/>
          </w:tcPr>
          <w:p>
            <w:pPr>
              <w:spacing w:after="0"/>
              <w:rPr>
                <w:sz w:val="17"/>
                <w:szCs w:val="17"/>
                <w:color w:val="auto"/>
              </w:rPr>
            </w:pP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1860" w:type="dxa"/>
            <w:vAlign w:val="bottom"/>
          </w:tcPr>
          <w:p>
            <w:pPr>
              <w:jc w:val="right"/>
              <w:ind w:right="4"/>
              <w:spacing w:after="0"/>
              <w:rPr>
                <w:sz w:val="20"/>
                <w:szCs w:val="20"/>
                <w:color w:val="auto"/>
              </w:rPr>
            </w:pPr>
            <w:r>
              <w:rPr>
                <w:rFonts w:ascii="Arial" w:cs="Arial" w:eastAsia="Arial" w:hAnsi="Arial"/>
                <w:sz w:val="15"/>
                <w:szCs w:val="15"/>
                <w:color w:val="auto"/>
              </w:rPr>
              <w:t>403,105</w:t>
            </w:r>
          </w:p>
        </w:tc>
        <w:tc>
          <w:tcPr>
            <w:tcW w:w="100" w:type="dxa"/>
            <w:vAlign w:val="bottom"/>
          </w:tcPr>
          <w:p>
            <w:pPr>
              <w:spacing w:after="0"/>
              <w:rPr>
                <w:sz w:val="17"/>
                <w:szCs w:val="17"/>
                <w:color w:val="auto"/>
              </w:rPr>
            </w:pP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1860" w:type="dxa"/>
            <w:vAlign w:val="bottom"/>
          </w:tcPr>
          <w:p>
            <w:pPr>
              <w:jc w:val="right"/>
              <w:ind w:right="4"/>
              <w:spacing w:after="0"/>
              <w:rPr>
                <w:sz w:val="20"/>
                <w:szCs w:val="20"/>
                <w:color w:val="auto"/>
              </w:rPr>
            </w:pPr>
            <w:r>
              <w:rPr>
                <w:rFonts w:ascii="Arial" w:cs="Arial" w:eastAsia="Arial" w:hAnsi="Arial"/>
                <w:sz w:val="15"/>
                <w:szCs w:val="15"/>
                <w:color w:val="auto"/>
              </w:rPr>
              <w:t>405,477</w:t>
            </w:r>
          </w:p>
        </w:tc>
      </w:tr>
      <w:tr>
        <w:trPr>
          <w:trHeight w:val="207"/>
        </w:trPr>
        <w:tc>
          <w:tcPr>
            <w:tcW w:w="41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Operating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(1,684)</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8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62,062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8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30,242</w:t>
            </w:r>
          </w:p>
        </w:tc>
      </w:tr>
      <w:tr>
        <w:trPr>
          <w:trHeight w:val="198"/>
        </w:trPr>
        <w:tc>
          <w:tcPr>
            <w:tcW w:w="4180" w:type="dxa"/>
            <w:vAlign w:val="bottom"/>
            <w:gridSpan w:val="2"/>
          </w:tcPr>
          <w:p>
            <w:pPr>
              <w:ind w:left="20"/>
              <w:spacing w:after="0"/>
              <w:rPr>
                <w:sz w:val="20"/>
                <w:szCs w:val="20"/>
                <w:color w:val="auto"/>
              </w:rPr>
            </w:pPr>
            <w:r>
              <w:rPr>
                <w:rFonts w:ascii="Arial" w:cs="Arial" w:eastAsia="Arial" w:hAnsi="Arial"/>
                <w:sz w:val="15"/>
                <w:szCs w:val="15"/>
                <w:color w:val="auto"/>
              </w:rPr>
              <w:t>Net income (loss) from continuing operations</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900" w:type="dxa"/>
            <w:vAlign w:val="bottom"/>
          </w:tcPr>
          <w:p>
            <w:pPr>
              <w:jc w:val="right"/>
              <w:spacing w:after="0"/>
              <w:rPr>
                <w:sz w:val="20"/>
                <w:szCs w:val="20"/>
                <w:color w:val="auto"/>
              </w:rPr>
            </w:pPr>
            <w:r>
              <w:rPr>
                <w:rFonts w:ascii="Arial" w:cs="Arial" w:eastAsia="Arial" w:hAnsi="Arial"/>
                <w:sz w:val="15"/>
                <w:szCs w:val="15"/>
                <w:color w:val="auto"/>
              </w:rPr>
              <w:t>(30,692)</w:t>
            </w:r>
          </w:p>
        </w:tc>
        <w:tc>
          <w:tcPr>
            <w:tcW w:w="200" w:type="dxa"/>
            <w:vAlign w:val="bottom"/>
          </w:tcPr>
          <w:p>
            <w:pPr>
              <w:spacing w:after="0"/>
              <w:rPr>
                <w:sz w:val="17"/>
                <w:szCs w:val="17"/>
                <w:color w:val="auto"/>
              </w:rPr>
            </w:pP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1860" w:type="dxa"/>
            <w:vAlign w:val="bottom"/>
          </w:tcPr>
          <w:p>
            <w:pPr>
              <w:jc w:val="right"/>
              <w:ind w:right="4"/>
              <w:spacing w:after="0"/>
              <w:rPr>
                <w:sz w:val="20"/>
                <w:szCs w:val="20"/>
                <w:color w:val="auto"/>
              </w:rPr>
            </w:pPr>
            <w:r>
              <w:rPr>
                <w:rFonts w:ascii="Arial" w:cs="Arial" w:eastAsia="Arial" w:hAnsi="Arial"/>
                <w:sz w:val="15"/>
                <w:szCs w:val="15"/>
                <w:color w:val="auto"/>
              </w:rPr>
              <w:t>14,920</w:t>
            </w:r>
          </w:p>
        </w:tc>
        <w:tc>
          <w:tcPr>
            <w:tcW w:w="100" w:type="dxa"/>
            <w:vAlign w:val="bottom"/>
          </w:tcPr>
          <w:p>
            <w:pPr>
              <w:spacing w:after="0"/>
              <w:rPr>
                <w:sz w:val="17"/>
                <w:szCs w:val="17"/>
                <w:color w:val="auto"/>
              </w:rPr>
            </w:pP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1860" w:type="dxa"/>
            <w:vAlign w:val="bottom"/>
          </w:tcPr>
          <w:p>
            <w:pPr>
              <w:jc w:val="right"/>
              <w:spacing w:after="0"/>
              <w:rPr>
                <w:sz w:val="20"/>
                <w:szCs w:val="20"/>
                <w:color w:val="auto"/>
              </w:rPr>
            </w:pPr>
            <w:r>
              <w:rPr>
                <w:rFonts w:ascii="Arial" w:cs="Arial" w:eastAsia="Arial" w:hAnsi="Arial"/>
                <w:sz w:val="15"/>
                <w:szCs w:val="15"/>
                <w:color w:val="auto"/>
              </w:rPr>
              <w:t>(52,375)</w:t>
            </w:r>
          </w:p>
        </w:tc>
      </w:tr>
      <w:tr>
        <w:trPr>
          <w:trHeight w:val="163"/>
        </w:trPr>
        <w:tc>
          <w:tcPr>
            <w:tcW w:w="4180" w:type="dxa"/>
            <w:vAlign w:val="bottom"/>
            <w:gridSpan w:val="2"/>
            <w:shd w:val="clear" w:color="auto" w:fill="CCEEFF"/>
          </w:tcPr>
          <w:p>
            <w:pPr>
              <w:ind w:left="20"/>
              <w:spacing w:after="0" w:line="163" w:lineRule="exact"/>
              <w:rPr>
                <w:sz w:val="20"/>
                <w:szCs w:val="20"/>
                <w:color w:val="auto"/>
              </w:rPr>
            </w:pPr>
            <w:r>
              <w:rPr>
                <w:rFonts w:ascii="Arial" w:cs="Arial" w:eastAsia="Arial" w:hAnsi="Arial"/>
                <w:sz w:val="15"/>
                <w:szCs w:val="15"/>
                <w:color w:val="auto"/>
              </w:rPr>
              <w:t>Net income (loss) from continuing operations attributable to</w:t>
            </w:r>
          </w:p>
        </w:tc>
        <w:tc>
          <w:tcPr>
            <w:tcW w:w="160" w:type="dxa"/>
            <w:vAlign w:val="bottom"/>
            <w:shd w:val="clear" w:color="auto" w:fill="CCEEFF"/>
          </w:tcPr>
          <w:p>
            <w:pPr>
              <w:spacing w:after="0"/>
              <w:rPr>
                <w:sz w:val="14"/>
                <w:szCs w:val="14"/>
                <w:color w:val="auto"/>
              </w:rPr>
            </w:pPr>
          </w:p>
        </w:tc>
        <w:tc>
          <w:tcPr>
            <w:tcW w:w="19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r>
      <w:tr>
        <w:trPr>
          <w:trHeight w:val="192"/>
        </w:trPr>
        <w:tc>
          <w:tcPr>
            <w:tcW w:w="41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Holdings</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(31,958)</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8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10,957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(56,383)</w:t>
            </w:r>
          </w:p>
        </w:tc>
      </w:tr>
      <w:tr>
        <w:trPr>
          <w:trHeight w:val="159"/>
        </w:trPr>
        <w:tc>
          <w:tcPr>
            <w:tcW w:w="4180" w:type="dxa"/>
            <w:vAlign w:val="bottom"/>
            <w:gridSpan w:val="2"/>
          </w:tcPr>
          <w:p>
            <w:pPr>
              <w:ind w:left="20"/>
              <w:spacing w:after="0" w:line="159" w:lineRule="exact"/>
              <w:rPr>
                <w:sz w:val="20"/>
                <w:szCs w:val="20"/>
                <w:color w:val="auto"/>
              </w:rPr>
            </w:pPr>
            <w:r>
              <w:rPr>
                <w:rFonts w:ascii="Arial" w:cs="Arial" w:eastAsia="Arial" w:hAnsi="Arial"/>
                <w:sz w:val="15"/>
                <w:szCs w:val="15"/>
                <w:color w:val="auto"/>
              </w:rPr>
              <w:t>Basic and fully diluted net loss per share attributable to</w:t>
            </w:r>
          </w:p>
        </w:tc>
        <w:tc>
          <w:tcPr>
            <w:tcW w:w="16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184"/>
        </w:trPr>
        <w:tc>
          <w:tcPr>
            <w:tcW w:w="4180" w:type="dxa"/>
            <w:vAlign w:val="bottom"/>
            <w:gridSpan w:val="2"/>
          </w:tcPr>
          <w:p>
            <w:pPr>
              <w:ind w:left="20"/>
              <w:spacing w:after="0"/>
              <w:rPr>
                <w:sz w:val="20"/>
                <w:szCs w:val="20"/>
                <w:color w:val="auto"/>
              </w:rPr>
            </w:pPr>
            <w:r>
              <w:rPr>
                <w:rFonts w:ascii="Arial" w:cs="Arial" w:eastAsia="Arial" w:hAnsi="Arial"/>
                <w:sz w:val="15"/>
                <w:szCs w:val="15"/>
                <w:color w:val="auto"/>
              </w:rPr>
              <w:t>Holdings</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900" w:type="dxa"/>
            <w:vAlign w:val="bottom"/>
          </w:tcPr>
          <w:p>
            <w:pPr>
              <w:jc w:val="right"/>
              <w:spacing w:after="0"/>
              <w:rPr>
                <w:sz w:val="20"/>
                <w:szCs w:val="20"/>
                <w:color w:val="auto"/>
              </w:rPr>
            </w:pPr>
            <w:r>
              <w:rPr>
                <w:rFonts w:ascii="Arial" w:cs="Arial" w:eastAsia="Arial" w:hAnsi="Arial"/>
                <w:sz w:val="15"/>
                <w:szCs w:val="15"/>
                <w:color w:val="auto"/>
              </w:rPr>
              <w:t>(1.37)</w:t>
            </w:r>
          </w:p>
        </w:tc>
        <w:tc>
          <w:tcPr>
            <w:tcW w:w="200" w:type="dxa"/>
            <w:vAlign w:val="bottom"/>
          </w:tcPr>
          <w:p>
            <w:pPr>
              <w:spacing w:after="0"/>
              <w:rPr>
                <w:sz w:val="16"/>
                <w:szCs w:val="16"/>
                <w:color w:val="auto"/>
              </w:rPr>
            </w:pP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1860" w:type="dxa"/>
            <w:vAlign w:val="bottom"/>
          </w:tcPr>
          <w:p>
            <w:pPr>
              <w:jc w:val="right"/>
              <w:spacing w:after="0"/>
              <w:rPr>
                <w:sz w:val="20"/>
                <w:szCs w:val="20"/>
                <w:color w:val="auto"/>
              </w:rPr>
            </w:pPr>
            <w:r>
              <w:rPr>
                <w:rFonts w:ascii="Arial" w:cs="Arial" w:eastAsia="Arial" w:hAnsi="Arial"/>
                <w:sz w:val="15"/>
                <w:szCs w:val="15"/>
                <w:color w:val="auto"/>
              </w:rPr>
              <w:t>(0.38)</w:t>
            </w:r>
          </w:p>
        </w:tc>
        <w:tc>
          <w:tcPr>
            <w:tcW w:w="100" w:type="dxa"/>
            <w:vAlign w:val="bottom"/>
          </w:tcPr>
          <w:p>
            <w:pPr>
              <w:spacing w:after="0"/>
              <w:rPr>
                <w:sz w:val="16"/>
                <w:szCs w:val="16"/>
                <w:color w:val="auto"/>
              </w:rPr>
            </w:pP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1860" w:type="dxa"/>
            <w:vAlign w:val="bottom"/>
          </w:tcPr>
          <w:p>
            <w:pPr>
              <w:jc w:val="right"/>
              <w:spacing w:after="0"/>
              <w:rPr>
                <w:sz w:val="20"/>
                <w:szCs w:val="20"/>
                <w:color w:val="auto"/>
              </w:rPr>
            </w:pPr>
            <w:r>
              <w:rPr>
                <w:rFonts w:ascii="Arial" w:cs="Arial" w:eastAsia="Arial" w:hAnsi="Arial"/>
                <w:sz w:val="15"/>
                <w:szCs w:val="15"/>
                <w:color w:val="auto"/>
              </w:rPr>
              <w:t>(2.07)</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acquisitions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Foam Fabricators</w:t>
      </w:r>
    </w:p>
    <w:p>
      <w:pPr>
        <w:spacing w:after="0" w:line="11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July 1, 2020, Foam Fabricators acquired substantially all of the assets of Polyfoam Corp. ("Polyfoam"), a Massachusetts-based manufacturer of protective and temperature-sensitive packaging solutions for the medical, pharmaceutical, grocery and food industries, among others. Founded in 1974, Polyfoam operates two manufacturing facilities producing highly engineered foam and injection-molded plastic solutions across a variety of end-markets. The acquisition complements Foam Fabricators' current operating footprint and provides access to a new customer base and product offerings, including Polyfoam's significant end-market exposure to cold chain (including seafood boxes, insulated shipping containers and grocery delivery totes). The purchase price was approximately $12.8 million and includes a potential earnout of $1.4 million if Polyfoam achieves certain financial metrics.</w:t>
      </w:r>
    </w:p>
    <w:p>
      <w:pPr>
        <w:spacing w:after="0" w:line="234"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In September 2020, Foam Fabricators invested $3.6 million in Rational Packaging, LLC, a designer and manufacturer of recyclable, paperboard-based structural packaging components. The investment will be accounted for as an equity method investment.</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Note C — Discontinued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of Clean Earth</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May 8, 2019, the Company, as majority stockholder of CEHI Acquisition Corporation ("Clean Earth" or “CEHI”) and as Sellers’ Representative, entered into a definitive Stock Purchase Agreement (the “Purchase Agreement”) with Calrissian Holdings, LLC (“Buyer”), CEHI, the other holders of stock and options of CEHI and, as Buyer’s guarantor, Harsco Corporation, pursuant to which Buyer would acquire all of the issued and outstanding securities of CEHI, the parent company of the operating entity, Clean Earth, Inc.</w:t>
      </w:r>
    </w:p>
    <w:p>
      <w:pPr>
        <w:spacing w:after="0" w:line="9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June 28, 2019, Buyer completed the acquisition of all of the issued and outstanding securities of CEHI pursuant to the Purchase Agreement. The sale price for Clean Earth was based on an aggregate total enterprise value of $625 million, subject to customary working capital adjustments. After the allocation of the sale proceeds to Clean Earth non-controlling equity holders, the repayment of intercompany loans to the Company (including accrued interest) of $224.6 million, and the payment of transaction expenses of approximately $10.7 million, the Company received approximately $327.3 million of total proceeds at closing related to our equity interests in Clean Earth. The Company recognized a gain on the sale of Clean Earth of $209.3 million during the year ended December 31, 2019.</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Summarized results of operations of Clean Earth for the period January 1, 2019 through the date of disposition are as follows (in thousands):</w:t>
      </w:r>
    </w:p>
    <w:p>
      <w:pPr>
        <w:spacing w:after="0" w:line="269" w:lineRule="exact"/>
        <w:rPr>
          <w:sz w:val="20"/>
          <w:szCs w:val="20"/>
          <w:color w:val="auto"/>
        </w:rPr>
      </w:pPr>
    </w:p>
    <w:tbl>
      <w:tblPr>
        <w:tblLayout w:type="fixed"/>
        <w:tblInd w:w="1380" w:type="dxa"/>
        <w:tblCellMar>
          <w:top w:w="0" w:type="dxa"/>
          <w:left w:w="0" w:type="dxa"/>
          <w:bottom w:w="0" w:type="dxa"/>
          <w:right w:w="0" w:type="dxa"/>
        </w:tblCellMar>
      </w:tblPr>
      <w:tr>
        <w:trPr>
          <w:trHeight w:val="172"/>
        </w:trPr>
        <w:tc>
          <w:tcPr>
            <w:tcW w:w="5480" w:type="dxa"/>
            <w:vAlign w:val="bottom"/>
          </w:tcPr>
          <w:p>
            <w:pPr>
              <w:spacing w:after="0"/>
              <w:rPr>
                <w:sz w:val="14"/>
                <w:szCs w:val="14"/>
                <w:color w:val="auto"/>
              </w:rPr>
            </w:pPr>
          </w:p>
        </w:tc>
        <w:tc>
          <w:tcPr>
            <w:tcW w:w="3020" w:type="dxa"/>
            <w:vAlign w:val="bottom"/>
            <w:gridSpan w:val="2"/>
          </w:tcPr>
          <w:p>
            <w:pPr>
              <w:jc w:val="right"/>
              <w:ind w:right="20"/>
              <w:spacing w:after="0"/>
              <w:rPr>
                <w:sz w:val="20"/>
                <w:szCs w:val="20"/>
                <w:color w:val="auto"/>
              </w:rPr>
            </w:pPr>
            <w:r>
              <w:rPr>
                <w:rFonts w:ascii="Arial" w:cs="Arial" w:eastAsia="Arial" w:hAnsi="Arial"/>
                <w:sz w:val="15"/>
                <w:szCs w:val="15"/>
                <w:b w:val="1"/>
                <w:bCs w:val="1"/>
                <w:color w:val="auto"/>
              </w:rPr>
              <w:t>For the period January 1, 2019 through</w:t>
            </w:r>
          </w:p>
        </w:tc>
      </w:tr>
      <w:tr>
        <w:trPr>
          <w:trHeight w:val="202"/>
        </w:trPr>
        <w:tc>
          <w:tcPr>
            <w:tcW w:w="548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tcPr>
          <w:p>
            <w:pPr>
              <w:jc w:val="right"/>
              <w:ind w:right="1020"/>
              <w:spacing w:after="0"/>
              <w:rPr>
                <w:sz w:val="20"/>
                <w:szCs w:val="20"/>
                <w:color w:val="auto"/>
              </w:rPr>
            </w:pPr>
            <w:r>
              <w:rPr>
                <w:rFonts w:ascii="Arial" w:cs="Arial" w:eastAsia="Arial" w:hAnsi="Arial"/>
                <w:sz w:val="15"/>
                <w:szCs w:val="15"/>
                <w:b w:val="1"/>
                <w:bCs w:val="1"/>
                <w:color w:val="auto"/>
              </w:rPr>
              <w:t>disposition</w:t>
            </w:r>
          </w:p>
        </w:tc>
      </w:tr>
      <w:tr>
        <w:trPr>
          <w:trHeight w:val="210"/>
        </w:trPr>
        <w:tc>
          <w:tcPr>
            <w:tcW w:w="5480" w:type="dxa"/>
            <w:vAlign w:val="bottom"/>
            <w:shd w:val="clear" w:color="auto" w:fill="CCEEFF"/>
          </w:tcPr>
          <w:p>
            <w:pPr>
              <w:spacing w:after="0"/>
              <w:rPr>
                <w:sz w:val="20"/>
                <w:szCs w:val="20"/>
                <w:color w:val="auto"/>
              </w:rPr>
            </w:pPr>
            <w:r>
              <w:rPr>
                <w:rFonts w:ascii="Arial" w:cs="Arial" w:eastAsia="Arial" w:hAnsi="Arial"/>
                <w:sz w:val="16"/>
                <w:szCs w:val="16"/>
                <w:color w:val="auto"/>
              </w:rPr>
              <w:t>Net sales</w:t>
            </w:r>
          </w:p>
        </w:tc>
        <w:tc>
          <w:tcPr>
            <w:tcW w:w="600" w:type="dxa"/>
            <w:vAlign w:val="bottom"/>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2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132,737</w:t>
            </w:r>
          </w:p>
        </w:tc>
      </w:tr>
      <w:tr>
        <w:trPr>
          <w:trHeight w:val="213"/>
        </w:trPr>
        <w:tc>
          <w:tcPr>
            <w:tcW w:w="5480" w:type="dxa"/>
            <w:vAlign w:val="bottom"/>
          </w:tcPr>
          <w:p>
            <w:pPr>
              <w:spacing w:after="0"/>
              <w:rPr>
                <w:sz w:val="20"/>
                <w:szCs w:val="20"/>
                <w:color w:val="auto"/>
              </w:rPr>
            </w:pPr>
            <w:r>
              <w:rPr>
                <w:rFonts w:ascii="Arial" w:cs="Arial" w:eastAsia="Arial" w:hAnsi="Arial"/>
                <w:sz w:val="16"/>
                <w:szCs w:val="16"/>
                <w:color w:val="auto"/>
              </w:rPr>
              <w:t>Gross profit</w:t>
            </w:r>
          </w:p>
        </w:tc>
        <w:tc>
          <w:tcPr>
            <w:tcW w:w="600" w:type="dxa"/>
            <w:vAlign w:val="bottom"/>
          </w:tcPr>
          <w:p>
            <w:pPr>
              <w:jc w:val="right"/>
              <w:ind w:right="400"/>
              <w:spacing w:after="0"/>
              <w:rPr>
                <w:sz w:val="20"/>
                <w:szCs w:val="20"/>
                <w:color w:val="auto"/>
              </w:rPr>
            </w:pPr>
            <w:r>
              <w:rPr>
                <w:rFonts w:ascii="Arial" w:cs="Arial" w:eastAsia="Arial" w:hAnsi="Arial"/>
                <w:sz w:val="16"/>
                <w:szCs w:val="16"/>
                <w:color w:val="auto"/>
              </w:rPr>
              <w:t>$</w:t>
            </w:r>
          </w:p>
        </w:tc>
        <w:tc>
          <w:tcPr>
            <w:tcW w:w="2420" w:type="dxa"/>
            <w:vAlign w:val="bottom"/>
          </w:tcPr>
          <w:p>
            <w:pPr>
              <w:jc w:val="right"/>
              <w:spacing w:after="0"/>
              <w:rPr>
                <w:sz w:val="20"/>
                <w:szCs w:val="20"/>
                <w:color w:val="auto"/>
              </w:rPr>
            </w:pPr>
            <w:r>
              <w:rPr>
                <w:rFonts w:ascii="Arial" w:cs="Arial" w:eastAsia="Arial" w:hAnsi="Arial"/>
                <w:sz w:val="16"/>
                <w:szCs w:val="16"/>
                <w:color w:val="auto"/>
              </w:rPr>
              <w:t>39,678</w:t>
            </w:r>
          </w:p>
        </w:tc>
      </w:tr>
      <w:tr>
        <w:trPr>
          <w:trHeight w:val="219"/>
        </w:trPr>
        <w:tc>
          <w:tcPr>
            <w:tcW w:w="5480" w:type="dxa"/>
            <w:vAlign w:val="bottom"/>
            <w:shd w:val="clear" w:color="auto" w:fill="CCEEFF"/>
          </w:tcPr>
          <w:p>
            <w:pPr>
              <w:spacing w:after="0"/>
              <w:rPr>
                <w:sz w:val="20"/>
                <w:szCs w:val="20"/>
                <w:color w:val="auto"/>
              </w:rPr>
            </w:pPr>
            <w:r>
              <w:rPr>
                <w:rFonts w:ascii="Arial" w:cs="Arial" w:eastAsia="Arial" w:hAnsi="Arial"/>
                <w:sz w:val="16"/>
                <w:szCs w:val="16"/>
                <w:color w:val="auto"/>
              </w:rPr>
              <w:t>Operating income</w:t>
            </w:r>
          </w:p>
        </w:tc>
        <w:tc>
          <w:tcPr>
            <w:tcW w:w="600" w:type="dxa"/>
            <w:vAlign w:val="bottom"/>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2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6,232</w:t>
            </w:r>
          </w:p>
        </w:tc>
      </w:tr>
      <w:tr>
        <w:trPr>
          <w:trHeight w:val="213"/>
        </w:trPr>
        <w:tc>
          <w:tcPr>
            <w:tcW w:w="5480" w:type="dxa"/>
            <w:vAlign w:val="bottom"/>
          </w:tcPr>
          <w:p>
            <w:pPr>
              <w:spacing w:after="0"/>
              <w:rPr>
                <w:sz w:val="20"/>
                <w:szCs w:val="20"/>
                <w:color w:val="auto"/>
              </w:rPr>
            </w:pPr>
            <w:r>
              <w:rPr>
                <w:rFonts w:ascii="Arial" w:cs="Arial" w:eastAsia="Arial" w:hAnsi="Arial"/>
                <w:sz w:val="16"/>
                <w:szCs w:val="16"/>
                <w:color w:val="auto"/>
              </w:rPr>
              <w:t>Income from continuing operations before income taxes</w:t>
            </w:r>
          </w:p>
        </w:tc>
        <w:tc>
          <w:tcPr>
            <w:tcW w:w="600" w:type="dxa"/>
            <w:vAlign w:val="bottom"/>
          </w:tcPr>
          <w:p>
            <w:pPr>
              <w:jc w:val="right"/>
              <w:ind w:right="400"/>
              <w:spacing w:after="0"/>
              <w:rPr>
                <w:sz w:val="20"/>
                <w:szCs w:val="20"/>
                <w:color w:val="auto"/>
              </w:rPr>
            </w:pPr>
            <w:r>
              <w:rPr>
                <w:rFonts w:ascii="Arial" w:cs="Arial" w:eastAsia="Arial" w:hAnsi="Arial"/>
                <w:sz w:val="16"/>
                <w:szCs w:val="16"/>
                <w:color w:val="auto"/>
              </w:rPr>
              <w:t>$</w:t>
            </w:r>
          </w:p>
        </w:tc>
        <w:tc>
          <w:tcPr>
            <w:tcW w:w="2420" w:type="dxa"/>
            <w:vAlign w:val="bottom"/>
          </w:tcPr>
          <w:p>
            <w:pPr>
              <w:jc w:val="right"/>
              <w:spacing w:after="0"/>
              <w:rPr>
                <w:sz w:val="20"/>
                <w:szCs w:val="20"/>
                <w:color w:val="auto"/>
              </w:rPr>
            </w:pPr>
            <w:r>
              <w:rPr>
                <w:rFonts w:ascii="Arial" w:cs="Arial" w:eastAsia="Arial" w:hAnsi="Arial"/>
                <w:sz w:val="16"/>
                <w:szCs w:val="16"/>
                <w:color w:val="auto"/>
              </w:rPr>
              <w:t>5,880</w:t>
            </w:r>
          </w:p>
        </w:tc>
      </w:tr>
      <w:tr>
        <w:trPr>
          <w:trHeight w:val="219"/>
        </w:trPr>
        <w:tc>
          <w:tcPr>
            <w:tcW w:w="5480" w:type="dxa"/>
            <w:vAlign w:val="bottom"/>
            <w:shd w:val="clear" w:color="auto" w:fill="CCEEFF"/>
          </w:tcPr>
          <w:p>
            <w:pPr>
              <w:spacing w:after="0"/>
              <w:rPr>
                <w:sz w:val="20"/>
                <w:szCs w:val="20"/>
                <w:color w:val="auto"/>
              </w:rPr>
            </w:pPr>
            <w:r>
              <w:rPr>
                <w:rFonts w:ascii="Arial" w:cs="Arial" w:eastAsia="Arial" w:hAnsi="Arial"/>
                <w:sz w:val="16"/>
                <w:szCs w:val="16"/>
                <w:color w:val="auto"/>
              </w:rPr>
              <w:t>Benefit for income taxes</w:t>
            </w:r>
          </w:p>
        </w:tc>
        <w:tc>
          <w:tcPr>
            <w:tcW w:w="600" w:type="dxa"/>
            <w:vAlign w:val="bottom"/>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2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(11,607)</w:t>
            </w:r>
          </w:p>
        </w:tc>
      </w:tr>
      <w:tr>
        <w:trPr>
          <w:trHeight w:val="280"/>
        </w:trPr>
        <w:tc>
          <w:tcPr>
            <w:tcW w:w="5480" w:type="dxa"/>
            <w:vAlign w:val="bottom"/>
          </w:tcPr>
          <w:p>
            <w:pPr>
              <w:spacing w:after="0"/>
              <w:rPr>
                <w:sz w:val="20"/>
                <w:szCs w:val="20"/>
                <w:color w:val="auto"/>
              </w:rPr>
            </w:pPr>
            <w:r>
              <w:rPr>
                <w:rFonts w:ascii="Arial" w:cs="Arial" w:eastAsia="Arial" w:hAnsi="Arial"/>
                <w:sz w:val="16"/>
                <w:szCs w:val="16"/>
                <w:color w:val="auto"/>
              </w:rPr>
              <w:t xml:space="preserve">Income from discontinued operations </w:t>
            </w:r>
            <w:r>
              <w:rPr>
                <w:rFonts w:ascii="Arial" w:cs="Arial" w:eastAsia="Arial" w:hAnsi="Arial"/>
                <w:sz w:val="21"/>
                <w:szCs w:val="21"/>
                <w:b w:val="1"/>
                <w:bCs w:val="1"/>
                <w:color w:val="auto"/>
                <w:vertAlign w:val="superscript"/>
              </w:rPr>
              <w:t>(1)</w:t>
            </w:r>
          </w:p>
        </w:tc>
        <w:tc>
          <w:tcPr>
            <w:tcW w:w="600" w:type="dxa"/>
            <w:vAlign w:val="bottom"/>
          </w:tcPr>
          <w:p>
            <w:pPr>
              <w:jc w:val="right"/>
              <w:ind w:right="400"/>
              <w:spacing w:after="0"/>
              <w:rPr>
                <w:sz w:val="20"/>
                <w:szCs w:val="20"/>
                <w:color w:val="auto"/>
              </w:rPr>
            </w:pPr>
            <w:r>
              <w:rPr>
                <w:rFonts w:ascii="Arial" w:cs="Arial" w:eastAsia="Arial" w:hAnsi="Arial"/>
                <w:sz w:val="16"/>
                <w:szCs w:val="16"/>
                <w:color w:val="auto"/>
              </w:rPr>
              <w:t>$</w:t>
            </w:r>
          </w:p>
        </w:tc>
        <w:tc>
          <w:tcPr>
            <w:tcW w:w="2420" w:type="dxa"/>
            <w:vAlign w:val="bottom"/>
          </w:tcPr>
          <w:p>
            <w:pPr>
              <w:jc w:val="right"/>
              <w:spacing w:after="0"/>
              <w:rPr>
                <w:sz w:val="20"/>
                <w:szCs w:val="20"/>
                <w:color w:val="auto"/>
              </w:rPr>
            </w:pPr>
            <w:r>
              <w:rPr>
                <w:rFonts w:ascii="Arial" w:cs="Arial" w:eastAsia="Arial" w:hAnsi="Arial"/>
                <w:sz w:val="16"/>
                <w:szCs w:val="16"/>
                <w:color w:val="auto"/>
              </w:rPr>
              <w:t>17,487</w:t>
            </w:r>
          </w:p>
        </w:tc>
      </w:tr>
    </w:tbl>
    <w:p>
      <w:pPr>
        <w:spacing w:after="0" w:line="107" w:lineRule="exact"/>
        <w:rPr>
          <w:sz w:val="20"/>
          <w:szCs w:val="20"/>
          <w:color w:val="auto"/>
        </w:rPr>
      </w:pPr>
    </w:p>
    <w:p>
      <w:pPr>
        <w:ind w:left="180" w:hanging="172"/>
        <w:spacing w:after="0"/>
        <w:tabs>
          <w:tab w:leader="none" w:pos="180" w:val="left"/>
        </w:tabs>
        <w:numPr>
          <w:ilvl w:val="0"/>
          <w:numId w:val="7"/>
        </w:numPr>
        <w:rPr>
          <w:rFonts w:ascii="Arial" w:cs="Arial" w:eastAsia="Arial" w:hAnsi="Arial"/>
          <w:sz w:val="21"/>
          <w:szCs w:val="21"/>
          <w:b w:val="1"/>
          <w:bCs w:val="1"/>
          <w:color w:val="auto"/>
          <w:vertAlign w:val="superscript"/>
        </w:rPr>
      </w:pPr>
      <w:r>
        <w:rPr>
          <w:rFonts w:ascii="Arial" w:cs="Arial" w:eastAsia="Arial" w:hAnsi="Arial"/>
          <w:sz w:val="15"/>
          <w:szCs w:val="15"/>
          <w:color w:val="auto"/>
        </w:rPr>
        <w:t>The results of operations for the period from January 1, 2019 through the date of disposition excludes $10.2 million of intercompany interest expense.</w:t>
      </w: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of Manitoba Harvest</w:t>
      </w:r>
    </w:p>
    <w:p>
      <w:pPr>
        <w:spacing w:after="0" w:line="18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February 19, 2019, the Company entered into a definitive agreement with Tilray, Inc. ("Tilray") and a wholly-owned subsidiary of Tilray, 1197879 B.C. Ltd. (“Tilray Subco”), to sell to Tilray, through Tilray Subco, all of the issued and outstanding securities of our majority owned subsidiary, Manitoba Harvest, for total consideration of up to C$419 million. The completion of the sale of Manitoba Harvest was subject to approval by the British Columbia Supreme Court, which occurred on February 21, 2019. The sale closed on February 28, 2019. Subject to certain customary adjustments, the shareholders of Manitoba Harvest, including the Company, received the following from Tilray as consideration for their shares of Manitoba Harvest: (i) C$150 million in cash to the holders of preferred shares of Manitoba Harvest and the holders of common shares of Manitoba Harvest (“Common Holders”) and C$127.5 million in shares of class 2 Common Stock of Tilray (“Tilray Common Stock”) to the Common Holders on the closing date of the sale (the “Closing Date Consideration”), and (ii) C$50 million in cash and C$ 42.5 million in Tilray Common Stock to the Common Holders on the date that was six months after the closing date of the arrangement (the “Deferred Consideration”). The sale consideration also included a potential earnout of up to C$49 million in Tilray Common Stock to the Common Holders, if Manitoba Harvest achieved certain levels of U.S. branded gross sales of edible or topical products containing broad spectrum hemp extracts or cannabidiols prior to December 31, 2019. The threshold for the earnout was not achieved and no additional amount was recorded related to sale of Manitoba Harvest at December 31, 2019.</w:t>
      </w:r>
    </w:p>
    <w:p>
      <w:pPr>
        <w:spacing w:after="0" w:line="15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cash portion of the Closing Date Consideration was reduced by the amount of the net indebtedness (including accrued interest) of Manitoba Harvest on the closing date of C$71.3 million ($ 53.7 million) and transaction expenses of approximately C$5.0 million. The Company's share of the net proceeds after accounting for the redemption of the noncontrolling shareholders and the payment of net indebtedness of Manitoba Harvest and transaction expenses was approximately $124.2 million in cash proceeds and in Tilray Common Stock. The Company</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0" w:right="339" w:bottom="1440" w:gutter="0" w:footer="0" w:header="0"/>
        </w:sectPr>
      </w:pPr>
    </w:p>
    <w:bookmarkStart w:id="16" w:name="page17"/>
    <w:bookmarkEnd w:id="16"/>
    <w:p>
      <w:pPr>
        <w:jc w:val="both"/>
        <w:spacing w:after="0" w:line="256" w:lineRule="auto"/>
        <w:rPr>
          <w:sz w:val="20"/>
          <w:szCs w:val="20"/>
          <w:color w:val="auto"/>
        </w:rPr>
      </w:pPr>
      <w:r>
        <w:rPr>
          <w:rFonts w:ascii="Arial" w:cs="Arial" w:eastAsia="Arial" w:hAnsi="Arial"/>
          <w:sz w:val="18"/>
          <w:szCs w:val="18"/>
          <w:color w:val="auto"/>
        </w:rPr>
        <w:t>recognized a gain on the sale of Manitoba Harvest of $121.7 million in the first quarter of 2019. In August 2019, the Company received the Deferred Consideration related to the sale. The Company's portion of the Deferred Consideration totaled $28.4 million in cash proceeds and $19.6 million in Tilray Common Stock.</w:t>
      </w:r>
    </w:p>
    <w:p>
      <w:pPr>
        <w:spacing w:after="0" w:line="14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Tilray Common Stock consideration was issued in reliance on the exemption from the registration requirements of the Securities Act of 1933, as amended (the "Securities Act") and pursuant to exemptions from applicable securities laws of any state of the United States, such that any shares of Tilray Common Stock received by the Common Holders were freely tradeable. The Company sold the Tilray Common Stock received as part of the Closing Consideration during March 2019, recognizing a net loss of $5.3 million in Other income/ (expense) during the quarter ended March 31, 2019. In August 2019, the Company sold the Tilray Common Stock received as part of the Deferred Consideration, recognizing a loss of $4.9 million in Other income/ (expense) during the quarter ended September 30, 2019.</w:t>
      </w:r>
    </w:p>
    <w:p>
      <w:pPr>
        <w:spacing w:after="0" w:line="15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Summarized results of operations of Manitoba Harvest for the period from January 1, 2019 through the date of disposition are as follows (in thousands):</w:t>
      </w:r>
    </w:p>
    <w:p>
      <w:pPr>
        <w:spacing w:after="0" w:line="242" w:lineRule="exact"/>
        <w:rPr>
          <w:sz w:val="20"/>
          <w:szCs w:val="20"/>
          <w:color w:val="auto"/>
        </w:rPr>
      </w:pPr>
    </w:p>
    <w:tbl>
      <w:tblPr>
        <w:tblLayout w:type="fixed"/>
        <w:tblInd w:w="2540" w:type="dxa"/>
        <w:tblCellMar>
          <w:top w:w="0" w:type="dxa"/>
          <w:left w:w="0" w:type="dxa"/>
          <w:bottom w:w="0" w:type="dxa"/>
          <w:right w:w="0" w:type="dxa"/>
        </w:tblCellMar>
      </w:tblPr>
      <w:tr>
        <w:trPr>
          <w:trHeight w:val="172"/>
        </w:trPr>
        <w:tc>
          <w:tcPr>
            <w:tcW w:w="4180" w:type="dxa"/>
            <w:vAlign w:val="bottom"/>
          </w:tcPr>
          <w:p>
            <w:pPr>
              <w:spacing w:after="0"/>
              <w:rPr>
                <w:sz w:val="14"/>
                <w:szCs w:val="14"/>
                <w:color w:val="auto"/>
              </w:rPr>
            </w:pPr>
          </w:p>
        </w:tc>
        <w:tc>
          <w:tcPr>
            <w:tcW w:w="2000" w:type="dxa"/>
            <w:vAlign w:val="bottom"/>
            <w:gridSpan w:val="2"/>
          </w:tcPr>
          <w:p>
            <w:pPr>
              <w:jc w:val="right"/>
              <w:spacing w:after="0"/>
              <w:rPr>
                <w:sz w:val="20"/>
                <w:szCs w:val="20"/>
                <w:color w:val="auto"/>
              </w:rPr>
            </w:pPr>
            <w:r>
              <w:rPr>
                <w:rFonts w:ascii="Arial" w:cs="Arial" w:eastAsia="Arial" w:hAnsi="Arial"/>
                <w:sz w:val="15"/>
                <w:szCs w:val="15"/>
                <w:b w:val="1"/>
                <w:bCs w:val="1"/>
                <w:color w:val="auto"/>
              </w:rPr>
              <w:t>For the period January 1,</w:t>
            </w:r>
          </w:p>
        </w:tc>
      </w:tr>
      <w:tr>
        <w:trPr>
          <w:trHeight w:val="202"/>
        </w:trPr>
        <w:tc>
          <w:tcPr>
            <w:tcW w:w="4180" w:type="dxa"/>
            <w:vAlign w:val="bottom"/>
            <w:tcBorders>
              <w:bottom w:val="single" w:sz="8" w:color="CCEEFF"/>
            </w:tcBorders>
          </w:tcPr>
          <w:p>
            <w:pPr>
              <w:spacing w:after="0"/>
              <w:rPr>
                <w:sz w:val="17"/>
                <w:szCs w:val="17"/>
                <w:color w:val="auto"/>
              </w:rPr>
            </w:pPr>
          </w:p>
        </w:tc>
        <w:tc>
          <w:tcPr>
            <w:tcW w:w="200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5"/>
                <w:szCs w:val="15"/>
                <w:b w:val="1"/>
                <w:bCs w:val="1"/>
                <w:color w:val="auto"/>
              </w:rPr>
              <w:t>2019 through disposition</w:t>
            </w:r>
          </w:p>
        </w:tc>
      </w:tr>
      <w:tr>
        <w:trPr>
          <w:trHeight w:val="210"/>
        </w:trPr>
        <w:tc>
          <w:tcPr>
            <w:tcW w:w="4180" w:type="dxa"/>
            <w:vAlign w:val="bottom"/>
            <w:shd w:val="clear" w:color="auto" w:fill="CCEEFF"/>
          </w:tcPr>
          <w:p>
            <w:pPr>
              <w:spacing w:after="0"/>
              <w:rPr>
                <w:sz w:val="20"/>
                <w:szCs w:val="20"/>
                <w:color w:val="auto"/>
              </w:rPr>
            </w:pPr>
            <w:r>
              <w:rPr>
                <w:rFonts w:ascii="Arial" w:cs="Arial" w:eastAsia="Arial" w:hAnsi="Arial"/>
                <w:sz w:val="16"/>
                <w:szCs w:val="16"/>
                <w:color w:val="auto"/>
              </w:rPr>
              <w:t>Net revenues</w:t>
            </w:r>
          </w:p>
        </w:tc>
        <w:tc>
          <w:tcPr>
            <w:tcW w:w="760" w:type="dxa"/>
            <w:vAlign w:val="bottom"/>
            <w:shd w:val="clear" w:color="auto" w:fill="CCEEFF"/>
          </w:tcPr>
          <w:p>
            <w:pPr>
              <w:jc w:val="right"/>
              <w:ind w:right="580"/>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10,024</w:t>
            </w:r>
          </w:p>
        </w:tc>
      </w:tr>
      <w:tr>
        <w:trPr>
          <w:trHeight w:val="213"/>
        </w:trPr>
        <w:tc>
          <w:tcPr>
            <w:tcW w:w="4180" w:type="dxa"/>
            <w:vAlign w:val="bottom"/>
          </w:tcPr>
          <w:p>
            <w:pPr>
              <w:spacing w:after="0"/>
              <w:rPr>
                <w:sz w:val="20"/>
                <w:szCs w:val="20"/>
                <w:color w:val="auto"/>
              </w:rPr>
            </w:pPr>
            <w:r>
              <w:rPr>
                <w:rFonts w:ascii="Arial" w:cs="Arial" w:eastAsia="Arial" w:hAnsi="Arial"/>
                <w:sz w:val="16"/>
                <w:szCs w:val="16"/>
                <w:color w:val="auto"/>
              </w:rPr>
              <w:t>Gross profit</w:t>
            </w:r>
          </w:p>
        </w:tc>
        <w:tc>
          <w:tcPr>
            <w:tcW w:w="760" w:type="dxa"/>
            <w:vAlign w:val="bottom"/>
          </w:tcPr>
          <w:p>
            <w:pPr>
              <w:jc w:val="right"/>
              <w:ind w:right="580"/>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4,874</w:t>
            </w:r>
          </w:p>
        </w:tc>
      </w:tr>
      <w:tr>
        <w:trPr>
          <w:trHeight w:val="219"/>
        </w:trPr>
        <w:tc>
          <w:tcPr>
            <w:tcW w:w="4180" w:type="dxa"/>
            <w:vAlign w:val="bottom"/>
            <w:shd w:val="clear" w:color="auto" w:fill="CCEEFF"/>
          </w:tcPr>
          <w:p>
            <w:pPr>
              <w:spacing w:after="0"/>
              <w:rPr>
                <w:sz w:val="20"/>
                <w:szCs w:val="20"/>
                <w:color w:val="auto"/>
              </w:rPr>
            </w:pPr>
            <w:r>
              <w:rPr>
                <w:rFonts w:ascii="Arial" w:cs="Arial" w:eastAsia="Arial" w:hAnsi="Arial"/>
                <w:sz w:val="16"/>
                <w:szCs w:val="16"/>
                <w:color w:val="auto"/>
              </w:rPr>
              <w:t>Operating loss</w:t>
            </w:r>
          </w:p>
        </w:tc>
        <w:tc>
          <w:tcPr>
            <w:tcW w:w="760" w:type="dxa"/>
            <w:vAlign w:val="bottom"/>
            <w:shd w:val="clear" w:color="auto" w:fill="CCEEFF"/>
          </w:tcPr>
          <w:p>
            <w:pPr>
              <w:jc w:val="right"/>
              <w:ind w:right="580"/>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(1,118)</w:t>
            </w:r>
          </w:p>
        </w:tc>
      </w:tr>
      <w:tr>
        <w:trPr>
          <w:trHeight w:val="213"/>
        </w:trPr>
        <w:tc>
          <w:tcPr>
            <w:tcW w:w="4180" w:type="dxa"/>
            <w:vAlign w:val="bottom"/>
          </w:tcPr>
          <w:p>
            <w:pPr>
              <w:spacing w:after="0"/>
              <w:rPr>
                <w:sz w:val="20"/>
                <w:szCs w:val="20"/>
                <w:color w:val="auto"/>
              </w:rPr>
            </w:pPr>
            <w:r>
              <w:rPr>
                <w:rFonts w:ascii="Arial" w:cs="Arial" w:eastAsia="Arial" w:hAnsi="Arial"/>
                <w:sz w:val="16"/>
                <w:szCs w:val="16"/>
                <w:color w:val="auto"/>
              </w:rPr>
              <w:t>Loss before income taxes</w:t>
            </w:r>
          </w:p>
        </w:tc>
        <w:tc>
          <w:tcPr>
            <w:tcW w:w="760" w:type="dxa"/>
            <w:vAlign w:val="bottom"/>
          </w:tcPr>
          <w:p>
            <w:pPr>
              <w:jc w:val="right"/>
              <w:ind w:right="580"/>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(1,127)</w:t>
            </w:r>
          </w:p>
        </w:tc>
      </w:tr>
      <w:tr>
        <w:trPr>
          <w:trHeight w:val="219"/>
        </w:trPr>
        <w:tc>
          <w:tcPr>
            <w:tcW w:w="4180" w:type="dxa"/>
            <w:vAlign w:val="bottom"/>
            <w:shd w:val="clear" w:color="auto" w:fill="CCEEFF"/>
          </w:tcPr>
          <w:p>
            <w:pPr>
              <w:spacing w:after="0"/>
              <w:rPr>
                <w:sz w:val="20"/>
                <w:szCs w:val="20"/>
                <w:color w:val="auto"/>
              </w:rPr>
            </w:pPr>
            <w:r>
              <w:rPr>
                <w:rFonts w:ascii="Arial" w:cs="Arial" w:eastAsia="Arial" w:hAnsi="Arial"/>
                <w:sz w:val="16"/>
                <w:szCs w:val="16"/>
                <w:color w:val="auto"/>
              </w:rPr>
              <w:t>Benefit for income taxes</w:t>
            </w:r>
          </w:p>
        </w:tc>
        <w:tc>
          <w:tcPr>
            <w:tcW w:w="760" w:type="dxa"/>
            <w:vAlign w:val="bottom"/>
            <w:shd w:val="clear" w:color="auto" w:fill="CCEEFF"/>
          </w:tcPr>
          <w:p>
            <w:pPr>
              <w:jc w:val="right"/>
              <w:ind w:right="580"/>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(541)</w:t>
            </w:r>
          </w:p>
        </w:tc>
      </w:tr>
      <w:tr>
        <w:trPr>
          <w:trHeight w:val="280"/>
        </w:trPr>
        <w:tc>
          <w:tcPr>
            <w:tcW w:w="4180" w:type="dxa"/>
            <w:vAlign w:val="bottom"/>
          </w:tcPr>
          <w:p>
            <w:pPr>
              <w:spacing w:after="0"/>
              <w:rPr>
                <w:sz w:val="20"/>
                <w:szCs w:val="20"/>
                <w:color w:val="auto"/>
              </w:rPr>
            </w:pPr>
            <w:r>
              <w:rPr>
                <w:rFonts w:ascii="Arial" w:cs="Arial" w:eastAsia="Arial" w:hAnsi="Arial"/>
                <w:sz w:val="16"/>
                <w:szCs w:val="16"/>
                <w:color w:val="auto"/>
              </w:rPr>
              <w:t xml:space="preserve">Income (loss) from discontinued operations </w:t>
            </w:r>
            <w:r>
              <w:rPr>
                <w:rFonts w:ascii="Arial" w:cs="Arial" w:eastAsia="Arial" w:hAnsi="Arial"/>
                <w:sz w:val="21"/>
                <w:szCs w:val="21"/>
                <w:b w:val="1"/>
                <w:bCs w:val="1"/>
                <w:color w:val="auto"/>
                <w:vertAlign w:val="superscript"/>
              </w:rPr>
              <w:t>(1)</w:t>
            </w:r>
          </w:p>
        </w:tc>
        <w:tc>
          <w:tcPr>
            <w:tcW w:w="760" w:type="dxa"/>
            <w:vAlign w:val="bottom"/>
          </w:tcPr>
          <w:p>
            <w:pPr>
              <w:jc w:val="right"/>
              <w:ind w:right="580"/>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(586)</w:t>
            </w:r>
          </w:p>
        </w:tc>
      </w:tr>
    </w:tbl>
    <w:p>
      <w:pPr>
        <w:spacing w:after="0" w:line="97" w:lineRule="exact"/>
        <w:rPr>
          <w:sz w:val="20"/>
          <w:szCs w:val="20"/>
          <w:color w:val="auto"/>
        </w:rPr>
      </w:pPr>
    </w:p>
    <w:p>
      <w:pPr>
        <w:ind w:left="200" w:hanging="192"/>
        <w:spacing w:after="0"/>
        <w:tabs>
          <w:tab w:leader="none" w:pos="200" w:val="left"/>
        </w:tabs>
        <w:numPr>
          <w:ilvl w:val="0"/>
          <w:numId w:val="8"/>
        </w:numPr>
        <w:rPr>
          <w:rFonts w:ascii="Arial" w:cs="Arial" w:eastAsia="Arial" w:hAnsi="Arial"/>
          <w:sz w:val="23"/>
          <w:szCs w:val="23"/>
          <w:b w:val="1"/>
          <w:bCs w:val="1"/>
          <w:color w:val="auto"/>
          <w:vertAlign w:val="superscript"/>
        </w:rPr>
      </w:pPr>
      <w:r>
        <w:rPr>
          <w:rFonts w:ascii="Arial" w:cs="Arial" w:eastAsia="Arial" w:hAnsi="Arial"/>
          <w:sz w:val="16"/>
          <w:szCs w:val="16"/>
          <w:color w:val="auto"/>
        </w:rPr>
        <w:t>The results of operations for the period from January 1, 2019 through the date of disposition excludes $1.0 million of intercompany interest expense.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 — Revenue</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recognizes revenue in accordance with the provisions of Revenue from Contracts with Customers, or ASC 606. Revenue is recognized when a customer obtains control of promised goods or services. The amount of revenue recognized reflects the consideration to which the Company expects to be entitled to receive in exchange for these goods or services, and excludes any sales incentives or taxes collected from customers which are subsequently remitted to government authorities.</w:t>
      </w:r>
    </w:p>
    <w:p>
      <w:pPr>
        <w:spacing w:after="0" w:line="12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Disaggregated Revenue - </w:t>
      </w:r>
      <w:r>
        <w:rPr>
          <w:rFonts w:ascii="Arial" w:cs="Arial" w:eastAsia="Arial" w:hAnsi="Arial"/>
          <w:sz w:val="18"/>
          <w:szCs w:val="18"/>
          <w:color w:val="auto"/>
        </w:rPr>
        <w:t>The Company disaggregates revenue by strategic business unit and by geography for each strategic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unit which are categories that depict how the nature, amount and uncertainty of revenue and cash flows are affected by economic factors. This disaggregation also represents how the Company evaluates its financial performance, as well as how the Company communicates its financial performance to the investors and other users of its financial statements. Each strategic business unit represents the Company’s reportable segments and offers different products and services.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provide disaggregation of revenue by reportable segment geography for the three and nine months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2020 and 2019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143510</wp:posOffset>
            </wp:positionV>
            <wp:extent cx="706374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63740" cy="8890"/>
                    </a:xfrm>
                    <a:prstGeom prst="rect">
                      <a:avLst/>
                    </a:prstGeom>
                    <a:noFill/>
                  </pic:spPr>
                </pic:pic>
              </a:graphicData>
            </a:graphic>
          </wp:anchor>
        </w:drawing>
      </w:r>
    </w:p>
    <w:p>
      <w:pPr>
        <w:spacing w:after="0" w:line="215" w:lineRule="exact"/>
        <w:rPr>
          <w:sz w:val="20"/>
          <w:szCs w:val="20"/>
          <w:color w:val="auto"/>
        </w:rPr>
      </w:pPr>
    </w:p>
    <w:p>
      <w:pPr>
        <w:ind w:left="4780"/>
        <w:spacing w:after="0"/>
        <w:rPr>
          <w:sz w:val="20"/>
          <w:szCs w:val="20"/>
          <w:color w:val="auto"/>
        </w:rPr>
      </w:pPr>
      <w:r>
        <w:rPr>
          <w:rFonts w:ascii="Arial" w:cs="Arial" w:eastAsia="Arial" w:hAnsi="Arial"/>
          <w:sz w:val="16"/>
          <w:szCs w:val="16"/>
          <w:b w:val="1"/>
          <w:bCs w:val="1"/>
          <w:color w:val="auto"/>
        </w:rPr>
        <w:t>Three months ended September 30, 2020</w:t>
      </w:r>
    </w:p>
    <w:p>
      <w:pPr>
        <w:spacing w:after="0" w:line="31" w:lineRule="exact"/>
        <w:rPr>
          <w:sz w:val="20"/>
          <w:szCs w:val="20"/>
          <w:color w:val="auto"/>
        </w:rPr>
      </w:pPr>
    </w:p>
    <w:tbl>
      <w:tblPr>
        <w:tblLayout w:type="fixed"/>
        <w:tblInd w:w="60" w:type="dxa"/>
        <w:tblCellMar>
          <w:top w:w="0" w:type="dxa"/>
          <w:left w:w="0" w:type="dxa"/>
          <w:bottom w:w="0" w:type="dxa"/>
          <w:right w:w="0" w:type="dxa"/>
        </w:tblCellMar>
      </w:tblPr>
      <w:tr>
        <w:trPr>
          <w:trHeight w:val="189"/>
        </w:trPr>
        <w:tc>
          <w:tcPr>
            <w:tcW w:w="14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5.11</w:t>
            </w:r>
          </w:p>
        </w:tc>
        <w:tc>
          <w:tcPr>
            <w:tcW w:w="1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Ergo</w:t>
            </w:r>
          </w:p>
        </w:tc>
        <w:tc>
          <w:tcPr>
            <w:tcW w:w="1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Liberty</w:t>
            </w:r>
          </w:p>
        </w:tc>
        <w:tc>
          <w:tcPr>
            <w:tcW w:w="1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Marucci</w:t>
            </w:r>
          </w:p>
        </w:tc>
        <w:tc>
          <w:tcPr>
            <w:tcW w:w="1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Velocity</w:t>
            </w:r>
          </w:p>
        </w:tc>
        <w:tc>
          <w:tcPr>
            <w:tcW w:w="2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ACI</w:t>
            </w:r>
          </w:p>
        </w:tc>
        <w:tc>
          <w:tcPr>
            <w:tcW w:w="1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Arnold</w:t>
            </w:r>
          </w:p>
        </w:tc>
        <w:tc>
          <w:tcPr>
            <w:tcW w:w="1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Foam</w:t>
            </w:r>
          </w:p>
        </w:tc>
        <w:tc>
          <w:tcPr>
            <w:tcW w:w="1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Sterno</w:t>
            </w:r>
          </w:p>
        </w:tc>
        <w:tc>
          <w:tcPr>
            <w:tcW w:w="2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Total</w:t>
            </w:r>
          </w:p>
        </w:tc>
      </w:tr>
      <w:tr>
        <w:trPr>
          <w:trHeight w:val="183"/>
        </w:trPr>
        <w:tc>
          <w:tcPr>
            <w:tcW w:w="1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United States</w:t>
            </w: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80,100</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6,378</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30,648</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19,340</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64,012</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22,771</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13,933</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31,084</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92,254</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360,520</w:t>
            </w:r>
          </w:p>
        </w:tc>
      </w:tr>
      <w:tr>
        <w:trPr>
          <w:trHeight w:val="189"/>
        </w:trPr>
        <w:tc>
          <w:tcPr>
            <w:tcW w:w="1480" w:type="dxa"/>
            <w:vAlign w:val="bottom"/>
          </w:tcPr>
          <w:p>
            <w:pPr>
              <w:ind w:left="20"/>
              <w:spacing w:after="0"/>
              <w:rPr>
                <w:sz w:val="20"/>
                <w:szCs w:val="20"/>
                <w:color w:val="auto"/>
              </w:rPr>
            </w:pPr>
            <w:r>
              <w:rPr>
                <w:rFonts w:ascii="Arial" w:cs="Arial" w:eastAsia="Arial" w:hAnsi="Arial"/>
                <w:sz w:val="14"/>
                <w:szCs w:val="14"/>
                <w:color w:val="auto"/>
              </w:rPr>
              <w:t>Canada</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1,340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750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538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3,143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5,158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10,984</w:t>
            </w:r>
          </w:p>
        </w:tc>
      </w:tr>
      <w:tr>
        <w:trPr>
          <w:trHeight w:val="189"/>
        </w:trPr>
        <w:tc>
          <w:tcPr>
            <w:tcW w:w="1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Europe</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6,860</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7,354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2,482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6,926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23,910</w:t>
            </w:r>
          </w:p>
        </w:tc>
      </w:tr>
      <w:tr>
        <w:trPr>
          <w:trHeight w:val="189"/>
        </w:trPr>
        <w:tc>
          <w:tcPr>
            <w:tcW w:w="1480" w:type="dxa"/>
            <w:vAlign w:val="bottom"/>
          </w:tcPr>
          <w:p>
            <w:pPr>
              <w:ind w:left="20"/>
              <w:spacing w:after="0"/>
              <w:rPr>
                <w:sz w:val="20"/>
                <w:szCs w:val="20"/>
                <w:color w:val="auto"/>
              </w:rPr>
            </w:pPr>
            <w:r>
              <w:rPr>
                <w:rFonts w:ascii="Arial" w:cs="Arial" w:eastAsia="Arial" w:hAnsi="Arial"/>
                <w:sz w:val="14"/>
                <w:szCs w:val="14"/>
                <w:color w:val="auto"/>
              </w:rPr>
              <w:t>Asia Pacific</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3,550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4,874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130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245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745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9,597</w:t>
            </w:r>
          </w:p>
        </w:tc>
      </w:tr>
      <w:tr>
        <w:trPr>
          <w:trHeight w:val="189"/>
        </w:trPr>
        <w:tc>
          <w:tcPr>
            <w:tcW w:w="1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international</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6,556</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747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1,015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5,442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13,892</w:t>
            </w:r>
          </w:p>
        </w:tc>
      </w:tr>
      <w:tr>
        <w:trPr>
          <w:trHeight w:val="183"/>
        </w:trPr>
        <w:tc>
          <w:tcPr>
            <w:tcW w:w="148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98,406</w:t>
            </w:r>
          </w:p>
        </w:tc>
        <w:tc>
          <w:tcPr>
            <w:tcW w:w="12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19,478</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31,186</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19,551</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70,629</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22,771</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22,619</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36,526</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97,737</w:t>
            </w:r>
          </w:p>
        </w:tc>
        <w:tc>
          <w:tcPr>
            <w:tcW w:w="10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418,903</w:t>
            </w:r>
          </w:p>
        </w:tc>
      </w:tr>
      <w:tr>
        <w:trPr>
          <w:trHeight w:val="20"/>
        </w:trPr>
        <w:tc>
          <w:tcPr>
            <w:tcW w:w="1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17" w:name="page18"/>
    <w:bookmarkEnd w:id="17"/>
    <w:p>
      <w:pPr>
        <w:ind w:left="52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242570</wp:posOffset>
            </wp:positionH>
            <wp:positionV relativeFrom="page">
              <wp:posOffset>766445</wp:posOffset>
            </wp:positionV>
            <wp:extent cx="707199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71995" cy="8255"/>
                    </a:xfrm>
                    <a:prstGeom prst="rect">
                      <a:avLst/>
                    </a:prstGeom>
                    <a:noFill/>
                  </pic:spPr>
                </pic:pic>
              </a:graphicData>
            </a:graphic>
          </wp:anchor>
        </w:drawing>
        <w:t>Three months ended September 30, 2019</w:t>
      </w:r>
    </w:p>
    <w:p>
      <w:pPr>
        <w:spacing w:after="0" w:line="31" w:lineRule="exact"/>
        <w:rPr>
          <w:sz w:val="20"/>
          <w:szCs w:val="20"/>
          <w:color w:val="auto"/>
        </w:rPr>
      </w:pPr>
    </w:p>
    <w:tbl>
      <w:tblPr>
        <w:tblLayout w:type="fixed"/>
        <w:tblInd w:w="60" w:type="dxa"/>
        <w:tblCellMar>
          <w:top w:w="0" w:type="dxa"/>
          <w:left w:w="0" w:type="dxa"/>
          <w:bottom w:w="0" w:type="dxa"/>
          <w:right w:w="0" w:type="dxa"/>
        </w:tblCellMar>
      </w:tblPr>
      <w:tr>
        <w:trPr>
          <w:trHeight w:val="188"/>
        </w:trPr>
        <w:tc>
          <w:tcPr>
            <w:tcW w:w="23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5.11</w:t>
            </w: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Ergo</w:t>
            </w:r>
          </w:p>
        </w:tc>
        <w:tc>
          <w:tcPr>
            <w:tcW w:w="1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Liberty</w:t>
            </w:r>
          </w:p>
        </w:tc>
        <w:tc>
          <w:tcPr>
            <w:tcW w:w="1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Velocity</w:t>
            </w:r>
          </w:p>
        </w:tc>
        <w:tc>
          <w:tcPr>
            <w:tcW w:w="2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ACI</w:t>
            </w:r>
          </w:p>
        </w:tc>
        <w:tc>
          <w:tcPr>
            <w:tcW w:w="1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Arnold</w:t>
            </w:r>
          </w:p>
        </w:tc>
        <w:tc>
          <w:tcPr>
            <w:tcW w:w="1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Foam</w:t>
            </w:r>
          </w:p>
        </w:tc>
        <w:tc>
          <w:tcPr>
            <w:tcW w:w="1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Sterno</w:t>
            </w:r>
          </w:p>
        </w:tc>
        <w:tc>
          <w:tcPr>
            <w:tcW w:w="2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Total</w:t>
            </w:r>
          </w:p>
        </w:tc>
      </w:tr>
      <w:tr>
        <w:trPr>
          <w:trHeight w:val="183"/>
        </w:trPr>
        <w:tc>
          <w:tcPr>
            <w:tcW w:w="2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United States</w:t>
            </w: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77,783</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6,505</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24,061</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42,126</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21,897</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18,227</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25,833</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105,260</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321,692</w:t>
            </w:r>
          </w:p>
        </w:tc>
      </w:tr>
      <w:tr>
        <w:trPr>
          <w:trHeight w:val="189"/>
        </w:trPr>
        <w:tc>
          <w:tcPr>
            <w:tcW w:w="2360" w:type="dxa"/>
            <w:vAlign w:val="bottom"/>
          </w:tcPr>
          <w:p>
            <w:pPr>
              <w:ind w:left="20"/>
              <w:spacing w:after="0"/>
              <w:rPr>
                <w:sz w:val="20"/>
                <w:szCs w:val="20"/>
                <w:color w:val="auto"/>
              </w:rPr>
            </w:pPr>
            <w:r>
              <w:rPr>
                <w:rFonts w:ascii="Arial" w:cs="Arial" w:eastAsia="Arial" w:hAnsi="Arial"/>
                <w:sz w:val="14"/>
                <w:szCs w:val="14"/>
                <w:color w:val="auto"/>
              </w:rPr>
              <w:t>Canada</w:t>
            </w:r>
          </w:p>
        </w:tc>
        <w:tc>
          <w:tcPr>
            <w:tcW w:w="180" w:type="dxa"/>
            <w:vAlign w:val="bottom"/>
          </w:tcPr>
          <w:p>
            <w:pPr>
              <w:spacing w:after="0"/>
              <w:rPr>
                <w:sz w:val="16"/>
                <w:szCs w:val="16"/>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1,897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906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668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1,981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153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4,145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9,750</w:t>
            </w:r>
          </w:p>
        </w:tc>
      </w:tr>
      <w:tr>
        <w:trPr>
          <w:trHeight w:val="189"/>
        </w:trPr>
        <w:tc>
          <w:tcPr>
            <w:tcW w:w="2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Europe</w:t>
            </w: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7,504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6,951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1,420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9,758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447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26,080</w:t>
            </w:r>
          </w:p>
        </w:tc>
      </w:tr>
      <w:tr>
        <w:trPr>
          <w:trHeight w:val="189"/>
        </w:trPr>
        <w:tc>
          <w:tcPr>
            <w:tcW w:w="2360" w:type="dxa"/>
            <w:vAlign w:val="bottom"/>
          </w:tcPr>
          <w:p>
            <w:pPr>
              <w:ind w:left="20"/>
              <w:spacing w:after="0"/>
              <w:rPr>
                <w:sz w:val="20"/>
                <w:szCs w:val="20"/>
                <w:color w:val="auto"/>
              </w:rPr>
            </w:pPr>
            <w:r>
              <w:rPr>
                <w:rFonts w:ascii="Arial" w:cs="Arial" w:eastAsia="Arial" w:hAnsi="Arial"/>
                <w:sz w:val="14"/>
                <w:szCs w:val="14"/>
                <w:color w:val="auto"/>
              </w:rPr>
              <w:t>Asia Pacific</w:t>
            </w:r>
          </w:p>
        </w:tc>
        <w:tc>
          <w:tcPr>
            <w:tcW w:w="180" w:type="dxa"/>
            <w:vAlign w:val="bottom"/>
          </w:tcPr>
          <w:p>
            <w:pPr>
              <w:spacing w:after="0"/>
              <w:rPr>
                <w:sz w:val="16"/>
                <w:szCs w:val="16"/>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2,429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8,820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239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1,678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1,565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14,731</w:t>
            </w:r>
          </w:p>
        </w:tc>
      </w:tr>
      <w:tr>
        <w:trPr>
          <w:trHeight w:val="189"/>
        </w:trPr>
        <w:tc>
          <w:tcPr>
            <w:tcW w:w="2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international</w:t>
            </w: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8,440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881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1,079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5,471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16,060</w:t>
            </w:r>
          </w:p>
        </w:tc>
      </w:tr>
      <w:tr>
        <w:trPr>
          <w:trHeight w:val="183"/>
        </w:trPr>
        <w:tc>
          <w:tcPr>
            <w:tcW w:w="236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98,053</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23,318</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24,729</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46,647</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21,897</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30,895</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31,304</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111,470</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388,313</w:t>
            </w:r>
          </w:p>
        </w:tc>
      </w:tr>
      <w:tr>
        <w:trPr>
          <w:trHeight w:val="20"/>
        </w:trPr>
        <w:tc>
          <w:tcPr>
            <w:tcW w:w="2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15"/>
        </w:trPr>
        <w:tc>
          <w:tcPr>
            <w:tcW w:w="23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r>
    </w:tbl>
    <w:p>
      <w:pPr>
        <w:ind w:left="4820"/>
        <w:spacing w:after="0"/>
        <w:rPr>
          <w:sz w:val="20"/>
          <w:szCs w:val="20"/>
          <w:color w:val="auto"/>
        </w:rPr>
      </w:pPr>
      <w:r>
        <w:rPr>
          <w:rFonts w:ascii="Arial" w:cs="Arial" w:eastAsia="Arial" w:hAnsi="Arial"/>
          <w:sz w:val="16"/>
          <w:szCs w:val="16"/>
          <w:b w:val="1"/>
          <w:bCs w:val="1"/>
          <w:color w:val="auto"/>
        </w:rPr>
        <w:t>Nine months ended September 30, 2020</w:t>
      </w:r>
    </w:p>
    <w:p>
      <w:pPr>
        <w:spacing w:after="0" w:line="26" w:lineRule="exact"/>
        <w:rPr>
          <w:sz w:val="20"/>
          <w:szCs w:val="20"/>
          <w:color w:val="auto"/>
        </w:rPr>
      </w:pPr>
    </w:p>
    <w:tbl>
      <w:tblPr>
        <w:tblLayout w:type="fixed"/>
        <w:tblInd w:w="60" w:type="dxa"/>
        <w:tblCellMar>
          <w:top w:w="0" w:type="dxa"/>
          <w:left w:w="0" w:type="dxa"/>
          <w:bottom w:w="0" w:type="dxa"/>
          <w:right w:w="0" w:type="dxa"/>
        </w:tblCellMar>
      </w:tblPr>
      <w:tr>
        <w:trPr>
          <w:trHeight w:val="188"/>
        </w:trPr>
        <w:tc>
          <w:tcPr>
            <w:tcW w:w="14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5.11</w:t>
            </w:r>
          </w:p>
        </w:tc>
        <w:tc>
          <w:tcPr>
            <w:tcW w:w="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Ergo</w:t>
            </w:r>
          </w:p>
        </w:tc>
        <w:tc>
          <w:tcPr>
            <w:tcW w:w="1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Liberty</w:t>
            </w:r>
          </w:p>
        </w:tc>
        <w:tc>
          <w:tcPr>
            <w:tcW w:w="1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Marucci</w:t>
            </w:r>
          </w:p>
        </w:tc>
        <w:tc>
          <w:tcPr>
            <w:tcW w:w="1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Velocity</w:t>
            </w:r>
          </w:p>
        </w:tc>
        <w:tc>
          <w:tcPr>
            <w:tcW w:w="1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ACI</w:t>
            </w:r>
          </w:p>
        </w:tc>
        <w:tc>
          <w:tcPr>
            <w:tcW w:w="1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Arnold</w:t>
            </w:r>
          </w:p>
        </w:tc>
        <w:tc>
          <w:tcPr>
            <w:tcW w:w="1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Foam</w:t>
            </w:r>
          </w:p>
        </w:tc>
        <w:tc>
          <w:tcPr>
            <w:tcW w:w="1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Sterno</w:t>
            </w:r>
          </w:p>
        </w:tc>
        <w:tc>
          <w:tcPr>
            <w:tcW w:w="1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Total</w:t>
            </w:r>
          </w:p>
        </w:tc>
      </w:tr>
      <w:tr>
        <w:trPr>
          <w:trHeight w:val="183"/>
        </w:trPr>
        <w:tc>
          <w:tcPr>
            <w:tcW w:w="1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United States</w:t>
            </w: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223,204</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19,736</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78,771</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24,375</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131,791</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67,423</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47,789</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75,544</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246,182</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914,815</w:t>
            </w:r>
          </w:p>
        </w:tc>
      </w:tr>
      <w:tr>
        <w:trPr>
          <w:trHeight w:val="189"/>
        </w:trPr>
        <w:tc>
          <w:tcPr>
            <w:tcW w:w="1480" w:type="dxa"/>
            <w:vAlign w:val="bottom"/>
          </w:tcPr>
          <w:p>
            <w:pPr>
              <w:ind w:left="20"/>
              <w:spacing w:after="0"/>
              <w:rPr>
                <w:sz w:val="20"/>
                <w:szCs w:val="20"/>
                <w:color w:val="auto"/>
              </w:rPr>
            </w:pPr>
            <w:r>
              <w:rPr>
                <w:rFonts w:ascii="Arial" w:cs="Arial" w:eastAsia="Arial" w:hAnsi="Arial"/>
                <w:sz w:val="14"/>
                <w:szCs w:val="14"/>
                <w:color w:val="auto"/>
              </w:rPr>
              <w:t>Canada</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4,605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2,466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1,828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7,915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239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11,229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28,352</w:t>
            </w:r>
          </w:p>
        </w:tc>
      </w:tr>
      <w:tr>
        <w:trPr>
          <w:trHeight w:val="189"/>
        </w:trPr>
        <w:tc>
          <w:tcPr>
            <w:tcW w:w="1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Europe</w:t>
            </w: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20,412</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19,953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5,954</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22,536</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495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69,370</w:t>
            </w:r>
          </w:p>
        </w:tc>
      </w:tr>
      <w:tr>
        <w:trPr>
          <w:trHeight w:val="189"/>
        </w:trPr>
        <w:tc>
          <w:tcPr>
            <w:tcW w:w="1480" w:type="dxa"/>
            <w:vAlign w:val="bottom"/>
          </w:tcPr>
          <w:p>
            <w:pPr>
              <w:ind w:left="20"/>
              <w:spacing w:after="0"/>
              <w:rPr>
                <w:sz w:val="20"/>
                <w:szCs w:val="20"/>
                <w:color w:val="auto"/>
              </w:rPr>
            </w:pPr>
            <w:r>
              <w:rPr>
                <w:rFonts w:ascii="Arial" w:cs="Arial" w:eastAsia="Arial" w:hAnsi="Arial"/>
                <w:sz w:val="14"/>
                <w:szCs w:val="14"/>
                <w:color w:val="auto"/>
              </w:rPr>
              <w:t>Asia Pacific</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10,943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15,784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330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679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3,293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87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31,116</w:t>
            </w:r>
          </w:p>
        </w:tc>
      </w:tr>
      <w:tr>
        <w:trPr>
          <w:trHeight w:val="189"/>
        </w:trPr>
        <w:tc>
          <w:tcPr>
            <w:tcW w:w="1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international</w:t>
            </w: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22,658</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1,232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1,901</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2,590</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13,794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42,326</w:t>
            </w:r>
          </w:p>
        </w:tc>
      </w:tr>
      <w:tr>
        <w:trPr>
          <w:trHeight w:val="183"/>
        </w:trPr>
        <w:tc>
          <w:tcPr>
            <w:tcW w:w="148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281,822</w:t>
            </w:r>
          </w:p>
        </w:tc>
        <w:tc>
          <w:tcPr>
            <w:tcW w:w="12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59,171</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80,599</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24,807</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148,240</w:t>
            </w:r>
          </w:p>
        </w:tc>
        <w:tc>
          <w:tcPr>
            <w:tcW w:w="12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67,423</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76,447</w:t>
            </w:r>
          </w:p>
        </w:tc>
        <w:tc>
          <w:tcPr>
            <w:tcW w:w="12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89,338</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258,132</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1,085,979</w:t>
            </w:r>
          </w:p>
        </w:tc>
      </w:tr>
      <w:tr>
        <w:trPr>
          <w:trHeight w:val="20"/>
        </w:trPr>
        <w:tc>
          <w:tcPr>
            <w:tcW w:w="1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85725</wp:posOffset>
            </wp:positionV>
            <wp:extent cx="708914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124" w:lineRule="exact"/>
        <w:rPr>
          <w:sz w:val="20"/>
          <w:szCs w:val="20"/>
          <w:color w:val="auto"/>
        </w:rPr>
      </w:pPr>
    </w:p>
    <w:p>
      <w:pPr>
        <w:ind w:left="5160"/>
        <w:spacing w:after="0"/>
        <w:rPr>
          <w:sz w:val="20"/>
          <w:szCs w:val="20"/>
          <w:color w:val="auto"/>
        </w:rPr>
      </w:pPr>
      <w:r>
        <w:rPr>
          <w:rFonts w:ascii="Arial" w:cs="Arial" w:eastAsia="Arial" w:hAnsi="Arial"/>
          <w:sz w:val="16"/>
          <w:szCs w:val="16"/>
          <w:b w:val="1"/>
          <w:bCs w:val="1"/>
          <w:color w:val="auto"/>
        </w:rPr>
        <w:t>Nine months ended September 30, 2019</w:t>
      </w:r>
    </w:p>
    <w:p>
      <w:pPr>
        <w:spacing w:after="0" w:line="31"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21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5.11</w:t>
            </w:r>
          </w:p>
        </w:tc>
        <w:tc>
          <w:tcPr>
            <w:tcW w:w="1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Ergo</w:t>
            </w:r>
          </w:p>
        </w:tc>
        <w:tc>
          <w:tcPr>
            <w:tcW w:w="1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Liberty</w:t>
            </w:r>
          </w:p>
        </w:tc>
        <w:tc>
          <w:tcPr>
            <w:tcW w:w="1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Velocity</w:t>
            </w:r>
          </w:p>
        </w:tc>
        <w:tc>
          <w:tcPr>
            <w:tcW w:w="1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ACI</w:t>
            </w:r>
          </w:p>
        </w:tc>
        <w:tc>
          <w:tcPr>
            <w:tcW w:w="1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Arnold</w:t>
            </w:r>
          </w:p>
        </w:tc>
        <w:tc>
          <w:tcPr>
            <w:tcW w:w="1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Foam</w:t>
            </w:r>
          </w:p>
        </w:tc>
        <w:tc>
          <w:tcPr>
            <w:tcW w:w="1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Sterno</w:t>
            </w:r>
          </w:p>
        </w:tc>
        <w:tc>
          <w:tcPr>
            <w:tcW w:w="2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Total</w:t>
            </w:r>
          </w:p>
        </w:tc>
      </w:tr>
      <w:tr>
        <w:trPr>
          <w:trHeight w:val="183"/>
        </w:trPr>
        <w:tc>
          <w:tcPr>
            <w:tcW w:w="2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United States</w:t>
            </w: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225,124</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20,738</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65,797</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93,243</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67,405</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53,778</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78,508</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273,002</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877,595</w:t>
            </w:r>
          </w:p>
        </w:tc>
      </w:tr>
      <w:tr>
        <w:trPr>
          <w:trHeight w:val="189"/>
        </w:trPr>
        <w:tc>
          <w:tcPr>
            <w:tcW w:w="2160" w:type="dxa"/>
            <w:vAlign w:val="bottom"/>
          </w:tcPr>
          <w:p>
            <w:pPr>
              <w:ind w:left="20"/>
              <w:spacing w:after="0"/>
              <w:rPr>
                <w:sz w:val="20"/>
                <w:szCs w:val="20"/>
                <w:color w:val="auto"/>
              </w:rPr>
            </w:pPr>
            <w:r>
              <w:rPr>
                <w:rFonts w:ascii="Arial" w:cs="Arial" w:eastAsia="Arial" w:hAnsi="Arial"/>
                <w:sz w:val="14"/>
                <w:szCs w:val="14"/>
                <w:color w:val="auto"/>
              </w:rPr>
              <w:t>Canada</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6,211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2,552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1,769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5,232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516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12,361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28,641</w:t>
            </w:r>
          </w:p>
        </w:tc>
      </w:tr>
      <w:tr>
        <w:trPr>
          <w:trHeight w:val="189"/>
        </w:trPr>
        <w:tc>
          <w:tcPr>
            <w:tcW w:w="2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Europe</w:t>
            </w: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20,658</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21,026</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5,253</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28,584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1,383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76,904</w:t>
            </w:r>
          </w:p>
        </w:tc>
      </w:tr>
      <w:tr>
        <w:trPr>
          <w:trHeight w:val="189"/>
        </w:trPr>
        <w:tc>
          <w:tcPr>
            <w:tcW w:w="2160" w:type="dxa"/>
            <w:vAlign w:val="bottom"/>
          </w:tcPr>
          <w:p>
            <w:pPr>
              <w:ind w:left="20"/>
              <w:spacing w:after="0"/>
              <w:rPr>
                <w:sz w:val="20"/>
                <w:szCs w:val="20"/>
                <w:color w:val="auto"/>
              </w:rPr>
            </w:pPr>
            <w:r>
              <w:rPr>
                <w:rFonts w:ascii="Arial" w:cs="Arial" w:eastAsia="Arial" w:hAnsi="Arial"/>
                <w:sz w:val="14"/>
                <w:szCs w:val="14"/>
                <w:color w:val="auto"/>
              </w:rPr>
              <w:t>Asia Pacific</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9,007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23,656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671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4,479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2,273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40,086</w:t>
            </w:r>
          </w:p>
        </w:tc>
      </w:tr>
      <w:tr>
        <w:trPr>
          <w:trHeight w:val="189"/>
        </w:trPr>
        <w:tc>
          <w:tcPr>
            <w:tcW w:w="2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international</w:t>
            </w: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17,978</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769</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2,996</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3,047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15,126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40,028</w:t>
            </w:r>
          </w:p>
        </w:tc>
      </w:tr>
      <w:tr>
        <w:trPr>
          <w:trHeight w:val="183"/>
        </w:trPr>
        <w:tc>
          <w:tcPr>
            <w:tcW w:w="216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278,978</w:t>
            </w:r>
          </w:p>
        </w:tc>
        <w:tc>
          <w:tcPr>
            <w:tcW w:w="12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68,741</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67,566</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107,395</w:t>
            </w:r>
          </w:p>
        </w:tc>
        <w:tc>
          <w:tcPr>
            <w:tcW w:w="12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67,405</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90,404</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93,634</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289,131</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1,063,254</w:t>
            </w:r>
          </w:p>
        </w:tc>
      </w:tr>
      <w:tr>
        <w:trPr>
          <w:trHeight w:val="21"/>
        </w:trPr>
        <w:tc>
          <w:tcPr>
            <w:tcW w:w="2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 — Operating Segment Data</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At September 30, 2020, the Company had nine reportable operating segments. Each operating segment represents a platform acquisition. The Company’s operating segments are strategic business units that offer different products and services. They are managed separately because each business requires different technology and marketing strategies. A description of each of the reportable segments and the types of products and services from which each segment derives its revenues is as follows:</w:t>
      </w:r>
    </w:p>
    <w:p>
      <w:pPr>
        <w:spacing w:after="0" w:line="150" w:lineRule="exact"/>
        <w:rPr>
          <w:sz w:val="20"/>
          <w:szCs w:val="20"/>
          <w:color w:val="auto"/>
        </w:rPr>
      </w:pPr>
    </w:p>
    <w:p>
      <w:pPr>
        <w:jc w:val="both"/>
        <w:ind w:left="420" w:hanging="331"/>
        <w:spacing w:after="0" w:line="252" w:lineRule="auto"/>
        <w:tabs>
          <w:tab w:leader="none" w:pos="415"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5.11</w:t>
      </w:r>
      <w:r>
        <w:rPr>
          <w:rFonts w:ascii="Arial" w:cs="Arial" w:eastAsia="Arial" w:hAnsi="Arial"/>
          <w:sz w:val="18"/>
          <w:szCs w:val="18"/>
          <w:color w:val="auto"/>
        </w:rPr>
        <w:t xml:space="preserve"> is a leading provider of purpose-built technical apparel and gear for law enforcement, firefighters, EMS, and military special operations as well as outdoor and adventure enthusiasts. 5.11 is a brand known for innovation and authenticity, and works directly with end users to create purpose-built apparel and gear designed to enhance the safety, accuracy, speed and performance of tactical professionals and enthusiasts worldwide. Headquartered in Irvine, California, 5.11 operates sales offices and distribution centers globally, and 5.11 products are widely distributed in uniform stores, military exchanges, outdoor retail stores, its own retail stores and on 511tactical.com.</w:t>
      </w:r>
    </w:p>
    <w:p>
      <w:pPr>
        <w:spacing w:after="0" w:line="154" w:lineRule="exact"/>
        <w:rPr>
          <w:rFonts w:ascii="Arial" w:cs="Arial" w:eastAsia="Arial" w:hAnsi="Arial"/>
          <w:sz w:val="18"/>
          <w:szCs w:val="18"/>
          <w:color w:val="auto"/>
        </w:rPr>
      </w:pPr>
    </w:p>
    <w:p>
      <w:pPr>
        <w:jc w:val="both"/>
        <w:ind w:left="420" w:hanging="331"/>
        <w:spacing w:after="0" w:line="254" w:lineRule="auto"/>
        <w:tabs>
          <w:tab w:leader="none" w:pos="415"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Ergobaby</w:t>
      </w:r>
      <w:r>
        <w:rPr>
          <w:rFonts w:ascii="Arial" w:cs="Arial" w:eastAsia="Arial" w:hAnsi="Arial"/>
          <w:sz w:val="18"/>
          <w:szCs w:val="18"/>
          <w:color w:val="auto"/>
        </w:rPr>
        <w:t xml:space="preserve"> is a designer, marketer and distributor of wearable baby carriers and accessories, blankets and swaddlers, nursing pillows, strollers and related products. Ergobaby primarily sells its Ergobaby and Baby Tula branded products through brick-and-mortar retailers, national chain stores, online retailers, its own websites and distributors and derives more than 50% of its sales from outside of the United States. Ergobaby is headquartered in Los Angeles, California.</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18" w:name="page19"/>
    <w:bookmarkEnd w:id="18"/>
    <w:p>
      <w:pPr>
        <w:jc w:val="both"/>
        <w:ind w:left="420" w:hanging="331"/>
        <w:spacing w:after="0" w:line="256" w:lineRule="auto"/>
        <w:tabs>
          <w:tab w:leader="none" w:pos="415"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Liberty Safe</w:t>
      </w:r>
      <w:r>
        <w:rPr>
          <w:rFonts w:ascii="Arial" w:cs="Arial" w:eastAsia="Arial" w:hAnsi="Arial"/>
          <w:sz w:val="18"/>
          <w:szCs w:val="18"/>
          <w:color w:val="auto"/>
        </w:rPr>
        <w:t xml:space="preserve"> is a designer, manufacturer and marketer of premium home, gun and office safes in North America. From its over 300,000 square foot manufacturing facility, Liberty produces a wide range of home and gun safe models in a broad assortment of sizes, features and styles. Liberty is headquartered in Payson, Utah.</w:t>
      </w:r>
    </w:p>
    <w:p>
      <w:pPr>
        <w:spacing w:after="0" w:line="147" w:lineRule="exact"/>
        <w:rPr>
          <w:rFonts w:ascii="Arial" w:cs="Arial" w:eastAsia="Arial" w:hAnsi="Arial"/>
          <w:sz w:val="18"/>
          <w:szCs w:val="18"/>
          <w:color w:val="auto"/>
        </w:rPr>
      </w:pPr>
    </w:p>
    <w:p>
      <w:pPr>
        <w:jc w:val="both"/>
        <w:ind w:left="420" w:hanging="331"/>
        <w:spacing w:after="0" w:line="254" w:lineRule="auto"/>
        <w:tabs>
          <w:tab w:leader="none" w:pos="415"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Marucci Sports</w:t>
      </w:r>
      <w:r>
        <w:rPr>
          <w:rFonts w:ascii="Arial" w:cs="Arial" w:eastAsia="Arial" w:hAnsi="Arial"/>
          <w:sz w:val="18"/>
          <w:szCs w:val="18"/>
          <w:color w:val="auto"/>
        </w:rPr>
        <w:t xml:space="preserve"> is a leading designer, manufacturer, and marketer of premium wood and metal baseball bats, fielding gloves, batting gloves, bags, protective gear, sunglasses, on and off-field apparel, and other baseball and softball equipment used by professional and amateur athletes. Marucci also develops and licenses franchises for sports training facilities. Marucci is headquartered in Baton Rouge, Louisiana.</w:t>
      </w:r>
    </w:p>
    <w:p>
      <w:pPr>
        <w:spacing w:after="0" w:line="149" w:lineRule="exact"/>
        <w:rPr>
          <w:rFonts w:ascii="Arial" w:cs="Arial" w:eastAsia="Arial" w:hAnsi="Arial"/>
          <w:sz w:val="18"/>
          <w:szCs w:val="18"/>
          <w:color w:val="auto"/>
        </w:rPr>
      </w:pPr>
    </w:p>
    <w:p>
      <w:pPr>
        <w:jc w:val="both"/>
        <w:ind w:left="420" w:hanging="331"/>
        <w:spacing w:after="0" w:line="254" w:lineRule="auto"/>
        <w:tabs>
          <w:tab w:leader="none" w:pos="415"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Velocity Outdoor</w:t>
      </w:r>
      <w:r>
        <w:rPr>
          <w:rFonts w:ascii="Arial" w:cs="Arial" w:eastAsia="Arial" w:hAnsi="Arial"/>
          <w:sz w:val="18"/>
          <w:szCs w:val="18"/>
          <w:color w:val="auto"/>
        </w:rPr>
        <w:t xml:space="preserve"> is a leading designer, manufacturer, and marketer of airguns, archery products, laser aiming devices and related accessories. Velocity Outdoor offers its products under the highly recognizable Crosman, Benjamin, Ravin, LaserMax and CenterPoint brands that are available through national retail chains, mass merchants, dealer and distributor networks. Velocity Outdoor is headquartered in Bloomfield, New York.</w:t>
      </w:r>
    </w:p>
    <w:p>
      <w:pPr>
        <w:spacing w:after="0" w:line="149" w:lineRule="exact"/>
        <w:rPr>
          <w:rFonts w:ascii="Arial" w:cs="Arial" w:eastAsia="Arial" w:hAnsi="Arial"/>
          <w:sz w:val="18"/>
          <w:szCs w:val="18"/>
          <w:color w:val="auto"/>
        </w:rPr>
      </w:pPr>
    </w:p>
    <w:p>
      <w:pPr>
        <w:jc w:val="both"/>
        <w:ind w:left="420" w:hanging="331"/>
        <w:spacing w:after="0" w:line="256" w:lineRule="auto"/>
        <w:tabs>
          <w:tab w:leader="none" w:pos="412" w:val="left"/>
        </w:tabs>
        <w:numPr>
          <w:ilvl w:val="0"/>
          <w:numId w:val="10"/>
        </w:numPr>
        <w:rPr>
          <w:rFonts w:ascii="Arial" w:cs="Arial" w:eastAsia="Arial" w:hAnsi="Arial"/>
          <w:sz w:val="17"/>
          <w:szCs w:val="17"/>
          <w:color w:val="auto"/>
        </w:rPr>
      </w:pPr>
      <w:r>
        <w:rPr>
          <w:rFonts w:ascii="Arial" w:cs="Arial" w:eastAsia="Arial" w:hAnsi="Arial"/>
          <w:sz w:val="18"/>
          <w:szCs w:val="18"/>
          <w:u w:val="single" w:color="auto"/>
          <w:color w:val="auto"/>
        </w:rPr>
        <w:t>Advanced Circuits</w:t>
      </w:r>
      <w:r>
        <w:rPr>
          <w:rFonts w:ascii="Arial" w:cs="Arial" w:eastAsia="Arial" w:hAnsi="Arial"/>
          <w:sz w:val="18"/>
          <w:szCs w:val="18"/>
          <w:color w:val="auto"/>
        </w:rPr>
        <w:t xml:space="preserve"> is an electronic components manufacturing company that provides small-run, quick-turn and volume production rigid printed circuit boards. ACI manufactures and delivers custom printed circuit boards to customers primarily in North America. ACI is headquartered in Aurora, Colorado.</w:t>
      </w:r>
    </w:p>
    <w:p>
      <w:pPr>
        <w:spacing w:after="0" w:line="147" w:lineRule="exact"/>
        <w:rPr>
          <w:rFonts w:ascii="Arial" w:cs="Arial" w:eastAsia="Arial" w:hAnsi="Arial"/>
          <w:sz w:val="17"/>
          <w:szCs w:val="17"/>
          <w:color w:val="auto"/>
        </w:rPr>
      </w:pPr>
    </w:p>
    <w:p>
      <w:pPr>
        <w:jc w:val="both"/>
        <w:ind w:left="420" w:hanging="331"/>
        <w:spacing w:after="0" w:line="252" w:lineRule="auto"/>
        <w:tabs>
          <w:tab w:leader="none" w:pos="415"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Arnold</w:t>
      </w:r>
      <w:r>
        <w:rPr>
          <w:rFonts w:ascii="Arial" w:cs="Arial" w:eastAsia="Arial" w:hAnsi="Arial"/>
          <w:sz w:val="18"/>
          <w:szCs w:val="18"/>
          <w:color w:val="auto"/>
        </w:rPr>
        <w:t xml:space="preserve"> is a global manufacturer of engineered magnetic solutions for a wide range of specialty applications and end-markets, including aerospace and defense, general industrial, motorsport/automotive, oil and gas, medical, energy, reprographics and advertising specialties. Arnold produces high performance permanent magnets (PMAG), precision foil products (Precision Thin Metals or "PTM"), and flexible magnets (Flexmag™) that are mission critical in motors, generators, sensors and other systems and components. Based on its long-term relationships, Arnold has built a diverse and blue-chip customer base totaling more than 2,000 clients worldwide. Arnold is headquartered in Rochester, New York.</w:t>
      </w:r>
    </w:p>
    <w:p>
      <w:pPr>
        <w:spacing w:after="0" w:line="154" w:lineRule="exact"/>
        <w:rPr>
          <w:rFonts w:ascii="Arial" w:cs="Arial" w:eastAsia="Arial" w:hAnsi="Arial"/>
          <w:sz w:val="18"/>
          <w:szCs w:val="18"/>
          <w:color w:val="auto"/>
        </w:rPr>
      </w:pPr>
    </w:p>
    <w:p>
      <w:pPr>
        <w:jc w:val="both"/>
        <w:ind w:left="420" w:hanging="331"/>
        <w:spacing w:after="0" w:line="252" w:lineRule="auto"/>
        <w:tabs>
          <w:tab w:leader="none" w:pos="415"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Foam Fabricators</w:t>
      </w:r>
      <w:r>
        <w:rPr>
          <w:rFonts w:ascii="Arial" w:cs="Arial" w:eastAsia="Arial" w:hAnsi="Arial"/>
          <w:sz w:val="18"/>
          <w:szCs w:val="18"/>
          <w:color w:val="auto"/>
        </w:rPr>
        <w:t xml:space="preserve"> is a designer and manufacturer of custom molded protective foam solutions and original equipment manufacturer components made from expanded polystyrene and expanded polypropylene. Foam Fabricators provides products to a variety of end markets, including appliances and electronics, pharmaceuticals, health and wellness, automotive, building and other products. In July 2020, Foam Fabricators acquired the assets of Polyfoam, a Massachusetts-based manufacturer of protective and temperature-sensitive packaging solutions for the medical, pharmaceutical, grocery and food industries, among others. Foam Fabricators is headquartered in Scottsdale, Arizona and operates 14 molding and fabricating facilities across North America subsequent to the acquisition of Polyfoam.</w:t>
      </w:r>
    </w:p>
    <w:p>
      <w:pPr>
        <w:spacing w:after="0" w:line="153" w:lineRule="exact"/>
        <w:rPr>
          <w:rFonts w:ascii="Arial" w:cs="Arial" w:eastAsia="Arial" w:hAnsi="Arial"/>
          <w:sz w:val="18"/>
          <w:szCs w:val="18"/>
          <w:color w:val="auto"/>
        </w:rPr>
      </w:pPr>
    </w:p>
    <w:p>
      <w:pPr>
        <w:jc w:val="both"/>
        <w:ind w:left="420" w:hanging="331"/>
        <w:spacing w:after="0" w:line="253" w:lineRule="auto"/>
        <w:tabs>
          <w:tab w:leader="none" w:pos="415" w:val="left"/>
        </w:tabs>
        <w:numPr>
          <w:ilvl w:val="0"/>
          <w:numId w:val="10"/>
        </w:numPr>
        <w:rPr>
          <w:rFonts w:ascii="Arial" w:cs="Arial" w:eastAsia="Arial" w:hAnsi="Arial"/>
          <w:sz w:val="18"/>
          <w:szCs w:val="18"/>
          <w:b w:val="1"/>
          <w:bCs w:val="1"/>
          <w:i w:val="1"/>
          <w:iCs w:val="1"/>
          <w:color w:val="auto"/>
        </w:rPr>
      </w:pPr>
      <w:r>
        <w:rPr>
          <w:rFonts w:ascii="Arial" w:cs="Arial" w:eastAsia="Arial" w:hAnsi="Arial"/>
          <w:sz w:val="18"/>
          <w:szCs w:val="18"/>
          <w:u w:val="single" w:color="auto"/>
          <w:color w:val="auto"/>
        </w:rPr>
        <w:t>Sterno</w:t>
      </w:r>
      <w:r>
        <w:rPr>
          <w:rFonts w:ascii="Arial" w:cs="Arial" w:eastAsia="Arial" w:hAnsi="Arial"/>
          <w:sz w:val="18"/>
          <w:szCs w:val="18"/>
          <w:color w:val="auto"/>
        </w:rPr>
        <w:t xml:space="preserve"> is a manufacturer and marketer of portable food warming systems, creative indoor and outdoor lighting, and home fragrance solutions for the foodservice industry and consumer markets. Sterno offers a broad range of wick and gel chafing systems, butane stoves and accessories, liquid and traditional wax candles, catering equipment and lamps through Sterno Products, flameless candles and outdoor lighting products through Sterno Home, and scented wax cubes and warmer products used for home decor and fragrance systems through Rimports. Sterno is headquartered in Corona, California.</w:t>
      </w:r>
    </w:p>
    <w:p>
      <w:pPr>
        <w:spacing w:after="0" w:line="20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tabular information that follows shows data for each of the operating segments reconciled to amounts reflected in the consolidated financial statements. The results of operations of each of the operating segments are included in consolidated operating results as of their date of acquisition. There were no significant inter-segment transactions.</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Summary of Operating Segments</w:t>
      </w:r>
    </w:p>
    <w:p>
      <w:pPr>
        <w:spacing w:after="0" w:line="145" w:lineRule="exact"/>
        <w:rPr>
          <w:sz w:val="20"/>
          <w:szCs w:val="20"/>
          <w:color w:val="auto"/>
        </w:rPr>
      </w:pPr>
    </w:p>
    <w:tbl>
      <w:tblPr>
        <w:tblLayout w:type="fixed"/>
        <w:tblInd w:w="40" w:type="dxa"/>
        <w:tblCellMar>
          <w:top w:w="0" w:type="dxa"/>
          <w:left w:w="0" w:type="dxa"/>
          <w:bottom w:w="0" w:type="dxa"/>
          <w:right w:w="0" w:type="dxa"/>
        </w:tblCellMar>
      </w:tblPr>
      <w:tr>
        <w:trPr>
          <w:trHeight w:val="206"/>
        </w:trPr>
        <w:tc>
          <w:tcPr>
            <w:tcW w:w="5400" w:type="dxa"/>
            <w:vAlign w:val="bottom"/>
          </w:tcPr>
          <w:p>
            <w:pPr>
              <w:spacing w:after="0"/>
              <w:rPr>
                <w:sz w:val="20"/>
                <w:szCs w:val="20"/>
                <w:color w:val="auto"/>
              </w:rPr>
            </w:pPr>
            <w:r>
              <w:rPr>
                <w:rFonts w:ascii="Arial" w:cs="Arial" w:eastAsia="Arial" w:hAnsi="Arial"/>
                <w:sz w:val="15"/>
                <w:szCs w:val="15"/>
                <w:b w:val="1"/>
                <w:bCs w:val="1"/>
                <w:color w:val="auto"/>
              </w:rPr>
              <w:t>Net Revenues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00" w:type="dxa"/>
            <w:vAlign w:val="bottom"/>
            <w:gridSpan w:val="7"/>
          </w:tcPr>
          <w:p>
            <w:pPr>
              <w:ind w:left="20"/>
              <w:spacing w:after="0"/>
              <w:rPr>
                <w:sz w:val="20"/>
                <w:szCs w:val="20"/>
                <w:color w:val="auto"/>
              </w:rPr>
            </w:pPr>
            <w:r>
              <w:rPr>
                <w:rFonts w:ascii="Arial" w:cs="Arial" w:eastAsia="Arial" w:hAnsi="Arial"/>
                <w:sz w:val="15"/>
                <w:szCs w:val="15"/>
                <w:b w:val="1"/>
                <w:bCs w:val="1"/>
                <w:color w:val="auto"/>
              </w:rPr>
              <w:t>Three months ended September 30,</w:t>
            </w:r>
          </w:p>
        </w:tc>
        <w:tc>
          <w:tcPr>
            <w:tcW w:w="20" w:type="dxa"/>
            <w:vAlign w:val="bottom"/>
          </w:tcPr>
          <w:p>
            <w:pPr>
              <w:spacing w:after="0"/>
              <w:rPr>
                <w:sz w:val="17"/>
                <w:szCs w:val="17"/>
                <w:color w:val="auto"/>
              </w:rPr>
            </w:pPr>
          </w:p>
        </w:tc>
        <w:tc>
          <w:tcPr>
            <w:tcW w:w="2700" w:type="dxa"/>
            <w:vAlign w:val="bottom"/>
            <w:gridSpan w:val="5"/>
          </w:tcPr>
          <w:p>
            <w:pPr>
              <w:jc w:val="right"/>
              <w:ind w:right="39"/>
              <w:spacing w:after="0"/>
              <w:rPr>
                <w:sz w:val="20"/>
                <w:szCs w:val="20"/>
                <w:color w:val="auto"/>
              </w:rPr>
            </w:pPr>
            <w:r>
              <w:rPr>
                <w:rFonts w:ascii="Arial" w:cs="Arial" w:eastAsia="Arial" w:hAnsi="Arial"/>
                <w:sz w:val="15"/>
                <w:szCs w:val="15"/>
                <w:b w:val="1"/>
                <w:bCs w:val="1"/>
                <w:color w:val="auto"/>
              </w:rPr>
              <w:t>Nine months ended September 30,</w:t>
            </w:r>
          </w:p>
        </w:tc>
      </w:tr>
      <w:tr>
        <w:trPr>
          <w:trHeight w:val="200"/>
        </w:trPr>
        <w:tc>
          <w:tcPr>
            <w:tcW w:w="5400" w:type="dxa"/>
            <w:vAlign w:val="bottom"/>
            <w:tcBorders>
              <w:top w:val="single" w:sz="8" w:color="auto"/>
            </w:tcBorders>
          </w:tcPr>
          <w:p>
            <w:pPr>
              <w:spacing w:after="0"/>
              <w:rPr>
                <w:sz w:val="20"/>
                <w:szCs w:val="20"/>
                <w:color w:val="auto"/>
              </w:rPr>
            </w:pPr>
            <w:r>
              <w:rPr>
                <w:rFonts w:ascii="Arial" w:cs="Arial" w:eastAsia="Arial" w:hAnsi="Arial"/>
                <w:sz w:val="13"/>
                <w:szCs w:val="13"/>
                <w:i w:val="1"/>
                <w:iCs w:val="1"/>
                <w:color w:val="auto"/>
              </w:rPr>
              <w:t>(in thousands)</w:t>
            </w:r>
          </w:p>
        </w:tc>
        <w:tc>
          <w:tcPr>
            <w:tcW w:w="2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480"/>
              <w:spacing w:after="0"/>
              <w:rPr>
                <w:sz w:val="20"/>
                <w:szCs w:val="20"/>
                <w:color w:val="auto"/>
              </w:rPr>
            </w:pPr>
            <w:r>
              <w:rPr>
                <w:rFonts w:ascii="Arial" w:cs="Arial" w:eastAsia="Arial" w:hAnsi="Arial"/>
                <w:sz w:val="15"/>
                <w:szCs w:val="15"/>
                <w:b w:val="1"/>
                <w:bCs w:val="1"/>
                <w:color w:val="auto"/>
              </w:rPr>
              <w:t>2020</w:t>
            </w: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5"/>
                <w:szCs w:val="15"/>
                <w:b w:val="1"/>
                <w:bCs w:val="1"/>
                <w:color w:val="auto"/>
              </w:rPr>
              <w:t>2019</w:t>
            </w:r>
          </w:p>
        </w:tc>
        <w:tc>
          <w:tcPr>
            <w:tcW w:w="100" w:type="dxa"/>
            <w:vAlign w:val="bottom"/>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5"/>
                <w:szCs w:val="15"/>
                <w:b w:val="1"/>
                <w:bCs w:val="1"/>
                <w:color w:val="auto"/>
              </w:rPr>
              <w:t>2020</w:t>
            </w:r>
          </w:p>
        </w:tc>
        <w:tc>
          <w:tcPr>
            <w:tcW w:w="120" w:type="dxa"/>
            <w:vAlign w:val="bottom"/>
            <w:tcBorders>
              <w:top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5"/>
                <w:szCs w:val="15"/>
                <w:b w:val="1"/>
                <w:bCs w:val="1"/>
                <w:color w:val="auto"/>
              </w:rPr>
              <w:t>2019</w:t>
            </w:r>
          </w:p>
        </w:tc>
      </w:tr>
      <w:tr>
        <w:trPr>
          <w:trHeight w:val="34"/>
        </w:trPr>
        <w:tc>
          <w:tcPr>
            <w:tcW w:w="5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6"/>
                <w:szCs w:val="16"/>
                <w:color w:val="auto"/>
              </w:rPr>
              <w:t>5.11</w:t>
            </w: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98,406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98,053</w:t>
            </w: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24"/>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281,822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278,978</w:t>
            </w:r>
          </w:p>
        </w:tc>
      </w:tr>
      <w:tr>
        <w:trPr>
          <w:trHeight w:val="213"/>
        </w:trPr>
        <w:tc>
          <w:tcPr>
            <w:tcW w:w="5400" w:type="dxa"/>
            <w:vAlign w:val="bottom"/>
          </w:tcPr>
          <w:p>
            <w:pPr>
              <w:spacing w:after="0"/>
              <w:rPr>
                <w:sz w:val="20"/>
                <w:szCs w:val="20"/>
                <w:color w:val="auto"/>
              </w:rPr>
            </w:pPr>
            <w:r>
              <w:rPr>
                <w:rFonts w:ascii="Arial" w:cs="Arial" w:eastAsia="Arial" w:hAnsi="Arial"/>
                <w:sz w:val="16"/>
                <w:szCs w:val="16"/>
                <w:color w:val="auto"/>
              </w:rPr>
              <w:t>Ergobaby</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19,478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23,318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59,171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68,741</w:t>
            </w:r>
          </w:p>
        </w:tc>
      </w:tr>
      <w:tr>
        <w:trPr>
          <w:trHeight w:val="219"/>
        </w:trPr>
        <w:tc>
          <w:tcPr>
            <w:tcW w:w="5400" w:type="dxa"/>
            <w:vAlign w:val="bottom"/>
            <w:shd w:val="clear" w:color="auto" w:fill="CCEEFF"/>
          </w:tcPr>
          <w:p>
            <w:pPr>
              <w:spacing w:after="0"/>
              <w:rPr>
                <w:sz w:val="20"/>
                <w:szCs w:val="20"/>
                <w:color w:val="auto"/>
              </w:rPr>
            </w:pPr>
            <w:r>
              <w:rPr>
                <w:rFonts w:ascii="Arial" w:cs="Arial" w:eastAsia="Arial" w:hAnsi="Arial"/>
                <w:sz w:val="16"/>
                <w:szCs w:val="16"/>
                <w:color w:val="auto"/>
              </w:rPr>
              <w:t>Liberty</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31,186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24,729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80,599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67,566</w:t>
            </w:r>
          </w:p>
        </w:tc>
      </w:tr>
      <w:tr>
        <w:trPr>
          <w:trHeight w:val="213"/>
        </w:trPr>
        <w:tc>
          <w:tcPr>
            <w:tcW w:w="5400" w:type="dxa"/>
            <w:vAlign w:val="bottom"/>
          </w:tcPr>
          <w:p>
            <w:pPr>
              <w:spacing w:after="0"/>
              <w:rPr>
                <w:sz w:val="20"/>
                <w:szCs w:val="20"/>
                <w:color w:val="auto"/>
              </w:rPr>
            </w:pPr>
            <w:r>
              <w:rPr>
                <w:rFonts w:ascii="Arial" w:cs="Arial" w:eastAsia="Arial" w:hAnsi="Arial"/>
                <w:sz w:val="16"/>
                <w:szCs w:val="16"/>
                <w:color w:val="auto"/>
              </w:rPr>
              <w:t>Marucci</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19,551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24,807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5400" w:type="dxa"/>
            <w:vAlign w:val="bottom"/>
            <w:shd w:val="clear" w:color="auto" w:fill="CCEEFF"/>
          </w:tcPr>
          <w:p>
            <w:pPr>
              <w:spacing w:after="0"/>
              <w:rPr>
                <w:sz w:val="20"/>
                <w:szCs w:val="20"/>
                <w:color w:val="auto"/>
              </w:rPr>
            </w:pPr>
            <w:r>
              <w:rPr>
                <w:rFonts w:ascii="Arial" w:cs="Arial" w:eastAsia="Arial" w:hAnsi="Arial"/>
                <w:sz w:val="16"/>
                <w:szCs w:val="16"/>
                <w:color w:val="auto"/>
              </w:rPr>
              <w:t>Velocity Outdoor</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70,629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46,647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148,240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107,395</w:t>
            </w:r>
          </w:p>
        </w:tc>
      </w:tr>
      <w:tr>
        <w:trPr>
          <w:trHeight w:val="213"/>
        </w:trPr>
        <w:tc>
          <w:tcPr>
            <w:tcW w:w="5400" w:type="dxa"/>
            <w:vAlign w:val="bottom"/>
          </w:tcPr>
          <w:p>
            <w:pPr>
              <w:spacing w:after="0"/>
              <w:rPr>
                <w:sz w:val="20"/>
                <w:szCs w:val="20"/>
                <w:color w:val="auto"/>
              </w:rPr>
            </w:pPr>
            <w:r>
              <w:rPr>
                <w:rFonts w:ascii="Arial" w:cs="Arial" w:eastAsia="Arial" w:hAnsi="Arial"/>
                <w:sz w:val="16"/>
                <w:szCs w:val="16"/>
                <w:color w:val="auto"/>
              </w:rPr>
              <w:t>ACI</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22,771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21,897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67,423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67,405</w:t>
            </w:r>
          </w:p>
        </w:tc>
      </w:tr>
      <w:tr>
        <w:trPr>
          <w:trHeight w:val="219"/>
        </w:trPr>
        <w:tc>
          <w:tcPr>
            <w:tcW w:w="5400" w:type="dxa"/>
            <w:vAlign w:val="bottom"/>
            <w:shd w:val="clear" w:color="auto" w:fill="CCEEFF"/>
          </w:tcPr>
          <w:p>
            <w:pPr>
              <w:spacing w:after="0"/>
              <w:rPr>
                <w:sz w:val="20"/>
                <w:szCs w:val="20"/>
                <w:color w:val="auto"/>
              </w:rPr>
            </w:pPr>
            <w:r>
              <w:rPr>
                <w:rFonts w:ascii="Arial" w:cs="Arial" w:eastAsia="Arial" w:hAnsi="Arial"/>
                <w:sz w:val="16"/>
                <w:szCs w:val="16"/>
                <w:color w:val="auto"/>
              </w:rPr>
              <w:t>Arnold</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22,619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30,895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76,447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90,404</w:t>
            </w:r>
          </w:p>
        </w:tc>
      </w:tr>
      <w:tr>
        <w:trPr>
          <w:trHeight w:val="213"/>
        </w:trPr>
        <w:tc>
          <w:tcPr>
            <w:tcW w:w="5400" w:type="dxa"/>
            <w:vAlign w:val="bottom"/>
          </w:tcPr>
          <w:p>
            <w:pPr>
              <w:spacing w:after="0"/>
              <w:rPr>
                <w:sz w:val="20"/>
                <w:szCs w:val="20"/>
                <w:color w:val="auto"/>
              </w:rPr>
            </w:pPr>
            <w:r>
              <w:rPr>
                <w:rFonts w:ascii="Arial" w:cs="Arial" w:eastAsia="Arial" w:hAnsi="Arial"/>
                <w:sz w:val="16"/>
                <w:szCs w:val="16"/>
                <w:color w:val="auto"/>
              </w:rPr>
              <w:t>Foam Fabricators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36,526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31,304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89,338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93,634</w:t>
            </w:r>
          </w:p>
        </w:tc>
      </w:tr>
      <w:tr>
        <w:trPr>
          <w:trHeight w:val="219"/>
        </w:trPr>
        <w:tc>
          <w:tcPr>
            <w:tcW w:w="5400" w:type="dxa"/>
            <w:vAlign w:val="bottom"/>
            <w:shd w:val="clear" w:color="auto" w:fill="CCEEFF"/>
          </w:tcPr>
          <w:p>
            <w:pPr>
              <w:spacing w:after="0"/>
              <w:rPr>
                <w:sz w:val="20"/>
                <w:szCs w:val="20"/>
                <w:color w:val="auto"/>
              </w:rPr>
            </w:pPr>
            <w:r>
              <w:rPr>
                <w:rFonts w:ascii="Arial" w:cs="Arial" w:eastAsia="Arial" w:hAnsi="Arial"/>
                <w:sz w:val="16"/>
                <w:szCs w:val="16"/>
                <w:color w:val="auto"/>
              </w:rPr>
              <w:t>Sterno</w:t>
            </w: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97,737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111,470</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258,132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289,131</w:t>
            </w:r>
          </w:p>
        </w:tc>
      </w:tr>
      <w:tr>
        <w:trPr>
          <w:trHeight w:val="206"/>
        </w:trPr>
        <w:tc>
          <w:tcPr>
            <w:tcW w:w="5400" w:type="dxa"/>
            <w:vAlign w:val="bottom"/>
          </w:tcPr>
          <w:p>
            <w:pPr>
              <w:ind w:left="320"/>
              <w:spacing w:after="0"/>
              <w:rPr>
                <w:sz w:val="20"/>
                <w:szCs w:val="20"/>
                <w:color w:val="auto"/>
              </w:rPr>
            </w:pPr>
            <w:r>
              <w:rPr>
                <w:rFonts w:ascii="Arial" w:cs="Arial" w:eastAsia="Arial" w:hAnsi="Arial"/>
                <w:sz w:val="16"/>
                <w:szCs w:val="16"/>
                <w:color w:val="auto"/>
              </w:rPr>
              <w:t>Total segment revenue</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418,903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388,313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1,085,979</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1,063,254</w:t>
            </w:r>
          </w:p>
        </w:tc>
      </w:tr>
      <w:tr>
        <w:trPr>
          <w:trHeight w:val="219"/>
        </w:trPr>
        <w:tc>
          <w:tcPr>
            <w:tcW w:w="5400" w:type="dxa"/>
            <w:vAlign w:val="bottom"/>
            <w:shd w:val="clear" w:color="auto" w:fill="CCEEFF"/>
          </w:tcPr>
          <w:p>
            <w:pPr>
              <w:spacing w:after="0"/>
              <w:rPr>
                <w:sz w:val="20"/>
                <w:szCs w:val="20"/>
                <w:color w:val="auto"/>
              </w:rPr>
            </w:pPr>
            <w:r>
              <w:rPr>
                <w:rFonts w:ascii="Arial" w:cs="Arial" w:eastAsia="Arial" w:hAnsi="Arial"/>
                <w:sz w:val="16"/>
                <w:szCs w:val="16"/>
                <w:color w:val="auto"/>
              </w:rPr>
              <w:t>Corporate and other</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5400" w:type="dxa"/>
            <w:vAlign w:val="bottom"/>
          </w:tcPr>
          <w:p>
            <w:pPr>
              <w:ind w:left="320"/>
              <w:spacing w:after="0"/>
              <w:rPr>
                <w:sz w:val="20"/>
                <w:szCs w:val="20"/>
                <w:color w:val="auto"/>
              </w:rPr>
            </w:pPr>
            <w:r>
              <w:rPr>
                <w:rFonts w:ascii="Arial" w:cs="Arial" w:eastAsia="Arial" w:hAnsi="Arial"/>
                <w:sz w:val="16"/>
                <w:szCs w:val="16"/>
                <w:color w:val="auto"/>
              </w:rPr>
              <w:t>Total consolidated revenues</w:t>
            </w:r>
          </w:p>
        </w:tc>
        <w:tc>
          <w:tcPr>
            <w:tcW w:w="16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418,903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Borders>
              <w:top w:val="single" w:sz="8" w:color="auto"/>
              <w:bottom w:val="single" w:sz="8" w:color="auto"/>
            </w:tcBorders>
            <w:gridSpan w:val="2"/>
          </w:tcPr>
          <w:p>
            <w:pPr>
              <w:jc w:val="right"/>
              <w:ind w:right="220"/>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388,313</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gridSpan w:val="2"/>
          </w:tcPr>
          <w:p>
            <w:pPr>
              <w:jc w:val="right"/>
              <w:ind w:right="124"/>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1,085,979</w:t>
            </w:r>
          </w:p>
        </w:tc>
        <w:tc>
          <w:tcPr>
            <w:tcW w:w="12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1,063,254</w:t>
            </w:r>
          </w:p>
        </w:tc>
      </w:tr>
      <w:tr>
        <w:trPr>
          <w:trHeight w:val="23"/>
        </w:trPr>
        <w:tc>
          <w:tcPr>
            <w:tcW w:w="54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r>
      <w:tr>
        <w:trPr>
          <w:trHeight w:val="790"/>
        </w:trPr>
        <w:tc>
          <w:tcPr>
            <w:tcW w:w="5400" w:type="dxa"/>
            <w:vAlign w:val="bottom"/>
          </w:tcPr>
          <w:p>
            <w:pPr>
              <w:spacing w:after="0"/>
              <w:rPr>
                <w:sz w:val="20"/>
                <w:szCs w:val="20"/>
                <w:color w:val="auto"/>
              </w:rPr>
            </w:pPr>
            <w:r>
              <w:rPr>
                <w:rFonts w:ascii="Arial" w:cs="Arial" w:eastAsia="Arial" w:hAnsi="Arial"/>
                <w:sz w:val="15"/>
                <w:szCs w:val="15"/>
                <w:b w:val="1"/>
                <w:bCs w:val="1"/>
                <w:color w:val="auto"/>
              </w:rPr>
              <w:t xml:space="preserve">Segment profit (loss) </w:t>
            </w:r>
            <w:r>
              <w:rPr>
                <w:rFonts w:ascii="Arial" w:cs="Arial" w:eastAsia="Arial" w:hAnsi="Arial"/>
                <w:sz w:val="19"/>
                <w:szCs w:val="19"/>
                <w:b w:val="1"/>
                <w:bCs w:val="1"/>
                <w:color w:val="auto"/>
                <w:vertAlign w:val="superscript"/>
              </w:rPr>
              <w:t>(1)</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00" w:type="dxa"/>
            <w:vAlign w:val="bottom"/>
            <w:gridSpan w:val="7"/>
          </w:tcPr>
          <w:p>
            <w:pPr>
              <w:ind w:left="40"/>
              <w:spacing w:after="0"/>
              <w:rPr>
                <w:sz w:val="20"/>
                <w:szCs w:val="20"/>
                <w:color w:val="auto"/>
              </w:rPr>
            </w:pPr>
            <w:r>
              <w:rPr>
                <w:rFonts w:ascii="Arial" w:cs="Arial" w:eastAsia="Arial" w:hAnsi="Arial"/>
                <w:sz w:val="15"/>
                <w:szCs w:val="15"/>
                <w:b w:val="1"/>
                <w:bCs w:val="1"/>
                <w:color w:val="auto"/>
              </w:rPr>
              <w:t>Three months ended September 30,</w:t>
            </w:r>
          </w:p>
        </w:tc>
        <w:tc>
          <w:tcPr>
            <w:tcW w:w="20" w:type="dxa"/>
            <w:vAlign w:val="bottom"/>
          </w:tcPr>
          <w:p>
            <w:pPr>
              <w:spacing w:after="0"/>
              <w:rPr>
                <w:sz w:val="24"/>
                <w:szCs w:val="24"/>
                <w:color w:val="auto"/>
              </w:rPr>
            </w:pPr>
          </w:p>
        </w:tc>
        <w:tc>
          <w:tcPr>
            <w:tcW w:w="2700" w:type="dxa"/>
            <w:vAlign w:val="bottom"/>
            <w:gridSpan w:val="5"/>
          </w:tcPr>
          <w:p>
            <w:pPr>
              <w:jc w:val="right"/>
              <w:ind w:right="19"/>
              <w:spacing w:after="0"/>
              <w:rPr>
                <w:sz w:val="20"/>
                <w:szCs w:val="20"/>
                <w:color w:val="auto"/>
              </w:rPr>
            </w:pPr>
            <w:r>
              <w:rPr>
                <w:rFonts w:ascii="Arial" w:cs="Arial" w:eastAsia="Arial" w:hAnsi="Arial"/>
                <w:sz w:val="15"/>
                <w:szCs w:val="15"/>
                <w:b w:val="1"/>
                <w:bCs w:val="1"/>
                <w:color w:val="auto"/>
              </w:rPr>
              <w:t>Nine months ended September 30,</w:t>
            </w:r>
          </w:p>
        </w:tc>
      </w:tr>
      <w:tr>
        <w:trPr>
          <w:trHeight w:val="196"/>
        </w:trPr>
        <w:tc>
          <w:tcPr>
            <w:tcW w:w="5400" w:type="dxa"/>
            <w:vAlign w:val="bottom"/>
            <w:tcBorders>
              <w:top w:val="single" w:sz="8" w:color="auto"/>
            </w:tcBorders>
          </w:tcPr>
          <w:p>
            <w:pPr>
              <w:spacing w:after="0"/>
              <w:rPr>
                <w:sz w:val="20"/>
                <w:szCs w:val="20"/>
                <w:color w:val="auto"/>
              </w:rPr>
            </w:pPr>
            <w:r>
              <w:rPr>
                <w:rFonts w:ascii="Arial" w:cs="Arial" w:eastAsia="Arial" w:hAnsi="Arial"/>
                <w:sz w:val="13"/>
                <w:szCs w:val="13"/>
                <w:i w:val="1"/>
                <w:iCs w:val="1"/>
                <w:color w:val="auto"/>
              </w:rPr>
              <w:t>(in thousands)</w:t>
            </w:r>
          </w:p>
        </w:tc>
        <w:tc>
          <w:tcPr>
            <w:tcW w:w="20" w:type="dxa"/>
            <w:vAlign w:val="bottom"/>
            <w:tcBorders>
              <w:top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460"/>
              <w:spacing w:after="0"/>
              <w:rPr>
                <w:sz w:val="20"/>
                <w:szCs w:val="20"/>
                <w:color w:val="auto"/>
              </w:rPr>
            </w:pPr>
            <w:r>
              <w:rPr>
                <w:rFonts w:ascii="Arial" w:cs="Arial" w:eastAsia="Arial" w:hAnsi="Arial"/>
                <w:sz w:val="15"/>
                <w:szCs w:val="15"/>
                <w:b w:val="1"/>
                <w:bCs w:val="1"/>
                <w:color w:val="auto"/>
              </w:rPr>
              <w:t>2020</w:t>
            </w: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5"/>
                <w:szCs w:val="15"/>
                <w:b w:val="1"/>
                <w:bCs w:val="1"/>
                <w:color w:val="auto"/>
              </w:rPr>
              <w:t>2019</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5"/>
                <w:szCs w:val="15"/>
                <w:b w:val="1"/>
                <w:bCs w:val="1"/>
                <w:color w:val="auto"/>
              </w:rPr>
              <w:t>2020</w:t>
            </w:r>
          </w:p>
        </w:tc>
        <w:tc>
          <w:tcPr>
            <w:tcW w:w="120" w:type="dxa"/>
            <w:vAlign w:val="bottom"/>
            <w:tcBorders>
              <w:top w:val="single" w:sz="8" w:color="auto"/>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5"/>
                <w:szCs w:val="15"/>
                <w:b w:val="1"/>
                <w:bCs w:val="1"/>
                <w:color w:val="auto"/>
              </w:rPr>
              <w:t>2019</w:t>
            </w:r>
          </w:p>
        </w:tc>
      </w:tr>
      <w:tr>
        <w:trPr>
          <w:trHeight w:val="34"/>
        </w:trPr>
        <w:tc>
          <w:tcPr>
            <w:tcW w:w="5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6"/>
                <w:szCs w:val="16"/>
                <w:color w:val="auto"/>
              </w:rPr>
              <w:t>5.11</w:t>
            </w: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8,681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5,977</w:t>
            </w: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4"/>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17,969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13,388</w:t>
            </w:r>
          </w:p>
        </w:tc>
      </w:tr>
      <w:tr>
        <w:trPr>
          <w:trHeight w:val="213"/>
        </w:trPr>
        <w:tc>
          <w:tcPr>
            <w:tcW w:w="5400" w:type="dxa"/>
            <w:vAlign w:val="bottom"/>
          </w:tcPr>
          <w:p>
            <w:pPr>
              <w:spacing w:after="0"/>
              <w:rPr>
                <w:sz w:val="20"/>
                <w:szCs w:val="20"/>
                <w:color w:val="auto"/>
              </w:rPr>
            </w:pPr>
            <w:r>
              <w:rPr>
                <w:rFonts w:ascii="Arial" w:cs="Arial" w:eastAsia="Arial" w:hAnsi="Arial"/>
                <w:sz w:val="16"/>
                <w:szCs w:val="16"/>
                <w:color w:val="auto"/>
              </w:rPr>
              <w:t>Ergobaby</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2,363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3,220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5,943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9,151</w:t>
            </w:r>
          </w:p>
        </w:tc>
      </w:tr>
      <w:tr>
        <w:trPr>
          <w:trHeight w:val="219"/>
        </w:trPr>
        <w:tc>
          <w:tcPr>
            <w:tcW w:w="5400" w:type="dxa"/>
            <w:vAlign w:val="bottom"/>
            <w:shd w:val="clear" w:color="auto" w:fill="CCEEFF"/>
          </w:tcPr>
          <w:p>
            <w:pPr>
              <w:spacing w:after="0"/>
              <w:rPr>
                <w:sz w:val="20"/>
                <w:szCs w:val="20"/>
                <w:color w:val="auto"/>
              </w:rPr>
            </w:pPr>
            <w:r>
              <w:rPr>
                <w:rFonts w:ascii="Arial" w:cs="Arial" w:eastAsia="Arial" w:hAnsi="Arial"/>
                <w:sz w:val="16"/>
                <w:szCs w:val="16"/>
                <w:color w:val="auto"/>
              </w:rPr>
              <w:t>Liberty</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5,736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12,281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5,812</w:t>
            </w:r>
          </w:p>
        </w:tc>
      </w:tr>
      <w:tr>
        <w:trPr>
          <w:trHeight w:val="213"/>
        </w:trPr>
        <w:tc>
          <w:tcPr>
            <w:tcW w:w="5400" w:type="dxa"/>
            <w:vAlign w:val="bottom"/>
          </w:tcPr>
          <w:p>
            <w:pPr>
              <w:spacing w:after="0"/>
              <w:rPr>
                <w:sz w:val="20"/>
                <w:szCs w:val="20"/>
                <w:color w:val="auto"/>
              </w:rPr>
            </w:pPr>
            <w:r>
              <w:rPr>
                <w:rFonts w:ascii="Arial" w:cs="Arial" w:eastAsia="Arial" w:hAnsi="Arial"/>
                <w:sz w:val="16"/>
                <w:szCs w:val="16"/>
                <w:color w:val="auto"/>
              </w:rPr>
              <w:t>Marucci</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1,265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(6,478)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5400" w:type="dxa"/>
            <w:vAlign w:val="bottom"/>
            <w:shd w:val="clear" w:color="auto" w:fill="CCEEFF"/>
          </w:tcPr>
          <w:p>
            <w:pPr>
              <w:spacing w:after="0"/>
              <w:rPr>
                <w:sz w:val="20"/>
                <w:szCs w:val="20"/>
                <w:color w:val="auto"/>
              </w:rPr>
            </w:pPr>
            <w:r>
              <w:rPr>
                <w:rFonts w:ascii="Arial" w:cs="Arial" w:eastAsia="Arial" w:hAnsi="Arial"/>
                <w:sz w:val="16"/>
                <w:szCs w:val="16"/>
                <w:color w:val="auto"/>
              </w:rPr>
              <w:t>Velocity Outdoor</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11,062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(27,902)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13,896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(27,635)</w:t>
            </w:r>
          </w:p>
        </w:tc>
      </w:tr>
      <w:tr>
        <w:trPr>
          <w:trHeight w:val="213"/>
        </w:trPr>
        <w:tc>
          <w:tcPr>
            <w:tcW w:w="5400" w:type="dxa"/>
            <w:vAlign w:val="bottom"/>
          </w:tcPr>
          <w:p>
            <w:pPr>
              <w:spacing w:after="0"/>
              <w:rPr>
                <w:sz w:val="20"/>
                <w:szCs w:val="20"/>
                <w:color w:val="auto"/>
              </w:rPr>
            </w:pPr>
            <w:r>
              <w:rPr>
                <w:rFonts w:ascii="Arial" w:cs="Arial" w:eastAsia="Arial" w:hAnsi="Arial"/>
                <w:sz w:val="16"/>
                <w:szCs w:val="16"/>
                <w:color w:val="auto"/>
              </w:rPr>
              <w:t>ACI</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6,205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6,122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18,272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19,087</w:t>
            </w:r>
          </w:p>
        </w:tc>
      </w:tr>
      <w:tr>
        <w:trPr>
          <w:trHeight w:val="219"/>
        </w:trPr>
        <w:tc>
          <w:tcPr>
            <w:tcW w:w="5400" w:type="dxa"/>
            <w:vAlign w:val="bottom"/>
            <w:shd w:val="clear" w:color="auto" w:fill="CCEEFF"/>
          </w:tcPr>
          <w:p>
            <w:pPr>
              <w:spacing w:after="0"/>
              <w:rPr>
                <w:sz w:val="20"/>
                <w:szCs w:val="20"/>
                <w:color w:val="auto"/>
              </w:rPr>
            </w:pPr>
            <w:r>
              <w:rPr>
                <w:rFonts w:ascii="Arial" w:cs="Arial" w:eastAsia="Arial" w:hAnsi="Arial"/>
                <w:sz w:val="16"/>
                <w:szCs w:val="16"/>
                <w:color w:val="auto"/>
              </w:rPr>
              <w:t>Arnold</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6,385</w:t>
            </w:r>
          </w:p>
        </w:tc>
      </w:tr>
      <w:tr>
        <w:trPr>
          <w:trHeight w:val="213"/>
        </w:trPr>
        <w:tc>
          <w:tcPr>
            <w:tcW w:w="5400" w:type="dxa"/>
            <w:vAlign w:val="bottom"/>
          </w:tcPr>
          <w:p>
            <w:pPr>
              <w:spacing w:after="0"/>
              <w:rPr>
                <w:sz w:val="20"/>
                <w:szCs w:val="20"/>
                <w:color w:val="auto"/>
              </w:rPr>
            </w:pPr>
            <w:r>
              <w:rPr>
                <w:rFonts w:ascii="Arial" w:cs="Arial" w:eastAsia="Arial" w:hAnsi="Arial"/>
                <w:sz w:val="16"/>
                <w:szCs w:val="16"/>
                <w:color w:val="auto"/>
              </w:rPr>
              <w:t>Foam Fabricators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4,759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4,141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11,118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12,011</w:t>
            </w:r>
          </w:p>
        </w:tc>
      </w:tr>
      <w:tr>
        <w:trPr>
          <w:trHeight w:val="219"/>
        </w:trPr>
        <w:tc>
          <w:tcPr>
            <w:tcW w:w="5400" w:type="dxa"/>
            <w:vAlign w:val="bottom"/>
            <w:shd w:val="clear" w:color="auto" w:fill="CCEEFF"/>
          </w:tcPr>
          <w:p>
            <w:pPr>
              <w:spacing w:after="0"/>
              <w:rPr>
                <w:sz w:val="20"/>
                <w:szCs w:val="20"/>
                <w:color w:val="auto"/>
              </w:rPr>
            </w:pPr>
            <w:r>
              <w:rPr>
                <w:rFonts w:ascii="Arial" w:cs="Arial" w:eastAsia="Arial" w:hAnsi="Arial"/>
                <w:sz w:val="16"/>
                <w:szCs w:val="16"/>
                <w:color w:val="auto"/>
              </w:rPr>
              <w:t>Sterno</w:t>
            </w: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7,674</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12,724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16,906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28,821</w:t>
            </w:r>
          </w:p>
        </w:tc>
      </w:tr>
      <w:tr>
        <w:trPr>
          <w:trHeight w:val="206"/>
        </w:trPr>
        <w:tc>
          <w:tcPr>
            <w:tcW w:w="5400" w:type="dxa"/>
            <w:vAlign w:val="bottom"/>
          </w:tcPr>
          <w:p>
            <w:pPr>
              <w:ind w:left="320"/>
              <w:spacing w:after="0"/>
              <w:rPr>
                <w:sz w:val="20"/>
                <w:szCs w:val="20"/>
                <w:color w:val="auto"/>
              </w:rPr>
            </w:pPr>
            <w:r>
              <w:rPr>
                <w:rFonts w:ascii="Arial" w:cs="Arial" w:eastAsia="Arial" w:hAnsi="Arial"/>
                <w:sz w:val="16"/>
                <w:szCs w:val="16"/>
                <w:color w:val="auto"/>
              </w:rPr>
              <w:t>Total</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47,250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9,689</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92,508</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67,020</w:t>
            </w:r>
          </w:p>
        </w:tc>
      </w:tr>
      <w:tr>
        <w:trPr>
          <w:trHeight w:val="165"/>
        </w:trPr>
        <w:tc>
          <w:tcPr>
            <w:tcW w:w="5400" w:type="dxa"/>
            <w:vAlign w:val="bottom"/>
            <w:shd w:val="clear" w:color="auto" w:fill="CCEEFF"/>
          </w:tcPr>
          <w:p>
            <w:pPr>
              <w:spacing w:after="0" w:line="165" w:lineRule="exact"/>
              <w:rPr>
                <w:sz w:val="20"/>
                <w:szCs w:val="20"/>
                <w:color w:val="auto"/>
              </w:rPr>
            </w:pPr>
            <w:r>
              <w:rPr>
                <w:rFonts w:ascii="Arial" w:cs="Arial" w:eastAsia="Arial" w:hAnsi="Arial"/>
                <w:sz w:val="16"/>
                <w:szCs w:val="16"/>
                <w:b w:val="1"/>
                <w:bCs w:val="1"/>
                <w:color w:val="auto"/>
              </w:rPr>
              <w:t>Reconciliation of segment profit (loss) to consolidated income (loss)</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before income taxes: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3"/>
        </w:trPr>
        <w:tc>
          <w:tcPr>
            <w:tcW w:w="5400" w:type="dxa"/>
            <w:vAlign w:val="bottom"/>
          </w:tcPr>
          <w:p>
            <w:pPr>
              <w:spacing w:after="0"/>
              <w:rPr>
                <w:sz w:val="20"/>
                <w:szCs w:val="20"/>
                <w:color w:val="auto"/>
              </w:rPr>
            </w:pPr>
            <w:r>
              <w:rPr>
                <w:rFonts w:ascii="Arial" w:cs="Arial" w:eastAsia="Arial" w:hAnsi="Arial"/>
                <w:sz w:val="16"/>
                <w:szCs w:val="16"/>
                <w:color w:val="auto"/>
              </w:rPr>
              <w:t>Interest expense, net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(12,351)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(11,525)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(32,122)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(48,424)</w:t>
            </w:r>
          </w:p>
        </w:tc>
      </w:tr>
      <w:tr>
        <w:trPr>
          <w:trHeight w:val="219"/>
        </w:trPr>
        <w:tc>
          <w:tcPr>
            <w:tcW w:w="5400" w:type="dxa"/>
            <w:vAlign w:val="bottom"/>
            <w:shd w:val="clear" w:color="auto" w:fill="CCEEFF"/>
          </w:tcPr>
          <w:p>
            <w:pPr>
              <w:spacing w:after="0"/>
              <w:rPr>
                <w:sz w:val="20"/>
                <w:szCs w:val="20"/>
                <w:color w:val="auto"/>
              </w:rPr>
            </w:pPr>
            <w:r>
              <w:rPr>
                <w:rFonts w:ascii="Arial" w:cs="Arial" w:eastAsia="Arial" w:hAnsi="Arial"/>
                <w:sz w:val="16"/>
                <w:szCs w:val="16"/>
                <w:color w:val="auto"/>
              </w:rPr>
              <w:t>Other income (expense), net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(1,213)</w:t>
            </w:r>
          </w:p>
        </w:tc>
      </w:tr>
      <w:tr>
        <w:trPr>
          <w:trHeight w:val="216"/>
        </w:trPr>
        <w:tc>
          <w:tcPr>
            <w:tcW w:w="5400" w:type="dxa"/>
            <w:vAlign w:val="bottom"/>
            <w:tcBorders>
              <w:bottom w:val="single" w:sz="8" w:color="CCEEFF"/>
            </w:tcBorders>
          </w:tcPr>
          <w:p>
            <w:pPr>
              <w:spacing w:after="0" w:line="216" w:lineRule="exact"/>
              <w:rPr>
                <w:sz w:val="20"/>
                <w:szCs w:val="20"/>
                <w:color w:val="auto"/>
              </w:rPr>
            </w:pPr>
            <w:r>
              <w:rPr>
                <w:rFonts w:ascii="Arial" w:cs="Arial" w:eastAsia="Arial" w:hAnsi="Arial"/>
                <w:sz w:val="16"/>
                <w:szCs w:val="16"/>
                <w:color w:val="auto"/>
              </w:rPr>
              <w:t xml:space="preserve">Corporate and other </w:t>
            </w:r>
            <w:r>
              <w:rPr>
                <w:rFonts w:ascii="Arial" w:cs="Arial" w:eastAsia="Arial" w:hAnsi="Arial"/>
                <w:sz w:val="21"/>
                <w:szCs w:val="21"/>
                <w:color w:val="auto"/>
                <w:vertAlign w:val="superscript"/>
              </w:rPr>
              <w:t>(2)</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(12,043)</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(21,657)</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(31,420)</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(52,324)</w:t>
            </w:r>
          </w:p>
        </w:tc>
      </w:tr>
      <w:tr>
        <w:trPr>
          <w:trHeight w:val="226"/>
        </w:trPr>
        <w:tc>
          <w:tcPr>
            <w:tcW w:w="54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Total consolidated income (loss) before income taxes</w:t>
            </w: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22,409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(24,182)</w:t>
            </w:r>
          </w:p>
        </w:tc>
        <w:tc>
          <w:tcPr>
            <w:tcW w:w="10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104"/>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26,794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(34,941)</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20" w:hanging="312"/>
        <w:spacing w:after="0"/>
        <w:tabs>
          <w:tab w:leader="none" w:pos="320" w:val="left"/>
        </w:tabs>
        <w:numPr>
          <w:ilvl w:val="0"/>
          <w:numId w:val="11"/>
        </w:numPr>
        <w:rPr>
          <w:rFonts w:ascii="Arial" w:cs="Arial" w:eastAsia="Arial" w:hAnsi="Arial"/>
          <w:sz w:val="21"/>
          <w:szCs w:val="21"/>
          <w:b w:val="1"/>
          <w:bCs w:val="1"/>
          <w:color w:val="auto"/>
          <w:vertAlign w:val="superscript"/>
        </w:rPr>
      </w:pPr>
      <w:r>
        <w:rPr>
          <w:rFonts w:ascii="Arial" w:cs="Arial" w:eastAsia="Arial" w:hAnsi="Arial"/>
          <w:sz w:val="16"/>
          <w:szCs w:val="16"/>
          <w:color w:val="auto"/>
        </w:rPr>
        <w:t>Segment profit (loss) represents operating income (loss).</w:t>
      </w:r>
    </w:p>
    <w:p>
      <w:pPr>
        <w:spacing w:after="0" w:line="70" w:lineRule="exact"/>
        <w:rPr>
          <w:rFonts w:ascii="Arial" w:cs="Arial" w:eastAsia="Arial" w:hAnsi="Arial"/>
          <w:sz w:val="21"/>
          <w:szCs w:val="21"/>
          <w:b w:val="1"/>
          <w:bCs w:val="1"/>
          <w:color w:val="auto"/>
          <w:vertAlign w:val="superscript"/>
        </w:rPr>
      </w:pPr>
    </w:p>
    <w:p>
      <w:pPr>
        <w:ind w:left="320" w:hanging="312"/>
        <w:spacing w:after="0" w:line="224" w:lineRule="auto"/>
        <w:tabs>
          <w:tab w:leader="none" w:pos="320" w:val="left"/>
        </w:tabs>
        <w:numPr>
          <w:ilvl w:val="0"/>
          <w:numId w:val="11"/>
        </w:numPr>
        <w:rPr>
          <w:rFonts w:ascii="Arial" w:cs="Arial" w:eastAsia="Arial" w:hAnsi="Arial"/>
          <w:sz w:val="21"/>
          <w:szCs w:val="21"/>
          <w:b w:val="1"/>
          <w:bCs w:val="1"/>
          <w:color w:val="auto"/>
          <w:vertAlign w:val="superscript"/>
        </w:rPr>
      </w:pPr>
      <w:r>
        <w:rPr>
          <w:rFonts w:ascii="Arial" w:cs="Arial" w:eastAsia="Arial" w:hAnsi="Arial"/>
          <w:sz w:val="16"/>
          <w:szCs w:val="16"/>
          <w:color w:val="auto"/>
        </w:rPr>
        <w:t>Primarily relates to management fees expensed and payable to CGM, and corporate overhead expenses.</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02" w:right="35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06"/>
        </w:trPr>
        <w:tc>
          <w:tcPr>
            <w:tcW w:w="120" w:type="dxa"/>
            <w:vAlign w:val="bottom"/>
          </w:tcPr>
          <w:p>
            <w:pPr>
              <w:spacing w:after="0"/>
              <w:rPr>
                <w:sz w:val="17"/>
                <w:szCs w:val="17"/>
                <w:color w:val="auto"/>
              </w:rPr>
            </w:pPr>
          </w:p>
        </w:tc>
        <w:tc>
          <w:tcPr>
            <w:tcW w:w="4680" w:type="dxa"/>
            <w:vAlign w:val="bottom"/>
          </w:tcPr>
          <w:p>
            <w:pPr>
              <w:spacing w:after="0"/>
              <w:rPr>
                <w:sz w:val="20"/>
                <w:szCs w:val="20"/>
                <w:color w:val="auto"/>
              </w:rPr>
            </w:pPr>
            <w:r>
              <w:rPr>
                <w:rFonts w:ascii="Arial" w:cs="Arial" w:eastAsia="Arial" w:hAnsi="Arial"/>
                <w:sz w:val="15"/>
                <w:szCs w:val="15"/>
                <w:b w:val="1"/>
                <w:bCs w:val="1"/>
                <w:color w:val="auto"/>
              </w:rPr>
              <w:t>Depreciation and Amortization Expense</w:t>
            </w: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00" w:type="dxa"/>
            <w:vAlign w:val="bottom"/>
            <w:gridSpan w:val="10"/>
          </w:tcPr>
          <w:p>
            <w:pPr>
              <w:ind w:left="20"/>
              <w:spacing w:after="0"/>
              <w:rPr>
                <w:sz w:val="20"/>
                <w:szCs w:val="20"/>
                <w:color w:val="auto"/>
              </w:rPr>
            </w:pPr>
            <w:r>
              <w:rPr>
                <w:rFonts w:ascii="Arial" w:cs="Arial" w:eastAsia="Arial" w:hAnsi="Arial"/>
                <w:sz w:val="15"/>
                <w:szCs w:val="15"/>
                <w:b w:val="1"/>
                <w:bCs w:val="1"/>
                <w:color w:val="auto"/>
              </w:rPr>
              <w:t>Three months ended September 30,</w:t>
            </w:r>
          </w:p>
        </w:tc>
        <w:tc>
          <w:tcPr>
            <w:tcW w:w="100" w:type="dxa"/>
            <w:vAlign w:val="bottom"/>
          </w:tcPr>
          <w:p>
            <w:pPr>
              <w:spacing w:after="0"/>
              <w:rPr>
                <w:sz w:val="17"/>
                <w:szCs w:val="17"/>
                <w:color w:val="auto"/>
              </w:rPr>
            </w:pPr>
          </w:p>
        </w:tc>
        <w:tc>
          <w:tcPr>
            <w:tcW w:w="2640" w:type="dxa"/>
            <w:vAlign w:val="bottom"/>
            <w:gridSpan w:val="8"/>
          </w:tcPr>
          <w:p>
            <w:pPr>
              <w:jc w:val="right"/>
              <w:ind w:right="120"/>
              <w:spacing w:after="0"/>
              <w:rPr>
                <w:sz w:val="20"/>
                <w:szCs w:val="20"/>
                <w:color w:val="auto"/>
              </w:rPr>
            </w:pPr>
            <w:r>
              <w:rPr>
                <w:rFonts w:ascii="Arial" w:cs="Arial" w:eastAsia="Arial" w:hAnsi="Arial"/>
                <w:sz w:val="15"/>
                <w:szCs w:val="15"/>
                <w:b w:val="1"/>
                <w:bCs w:val="1"/>
                <w:color w:val="auto"/>
              </w:rPr>
              <w:t>Nine months ended September 30,</w:t>
            </w:r>
          </w:p>
        </w:tc>
      </w:tr>
      <w:tr>
        <w:trPr>
          <w:trHeight w:val="200"/>
        </w:trPr>
        <w:tc>
          <w:tcPr>
            <w:tcW w:w="120" w:type="dxa"/>
            <w:vAlign w:val="bottom"/>
          </w:tcPr>
          <w:p>
            <w:pPr>
              <w:spacing w:after="0"/>
              <w:rPr>
                <w:sz w:val="17"/>
                <w:szCs w:val="17"/>
                <w:color w:val="auto"/>
              </w:rPr>
            </w:pPr>
          </w:p>
        </w:tc>
        <w:tc>
          <w:tcPr>
            <w:tcW w:w="4680" w:type="dxa"/>
            <w:vAlign w:val="bottom"/>
            <w:tcBorders>
              <w:top w:val="single" w:sz="8" w:color="auto"/>
            </w:tcBorders>
          </w:tcPr>
          <w:p>
            <w:pPr>
              <w:spacing w:after="0"/>
              <w:rPr>
                <w:sz w:val="20"/>
                <w:szCs w:val="20"/>
                <w:color w:val="auto"/>
              </w:rPr>
            </w:pPr>
            <w:r>
              <w:rPr>
                <w:rFonts w:ascii="Arial" w:cs="Arial" w:eastAsia="Arial" w:hAnsi="Arial"/>
                <w:sz w:val="13"/>
                <w:szCs w:val="13"/>
                <w:i w:val="1"/>
                <w:iCs w:val="1"/>
                <w:color w:val="auto"/>
              </w:rPr>
              <w:t>(in thousands)</w:t>
            </w:r>
          </w:p>
        </w:tc>
        <w:tc>
          <w:tcPr>
            <w:tcW w:w="560" w:type="dxa"/>
            <w:vAlign w:val="bottom"/>
            <w:tcBorders>
              <w:top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2020</w:t>
            </w:r>
          </w:p>
        </w:tc>
        <w:tc>
          <w:tcPr>
            <w:tcW w:w="100" w:type="dxa"/>
            <w:vAlign w:val="bottom"/>
            <w:tcBorders>
              <w:top w:val="single" w:sz="8" w:color="auto"/>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2019</w:t>
            </w:r>
          </w:p>
        </w:tc>
        <w:tc>
          <w:tcPr>
            <w:tcW w:w="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5"/>
                <w:szCs w:val="15"/>
                <w:b w:val="1"/>
                <w:bCs w:val="1"/>
                <w:color w:val="auto"/>
              </w:rPr>
              <w:t>2020</w:t>
            </w:r>
          </w:p>
        </w:tc>
        <w:tc>
          <w:tcPr>
            <w:tcW w:w="10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5"/>
                <w:szCs w:val="15"/>
                <w:b w:val="1"/>
                <w:bCs w:val="1"/>
                <w:color w:val="auto"/>
              </w:rPr>
              <w:t>2019</w:t>
            </w:r>
          </w:p>
        </w:tc>
        <w:tc>
          <w:tcPr>
            <w:tcW w:w="100" w:type="dxa"/>
            <w:vAlign w:val="bottom"/>
            <w:tcBorders>
              <w:top w:val="single" w:sz="8" w:color="auto"/>
              <w:bottom w:val="single" w:sz="8" w:color="auto"/>
            </w:tcBorders>
          </w:tcPr>
          <w:p>
            <w:pPr>
              <w:spacing w:after="0"/>
              <w:rPr>
                <w:sz w:val="17"/>
                <w:szCs w:val="17"/>
                <w:color w:val="auto"/>
              </w:rPr>
            </w:pPr>
          </w:p>
        </w:tc>
      </w:tr>
      <w:tr>
        <w:trPr>
          <w:trHeight w:val="34"/>
        </w:trPr>
        <w:tc>
          <w:tcPr>
            <w:tcW w:w="1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1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6"/>
                <w:szCs w:val="16"/>
                <w:color w:val="auto"/>
              </w:rPr>
              <w:t>5.11</w:t>
            </w:r>
          </w:p>
        </w:tc>
        <w:tc>
          <w:tcPr>
            <w:tcW w:w="70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w w:val="99"/>
              </w:rPr>
              <w:t>5,296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1"/>
              <w:spacing w:after="0"/>
              <w:rPr>
                <w:sz w:val="20"/>
                <w:szCs w:val="20"/>
                <w:color w:val="auto"/>
              </w:rPr>
            </w:pPr>
            <w:r>
              <w:rPr>
                <w:rFonts w:ascii="Arial" w:cs="Arial" w:eastAsia="Arial" w:hAnsi="Arial"/>
                <w:sz w:val="16"/>
                <w:szCs w:val="16"/>
                <w:color w:val="auto"/>
                <w:w w:val="99"/>
              </w:rPr>
              <w:t>5,275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15,734</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15,730</w:t>
            </w:r>
          </w:p>
        </w:tc>
      </w:tr>
      <w:tr>
        <w:trPr>
          <w:trHeight w:val="213"/>
        </w:trPr>
        <w:tc>
          <w:tcPr>
            <w:tcW w:w="1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6"/>
                <w:szCs w:val="16"/>
                <w:color w:val="auto"/>
              </w:rPr>
              <w:t>Ergobaby</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gridSpan w:val="2"/>
          </w:tcPr>
          <w:p>
            <w:pPr>
              <w:jc w:val="right"/>
              <w:ind w:right="4"/>
              <w:spacing w:after="0"/>
              <w:rPr>
                <w:sz w:val="20"/>
                <w:szCs w:val="20"/>
                <w:color w:val="auto"/>
              </w:rPr>
            </w:pPr>
            <w:r>
              <w:rPr>
                <w:rFonts w:ascii="Arial" w:cs="Arial" w:eastAsia="Arial" w:hAnsi="Arial"/>
                <w:sz w:val="16"/>
                <w:szCs w:val="16"/>
                <w:color w:val="auto"/>
                <w:w w:val="99"/>
              </w:rPr>
              <w:t>2,038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gridSpan w:val="3"/>
          </w:tcPr>
          <w:p>
            <w:pPr>
              <w:jc w:val="right"/>
              <w:ind w:right="1"/>
              <w:spacing w:after="0"/>
              <w:rPr>
                <w:sz w:val="20"/>
                <w:szCs w:val="20"/>
                <w:color w:val="auto"/>
              </w:rPr>
            </w:pPr>
            <w:r>
              <w:rPr>
                <w:rFonts w:ascii="Arial" w:cs="Arial" w:eastAsia="Arial" w:hAnsi="Arial"/>
                <w:sz w:val="16"/>
                <w:szCs w:val="16"/>
                <w:color w:val="auto"/>
                <w:w w:val="99"/>
              </w:rPr>
              <w:t>2,319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Arial" w:cs="Arial" w:eastAsia="Arial" w:hAnsi="Arial"/>
                <w:sz w:val="16"/>
                <w:szCs w:val="16"/>
                <w:color w:val="auto"/>
              </w:rPr>
              <w:t>6,129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6"/>
                <w:szCs w:val="16"/>
                <w:color w:val="auto"/>
              </w:rPr>
              <w:t>6,543</w:t>
            </w:r>
          </w:p>
        </w:tc>
      </w:tr>
      <w:tr>
        <w:trPr>
          <w:trHeight w:val="219"/>
        </w:trPr>
        <w:tc>
          <w:tcPr>
            <w:tcW w:w="120" w:type="dxa"/>
            <w:vAlign w:val="bottom"/>
          </w:tcPr>
          <w:p>
            <w:pPr>
              <w:spacing w:after="0"/>
              <w:rPr>
                <w:sz w:val="19"/>
                <w:szCs w:val="19"/>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6"/>
                <w:szCs w:val="16"/>
                <w:color w:val="auto"/>
              </w:rPr>
              <w:t>Liberty</w:t>
            </w:r>
          </w:p>
        </w:tc>
        <w:tc>
          <w:tcPr>
            <w:tcW w:w="5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rPr>
              <w:t>412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00" w:type="dxa"/>
            <w:vAlign w:val="bottom"/>
            <w:gridSpan w:val="3"/>
            <w:shd w:val="clear" w:color="auto" w:fill="CCEEFF"/>
          </w:tcPr>
          <w:p>
            <w:pPr>
              <w:jc w:val="right"/>
              <w:ind w:right="1"/>
              <w:spacing w:after="0"/>
              <w:rPr>
                <w:sz w:val="20"/>
                <w:szCs w:val="20"/>
                <w:color w:val="auto"/>
              </w:rPr>
            </w:pPr>
            <w:r>
              <w:rPr>
                <w:rFonts w:ascii="Arial" w:cs="Arial" w:eastAsia="Arial" w:hAnsi="Arial"/>
                <w:sz w:val="16"/>
                <w:szCs w:val="16"/>
                <w:color w:val="auto"/>
              </w:rPr>
              <w:t>388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1,233</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1,185</w:t>
            </w:r>
          </w:p>
        </w:tc>
      </w:tr>
      <w:tr>
        <w:trPr>
          <w:trHeight w:val="213"/>
        </w:trPr>
        <w:tc>
          <w:tcPr>
            <w:tcW w:w="1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6"/>
                <w:szCs w:val="16"/>
                <w:color w:val="auto"/>
              </w:rPr>
              <w:t>Marucci</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gridSpan w:val="2"/>
          </w:tcPr>
          <w:p>
            <w:pPr>
              <w:jc w:val="right"/>
              <w:ind w:right="4"/>
              <w:spacing w:after="0"/>
              <w:rPr>
                <w:sz w:val="20"/>
                <w:szCs w:val="20"/>
                <w:color w:val="auto"/>
              </w:rPr>
            </w:pPr>
            <w:r>
              <w:rPr>
                <w:rFonts w:ascii="Arial" w:cs="Arial" w:eastAsia="Arial" w:hAnsi="Arial"/>
                <w:sz w:val="16"/>
                <w:szCs w:val="16"/>
                <w:color w:val="auto"/>
                <w:w w:val="99"/>
              </w:rPr>
              <w:t>3,281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Arial" w:cs="Arial" w:eastAsia="Arial" w:hAnsi="Arial"/>
                <w:sz w:val="16"/>
                <w:szCs w:val="16"/>
                <w:color w:val="auto"/>
              </w:rPr>
              <w:t>7,968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r>
      <w:tr>
        <w:trPr>
          <w:trHeight w:val="219"/>
        </w:trPr>
        <w:tc>
          <w:tcPr>
            <w:tcW w:w="120" w:type="dxa"/>
            <w:vAlign w:val="bottom"/>
          </w:tcPr>
          <w:p>
            <w:pPr>
              <w:spacing w:after="0"/>
              <w:rPr>
                <w:sz w:val="19"/>
                <w:szCs w:val="19"/>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6"/>
                <w:szCs w:val="16"/>
                <w:color w:val="auto"/>
              </w:rPr>
              <w:t>Velocity Outdoor</w:t>
            </w:r>
          </w:p>
        </w:tc>
        <w:tc>
          <w:tcPr>
            <w:tcW w:w="5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w w:val="99"/>
              </w:rPr>
              <w:t>3,120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00" w:type="dxa"/>
            <w:vAlign w:val="bottom"/>
            <w:gridSpan w:val="3"/>
            <w:shd w:val="clear" w:color="auto" w:fill="CCEEFF"/>
          </w:tcPr>
          <w:p>
            <w:pPr>
              <w:jc w:val="right"/>
              <w:ind w:right="1"/>
              <w:spacing w:after="0"/>
              <w:rPr>
                <w:sz w:val="20"/>
                <w:szCs w:val="20"/>
                <w:color w:val="auto"/>
              </w:rPr>
            </w:pPr>
            <w:r>
              <w:rPr>
                <w:rFonts w:ascii="Arial" w:cs="Arial" w:eastAsia="Arial" w:hAnsi="Arial"/>
                <w:sz w:val="16"/>
                <w:szCs w:val="16"/>
                <w:color w:val="auto"/>
                <w:w w:val="99"/>
              </w:rPr>
              <w:t>3,217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9,480</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9,757</w:t>
            </w:r>
          </w:p>
        </w:tc>
      </w:tr>
      <w:tr>
        <w:trPr>
          <w:trHeight w:val="213"/>
        </w:trPr>
        <w:tc>
          <w:tcPr>
            <w:tcW w:w="1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6"/>
                <w:szCs w:val="16"/>
                <w:color w:val="auto"/>
              </w:rPr>
              <w:t>ACI</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gridSpan w:val="2"/>
          </w:tcPr>
          <w:p>
            <w:pPr>
              <w:jc w:val="right"/>
              <w:ind w:right="4"/>
              <w:spacing w:after="0"/>
              <w:rPr>
                <w:sz w:val="20"/>
                <w:szCs w:val="20"/>
                <w:color w:val="auto"/>
              </w:rPr>
            </w:pPr>
            <w:r>
              <w:rPr>
                <w:rFonts w:ascii="Arial" w:cs="Arial" w:eastAsia="Arial" w:hAnsi="Arial"/>
                <w:sz w:val="16"/>
                <w:szCs w:val="16"/>
                <w:color w:val="auto"/>
              </w:rPr>
              <w:t>595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gridSpan w:val="3"/>
          </w:tcPr>
          <w:p>
            <w:pPr>
              <w:jc w:val="right"/>
              <w:ind w:right="1"/>
              <w:spacing w:after="0"/>
              <w:rPr>
                <w:sz w:val="20"/>
                <w:szCs w:val="20"/>
                <w:color w:val="auto"/>
              </w:rPr>
            </w:pPr>
            <w:r>
              <w:rPr>
                <w:rFonts w:ascii="Arial" w:cs="Arial" w:eastAsia="Arial" w:hAnsi="Arial"/>
                <w:sz w:val="16"/>
                <w:szCs w:val="16"/>
                <w:color w:val="auto"/>
              </w:rPr>
              <w:t>525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Arial" w:cs="Arial" w:eastAsia="Arial" w:hAnsi="Arial"/>
                <w:sz w:val="16"/>
                <w:szCs w:val="16"/>
                <w:color w:val="auto"/>
              </w:rPr>
              <w:t>1,867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6"/>
                <w:szCs w:val="16"/>
                <w:color w:val="auto"/>
              </w:rPr>
              <w:t>1,717</w:t>
            </w:r>
          </w:p>
        </w:tc>
      </w:tr>
      <w:tr>
        <w:trPr>
          <w:trHeight w:val="219"/>
        </w:trPr>
        <w:tc>
          <w:tcPr>
            <w:tcW w:w="120" w:type="dxa"/>
            <w:vAlign w:val="bottom"/>
          </w:tcPr>
          <w:p>
            <w:pPr>
              <w:spacing w:after="0"/>
              <w:rPr>
                <w:sz w:val="19"/>
                <w:szCs w:val="19"/>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6"/>
                <w:szCs w:val="16"/>
                <w:color w:val="auto"/>
              </w:rPr>
              <w:t>Arnold</w:t>
            </w:r>
          </w:p>
        </w:tc>
        <w:tc>
          <w:tcPr>
            <w:tcW w:w="5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w w:val="99"/>
              </w:rPr>
              <w:t>1,697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00" w:type="dxa"/>
            <w:vAlign w:val="bottom"/>
            <w:gridSpan w:val="3"/>
            <w:shd w:val="clear" w:color="auto" w:fill="CCEEFF"/>
          </w:tcPr>
          <w:p>
            <w:pPr>
              <w:jc w:val="right"/>
              <w:ind w:right="1"/>
              <w:spacing w:after="0"/>
              <w:rPr>
                <w:sz w:val="20"/>
                <w:szCs w:val="20"/>
                <w:color w:val="auto"/>
              </w:rPr>
            </w:pPr>
            <w:r>
              <w:rPr>
                <w:rFonts w:ascii="Arial" w:cs="Arial" w:eastAsia="Arial" w:hAnsi="Arial"/>
                <w:sz w:val="16"/>
                <w:szCs w:val="16"/>
                <w:color w:val="auto"/>
                <w:w w:val="99"/>
              </w:rPr>
              <w:t>1,616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4,969</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4,818</w:t>
            </w:r>
          </w:p>
        </w:tc>
      </w:tr>
      <w:tr>
        <w:trPr>
          <w:trHeight w:val="213"/>
        </w:trPr>
        <w:tc>
          <w:tcPr>
            <w:tcW w:w="1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6"/>
                <w:szCs w:val="16"/>
                <w:color w:val="auto"/>
              </w:rPr>
              <w:t>Foam Fabricators</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gridSpan w:val="2"/>
          </w:tcPr>
          <w:p>
            <w:pPr>
              <w:jc w:val="right"/>
              <w:ind w:right="4"/>
              <w:spacing w:after="0"/>
              <w:rPr>
                <w:sz w:val="20"/>
                <w:szCs w:val="20"/>
                <w:color w:val="auto"/>
              </w:rPr>
            </w:pPr>
            <w:r>
              <w:rPr>
                <w:rFonts w:ascii="Arial" w:cs="Arial" w:eastAsia="Arial" w:hAnsi="Arial"/>
                <w:sz w:val="16"/>
                <w:szCs w:val="16"/>
                <w:color w:val="auto"/>
                <w:w w:val="99"/>
              </w:rPr>
              <w:t>3,304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gridSpan w:val="3"/>
          </w:tcPr>
          <w:p>
            <w:pPr>
              <w:jc w:val="right"/>
              <w:ind w:right="1"/>
              <w:spacing w:after="0"/>
              <w:rPr>
                <w:sz w:val="20"/>
                <w:szCs w:val="20"/>
                <w:color w:val="auto"/>
              </w:rPr>
            </w:pPr>
            <w:r>
              <w:rPr>
                <w:rFonts w:ascii="Arial" w:cs="Arial" w:eastAsia="Arial" w:hAnsi="Arial"/>
                <w:sz w:val="16"/>
                <w:szCs w:val="16"/>
                <w:color w:val="auto"/>
                <w:w w:val="99"/>
              </w:rPr>
              <w:t>3,044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Arial" w:cs="Arial" w:eastAsia="Arial" w:hAnsi="Arial"/>
                <w:sz w:val="16"/>
                <w:szCs w:val="16"/>
                <w:color w:val="auto"/>
              </w:rPr>
              <w:t>9,286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6"/>
                <w:szCs w:val="16"/>
                <w:color w:val="auto"/>
              </w:rPr>
              <w:t>9,054</w:t>
            </w:r>
          </w:p>
        </w:tc>
      </w:tr>
      <w:tr>
        <w:trPr>
          <w:trHeight w:val="216"/>
        </w:trPr>
        <w:tc>
          <w:tcPr>
            <w:tcW w:w="1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6"/>
                <w:szCs w:val="16"/>
                <w:color w:val="auto"/>
              </w:rPr>
              <w:t>Sterno</w:t>
            </w:r>
          </w:p>
        </w:tc>
        <w:tc>
          <w:tcPr>
            <w:tcW w:w="5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gridSpan w:val="2"/>
            <w:shd w:val="clear" w:color="auto" w:fill="CCEEFF"/>
          </w:tcPr>
          <w:p>
            <w:pPr>
              <w:jc w:val="right"/>
              <w:ind w:right="4"/>
              <w:spacing w:after="0"/>
              <w:rPr>
                <w:sz w:val="20"/>
                <w:szCs w:val="20"/>
                <w:color w:val="auto"/>
              </w:rPr>
            </w:pPr>
            <w:r>
              <w:rPr>
                <w:rFonts w:ascii="Arial" w:cs="Arial" w:eastAsia="Arial" w:hAnsi="Arial"/>
                <w:sz w:val="16"/>
                <w:szCs w:val="16"/>
                <w:color w:val="auto"/>
                <w:w w:val="99"/>
              </w:rPr>
              <w:t>5,649</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gridSpan w:val="3"/>
            <w:shd w:val="clear" w:color="auto" w:fill="CCEEFF"/>
          </w:tcPr>
          <w:p>
            <w:pPr>
              <w:jc w:val="right"/>
              <w:ind w:right="1"/>
              <w:spacing w:after="0"/>
              <w:rPr>
                <w:sz w:val="20"/>
                <w:szCs w:val="20"/>
                <w:color w:val="auto"/>
              </w:rPr>
            </w:pPr>
            <w:r>
              <w:rPr>
                <w:rFonts w:ascii="Arial" w:cs="Arial" w:eastAsia="Arial" w:hAnsi="Arial"/>
                <w:sz w:val="16"/>
                <w:szCs w:val="16"/>
                <w:color w:val="auto"/>
                <w:w w:val="99"/>
              </w:rPr>
              <w:t>5,539</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16,912</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16,456</w:t>
            </w:r>
          </w:p>
        </w:tc>
      </w:tr>
      <w:tr>
        <w:trPr>
          <w:trHeight w:val="209"/>
        </w:trPr>
        <w:tc>
          <w:tcPr>
            <w:tcW w:w="1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6"/>
                <w:szCs w:val="16"/>
                <w:color w:val="auto"/>
              </w:rPr>
              <w:t>Total</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3"/>
          </w:tcPr>
          <w:p>
            <w:pPr>
              <w:jc w:val="right"/>
              <w:ind w:right="4"/>
              <w:spacing w:after="0"/>
              <w:rPr>
                <w:sz w:val="20"/>
                <w:szCs w:val="20"/>
                <w:color w:val="auto"/>
              </w:rPr>
            </w:pPr>
            <w:r>
              <w:rPr>
                <w:rFonts w:ascii="Arial" w:cs="Arial" w:eastAsia="Arial" w:hAnsi="Arial"/>
                <w:sz w:val="16"/>
                <w:szCs w:val="16"/>
                <w:color w:val="auto"/>
              </w:rPr>
              <w:t>25,392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4"/>
          </w:tcPr>
          <w:p>
            <w:pPr>
              <w:jc w:val="right"/>
              <w:ind w:right="1"/>
              <w:spacing w:after="0"/>
              <w:rPr>
                <w:sz w:val="20"/>
                <w:szCs w:val="20"/>
                <w:color w:val="auto"/>
              </w:rPr>
            </w:pPr>
            <w:r>
              <w:rPr>
                <w:rFonts w:ascii="Arial" w:cs="Arial" w:eastAsia="Arial" w:hAnsi="Arial"/>
                <w:sz w:val="16"/>
                <w:szCs w:val="16"/>
                <w:color w:val="auto"/>
              </w:rPr>
              <w:t>21,923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Arial" w:cs="Arial" w:eastAsia="Arial" w:hAnsi="Arial"/>
                <w:sz w:val="16"/>
                <w:szCs w:val="16"/>
                <w:color w:val="auto"/>
              </w:rPr>
              <w:t>73,578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6"/>
                <w:szCs w:val="16"/>
                <w:color w:val="auto"/>
              </w:rPr>
              <w:t>65,260</w:t>
            </w:r>
          </w:p>
        </w:tc>
      </w:tr>
      <w:tr>
        <w:trPr>
          <w:trHeight w:val="219"/>
        </w:trPr>
        <w:tc>
          <w:tcPr>
            <w:tcW w:w="120" w:type="dxa"/>
            <w:vAlign w:val="bottom"/>
          </w:tcPr>
          <w:p>
            <w:pPr>
              <w:spacing w:after="0"/>
              <w:rPr>
                <w:sz w:val="19"/>
                <w:szCs w:val="19"/>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Reconciliation of segment to consolidated total:</w:t>
            </w:r>
          </w:p>
        </w:tc>
        <w:tc>
          <w:tcPr>
            <w:tcW w:w="5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177"/>
        </w:trPr>
        <w:tc>
          <w:tcPr>
            <w:tcW w:w="120" w:type="dxa"/>
            <w:vAlign w:val="bottom"/>
          </w:tcPr>
          <w:p>
            <w:pPr>
              <w:spacing w:after="0"/>
              <w:rPr>
                <w:sz w:val="15"/>
                <w:szCs w:val="15"/>
                <w:color w:val="auto"/>
              </w:rPr>
            </w:pPr>
          </w:p>
        </w:tc>
        <w:tc>
          <w:tcPr>
            <w:tcW w:w="5380" w:type="dxa"/>
            <w:vAlign w:val="bottom"/>
            <w:gridSpan w:val="3"/>
          </w:tcPr>
          <w:p>
            <w:pPr>
              <w:spacing w:after="0" w:line="178" w:lineRule="exact"/>
              <w:rPr>
                <w:sz w:val="20"/>
                <w:szCs w:val="20"/>
                <w:color w:val="auto"/>
              </w:rPr>
            </w:pPr>
            <w:r>
              <w:rPr>
                <w:rFonts w:ascii="Arial" w:cs="Arial" w:eastAsia="Arial" w:hAnsi="Arial"/>
                <w:sz w:val="16"/>
                <w:szCs w:val="16"/>
                <w:color w:val="auto"/>
              </w:rPr>
              <w:t>Amortization of debt issuance costs, original issue discount and bond</w:t>
            </w: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8"/>
        </w:trPr>
        <w:tc>
          <w:tcPr>
            <w:tcW w:w="120" w:type="dxa"/>
            <w:vAlign w:val="bottom"/>
          </w:tcPr>
          <w:p>
            <w:pPr>
              <w:spacing w:after="0"/>
              <w:rPr>
                <w:sz w:val="17"/>
                <w:szCs w:val="17"/>
                <w:color w:val="auto"/>
              </w:rPr>
            </w:pPr>
          </w:p>
        </w:tc>
        <w:tc>
          <w:tcPr>
            <w:tcW w:w="46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premium</w:t>
            </w:r>
          </w:p>
        </w:tc>
        <w:tc>
          <w:tcPr>
            <w:tcW w:w="5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gridSpan w:val="2"/>
          </w:tcPr>
          <w:p>
            <w:pPr>
              <w:jc w:val="right"/>
              <w:ind w:right="4"/>
              <w:spacing w:after="0"/>
              <w:rPr>
                <w:sz w:val="20"/>
                <w:szCs w:val="20"/>
                <w:color w:val="auto"/>
              </w:rPr>
            </w:pPr>
            <w:r>
              <w:rPr>
                <w:rFonts w:ascii="Arial" w:cs="Arial" w:eastAsia="Arial" w:hAnsi="Arial"/>
                <w:sz w:val="16"/>
                <w:szCs w:val="16"/>
                <w:color w:val="auto"/>
              </w:rPr>
              <w:t>577</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gridSpan w:val="3"/>
          </w:tcPr>
          <w:p>
            <w:pPr>
              <w:jc w:val="right"/>
              <w:ind w:right="1"/>
              <w:spacing w:after="0"/>
              <w:rPr>
                <w:sz w:val="20"/>
                <w:szCs w:val="20"/>
                <w:color w:val="auto"/>
              </w:rPr>
            </w:pPr>
            <w:r>
              <w:rPr>
                <w:rFonts w:ascii="Arial" w:cs="Arial" w:eastAsia="Arial" w:hAnsi="Arial"/>
                <w:sz w:val="16"/>
                <w:szCs w:val="16"/>
                <w:color w:val="auto"/>
              </w:rPr>
              <w:t>863</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1,656</w:t>
            </w: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3,022</w:t>
            </w:r>
          </w:p>
        </w:tc>
      </w:tr>
      <w:tr>
        <w:trPr>
          <w:trHeight w:val="233"/>
        </w:trPr>
        <w:tc>
          <w:tcPr>
            <w:tcW w:w="120" w:type="dxa"/>
            <w:vAlign w:val="bottom"/>
          </w:tcPr>
          <w:p>
            <w:pPr>
              <w:spacing w:after="0"/>
              <w:rPr>
                <w:sz w:val="20"/>
                <w:szCs w:val="20"/>
                <w:color w:val="auto"/>
              </w:rPr>
            </w:pPr>
          </w:p>
        </w:tc>
        <w:tc>
          <w:tcPr>
            <w:tcW w:w="46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Consolidated total</w:t>
            </w:r>
          </w:p>
        </w:tc>
        <w:tc>
          <w:tcPr>
            <w:tcW w:w="5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gridSpan w:val="3"/>
            <w:shd w:val="clear" w:color="auto" w:fill="CCEEFF"/>
          </w:tcPr>
          <w:p>
            <w:pPr>
              <w:jc w:val="right"/>
              <w:ind w:right="4"/>
              <w:spacing w:after="0"/>
              <w:rPr>
                <w:sz w:val="20"/>
                <w:szCs w:val="20"/>
                <w:color w:val="auto"/>
              </w:rPr>
            </w:pPr>
            <w:r>
              <w:rPr>
                <w:rFonts w:ascii="Arial" w:cs="Arial" w:eastAsia="Arial" w:hAnsi="Arial"/>
                <w:sz w:val="16"/>
                <w:szCs w:val="16"/>
                <w:color w:val="auto"/>
              </w:rPr>
              <w:t>25,969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gridSpan w:val="4"/>
            <w:shd w:val="clear" w:color="auto" w:fill="CCEEFF"/>
          </w:tcPr>
          <w:p>
            <w:pPr>
              <w:jc w:val="right"/>
              <w:ind w:right="1"/>
              <w:spacing w:after="0"/>
              <w:rPr>
                <w:sz w:val="20"/>
                <w:szCs w:val="20"/>
                <w:color w:val="auto"/>
              </w:rPr>
            </w:pPr>
            <w:r>
              <w:rPr>
                <w:rFonts w:ascii="Arial" w:cs="Arial" w:eastAsia="Arial" w:hAnsi="Arial"/>
                <w:sz w:val="16"/>
                <w:szCs w:val="16"/>
                <w:color w:val="auto"/>
              </w:rPr>
              <w:t>22,786</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75,234</w:t>
            </w: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68,282</w:t>
            </w:r>
          </w:p>
        </w:tc>
      </w:tr>
      <w:tr>
        <w:trPr>
          <w:trHeight w:val="20"/>
        </w:trPr>
        <w:tc>
          <w:tcPr>
            <w:tcW w:w="1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821"/>
        </w:trPr>
        <w:tc>
          <w:tcPr>
            <w:tcW w:w="1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gridSpan w:val="5"/>
          </w:tcPr>
          <w:p>
            <w:pPr>
              <w:jc w:val="right"/>
              <w:spacing w:after="0"/>
              <w:rPr>
                <w:sz w:val="20"/>
                <w:szCs w:val="20"/>
                <w:color w:val="auto"/>
              </w:rPr>
            </w:pPr>
            <w:r>
              <w:rPr>
                <w:rFonts w:ascii="Arial" w:cs="Arial" w:eastAsia="Arial" w:hAnsi="Arial"/>
                <w:sz w:val="15"/>
                <w:szCs w:val="15"/>
                <w:b w:val="1"/>
                <w:bCs w:val="1"/>
                <w:color w:val="auto"/>
              </w:rPr>
              <w:t>Accounts Receivable</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40" w:type="dxa"/>
            <w:vAlign w:val="bottom"/>
            <w:gridSpan w:val="8"/>
          </w:tcPr>
          <w:p>
            <w:pPr>
              <w:jc w:val="right"/>
              <w:ind w:right="960"/>
              <w:spacing w:after="0"/>
              <w:rPr>
                <w:sz w:val="20"/>
                <w:szCs w:val="20"/>
                <w:color w:val="auto"/>
              </w:rPr>
            </w:pPr>
            <w:r>
              <w:rPr>
                <w:rFonts w:ascii="Arial" w:cs="Arial" w:eastAsia="Arial" w:hAnsi="Arial"/>
                <w:sz w:val="15"/>
                <w:szCs w:val="15"/>
                <w:b w:val="1"/>
                <w:bCs w:val="1"/>
                <w:color w:val="auto"/>
              </w:rPr>
              <w:t>Identifiable Assets</w:t>
            </w:r>
          </w:p>
        </w:tc>
      </w:tr>
      <w:tr>
        <w:trPr>
          <w:trHeight w:val="192"/>
        </w:trPr>
        <w:tc>
          <w:tcPr>
            <w:tcW w:w="12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1480" w:type="dxa"/>
            <w:vAlign w:val="bottom"/>
            <w:tcBorders>
              <w:top w:val="single" w:sz="8" w:color="auto"/>
            </w:tcBorders>
            <w:gridSpan w:val="3"/>
          </w:tcPr>
          <w:p>
            <w:pPr>
              <w:jc w:val="right"/>
              <w:ind w:right="140"/>
              <w:spacing w:after="0"/>
              <w:rPr>
                <w:sz w:val="20"/>
                <w:szCs w:val="20"/>
                <w:color w:val="auto"/>
              </w:rPr>
            </w:pPr>
            <w:r>
              <w:rPr>
                <w:rFonts w:ascii="Arial" w:cs="Arial" w:eastAsia="Arial" w:hAnsi="Arial"/>
                <w:sz w:val="15"/>
                <w:szCs w:val="15"/>
                <w:b w:val="1"/>
                <w:bCs w:val="1"/>
                <w:color w:val="auto"/>
              </w:rPr>
              <w:t>September 30,</w:t>
            </w:r>
          </w:p>
        </w:tc>
        <w:tc>
          <w:tcPr>
            <w:tcW w:w="10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4"/>
          </w:tcPr>
          <w:p>
            <w:pPr>
              <w:jc w:val="right"/>
              <w:ind w:right="79"/>
              <w:spacing w:after="0"/>
              <w:rPr>
                <w:sz w:val="20"/>
                <w:szCs w:val="20"/>
                <w:color w:val="auto"/>
              </w:rPr>
            </w:pPr>
            <w:r>
              <w:rPr>
                <w:rFonts w:ascii="Arial" w:cs="Arial" w:eastAsia="Arial" w:hAnsi="Arial"/>
                <w:sz w:val="15"/>
                <w:szCs w:val="15"/>
                <w:b w:val="1"/>
                <w:bCs w:val="1"/>
                <w:color w:val="auto"/>
              </w:rPr>
              <w:t>December 31,</w:t>
            </w:r>
          </w:p>
        </w:tc>
        <w:tc>
          <w:tcPr>
            <w:tcW w:w="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Borders>
              <w:top w:val="single" w:sz="8" w:color="auto"/>
            </w:tcBorders>
            <w:gridSpan w:val="5"/>
          </w:tcPr>
          <w:p>
            <w:pPr>
              <w:ind w:left="220"/>
              <w:spacing w:after="0"/>
              <w:rPr>
                <w:sz w:val="20"/>
                <w:szCs w:val="20"/>
                <w:color w:val="auto"/>
              </w:rPr>
            </w:pPr>
            <w:r>
              <w:rPr>
                <w:rFonts w:ascii="Arial" w:cs="Arial" w:eastAsia="Arial" w:hAnsi="Arial"/>
                <w:sz w:val="15"/>
                <w:szCs w:val="15"/>
                <w:b w:val="1"/>
                <w:bCs w:val="1"/>
                <w:color w:val="auto"/>
              </w:rPr>
              <w:t>September 30,</w:t>
            </w:r>
          </w:p>
        </w:tc>
        <w:tc>
          <w:tcPr>
            <w:tcW w:w="22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4"/>
          </w:tcPr>
          <w:p>
            <w:pPr>
              <w:jc w:val="right"/>
              <w:ind w:right="179"/>
              <w:spacing w:after="0"/>
              <w:rPr>
                <w:sz w:val="20"/>
                <w:szCs w:val="20"/>
                <w:color w:val="auto"/>
              </w:rPr>
            </w:pPr>
            <w:r>
              <w:rPr>
                <w:rFonts w:ascii="Arial" w:cs="Arial" w:eastAsia="Arial" w:hAnsi="Arial"/>
                <w:sz w:val="15"/>
                <w:szCs w:val="15"/>
                <w:b w:val="1"/>
                <w:bCs w:val="1"/>
                <w:color w:val="auto"/>
              </w:rPr>
              <w:t>December 31,</w:t>
            </w:r>
          </w:p>
        </w:tc>
        <w:tc>
          <w:tcPr>
            <w:tcW w:w="100" w:type="dxa"/>
            <w:vAlign w:val="bottom"/>
          </w:tcPr>
          <w:p>
            <w:pPr>
              <w:spacing w:after="0"/>
              <w:rPr>
                <w:sz w:val="16"/>
                <w:szCs w:val="16"/>
                <w:color w:val="auto"/>
              </w:rPr>
            </w:pPr>
          </w:p>
        </w:tc>
      </w:tr>
      <w:tr>
        <w:trPr>
          <w:trHeight w:val="210"/>
        </w:trPr>
        <w:tc>
          <w:tcPr>
            <w:tcW w:w="480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i w:val="1"/>
                <w:iCs w:val="1"/>
                <w:color w:val="auto"/>
              </w:rPr>
              <w:t>(in thousands)</w:t>
            </w:r>
          </w:p>
        </w:tc>
        <w:tc>
          <w:tcPr>
            <w:tcW w:w="1480" w:type="dxa"/>
            <w:vAlign w:val="bottom"/>
            <w:tcBorders>
              <w:bottom w:val="single" w:sz="8" w:color="auto"/>
            </w:tcBorders>
            <w:gridSpan w:val="3"/>
          </w:tcPr>
          <w:p>
            <w:pPr>
              <w:ind w:left="560"/>
              <w:spacing w:after="0"/>
              <w:rPr>
                <w:sz w:val="20"/>
                <w:szCs w:val="20"/>
                <w:color w:val="auto"/>
              </w:rPr>
            </w:pPr>
            <w:r>
              <w:rPr>
                <w:rFonts w:ascii="Arial" w:cs="Arial" w:eastAsia="Arial" w:hAnsi="Arial"/>
                <w:sz w:val="15"/>
                <w:szCs w:val="15"/>
                <w:b w:val="1"/>
                <w:bCs w:val="1"/>
                <w:color w:val="auto"/>
              </w:rPr>
              <w:t>2020</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ind w:right="419"/>
              <w:spacing w:after="0"/>
              <w:rPr>
                <w:sz w:val="20"/>
                <w:szCs w:val="20"/>
                <w:color w:val="auto"/>
              </w:rPr>
            </w:pPr>
            <w:r>
              <w:rPr>
                <w:rFonts w:ascii="Arial" w:cs="Arial" w:eastAsia="Arial" w:hAnsi="Arial"/>
                <w:sz w:val="15"/>
                <w:szCs w:val="15"/>
                <w:b w:val="1"/>
                <w:bCs w:val="1"/>
                <w:color w:val="auto"/>
              </w:rPr>
              <w:t>2019</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ind w:right="419"/>
              <w:spacing w:after="0" w:line="211" w:lineRule="exact"/>
              <w:rPr>
                <w:sz w:val="20"/>
                <w:szCs w:val="20"/>
                <w:color w:val="auto"/>
              </w:rPr>
            </w:pPr>
            <w:r>
              <w:rPr>
                <w:rFonts w:ascii="Arial" w:cs="Arial" w:eastAsia="Arial" w:hAnsi="Arial"/>
                <w:sz w:val="15"/>
                <w:szCs w:val="15"/>
                <w:b w:val="1"/>
                <w:bCs w:val="1"/>
                <w:color w:val="auto"/>
                <w:w w:val="98"/>
              </w:rPr>
              <w:t xml:space="preserve">2020 </w:t>
            </w:r>
            <w:r>
              <w:rPr>
                <w:rFonts w:ascii="Arial" w:cs="Arial" w:eastAsia="Arial" w:hAnsi="Arial"/>
                <w:sz w:val="19"/>
                <w:szCs w:val="19"/>
                <w:b w:val="1"/>
                <w:bCs w:val="1"/>
                <w:color w:val="auto"/>
                <w:w w:val="98"/>
                <w:vertAlign w:val="superscript"/>
              </w:rPr>
              <w:t>(1)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line="211" w:lineRule="exact"/>
              <w:rPr>
                <w:sz w:val="20"/>
                <w:szCs w:val="20"/>
                <w:color w:val="auto"/>
              </w:rPr>
            </w:pPr>
            <w:r>
              <w:rPr>
                <w:rFonts w:ascii="Arial" w:cs="Arial" w:eastAsia="Arial" w:hAnsi="Arial"/>
                <w:sz w:val="15"/>
                <w:szCs w:val="15"/>
                <w:b w:val="1"/>
                <w:bCs w:val="1"/>
                <w:color w:val="auto"/>
                <w:w w:val="94"/>
              </w:rPr>
              <w:t xml:space="preserve">2019 </w:t>
            </w:r>
            <w:r>
              <w:rPr>
                <w:rFonts w:ascii="Arial" w:cs="Arial" w:eastAsia="Arial" w:hAnsi="Arial"/>
                <w:sz w:val="19"/>
                <w:szCs w:val="19"/>
                <w:b w:val="1"/>
                <w:bCs w:val="1"/>
                <w:color w:val="auto"/>
                <w:w w:val="94"/>
                <w:vertAlign w:val="superscript"/>
              </w:rPr>
              <w:t>(1)</w:t>
            </w:r>
          </w:p>
        </w:tc>
        <w:tc>
          <w:tcPr>
            <w:tcW w:w="100" w:type="dxa"/>
            <w:vAlign w:val="bottom"/>
          </w:tcPr>
          <w:p>
            <w:pPr>
              <w:spacing w:after="0"/>
              <w:rPr>
                <w:sz w:val="18"/>
                <w:szCs w:val="18"/>
                <w:color w:val="auto"/>
              </w:rPr>
            </w:pPr>
          </w:p>
        </w:tc>
      </w:tr>
      <w:tr>
        <w:trPr>
          <w:trHeight w:val="209"/>
        </w:trPr>
        <w:tc>
          <w:tcPr>
            <w:tcW w:w="48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5.11</w:t>
            </w:r>
          </w:p>
        </w:tc>
        <w:tc>
          <w:tcPr>
            <w:tcW w:w="560" w:type="dxa"/>
            <w:vAlign w:val="bottom"/>
            <w:shd w:val="clear" w:color="auto" w:fill="CCEEFF"/>
          </w:tcPr>
          <w:p>
            <w:pPr>
              <w:jc w:val="right"/>
              <w:ind w:right="381"/>
              <w:spacing w:after="0"/>
              <w:rPr>
                <w:sz w:val="20"/>
                <w:szCs w:val="20"/>
                <w:color w:val="auto"/>
              </w:rPr>
            </w:pPr>
            <w:r>
              <w:rPr>
                <w:rFonts w:ascii="Arial" w:cs="Arial" w:eastAsia="Arial" w:hAnsi="Arial"/>
                <w:sz w:val="16"/>
                <w:szCs w:val="16"/>
                <w:color w:val="auto"/>
                <w:w w:val="89"/>
              </w:rPr>
              <w: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48,791</w:t>
            </w:r>
          </w:p>
        </w:tc>
        <w:tc>
          <w:tcPr>
            <w:tcW w:w="500" w:type="dxa"/>
            <w:vAlign w:val="bottom"/>
            <w:gridSpan w:val="2"/>
            <w:shd w:val="clear" w:color="auto" w:fill="CCEEFF"/>
          </w:tcPr>
          <w:p>
            <w:pPr>
              <w:jc w:val="right"/>
              <w:ind w:right="224"/>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49,543</w:t>
            </w:r>
          </w:p>
        </w:tc>
        <w:tc>
          <w:tcPr>
            <w:tcW w:w="500" w:type="dxa"/>
            <w:vAlign w:val="bottom"/>
            <w:gridSpan w:val="3"/>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364,195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357,292</w:t>
            </w:r>
          </w:p>
        </w:tc>
        <w:tc>
          <w:tcPr>
            <w:tcW w:w="100" w:type="dxa"/>
            <w:vAlign w:val="bottom"/>
          </w:tcPr>
          <w:p>
            <w:pPr>
              <w:spacing w:after="0"/>
              <w:rPr>
                <w:sz w:val="18"/>
                <w:szCs w:val="18"/>
                <w:color w:val="auto"/>
              </w:rPr>
            </w:pPr>
          </w:p>
        </w:tc>
      </w:tr>
      <w:tr>
        <w:trPr>
          <w:trHeight w:val="213"/>
        </w:trPr>
        <w:tc>
          <w:tcPr>
            <w:tcW w:w="4800" w:type="dxa"/>
            <w:vAlign w:val="bottom"/>
            <w:gridSpan w:val="2"/>
          </w:tcPr>
          <w:p>
            <w:pPr>
              <w:ind w:left="20"/>
              <w:spacing w:after="0"/>
              <w:rPr>
                <w:sz w:val="20"/>
                <w:szCs w:val="20"/>
                <w:color w:val="auto"/>
              </w:rPr>
            </w:pPr>
            <w:r>
              <w:rPr>
                <w:rFonts w:ascii="Arial" w:cs="Arial" w:eastAsia="Arial" w:hAnsi="Arial"/>
                <w:sz w:val="16"/>
                <w:szCs w:val="16"/>
                <w:color w:val="auto"/>
              </w:rPr>
              <w:t>Ergobaby</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9,102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10,460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88,031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91,798</w:t>
            </w:r>
          </w:p>
        </w:tc>
        <w:tc>
          <w:tcPr>
            <w:tcW w:w="100" w:type="dxa"/>
            <w:vAlign w:val="bottom"/>
          </w:tcPr>
          <w:p>
            <w:pPr>
              <w:spacing w:after="0"/>
              <w:rPr>
                <w:sz w:val="18"/>
                <w:szCs w:val="18"/>
                <w:color w:val="auto"/>
              </w:rPr>
            </w:pPr>
          </w:p>
        </w:tc>
      </w:tr>
      <w:tr>
        <w:trPr>
          <w:trHeight w:val="219"/>
        </w:trPr>
        <w:tc>
          <w:tcPr>
            <w:tcW w:w="48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Liberty</w:t>
            </w:r>
          </w:p>
        </w:tc>
        <w:tc>
          <w:tcPr>
            <w:tcW w:w="5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17,387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13,574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38,558</w:t>
            </w:r>
          </w:p>
        </w:tc>
        <w:tc>
          <w:tcPr>
            <w:tcW w:w="100" w:type="dxa"/>
            <w:vAlign w:val="bottom"/>
          </w:tcPr>
          <w:p>
            <w:pPr>
              <w:spacing w:after="0"/>
              <w:rPr>
                <w:sz w:val="19"/>
                <w:szCs w:val="19"/>
                <w:color w:val="auto"/>
              </w:rPr>
            </w:pPr>
          </w:p>
        </w:tc>
      </w:tr>
      <w:tr>
        <w:trPr>
          <w:trHeight w:val="213"/>
        </w:trPr>
        <w:tc>
          <w:tcPr>
            <w:tcW w:w="4800" w:type="dxa"/>
            <w:vAlign w:val="bottom"/>
            <w:gridSpan w:val="2"/>
          </w:tcPr>
          <w:p>
            <w:pPr>
              <w:ind w:left="20"/>
              <w:spacing w:after="0"/>
              <w:rPr>
                <w:sz w:val="20"/>
                <w:szCs w:val="20"/>
                <w:color w:val="auto"/>
              </w:rPr>
            </w:pPr>
            <w:r>
              <w:rPr>
                <w:rFonts w:ascii="Arial" w:cs="Arial" w:eastAsia="Arial" w:hAnsi="Arial"/>
                <w:sz w:val="16"/>
                <w:szCs w:val="16"/>
                <w:color w:val="auto"/>
              </w:rPr>
              <w:t>Marucci</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12,100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127,589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r>
      <w:tr>
        <w:trPr>
          <w:trHeight w:val="219"/>
        </w:trPr>
        <w:tc>
          <w:tcPr>
            <w:tcW w:w="48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Velocity Outdoor</w:t>
            </w:r>
          </w:p>
        </w:tc>
        <w:tc>
          <w:tcPr>
            <w:tcW w:w="5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43,508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20,290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184,825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192,288</w:t>
            </w:r>
          </w:p>
        </w:tc>
        <w:tc>
          <w:tcPr>
            <w:tcW w:w="100" w:type="dxa"/>
            <w:vAlign w:val="bottom"/>
          </w:tcPr>
          <w:p>
            <w:pPr>
              <w:spacing w:after="0"/>
              <w:rPr>
                <w:sz w:val="19"/>
                <w:szCs w:val="19"/>
                <w:color w:val="auto"/>
              </w:rPr>
            </w:pPr>
          </w:p>
        </w:tc>
      </w:tr>
      <w:tr>
        <w:trPr>
          <w:trHeight w:val="213"/>
        </w:trPr>
        <w:tc>
          <w:tcPr>
            <w:tcW w:w="4800" w:type="dxa"/>
            <w:vAlign w:val="bottom"/>
            <w:gridSpan w:val="2"/>
          </w:tcPr>
          <w:p>
            <w:pPr>
              <w:ind w:left="20"/>
              <w:spacing w:after="0"/>
              <w:rPr>
                <w:sz w:val="20"/>
                <w:szCs w:val="20"/>
                <w:color w:val="auto"/>
              </w:rPr>
            </w:pPr>
            <w:r>
              <w:rPr>
                <w:rFonts w:ascii="Arial" w:cs="Arial" w:eastAsia="Arial" w:hAnsi="Arial"/>
                <w:sz w:val="16"/>
                <w:szCs w:val="16"/>
                <w:color w:val="auto"/>
              </w:rPr>
              <w:t>ACI</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8,523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8,318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27,089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24,408</w:t>
            </w:r>
          </w:p>
        </w:tc>
        <w:tc>
          <w:tcPr>
            <w:tcW w:w="100" w:type="dxa"/>
            <w:vAlign w:val="bottom"/>
          </w:tcPr>
          <w:p>
            <w:pPr>
              <w:spacing w:after="0"/>
              <w:rPr>
                <w:sz w:val="18"/>
                <w:szCs w:val="18"/>
                <w:color w:val="auto"/>
              </w:rPr>
            </w:pPr>
          </w:p>
        </w:tc>
      </w:tr>
      <w:tr>
        <w:trPr>
          <w:trHeight w:val="219"/>
        </w:trPr>
        <w:tc>
          <w:tcPr>
            <w:tcW w:w="48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Arnold</w:t>
            </w:r>
          </w:p>
        </w:tc>
        <w:tc>
          <w:tcPr>
            <w:tcW w:w="5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15,819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19,043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71,731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72,650</w:t>
            </w:r>
          </w:p>
        </w:tc>
        <w:tc>
          <w:tcPr>
            <w:tcW w:w="100" w:type="dxa"/>
            <w:vAlign w:val="bottom"/>
          </w:tcPr>
          <w:p>
            <w:pPr>
              <w:spacing w:after="0"/>
              <w:rPr>
                <w:sz w:val="19"/>
                <w:szCs w:val="19"/>
                <w:color w:val="auto"/>
              </w:rPr>
            </w:pPr>
          </w:p>
        </w:tc>
      </w:tr>
      <w:tr>
        <w:trPr>
          <w:trHeight w:val="213"/>
        </w:trPr>
        <w:tc>
          <w:tcPr>
            <w:tcW w:w="4800" w:type="dxa"/>
            <w:vAlign w:val="bottom"/>
            <w:gridSpan w:val="2"/>
          </w:tcPr>
          <w:p>
            <w:pPr>
              <w:ind w:left="20"/>
              <w:spacing w:after="0"/>
              <w:rPr>
                <w:sz w:val="20"/>
                <w:szCs w:val="20"/>
                <w:color w:val="auto"/>
              </w:rPr>
            </w:pPr>
            <w:r>
              <w:rPr>
                <w:rFonts w:ascii="Arial" w:cs="Arial" w:eastAsia="Arial" w:hAnsi="Arial"/>
                <w:sz w:val="16"/>
                <w:szCs w:val="16"/>
                <w:color w:val="auto"/>
              </w:rPr>
              <w:t>Foam Fabricators</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26,582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24,455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163,094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156,914</w:t>
            </w:r>
          </w:p>
        </w:tc>
        <w:tc>
          <w:tcPr>
            <w:tcW w:w="100" w:type="dxa"/>
            <w:vAlign w:val="bottom"/>
          </w:tcPr>
          <w:p>
            <w:pPr>
              <w:spacing w:after="0"/>
              <w:rPr>
                <w:sz w:val="18"/>
                <w:szCs w:val="18"/>
                <w:color w:val="auto"/>
              </w:rPr>
            </w:pPr>
          </w:p>
        </w:tc>
      </w:tr>
      <w:tr>
        <w:trPr>
          <w:trHeight w:val="219"/>
        </w:trPr>
        <w:tc>
          <w:tcPr>
            <w:tcW w:w="48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Sterno</w:t>
            </w:r>
          </w:p>
        </w:tc>
        <w:tc>
          <w:tcPr>
            <w:tcW w:w="5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78,360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60,522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247,946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263,530</w:t>
            </w:r>
          </w:p>
        </w:tc>
        <w:tc>
          <w:tcPr>
            <w:tcW w:w="100" w:type="dxa"/>
            <w:vAlign w:val="bottom"/>
          </w:tcPr>
          <w:p>
            <w:pPr>
              <w:spacing w:after="0"/>
              <w:rPr>
                <w:sz w:val="19"/>
                <w:szCs w:val="19"/>
                <w:color w:val="auto"/>
              </w:rPr>
            </w:pPr>
          </w:p>
        </w:tc>
      </w:tr>
      <w:tr>
        <w:trPr>
          <w:trHeight w:val="213"/>
        </w:trPr>
        <w:tc>
          <w:tcPr>
            <w:tcW w:w="4800" w:type="dxa"/>
            <w:vAlign w:val="bottom"/>
            <w:gridSpan w:val="2"/>
          </w:tcPr>
          <w:p>
            <w:pPr>
              <w:ind w:left="20"/>
              <w:spacing w:after="0"/>
              <w:rPr>
                <w:sz w:val="20"/>
                <w:szCs w:val="20"/>
                <w:color w:val="auto"/>
              </w:rPr>
            </w:pPr>
            <w:r>
              <w:rPr>
                <w:rFonts w:ascii="Arial" w:cs="Arial" w:eastAsia="Arial" w:hAnsi="Arial"/>
                <w:sz w:val="16"/>
                <w:szCs w:val="16"/>
                <w:color w:val="auto"/>
              </w:rPr>
              <w:t>Allowance for doubtful accounts</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(17,225)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(14,800)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r>
      <w:tr>
        <w:trPr>
          <w:trHeight w:val="213"/>
        </w:trPr>
        <w:tc>
          <w:tcPr>
            <w:tcW w:w="48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5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242,947</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191,405</w:t>
            </w: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1,311,550</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1,197,438</w:t>
            </w:r>
          </w:p>
        </w:tc>
        <w:tc>
          <w:tcPr>
            <w:tcW w:w="100" w:type="dxa"/>
            <w:vAlign w:val="bottom"/>
          </w:tcPr>
          <w:p>
            <w:pPr>
              <w:spacing w:after="0"/>
              <w:rPr>
                <w:sz w:val="18"/>
                <w:szCs w:val="18"/>
                <w:color w:val="auto"/>
              </w:rPr>
            </w:pPr>
          </w:p>
        </w:tc>
      </w:tr>
      <w:tr>
        <w:trPr>
          <w:trHeight w:val="215"/>
        </w:trPr>
        <w:tc>
          <w:tcPr>
            <w:tcW w:w="4800" w:type="dxa"/>
            <w:vAlign w:val="bottom"/>
            <w:gridSpan w:val="2"/>
          </w:tcPr>
          <w:p>
            <w:pPr>
              <w:ind w:left="20"/>
              <w:spacing w:after="0"/>
              <w:rPr>
                <w:sz w:val="20"/>
                <w:szCs w:val="20"/>
                <w:color w:val="auto"/>
              </w:rPr>
            </w:pPr>
            <w:r>
              <w:rPr>
                <w:rFonts w:ascii="Arial" w:cs="Arial" w:eastAsia="Arial" w:hAnsi="Arial"/>
                <w:sz w:val="16"/>
                <w:szCs w:val="16"/>
                <w:b w:val="1"/>
                <w:bCs w:val="1"/>
                <w:color w:val="auto"/>
              </w:rPr>
              <w:t>Reconciliation of segment to consolidated total:</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7"/>
        </w:trPr>
        <w:tc>
          <w:tcPr>
            <w:tcW w:w="48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Corporate and other identifiable assets</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129,023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64,531</w:t>
            </w:r>
          </w:p>
        </w:tc>
        <w:tc>
          <w:tcPr>
            <w:tcW w:w="10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4680" w:type="dxa"/>
            <w:vAlign w:val="bottom"/>
          </w:tcPr>
          <w:p>
            <w:pPr>
              <w:ind w:left="100"/>
              <w:spacing w:after="0"/>
              <w:rPr>
                <w:sz w:val="20"/>
                <w:szCs w:val="20"/>
                <w:color w:val="auto"/>
              </w:rPr>
            </w:pPr>
            <w:r>
              <w:rPr>
                <w:rFonts w:ascii="Arial" w:cs="Arial" w:eastAsia="Arial" w:hAnsi="Arial"/>
                <w:sz w:val="16"/>
                <w:szCs w:val="16"/>
                <w:color w:val="auto"/>
              </w:rPr>
              <w:t>Consolidated total</w:t>
            </w:r>
          </w:p>
        </w:tc>
        <w:tc>
          <w:tcPr>
            <w:tcW w:w="560" w:type="dxa"/>
            <w:vAlign w:val="bottom"/>
          </w:tcPr>
          <w:p>
            <w:pPr>
              <w:jc w:val="right"/>
              <w:ind w:right="381"/>
              <w:spacing w:after="0"/>
              <w:rPr>
                <w:sz w:val="20"/>
                <w:szCs w:val="20"/>
                <w:color w:val="auto"/>
              </w:rPr>
            </w:pPr>
            <w:r>
              <w:rPr>
                <w:rFonts w:ascii="Arial" w:cs="Arial" w:eastAsia="Arial" w:hAnsi="Arial"/>
                <w:sz w:val="16"/>
                <w:szCs w:val="16"/>
                <w:color w:val="auto"/>
                <w:w w:val="89"/>
              </w:rPr>
              <w: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242,947</w:t>
            </w:r>
          </w:p>
        </w:tc>
        <w:tc>
          <w:tcPr>
            <w:tcW w:w="500" w:type="dxa"/>
            <w:vAlign w:val="bottom"/>
            <w:gridSpan w:val="2"/>
          </w:tcPr>
          <w:p>
            <w:pPr>
              <w:jc w:val="right"/>
              <w:ind w:right="224"/>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191,405</w:t>
            </w:r>
          </w:p>
        </w:tc>
        <w:tc>
          <w:tcPr>
            <w:tcW w:w="500" w:type="dxa"/>
            <w:vAlign w:val="bottom"/>
            <w:gridSpan w:val="3"/>
          </w:tcPr>
          <w:p>
            <w:pPr>
              <w:jc w:val="right"/>
              <w:ind w:right="14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1,440,573</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1,261,969</w:t>
            </w:r>
          </w:p>
        </w:tc>
        <w:tc>
          <w:tcPr>
            <w:tcW w:w="100" w:type="dxa"/>
            <w:vAlign w:val="bottom"/>
          </w:tcPr>
          <w:p>
            <w:pPr>
              <w:spacing w:after="0"/>
              <w:rPr>
                <w:sz w:val="18"/>
                <w:szCs w:val="18"/>
                <w:color w:val="auto"/>
              </w:rPr>
            </w:pPr>
          </w:p>
        </w:tc>
      </w:tr>
      <w:tr>
        <w:trPr>
          <w:trHeight w:val="21"/>
        </w:trPr>
        <w:tc>
          <w:tcPr>
            <w:tcW w:w="1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320" w:hanging="312"/>
        <w:spacing w:after="0"/>
        <w:tabs>
          <w:tab w:leader="none" w:pos="3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 xml:space="preserve">Does not include accounts receivable balances per schedule above or goodwill balances - refer to </w:t>
      </w:r>
      <w:hyperlink w:anchor="page22">
        <w:r>
          <w:rPr>
            <w:rFonts w:ascii="Arial" w:cs="Arial" w:eastAsia="Arial" w:hAnsi="Arial"/>
            <w:sz w:val="16"/>
            <w:szCs w:val="16"/>
            <w:u w:val="single" w:color="auto"/>
            <w:color w:val="0000FF"/>
          </w:rPr>
          <w:t>Note G - "Goodwill and Other Intangible Assets"</w:t>
        </w:r>
      </w:hyperlink>
      <w:r>
        <w:rPr>
          <w:rFonts w:ascii="Arial" w:cs="Arial" w:eastAsia="Arial" w:hAnsi="Arial"/>
          <w:sz w:val="16"/>
          <w:szCs w:val="16"/>
          <w:color w:val="auto"/>
        </w:rPr>
        <w:t>.</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25"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185" w:right="4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Note F — Property, Plant and Equipment and Inventory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plant and equipment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is comprised of the following at September 30, 2020 and December 31, 2019 (in thousands):</w:t>
      </w:r>
    </w:p>
    <w:p>
      <w:pPr>
        <w:spacing w:after="0" w:line="285" w:lineRule="exact"/>
        <w:rPr>
          <w:sz w:val="20"/>
          <w:szCs w:val="20"/>
          <w:color w:val="auto"/>
        </w:rPr>
      </w:pPr>
    </w:p>
    <w:tbl>
      <w:tblPr>
        <w:tblLayout w:type="fixed"/>
        <w:tblInd w:w="1200" w:type="dxa"/>
        <w:tblCellMar>
          <w:top w:w="0" w:type="dxa"/>
          <w:left w:w="0" w:type="dxa"/>
          <w:bottom w:w="0" w:type="dxa"/>
          <w:right w:w="0" w:type="dxa"/>
        </w:tblCellMar>
      </w:tblPr>
      <w:tr>
        <w:trPr>
          <w:trHeight w:val="206"/>
        </w:trPr>
        <w:tc>
          <w:tcPr>
            <w:tcW w:w="4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00" w:type="dxa"/>
            <w:vAlign w:val="bottom"/>
            <w:gridSpan w:val="2"/>
          </w:tcPr>
          <w:p>
            <w:pPr>
              <w:ind w:left="80"/>
              <w:spacing w:after="0"/>
              <w:rPr>
                <w:sz w:val="20"/>
                <w:szCs w:val="20"/>
                <w:color w:val="auto"/>
              </w:rPr>
            </w:pPr>
            <w:r>
              <w:rPr>
                <w:rFonts w:ascii="Arial" w:cs="Arial" w:eastAsia="Arial" w:hAnsi="Arial"/>
                <w:sz w:val="15"/>
                <w:szCs w:val="15"/>
                <w:b w:val="1"/>
                <w:bCs w:val="1"/>
                <w:color w:val="auto"/>
              </w:rPr>
              <w:t>September 30, 2020</w:t>
            </w:r>
          </w:p>
        </w:tc>
        <w:tc>
          <w:tcPr>
            <w:tcW w:w="200" w:type="dxa"/>
            <w:vAlign w:val="bottom"/>
          </w:tcPr>
          <w:p>
            <w:pPr>
              <w:spacing w:after="0"/>
              <w:rPr>
                <w:sz w:val="17"/>
                <w:szCs w:val="17"/>
                <w:color w:val="auto"/>
              </w:rPr>
            </w:pPr>
          </w:p>
        </w:tc>
        <w:tc>
          <w:tcPr>
            <w:tcW w:w="1800" w:type="dxa"/>
            <w:vAlign w:val="bottom"/>
          </w:tcPr>
          <w:p>
            <w:pPr>
              <w:jc w:val="right"/>
              <w:ind w:right="240"/>
              <w:spacing w:after="0"/>
              <w:rPr>
                <w:sz w:val="20"/>
                <w:szCs w:val="20"/>
                <w:color w:val="auto"/>
              </w:rPr>
            </w:pPr>
            <w:r>
              <w:rPr>
                <w:rFonts w:ascii="Arial" w:cs="Arial" w:eastAsia="Arial" w:hAnsi="Arial"/>
                <w:sz w:val="15"/>
                <w:szCs w:val="15"/>
                <w:b w:val="1"/>
                <w:bCs w:val="1"/>
                <w:color w:val="auto"/>
              </w:rPr>
              <w:t>December 31, 2019</w:t>
            </w:r>
          </w:p>
        </w:tc>
      </w:tr>
      <w:tr>
        <w:trPr>
          <w:trHeight w:val="213"/>
        </w:trPr>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Machinery and equipment</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208,648</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191,897</w:t>
            </w:r>
          </w:p>
        </w:tc>
      </w:tr>
      <w:tr>
        <w:trPr>
          <w:trHeight w:val="213"/>
        </w:trPr>
        <w:tc>
          <w:tcPr>
            <w:tcW w:w="4740" w:type="dxa"/>
            <w:vAlign w:val="bottom"/>
          </w:tcPr>
          <w:p>
            <w:pPr>
              <w:ind w:left="20"/>
              <w:spacing w:after="0"/>
              <w:rPr>
                <w:sz w:val="20"/>
                <w:szCs w:val="20"/>
                <w:color w:val="auto"/>
              </w:rPr>
            </w:pPr>
            <w:r>
              <w:rPr>
                <w:rFonts w:ascii="Arial" w:cs="Arial" w:eastAsia="Arial" w:hAnsi="Arial"/>
                <w:sz w:val="16"/>
                <w:szCs w:val="16"/>
                <w:color w:val="auto"/>
              </w:rPr>
              <w:t>Furniture, fixtures and other</w:t>
            </w:r>
          </w:p>
        </w:tc>
        <w:tc>
          <w:tcPr>
            <w:tcW w:w="2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42,757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36,604</w:t>
            </w:r>
          </w:p>
        </w:tc>
      </w:tr>
      <w:tr>
        <w:trPr>
          <w:trHeight w:val="219"/>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Leasehold improvements</w:t>
            </w: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45,224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40,851</w:t>
            </w:r>
          </w:p>
        </w:tc>
      </w:tr>
      <w:tr>
        <w:trPr>
          <w:trHeight w:val="213"/>
        </w:trPr>
        <w:tc>
          <w:tcPr>
            <w:tcW w:w="4740" w:type="dxa"/>
            <w:vAlign w:val="bottom"/>
          </w:tcPr>
          <w:p>
            <w:pPr>
              <w:ind w:left="20"/>
              <w:spacing w:after="0"/>
              <w:rPr>
                <w:sz w:val="20"/>
                <w:szCs w:val="20"/>
                <w:color w:val="auto"/>
              </w:rPr>
            </w:pPr>
            <w:r>
              <w:rPr>
                <w:rFonts w:ascii="Arial" w:cs="Arial" w:eastAsia="Arial" w:hAnsi="Arial"/>
                <w:sz w:val="16"/>
                <w:szCs w:val="16"/>
                <w:color w:val="auto"/>
              </w:rPr>
              <w:t>Buildings and land</w:t>
            </w:r>
          </w:p>
        </w:tc>
        <w:tc>
          <w:tcPr>
            <w:tcW w:w="2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10,800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7,992</w:t>
            </w:r>
          </w:p>
        </w:tc>
      </w:tr>
      <w:tr>
        <w:trPr>
          <w:trHeight w:val="216"/>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Construction in process</w:t>
            </w:r>
          </w:p>
        </w:tc>
        <w:tc>
          <w:tcPr>
            <w:tcW w:w="20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11,832</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10,559</w:t>
            </w:r>
          </w:p>
        </w:tc>
      </w:tr>
      <w:tr>
        <w:trPr>
          <w:trHeight w:val="209"/>
        </w:trPr>
        <w:tc>
          <w:tcPr>
            <w:tcW w:w="4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319,261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287,903</w:t>
            </w:r>
          </w:p>
        </w:tc>
      </w:tr>
      <w:tr>
        <w:trPr>
          <w:trHeight w:val="219"/>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accumulated depreciation</w:t>
            </w:r>
          </w:p>
        </w:tc>
        <w:tc>
          <w:tcPr>
            <w:tcW w:w="20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(163,660)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(141,475)</w:t>
            </w:r>
          </w:p>
        </w:tc>
      </w:tr>
      <w:tr>
        <w:trPr>
          <w:trHeight w:val="207"/>
        </w:trPr>
        <w:tc>
          <w:tcPr>
            <w:tcW w:w="4740" w:type="dxa"/>
            <w:vAlign w:val="bottom"/>
          </w:tcPr>
          <w:p>
            <w:pPr>
              <w:ind w:left="340"/>
              <w:spacing w:after="0"/>
              <w:rPr>
                <w:sz w:val="20"/>
                <w:szCs w:val="20"/>
                <w:color w:val="auto"/>
              </w:rPr>
            </w:pPr>
            <w:r>
              <w:rPr>
                <w:rFonts w:ascii="Arial" w:cs="Arial" w:eastAsia="Arial" w:hAnsi="Arial"/>
                <w:sz w:val="16"/>
                <w:szCs w:val="16"/>
                <w:color w:val="auto"/>
              </w:rPr>
              <w:t>Total</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155,601</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146,428</w:t>
            </w:r>
          </w:p>
        </w:tc>
      </w:tr>
      <w:tr>
        <w:trPr>
          <w:trHeight w:val="23"/>
        </w:trPr>
        <w:tc>
          <w:tcPr>
            <w:tcW w:w="47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bl>
    <w:p>
      <w:pPr>
        <w:spacing w:after="0" w:line="21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Depreciation expense was $8.8 million and $25.7 million for the three and nine months ended September 30, 2020 and $8.4 million and $24.6 million for the three and nine months ended September 30, 2019,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Inventory is comprised of the following at September 30, 2020 and December 31, 2019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28" w:lineRule="exact"/>
        <w:rPr>
          <w:sz w:val="20"/>
          <w:szCs w:val="20"/>
          <w:color w:val="auto"/>
        </w:rPr>
      </w:pPr>
    </w:p>
    <w:tbl>
      <w:tblPr>
        <w:tblLayout w:type="fixed"/>
        <w:tblInd w:w="1200" w:type="dxa"/>
        <w:tblCellMar>
          <w:top w:w="0" w:type="dxa"/>
          <w:left w:w="0" w:type="dxa"/>
          <w:bottom w:w="0" w:type="dxa"/>
          <w:right w:w="0" w:type="dxa"/>
        </w:tblCellMar>
      </w:tblPr>
      <w:tr>
        <w:trPr>
          <w:trHeight w:val="206"/>
        </w:trPr>
        <w:tc>
          <w:tcPr>
            <w:tcW w:w="4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00" w:type="dxa"/>
            <w:vAlign w:val="bottom"/>
            <w:gridSpan w:val="2"/>
          </w:tcPr>
          <w:p>
            <w:pPr>
              <w:ind w:left="80"/>
              <w:spacing w:after="0"/>
              <w:rPr>
                <w:sz w:val="20"/>
                <w:szCs w:val="20"/>
                <w:color w:val="auto"/>
              </w:rPr>
            </w:pPr>
            <w:r>
              <w:rPr>
                <w:rFonts w:ascii="Arial" w:cs="Arial" w:eastAsia="Arial" w:hAnsi="Arial"/>
                <w:sz w:val="15"/>
                <w:szCs w:val="15"/>
                <w:b w:val="1"/>
                <w:bCs w:val="1"/>
                <w:color w:val="auto"/>
              </w:rPr>
              <w:t>September 30, 2020</w:t>
            </w:r>
          </w:p>
        </w:tc>
        <w:tc>
          <w:tcPr>
            <w:tcW w:w="200" w:type="dxa"/>
            <w:vAlign w:val="bottom"/>
          </w:tcPr>
          <w:p>
            <w:pPr>
              <w:spacing w:after="0"/>
              <w:rPr>
                <w:sz w:val="17"/>
                <w:szCs w:val="17"/>
                <w:color w:val="auto"/>
              </w:rPr>
            </w:pPr>
          </w:p>
        </w:tc>
        <w:tc>
          <w:tcPr>
            <w:tcW w:w="1800" w:type="dxa"/>
            <w:vAlign w:val="bottom"/>
          </w:tcPr>
          <w:p>
            <w:pPr>
              <w:jc w:val="right"/>
              <w:ind w:right="240"/>
              <w:spacing w:after="0"/>
              <w:rPr>
                <w:sz w:val="20"/>
                <w:szCs w:val="20"/>
                <w:color w:val="auto"/>
              </w:rPr>
            </w:pPr>
            <w:r>
              <w:rPr>
                <w:rFonts w:ascii="Arial" w:cs="Arial" w:eastAsia="Arial" w:hAnsi="Arial"/>
                <w:sz w:val="15"/>
                <w:szCs w:val="15"/>
                <w:b w:val="1"/>
                <w:bCs w:val="1"/>
                <w:color w:val="auto"/>
              </w:rPr>
              <w:t>December 31, 2019</w:t>
            </w:r>
          </w:p>
        </w:tc>
      </w:tr>
      <w:tr>
        <w:trPr>
          <w:trHeight w:val="213"/>
        </w:trPr>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Raw materials</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72,873</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59,888</w:t>
            </w:r>
          </w:p>
        </w:tc>
      </w:tr>
      <w:tr>
        <w:trPr>
          <w:trHeight w:val="213"/>
        </w:trPr>
        <w:tc>
          <w:tcPr>
            <w:tcW w:w="4740" w:type="dxa"/>
            <w:vAlign w:val="bottom"/>
          </w:tcPr>
          <w:p>
            <w:pPr>
              <w:ind w:left="20"/>
              <w:spacing w:after="0"/>
              <w:rPr>
                <w:sz w:val="20"/>
                <w:szCs w:val="20"/>
                <w:color w:val="auto"/>
              </w:rPr>
            </w:pPr>
            <w:r>
              <w:rPr>
                <w:rFonts w:ascii="Arial" w:cs="Arial" w:eastAsia="Arial" w:hAnsi="Arial"/>
                <w:sz w:val="16"/>
                <w:szCs w:val="16"/>
                <w:color w:val="auto"/>
              </w:rPr>
              <w:t>Work-in-process</w:t>
            </w:r>
          </w:p>
        </w:tc>
        <w:tc>
          <w:tcPr>
            <w:tcW w:w="2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15,300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14,318</w:t>
            </w:r>
          </w:p>
        </w:tc>
      </w:tr>
      <w:tr>
        <w:trPr>
          <w:trHeight w:val="219"/>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Finished goods</w:t>
            </w: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278,231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262,352</w:t>
            </w:r>
          </w:p>
        </w:tc>
      </w:tr>
      <w:tr>
        <w:trPr>
          <w:trHeight w:val="213"/>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obsolescence reserve</w:t>
            </w:r>
          </w:p>
        </w:tc>
        <w:tc>
          <w:tcPr>
            <w:tcW w:w="2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(22,368)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(19,252)</w:t>
            </w:r>
          </w:p>
        </w:tc>
      </w:tr>
      <w:tr>
        <w:trPr>
          <w:trHeight w:val="234"/>
        </w:trPr>
        <w:tc>
          <w:tcPr>
            <w:tcW w:w="4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344,036</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317,306</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 — Goodwill and Other Intangible Assets</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a result of acquisitions of various businesses, the Company has significant intangible assets on its balance sheet that include goodwill and indefinite-lived intangibles. The Company’s goodwill and indefinite-lived intangibles are tested and reviewed for impairment annually as of March 31st or more frequently if facts and circumstances warrant by comparing the fair value of each reporting unit to its carrying value. Each of the Company’s businesses represent a reporting unit.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Annual Impairment Testing</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uses a qualitative approach to test goodwill for impairment by first assessing qualitative factors to determine whether it is more-likely-than-not that the fair value of a reporting unit is less than its carrying amount as a basis for determining whether it is necessary to perform quantitative goodwill impairment testing. We determined that the Ergobaby, Foam Fabricators and Velocity reporting units required additional quantitative testing because we could not conclude that the fair value of the reporting unit exceeded its carrying value based on qualitative factors alone. For the reporting units that were tested only on a qualitative basis for the 2020 annual impairment testing, the results of the qualitative analysis indicated that it is more likely than not that the fair value exceeded the carrying value of these reporting units.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0" w:right="339" w:bottom="1440" w:gutter="0" w:footer="0" w:header="0"/>
        </w:sectPr>
      </w:pPr>
    </w:p>
    <w:bookmarkStart w:id="22" w:name="page23"/>
    <w:bookmarkEnd w:id="22"/>
    <w:p>
      <w:pPr>
        <w:jc w:val="both"/>
        <w:spacing w:after="0" w:line="252" w:lineRule="auto"/>
        <w:rPr>
          <w:sz w:val="20"/>
          <w:szCs w:val="20"/>
          <w:color w:val="auto"/>
        </w:rPr>
      </w:pPr>
      <w:r>
        <w:rPr>
          <w:rFonts w:ascii="Arial" w:cs="Arial" w:eastAsia="Arial" w:hAnsi="Arial"/>
          <w:sz w:val="18"/>
          <w:szCs w:val="18"/>
          <w:color w:val="auto"/>
        </w:rPr>
        <w:t>The quantitative tests of Ergobaby, Foam Fabricators and Velocity were performed using an income approach to determine the fair value of the reporting units. For Ergobaby, the discount rate used in the income approach was 15.9% and the results of the quantitative impairment testing indicated that the fair value of the Ergobaby reporting unit exceeded the carrying value by 14.0%. For Foam Fabricators, the discount rate used in the income approach was 13.3%, and the results of the quantitative impairment testing indicated that the fair value of the Foam Fabricators reporting unit exceeded the carrying value by 3.8%. For Velocity, the discount rate used in the income approach was 12.8%, and the results of the quantitative impairment testing indicated that the fair value of the Velocity reporting unit exceeded the carrying value by 16.4%.</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Interim Impairment Testing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Velocity Outdoor</w:t>
      </w:r>
    </w:p>
    <w:p>
      <w:pPr>
        <w:spacing w:after="0" w:line="13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Company performed interim quantitative impairment testing of Velocity Outdoor at September 30, 2019. As a result of operating results below forecasts in the current period as well as a re-forecast of the Velocity business in which planned earnings and revenue fell below the forecasts of prior periods, the Company determined that a triggering event occurred in the third quarter of 2019. The Company used an income approach for the impairment test, whereby we estimate the fair value of the reporting unit based on the present value of future cash flows. Cash flow projections are based on management's estimate of revenue growth rates and operating margins, and take into consideration industry and market conditions as well as company specific economic factors. The Company used a weighted average cost of capital of 12.2% in the income approach. The discount rate used was based on the weighted average cost of capital adjusted for the relevant risk associated with business specific characteristics and Velocity's ability to execute on the projected cash flows. Based on the results of the impairment test, the fair value of Velocity did not exceed the carrying value, indicating that the goodwill at Velocity was impaired. The difference between the carrying value and fair value of the Velocity business was $32.9 million, which the Company recorded as impairment expense in the consolidated statement of operations for the year ended December 31, 2019.</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Annual Impairment Testing</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All of the Company's reporting units were tested qualitatively at March 31, 2019. We determined that the Liberty reporting unit required additional quantitative testing because we could not conclude that the fair value of the reporting unit exceeded its carrying value based on qualitative factors alone. We used an income approach and market approach for the quantitative impairment test that was performed of the Liberty business at March 31, 2019, with equal weighting assigned to each. The discount rate used in the income approach was 14.8%. The results of the quantitative impairment testing indicated that the fair value of the Liberty reporting unit exceeded the carrying value. For the reporting units that were tested qualitatively for the 2019 annual impairment testing, the results of the qualitative analysis indicated that it is more likely than not that the fair value exceeded their carrying value.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 summary of the net carrying value of goodwill at September 30, 2020 and December 31, 2019,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30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980" w:type="dxa"/>
            <w:vAlign w:val="bottom"/>
            <w:gridSpan w:val="2"/>
          </w:tcPr>
          <w:p>
            <w:pPr>
              <w:ind w:left="60"/>
              <w:spacing w:after="0"/>
              <w:rPr>
                <w:sz w:val="20"/>
                <w:szCs w:val="20"/>
                <w:color w:val="auto"/>
              </w:rPr>
            </w:pPr>
            <w:r>
              <w:rPr>
                <w:rFonts w:ascii="Arial" w:cs="Arial" w:eastAsia="Arial" w:hAnsi="Arial"/>
                <w:sz w:val="15"/>
                <w:szCs w:val="15"/>
                <w:b w:val="1"/>
                <w:bCs w:val="1"/>
                <w:color w:val="auto"/>
              </w:rPr>
              <w:t>Nine months ended</w:t>
            </w:r>
          </w:p>
        </w:tc>
        <w:tc>
          <w:tcPr>
            <w:tcW w:w="260" w:type="dxa"/>
            <w:vAlign w:val="bottom"/>
          </w:tcPr>
          <w:p>
            <w:pPr>
              <w:spacing w:after="0"/>
              <w:rPr>
                <w:sz w:val="15"/>
                <w:szCs w:val="15"/>
                <w:color w:val="auto"/>
              </w:rPr>
            </w:pPr>
          </w:p>
        </w:tc>
        <w:tc>
          <w:tcPr>
            <w:tcW w:w="3220" w:type="dxa"/>
            <w:vAlign w:val="bottom"/>
            <w:gridSpan w:val="2"/>
          </w:tcPr>
          <w:p>
            <w:pPr>
              <w:ind w:left="400"/>
              <w:spacing w:after="0"/>
              <w:rPr>
                <w:sz w:val="20"/>
                <w:szCs w:val="20"/>
                <w:color w:val="auto"/>
              </w:rPr>
            </w:pPr>
            <w:r>
              <w:rPr>
                <w:rFonts w:ascii="Arial" w:cs="Arial" w:eastAsia="Arial" w:hAnsi="Arial"/>
                <w:sz w:val="15"/>
                <w:szCs w:val="15"/>
                <w:b w:val="1"/>
                <w:bCs w:val="1"/>
                <w:color w:val="auto"/>
              </w:rPr>
              <w:t>Year ended</w:t>
            </w:r>
          </w:p>
        </w:tc>
      </w:tr>
      <w:tr>
        <w:trPr>
          <w:trHeight w:val="202"/>
        </w:trPr>
        <w:tc>
          <w:tcPr>
            <w:tcW w:w="130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80" w:type="dxa"/>
            <w:vAlign w:val="bottom"/>
            <w:gridSpan w:val="2"/>
          </w:tcPr>
          <w:p>
            <w:pPr>
              <w:ind w:left="40"/>
              <w:spacing w:after="0"/>
              <w:rPr>
                <w:sz w:val="20"/>
                <w:szCs w:val="20"/>
                <w:color w:val="auto"/>
              </w:rPr>
            </w:pPr>
            <w:r>
              <w:rPr>
                <w:rFonts w:ascii="Arial" w:cs="Arial" w:eastAsia="Arial" w:hAnsi="Arial"/>
                <w:sz w:val="15"/>
                <w:szCs w:val="15"/>
                <w:b w:val="1"/>
                <w:bCs w:val="1"/>
                <w:color w:val="auto"/>
              </w:rPr>
              <w:t>September 30, 2020</w:t>
            </w:r>
          </w:p>
        </w:tc>
        <w:tc>
          <w:tcPr>
            <w:tcW w:w="260" w:type="dxa"/>
            <w:vAlign w:val="bottom"/>
          </w:tcPr>
          <w:p>
            <w:pPr>
              <w:spacing w:after="0"/>
              <w:rPr>
                <w:sz w:val="17"/>
                <w:szCs w:val="17"/>
                <w:color w:val="auto"/>
              </w:rPr>
            </w:pPr>
          </w:p>
        </w:tc>
        <w:tc>
          <w:tcPr>
            <w:tcW w:w="3220" w:type="dxa"/>
            <w:vAlign w:val="bottom"/>
            <w:gridSpan w:val="2"/>
          </w:tcPr>
          <w:p>
            <w:pPr>
              <w:ind w:left="160"/>
              <w:spacing w:after="0"/>
              <w:rPr>
                <w:sz w:val="20"/>
                <w:szCs w:val="20"/>
                <w:color w:val="auto"/>
              </w:rPr>
            </w:pPr>
            <w:r>
              <w:rPr>
                <w:rFonts w:ascii="Arial" w:cs="Arial" w:eastAsia="Arial" w:hAnsi="Arial"/>
                <w:sz w:val="15"/>
                <w:szCs w:val="15"/>
                <w:b w:val="1"/>
                <w:bCs w:val="1"/>
                <w:color w:val="auto"/>
              </w:rPr>
              <w:t>December 31, 2019</w:t>
            </w:r>
          </w:p>
        </w:tc>
      </w:tr>
      <w:tr>
        <w:trPr>
          <w:trHeight w:val="210"/>
        </w:trPr>
        <w:tc>
          <w:tcPr>
            <w:tcW w:w="1300" w:type="dxa"/>
            <w:vAlign w:val="bottom"/>
          </w:tcPr>
          <w:p>
            <w:pPr>
              <w:spacing w:after="0"/>
              <w:rPr>
                <w:sz w:val="18"/>
                <w:szCs w:val="18"/>
                <w:color w:val="auto"/>
              </w:rPr>
            </w:pPr>
          </w:p>
        </w:tc>
        <w:tc>
          <w:tcPr>
            <w:tcW w:w="4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Goodwill - gross carrying amount</w:t>
            </w: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566,209</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9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496,264</w:t>
            </w:r>
          </w:p>
        </w:tc>
        <w:tc>
          <w:tcPr>
            <w:tcW w:w="1280" w:type="dxa"/>
            <w:vAlign w:val="bottom"/>
          </w:tcPr>
          <w:p>
            <w:pPr>
              <w:spacing w:after="0"/>
              <w:rPr>
                <w:sz w:val="18"/>
                <w:szCs w:val="18"/>
                <w:color w:val="auto"/>
              </w:rPr>
            </w:pPr>
          </w:p>
        </w:tc>
      </w:tr>
      <w:tr>
        <w:trPr>
          <w:trHeight w:val="213"/>
        </w:trPr>
        <w:tc>
          <w:tcPr>
            <w:tcW w:w="1300" w:type="dxa"/>
            <w:vAlign w:val="bottom"/>
          </w:tcPr>
          <w:p>
            <w:pPr>
              <w:spacing w:after="0"/>
              <w:rPr>
                <w:sz w:val="18"/>
                <w:szCs w:val="18"/>
                <w:color w:val="auto"/>
              </w:rPr>
            </w:pPr>
          </w:p>
        </w:tc>
        <w:tc>
          <w:tcPr>
            <w:tcW w:w="41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Accumulated impairment losses</w:t>
            </w:r>
          </w:p>
        </w:tc>
        <w:tc>
          <w:tcPr>
            <w:tcW w:w="34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(57,745)</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(57,745)</w:t>
            </w:r>
          </w:p>
        </w:tc>
        <w:tc>
          <w:tcPr>
            <w:tcW w:w="1280" w:type="dxa"/>
            <w:vAlign w:val="bottom"/>
          </w:tcPr>
          <w:p>
            <w:pPr>
              <w:spacing w:after="0"/>
              <w:rPr>
                <w:sz w:val="18"/>
                <w:szCs w:val="18"/>
                <w:color w:val="auto"/>
              </w:rPr>
            </w:pPr>
          </w:p>
        </w:tc>
      </w:tr>
      <w:tr>
        <w:trPr>
          <w:trHeight w:val="234"/>
        </w:trPr>
        <w:tc>
          <w:tcPr>
            <w:tcW w:w="1300" w:type="dxa"/>
            <w:vAlign w:val="bottom"/>
          </w:tcPr>
          <w:p>
            <w:pPr>
              <w:spacing w:after="0"/>
              <w:rPr>
                <w:sz w:val="19"/>
                <w:szCs w:val="19"/>
                <w:color w:val="auto"/>
              </w:rPr>
            </w:pPr>
          </w:p>
        </w:tc>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Goodwill - net carrying amount</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508,464</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9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438,519</w:t>
            </w:r>
          </w:p>
        </w:tc>
        <w:tc>
          <w:tcPr>
            <w:tcW w:w="1280" w:type="dxa"/>
            <w:vAlign w:val="bottom"/>
          </w:tcPr>
          <w:p>
            <w:pPr>
              <w:spacing w:after="0"/>
              <w:rPr>
                <w:sz w:val="19"/>
                <w:szCs w:val="19"/>
                <w:color w:val="auto"/>
              </w:rPr>
            </w:pPr>
          </w:p>
        </w:tc>
      </w:tr>
      <w:tr>
        <w:trPr>
          <w:trHeight w:val="20"/>
        </w:trPr>
        <w:tc>
          <w:tcPr>
            <w:tcW w:w="1300" w:type="dxa"/>
            <w:vAlign w:val="bottom"/>
          </w:tcPr>
          <w:p>
            <w:pPr>
              <w:spacing w:after="0" w:line="20" w:lineRule="exact"/>
              <w:rPr>
                <w:sz w:val="1"/>
                <w:szCs w:val="1"/>
                <w:color w:val="auto"/>
              </w:rPr>
            </w:pPr>
          </w:p>
        </w:tc>
        <w:tc>
          <w:tcPr>
            <w:tcW w:w="4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754"/>
        </w:trPr>
        <w:tc>
          <w:tcPr>
            <w:tcW w:w="130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23</w:t>
            </w:r>
          </w:p>
        </w:tc>
        <w:tc>
          <w:tcPr>
            <w:tcW w:w="1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08"/>
        </w:trPr>
        <w:tc>
          <w:tcPr>
            <w:tcW w:w="1300" w:type="dxa"/>
            <w:vAlign w:val="bottom"/>
            <w:tcBorders>
              <w:bottom w:val="single" w:sz="8" w:color="9A9A9A"/>
            </w:tcBorders>
          </w:tcPr>
          <w:p>
            <w:pPr>
              <w:spacing w:after="0"/>
              <w:rPr>
                <w:sz w:val="9"/>
                <w:szCs w:val="9"/>
                <w:color w:val="auto"/>
              </w:rPr>
            </w:pPr>
          </w:p>
        </w:tc>
        <w:tc>
          <w:tcPr>
            <w:tcW w:w="414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8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94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23" w:name="page24"/>
    <w:bookmarkEnd w:id="23"/>
    <w:p>
      <w:pPr>
        <w:ind w:right="180"/>
        <w:spacing w:after="0" w:line="261" w:lineRule="auto"/>
        <w:rPr>
          <w:sz w:val="20"/>
          <w:szCs w:val="20"/>
          <w:color w:val="auto"/>
        </w:rPr>
      </w:pPr>
      <w:r>
        <w:rPr>
          <w:rFonts w:ascii="Arial" w:cs="Arial" w:eastAsia="Arial" w:hAnsi="Arial"/>
          <w:sz w:val="18"/>
          <w:szCs w:val="18"/>
          <w:color w:val="auto"/>
        </w:rPr>
        <w:t xml:space="preserve">The following is a reconciliation of the change in the carrying value of goodwill for the nine months ended September 30, 2020 by operating segment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00"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2520" w:type="dxa"/>
            <w:vAlign w:val="bottom"/>
          </w:tcPr>
          <w:p>
            <w:pPr>
              <w:spacing w:after="0"/>
              <w:rPr>
                <w:sz w:val="14"/>
                <w:szCs w:val="14"/>
                <w:color w:val="auto"/>
              </w:rPr>
            </w:pPr>
          </w:p>
        </w:tc>
        <w:tc>
          <w:tcPr>
            <w:tcW w:w="1800" w:type="dxa"/>
            <w:vAlign w:val="bottom"/>
            <w:gridSpan w:val="3"/>
          </w:tcPr>
          <w:p>
            <w:pPr>
              <w:ind w:left="80"/>
              <w:spacing w:after="0"/>
              <w:rPr>
                <w:sz w:val="20"/>
                <w:szCs w:val="20"/>
                <w:color w:val="auto"/>
              </w:rPr>
            </w:pPr>
            <w:r>
              <w:rPr>
                <w:rFonts w:ascii="Arial" w:cs="Arial" w:eastAsia="Arial" w:hAnsi="Arial"/>
                <w:sz w:val="14"/>
                <w:szCs w:val="14"/>
                <w:b w:val="1"/>
                <w:bCs w:val="1"/>
                <w:color w:val="auto"/>
              </w:rPr>
              <w:t>Balance at January 1,</w:t>
            </w:r>
          </w:p>
        </w:tc>
        <w:tc>
          <w:tcPr>
            <w:tcW w:w="220" w:type="dxa"/>
            <w:vAlign w:val="bottom"/>
          </w:tcPr>
          <w:p>
            <w:pPr>
              <w:spacing w:after="0"/>
              <w:rPr>
                <w:sz w:val="14"/>
                <w:szCs w:val="14"/>
                <w:color w:val="auto"/>
              </w:rPr>
            </w:pPr>
          </w:p>
        </w:tc>
        <w:tc>
          <w:tcPr>
            <w:tcW w:w="1360" w:type="dxa"/>
            <w:vAlign w:val="bottom"/>
            <w:vMerge w:val="restart"/>
          </w:tcPr>
          <w:p>
            <w:pPr>
              <w:jc w:val="right"/>
              <w:ind w:right="280"/>
              <w:spacing w:after="0"/>
              <w:rPr>
                <w:sz w:val="20"/>
                <w:szCs w:val="20"/>
                <w:color w:val="auto"/>
              </w:rPr>
            </w:pPr>
            <w:r>
              <w:rPr>
                <w:rFonts w:ascii="Arial" w:cs="Arial" w:eastAsia="Arial" w:hAnsi="Arial"/>
                <w:sz w:val="14"/>
                <w:szCs w:val="14"/>
                <w:b w:val="1"/>
                <w:bCs w:val="1"/>
                <w:color w:val="auto"/>
              </w:rPr>
              <w:t>Acquisitions</w:t>
            </w:r>
          </w:p>
        </w:tc>
        <w:tc>
          <w:tcPr>
            <w:tcW w:w="16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ind w:left="180"/>
              <w:spacing w:after="0"/>
              <w:rPr>
                <w:sz w:val="20"/>
                <w:szCs w:val="20"/>
                <w:color w:val="auto"/>
              </w:rPr>
            </w:pPr>
            <w:r>
              <w:rPr>
                <w:rFonts w:ascii="Arial" w:cs="Arial" w:eastAsia="Arial" w:hAnsi="Arial"/>
                <w:sz w:val="14"/>
                <w:szCs w:val="14"/>
                <w:b w:val="1"/>
                <w:bCs w:val="1"/>
                <w:color w:val="auto"/>
              </w:rPr>
              <w:t>Goodwill</w:t>
            </w:r>
          </w:p>
        </w:tc>
        <w:tc>
          <w:tcPr>
            <w:tcW w:w="260" w:type="dxa"/>
            <w:vAlign w:val="bottom"/>
          </w:tcPr>
          <w:p>
            <w:pPr>
              <w:spacing w:after="0"/>
              <w:rPr>
                <w:sz w:val="14"/>
                <w:szCs w:val="14"/>
                <w:color w:val="auto"/>
              </w:rPr>
            </w:pPr>
          </w:p>
        </w:tc>
        <w:tc>
          <w:tcPr>
            <w:tcW w:w="94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Other</w:t>
            </w:r>
          </w:p>
        </w:tc>
        <w:tc>
          <w:tcPr>
            <w:tcW w:w="160" w:type="dxa"/>
            <w:vAlign w:val="bottom"/>
            <w:vMerge w:val="restart"/>
          </w:tcPr>
          <w:p>
            <w:pPr>
              <w:spacing w:after="0"/>
              <w:rPr>
                <w:sz w:val="14"/>
                <w:szCs w:val="14"/>
                <w:color w:val="auto"/>
              </w:rPr>
            </w:pPr>
          </w:p>
        </w:tc>
        <w:tc>
          <w:tcPr>
            <w:tcW w:w="1860" w:type="dxa"/>
            <w:vAlign w:val="bottom"/>
            <w:gridSpan w:val="2"/>
          </w:tcPr>
          <w:p>
            <w:pPr>
              <w:jc w:val="right"/>
              <w:spacing w:after="0"/>
              <w:rPr>
                <w:sz w:val="20"/>
                <w:szCs w:val="20"/>
                <w:color w:val="auto"/>
              </w:rPr>
            </w:pPr>
            <w:r>
              <w:rPr>
                <w:rFonts w:ascii="Arial" w:cs="Arial" w:eastAsia="Arial" w:hAnsi="Arial"/>
                <w:sz w:val="14"/>
                <w:szCs w:val="14"/>
                <w:b w:val="1"/>
                <w:bCs w:val="1"/>
                <w:color w:val="auto"/>
              </w:rPr>
              <w:t>Balance at September 30,</w:t>
            </w:r>
          </w:p>
        </w:tc>
        <w:tc>
          <w:tcPr>
            <w:tcW w:w="0" w:type="dxa"/>
            <w:vAlign w:val="bottom"/>
          </w:tcPr>
          <w:p>
            <w:pPr>
              <w:spacing w:after="0"/>
              <w:rPr>
                <w:sz w:val="1"/>
                <w:szCs w:val="1"/>
                <w:color w:val="auto"/>
              </w:rPr>
            </w:pPr>
          </w:p>
        </w:tc>
      </w:tr>
      <w:tr>
        <w:trPr>
          <w:trHeight w:val="176"/>
        </w:trPr>
        <w:tc>
          <w:tcPr>
            <w:tcW w:w="25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Impairment</w:t>
            </w:r>
          </w:p>
        </w:tc>
        <w:tc>
          <w:tcPr>
            <w:tcW w:w="16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vMerge w:val="continue"/>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700"/>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9"/>
        </w:trPr>
        <w:tc>
          <w:tcPr>
            <w:tcW w:w="2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5.11</w:t>
            </w:r>
          </w:p>
        </w:tc>
        <w:tc>
          <w:tcPr>
            <w:tcW w:w="38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92,966</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gridSpan w:val="2"/>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right"/>
              <w:ind w:right="242"/>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92,966</w:t>
            </w:r>
          </w:p>
        </w:tc>
        <w:tc>
          <w:tcPr>
            <w:tcW w:w="0" w:type="dxa"/>
            <w:vAlign w:val="bottom"/>
          </w:tcPr>
          <w:p>
            <w:pPr>
              <w:spacing w:after="0"/>
              <w:rPr>
                <w:sz w:val="1"/>
                <w:szCs w:val="1"/>
                <w:color w:val="auto"/>
              </w:rPr>
            </w:pPr>
          </w:p>
        </w:tc>
      </w:tr>
      <w:tr>
        <w:trPr>
          <w:trHeight w:val="213"/>
        </w:trPr>
        <w:tc>
          <w:tcPr>
            <w:tcW w:w="2520" w:type="dxa"/>
            <w:vAlign w:val="bottom"/>
          </w:tcPr>
          <w:p>
            <w:pPr>
              <w:ind w:left="20"/>
              <w:spacing w:after="0"/>
              <w:rPr>
                <w:sz w:val="20"/>
                <w:szCs w:val="20"/>
                <w:color w:val="auto"/>
              </w:rPr>
            </w:pPr>
            <w:r>
              <w:rPr>
                <w:rFonts w:ascii="Arial" w:cs="Arial" w:eastAsia="Arial" w:hAnsi="Arial"/>
                <w:sz w:val="16"/>
                <w:szCs w:val="16"/>
                <w:color w:val="auto"/>
              </w:rPr>
              <w:t>Ergobaby</w:t>
            </w: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61,031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340" w:type="dxa"/>
            <w:vAlign w:val="bottom"/>
            <w:gridSpan w:val="2"/>
          </w:tcPr>
          <w:p>
            <w:pPr>
              <w:ind w:left="9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10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61,031</w:t>
            </w:r>
          </w:p>
        </w:tc>
        <w:tc>
          <w:tcPr>
            <w:tcW w:w="0" w:type="dxa"/>
            <w:vAlign w:val="bottom"/>
          </w:tcPr>
          <w:p>
            <w:pPr>
              <w:spacing w:after="0"/>
              <w:rPr>
                <w:sz w:val="1"/>
                <w:szCs w:val="1"/>
                <w:color w:val="auto"/>
              </w:rPr>
            </w:pPr>
          </w:p>
        </w:tc>
      </w:tr>
      <w:tr>
        <w:trPr>
          <w:trHeight w:val="219"/>
        </w:trPr>
        <w:tc>
          <w:tcPr>
            <w:tcW w:w="2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Liberty</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32,828</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32,828</w:t>
            </w:r>
          </w:p>
        </w:tc>
        <w:tc>
          <w:tcPr>
            <w:tcW w:w="0" w:type="dxa"/>
            <w:vAlign w:val="bottom"/>
          </w:tcPr>
          <w:p>
            <w:pPr>
              <w:spacing w:after="0"/>
              <w:rPr>
                <w:sz w:val="1"/>
                <w:szCs w:val="1"/>
                <w:color w:val="auto"/>
              </w:rPr>
            </w:pPr>
          </w:p>
        </w:tc>
      </w:tr>
      <w:tr>
        <w:trPr>
          <w:trHeight w:val="213"/>
        </w:trPr>
        <w:tc>
          <w:tcPr>
            <w:tcW w:w="2520" w:type="dxa"/>
            <w:vAlign w:val="bottom"/>
          </w:tcPr>
          <w:p>
            <w:pPr>
              <w:ind w:left="20"/>
              <w:spacing w:after="0"/>
              <w:rPr>
                <w:sz w:val="20"/>
                <w:szCs w:val="20"/>
                <w:color w:val="auto"/>
              </w:rPr>
            </w:pPr>
            <w:r>
              <w:rPr>
                <w:rFonts w:ascii="Arial" w:cs="Arial" w:eastAsia="Arial" w:hAnsi="Arial"/>
                <w:sz w:val="16"/>
                <w:szCs w:val="16"/>
                <w:color w:val="auto"/>
              </w:rPr>
              <w:t>Marucci</w:t>
            </w:r>
          </w:p>
        </w:tc>
        <w:tc>
          <w:tcPr>
            <w:tcW w:w="38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67,971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ind w:left="9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10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67,971</w:t>
            </w:r>
          </w:p>
        </w:tc>
        <w:tc>
          <w:tcPr>
            <w:tcW w:w="0" w:type="dxa"/>
            <w:vAlign w:val="bottom"/>
          </w:tcPr>
          <w:p>
            <w:pPr>
              <w:spacing w:after="0"/>
              <w:rPr>
                <w:sz w:val="1"/>
                <w:szCs w:val="1"/>
                <w:color w:val="auto"/>
              </w:rPr>
            </w:pPr>
          </w:p>
        </w:tc>
      </w:tr>
      <w:tr>
        <w:trPr>
          <w:trHeight w:val="219"/>
        </w:trPr>
        <w:tc>
          <w:tcPr>
            <w:tcW w:w="2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Velocity Outdoor</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30,079</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30,079</w:t>
            </w:r>
          </w:p>
        </w:tc>
        <w:tc>
          <w:tcPr>
            <w:tcW w:w="0" w:type="dxa"/>
            <w:vAlign w:val="bottom"/>
          </w:tcPr>
          <w:p>
            <w:pPr>
              <w:spacing w:after="0"/>
              <w:rPr>
                <w:sz w:val="1"/>
                <w:szCs w:val="1"/>
                <w:color w:val="auto"/>
              </w:rPr>
            </w:pPr>
          </w:p>
        </w:tc>
      </w:tr>
      <w:tr>
        <w:trPr>
          <w:trHeight w:val="213"/>
        </w:trPr>
        <w:tc>
          <w:tcPr>
            <w:tcW w:w="2520" w:type="dxa"/>
            <w:vAlign w:val="bottom"/>
          </w:tcPr>
          <w:p>
            <w:pPr>
              <w:ind w:left="20"/>
              <w:spacing w:after="0"/>
              <w:rPr>
                <w:sz w:val="20"/>
                <w:szCs w:val="20"/>
                <w:color w:val="auto"/>
              </w:rPr>
            </w:pPr>
            <w:r>
              <w:rPr>
                <w:rFonts w:ascii="Arial" w:cs="Arial" w:eastAsia="Arial" w:hAnsi="Arial"/>
                <w:sz w:val="16"/>
                <w:szCs w:val="16"/>
                <w:color w:val="auto"/>
              </w:rPr>
              <w:t>ACI</w:t>
            </w: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58,019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340" w:type="dxa"/>
            <w:vAlign w:val="bottom"/>
            <w:gridSpan w:val="2"/>
          </w:tcPr>
          <w:p>
            <w:pPr>
              <w:ind w:left="9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10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58,019</w:t>
            </w:r>
          </w:p>
        </w:tc>
        <w:tc>
          <w:tcPr>
            <w:tcW w:w="0" w:type="dxa"/>
            <w:vAlign w:val="bottom"/>
          </w:tcPr>
          <w:p>
            <w:pPr>
              <w:spacing w:after="0"/>
              <w:rPr>
                <w:sz w:val="1"/>
                <w:szCs w:val="1"/>
                <w:color w:val="auto"/>
              </w:rPr>
            </w:pPr>
          </w:p>
        </w:tc>
      </w:tr>
      <w:tr>
        <w:trPr>
          <w:trHeight w:val="219"/>
        </w:trPr>
        <w:tc>
          <w:tcPr>
            <w:tcW w:w="2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Arnold</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26,903</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26,903</w:t>
            </w:r>
          </w:p>
        </w:tc>
        <w:tc>
          <w:tcPr>
            <w:tcW w:w="0" w:type="dxa"/>
            <w:vAlign w:val="bottom"/>
          </w:tcPr>
          <w:p>
            <w:pPr>
              <w:spacing w:after="0"/>
              <w:rPr>
                <w:sz w:val="1"/>
                <w:szCs w:val="1"/>
                <w:color w:val="auto"/>
              </w:rPr>
            </w:pPr>
          </w:p>
        </w:tc>
      </w:tr>
      <w:tr>
        <w:trPr>
          <w:trHeight w:val="213"/>
        </w:trPr>
        <w:tc>
          <w:tcPr>
            <w:tcW w:w="2520" w:type="dxa"/>
            <w:vAlign w:val="bottom"/>
          </w:tcPr>
          <w:p>
            <w:pPr>
              <w:ind w:left="20"/>
              <w:spacing w:after="0"/>
              <w:rPr>
                <w:sz w:val="20"/>
                <w:szCs w:val="20"/>
                <w:color w:val="auto"/>
              </w:rPr>
            </w:pPr>
            <w:r>
              <w:rPr>
                <w:rFonts w:ascii="Arial" w:cs="Arial" w:eastAsia="Arial" w:hAnsi="Arial"/>
                <w:sz w:val="16"/>
                <w:szCs w:val="16"/>
                <w:color w:val="auto"/>
              </w:rPr>
              <w:t>Foam Fabricators</w:t>
            </w: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72,708</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1,974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ind w:left="9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10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74,682</w:t>
            </w:r>
          </w:p>
        </w:tc>
        <w:tc>
          <w:tcPr>
            <w:tcW w:w="0" w:type="dxa"/>
            <w:vAlign w:val="bottom"/>
          </w:tcPr>
          <w:p>
            <w:pPr>
              <w:spacing w:after="0"/>
              <w:rPr>
                <w:sz w:val="1"/>
                <w:szCs w:val="1"/>
                <w:color w:val="auto"/>
              </w:rPr>
            </w:pPr>
          </w:p>
        </w:tc>
      </w:tr>
      <w:tr>
        <w:trPr>
          <w:trHeight w:val="219"/>
        </w:trPr>
        <w:tc>
          <w:tcPr>
            <w:tcW w:w="2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Sterno</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55,336</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55,336</w:t>
            </w:r>
          </w:p>
        </w:tc>
        <w:tc>
          <w:tcPr>
            <w:tcW w:w="0" w:type="dxa"/>
            <w:vAlign w:val="bottom"/>
          </w:tcPr>
          <w:p>
            <w:pPr>
              <w:spacing w:after="0"/>
              <w:rPr>
                <w:sz w:val="1"/>
                <w:szCs w:val="1"/>
                <w:color w:val="auto"/>
              </w:rPr>
            </w:pPr>
          </w:p>
        </w:tc>
      </w:tr>
      <w:tr>
        <w:trPr>
          <w:trHeight w:val="216"/>
        </w:trPr>
        <w:tc>
          <w:tcPr>
            <w:tcW w:w="252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 xml:space="preserve">Corporate </w:t>
            </w:r>
            <w:r>
              <w:rPr>
                <w:rFonts w:ascii="Arial" w:cs="Arial" w:eastAsia="Arial" w:hAnsi="Arial"/>
                <w:sz w:val="21"/>
                <w:szCs w:val="21"/>
                <w:b w:val="1"/>
                <w:bCs w:val="1"/>
                <w:color w:val="auto"/>
                <w:vertAlign w:val="superscript"/>
              </w:rPr>
              <w:t>(1)</w:t>
            </w: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8,649</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ind w:left="9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ind w:left="70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8,649</w:t>
            </w:r>
          </w:p>
        </w:tc>
        <w:tc>
          <w:tcPr>
            <w:tcW w:w="0" w:type="dxa"/>
            <w:vAlign w:val="bottom"/>
          </w:tcPr>
          <w:p>
            <w:pPr>
              <w:spacing w:after="0"/>
              <w:rPr>
                <w:sz w:val="1"/>
                <w:szCs w:val="1"/>
                <w:color w:val="auto"/>
              </w:rPr>
            </w:pPr>
          </w:p>
        </w:tc>
      </w:tr>
      <w:tr>
        <w:trPr>
          <w:trHeight w:val="229"/>
        </w:trPr>
        <w:tc>
          <w:tcPr>
            <w:tcW w:w="25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Total</w:t>
            </w:r>
          </w:p>
        </w:tc>
        <w:tc>
          <w:tcPr>
            <w:tcW w:w="38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438,519</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69,945</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gridSpan w:val="2"/>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right"/>
              <w:ind w:right="242"/>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508,464</w:t>
            </w:r>
          </w:p>
        </w:tc>
        <w:tc>
          <w:tcPr>
            <w:tcW w:w="0" w:type="dxa"/>
            <w:vAlign w:val="bottom"/>
          </w:tcPr>
          <w:p>
            <w:pPr>
              <w:spacing w:after="0"/>
              <w:rPr>
                <w:sz w:val="1"/>
                <w:szCs w:val="1"/>
                <w:color w:val="auto"/>
              </w:rPr>
            </w:pP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0" w:lineRule="exact"/>
        <w:rPr>
          <w:sz w:val="20"/>
          <w:szCs w:val="20"/>
          <w:color w:val="auto"/>
        </w:rPr>
      </w:pPr>
    </w:p>
    <w:p>
      <w:pPr>
        <w:ind w:left="340" w:hanging="332"/>
        <w:spacing w:after="0" w:line="190" w:lineRule="auto"/>
        <w:tabs>
          <w:tab w:leader="none" w:pos="375" w:val="left"/>
        </w:tabs>
        <w:numPr>
          <w:ilvl w:val="0"/>
          <w:numId w:val="13"/>
        </w:numPr>
        <w:rPr>
          <w:rFonts w:ascii="Arial" w:cs="Arial" w:eastAsia="Arial" w:hAnsi="Arial"/>
          <w:sz w:val="26"/>
          <w:szCs w:val="26"/>
          <w:b w:val="1"/>
          <w:bCs w:val="1"/>
          <w:color w:val="auto"/>
          <w:vertAlign w:val="superscript"/>
        </w:rPr>
      </w:pPr>
      <w:r>
        <w:rPr>
          <w:rFonts w:ascii="Arial" w:cs="Arial" w:eastAsia="Arial" w:hAnsi="Arial"/>
          <w:sz w:val="16"/>
          <w:szCs w:val="16"/>
          <w:color w:val="auto"/>
        </w:rPr>
        <w:t>Represents goodwill resulting from purchase accounting adjustments not "pushed down" to the ACI segment. This amount is allocated back to the ACI segment for purposes of goodwill impairment testing.</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 lived assets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indefinite lived impairment testing</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used a qualitative approach to test indefinite lived intangible assets for impairment by first assessing qualitative factors to determine whether it is more-likely-than-not that the fair value of an indefinite lived intangible asset is impaired as a basis for determining whether it is necessary to perform quantitative impairment testing. The Company evaluated the qualitative factors of each indefinite lived intangible asset in connection with the annual impairment testing for 2020 and 2019. Results of the qualitative analysis indicate that it is more likely than not that the fair value of the reporting units that maintain indefinite lived intangible assets exceeded the carrying value. The Ergobaby and Liberty reporting units have indefinite lived trade names that were tested in conjunction with the goodwill impairment tests at March 31, 2020 and March 31, 2019, respectively. The results of the quantitative impairment testing indicated that the trade names were not impaired.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Other intangible assets are comprised of the following at September 30, 2020 and December 31, 2019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3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September 30, 2020</w:t>
            </w: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December 31, 2019</w:t>
            </w: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28"/>
        </w:trPr>
        <w:tc>
          <w:tcPr>
            <w:tcW w:w="3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jc w:val="right"/>
              <w:ind w:right="67"/>
              <w:spacing w:after="0" w:line="129" w:lineRule="exact"/>
              <w:rPr>
                <w:sz w:val="20"/>
                <w:szCs w:val="20"/>
                <w:color w:val="auto"/>
              </w:rPr>
            </w:pPr>
            <w:r>
              <w:rPr>
                <w:rFonts w:ascii="Arial" w:cs="Arial" w:eastAsia="Arial" w:hAnsi="Arial"/>
                <w:sz w:val="14"/>
                <w:szCs w:val="14"/>
                <w:b w:val="1"/>
                <w:bCs w:val="1"/>
                <w:color w:val="auto"/>
              </w:rPr>
              <w:t>Gross Carrying</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40"/>
              <w:spacing w:after="0" w:line="129" w:lineRule="exact"/>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1"/>
                <w:szCs w:val="11"/>
                <w:color w:val="auto"/>
              </w:rPr>
            </w:pPr>
          </w:p>
        </w:tc>
        <w:tc>
          <w:tcPr>
            <w:tcW w:w="1080" w:type="dxa"/>
            <w:vAlign w:val="bottom"/>
          </w:tcPr>
          <w:p>
            <w:pPr>
              <w:jc w:val="right"/>
              <w:ind w:right="127"/>
              <w:spacing w:after="0" w:line="129" w:lineRule="exact"/>
              <w:rPr>
                <w:sz w:val="20"/>
                <w:szCs w:val="20"/>
                <w:color w:val="auto"/>
              </w:rPr>
            </w:pPr>
            <w:r>
              <w:rPr>
                <w:rFonts w:ascii="Arial" w:cs="Arial" w:eastAsia="Arial" w:hAnsi="Arial"/>
                <w:sz w:val="14"/>
                <w:szCs w:val="14"/>
                <w:b w:val="1"/>
                <w:bCs w:val="1"/>
                <w:color w:val="auto"/>
              </w:rPr>
              <w:t>Net Carrying</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jc w:val="right"/>
              <w:ind w:right="67"/>
              <w:spacing w:after="0" w:line="129" w:lineRule="exact"/>
              <w:rPr>
                <w:sz w:val="20"/>
                <w:szCs w:val="20"/>
                <w:color w:val="auto"/>
              </w:rPr>
            </w:pPr>
            <w:r>
              <w:rPr>
                <w:rFonts w:ascii="Arial" w:cs="Arial" w:eastAsia="Arial" w:hAnsi="Arial"/>
                <w:sz w:val="14"/>
                <w:szCs w:val="14"/>
                <w:b w:val="1"/>
                <w:bCs w:val="1"/>
                <w:color w:val="auto"/>
              </w:rPr>
              <w:t>Gross Carrying</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1"/>
                <w:szCs w:val="11"/>
                <w:color w:val="auto"/>
              </w:rPr>
            </w:pPr>
          </w:p>
        </w:tc>
        <w:tc>
          <w:tcPr>
            <w:tcW w:w="1100" w:type="dxa"/>
            <w:vAlign w:val="bottom"/>
          </w:tcPr>
          <w:p>
            <w:pPr>
              <w:jc w:val="right"/>
              <w:ind w:right="127"/>
              <w:spacing w:after="0" w:line="129" w:lineRule="exact"/>
              <w:rPr>
                <w:sz w:val="20"/>
                <w:szCs w:val="20"/>
                <w:color w:val="auto"/>
              </w:rPr>
            </w:pPr>
            <w:r>
              <w:rPr>
                <w:rFonts w:ascii="Arial" w:cs="Arial" w:eastAsia="Arial" w:hAnsi="Arial"/>
                <w:sz w:val="14"/>
                <w:szCs w:val="14"/>
                <w:b w:val="1"/>
                <w:bCs w:val="1"/>
                <w:color w:val="auto"/>
              </w:rPr>
              <w:t>Net Carrying</w:t>
            </w:r>
          </w:p>
        </w:tc>
      </w:tr>
      <w:tr>
        <w:trPr>
          <w:trHeight w:val="187"/>
        </w:trPr>
        <w:tc>
          <w:tcPr>
            <w:tcW w:w="3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07"/>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07"/>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87"/>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07"/>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27"/>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87"/>
              <w:spacing w:after="0"/>
              <w:rPr>
                <w:sz w:val="20"/>
                <w:szCs w:val="20"/>
                <w:color w:val="auto"/>
              </w:rPr>
            </w:pPr>
            <w:r>
              <w:rPr>
                <w:rFonts w:ascii="Arial" w:cs="Arial" w:eastAsia="Arial" w:hAnsi="Arial"/>
                <w:sz w:val="14"/>
                <w:szCs w:val="14"/>
                <w:b w:val="1"/>
                <w:bCs w:val="1"/>
                <w:color w:val="auto"/>
              </w:rPr>
              <w:t>Amount</w:t>
            </w:r>
          </w:p>
        </w:tc>
      </w:tr>
      <w:tr>
        <w:trPr>
          <w:trHeight w:val="198"/>
        </w:trPr>
        <w:tc>
          <w:tcPr>
            <w:tcW w:w="3120" w:type="dxa"/>
            <w:vAlign w:val="bottom"/>
            <w:shd w:val="clear" w:color="auto" w:fill="CCEEFF"/>
          </w:tcPr>
          <w:p>
            <w:pPr>
              <w:spacing w:after="0"/>
              <w:rPr>
                <w:sz w:val="20"/>
                <w:szCs w:val="20"/>
                <w:color w:val="auto"/>
              </w:rPr>
            </w:pPr>
            <w:r>
              <w:rPr>
                <w:rFonts w:ascii="Arial" w:cs="Arial" w:eastAsia="Arial" w:hAnsi="Arial"/>
                <w:sz w:val="15"/>
                <w:szCs w:val="15"/>
                <w:color w:val="auto"/>
              </w:rPr>
              <w:t>Customer relationships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474,885</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(181,338)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293,547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462,686</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(155,200)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307,486</w:t>
            </w:r>
          </w:p>
        </w:tc>
      </w:tr>
      <w:tr>
        <w:trPr>
          <w:trHeight w:val="198"/>
        </w:trPr>
        <w:tc>
          <w:tcPr>
            <w:tcW w:w="3120" w:type="dxa"/>
            <w:vAlign w:val="bottom"/>
          </w:tcPr>
          <w:p>
            <w:pPr>
              <w:spacing w:after="0"/>
              <w:rPr>
                <w:sz w:val="20"/>
                <w:szCs w:val="20"/>
                <w:color w:val="auto"/>
              </w:rPr>
            </w:pPr>
            <w:r>
              <w:rPr>
                <w:rFonts w:ascii="Arial" w:cs="Arial" w:eastAsia="Arial" w:hAnsi="Arial"/>
                <w:sz w:val="15"/>
                <w:szCs w:val="15"/>
                <w:color w:val="auto"/>
              </w:rPr>
              <w:t>Technology and patents</w:t>
            </w:r>
          </w:p>
        </w:tc>
        <w:tc>
          <w:tcPr>
            <w:tcW w:w="1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84,862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(32,857)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ind w:right="7"/>
              <w:spacing w:after="0"/>
              <w:rPr>
                <w:sz w:val="20"/>
                <w:szCs w:val="20"/>
                <w:color w:val="auto"/>
              </w:rPr>
            </w:pPr>
            <w:r>
              <w:rPr>
                <w:rFonts w:ascii="Arial" w:cs="Arial" w:eastAsia="Arial" w:hAnsi="Arial"/>
                <w:sz w:val="15"/>
                <w:szCs w:val="15"/>
                <w:color w:val="auto"/>
              </w:rPr>
              <w:t>52,005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80,082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(28,748)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51,334</w:t>
            </w:r>
          </w:p>
        </w:tc>
      </w:tr>
      <w:tr>
        <w:trPr>
          <w:trHeight w:val="207"/>
        </w:trPr>
        <w:tc>
          <w:tcPr>
            <w:tcW w:w="3120" w:type="dxa"/>
            <w:vAlign w:val="bottom"/>
            <w:shd w:val="clear" w:color="auto" w:fill="CCEEFF"/>
          </w:tcPr>
          <w:p>
            <w:pPr>
              <w:spacing w:after="0"/>
              <w:rPr>
                <w:sz w:val="20"/>
                <w:szCs w:val="20"/>
                <w:color w:val="auto"/>
              </w:rPr>
            </w:pPr>
            <w:r>
              <w:rPr>
                <w:rFonts w:ascii="Arial" w:cs="Arial" w:eastAsia="Arial" w:hAnsi="Arial"/>
                <w:sz w:val="15"/>
                <w:szCs w:val="15"/>
                <w:color w:val="auto"/>
              </w:rPr>
              <w:t>Trade names, subject to amortization</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273,556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(59,489)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214,067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189,183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(46,507)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142,676</w:t>
            </w:r>
          </w:p>
        </w:tc>
      </w:tr>
      <w:tr>
        <w:trPr>
          <w:trHeight w:val="198"/>
        </w:trPr>
        <w:tc>
          <w:tcPr>
            <w:tcW w:w="3120" w:type="dxa"/>
            <w:vAlign w:val="bottom"/>
          </w:tcPr>
          <w:p>
            <w:pPr>
              <w:spacing w:after="0"/>
              <w:rPr>
                <w:sz w:val="20"/>
                <w:szCs w:val="20"/>
                <w:color w:val="auto"/>
              </w:rPr>
            </w:pPr>
            <w:r>
              <w:rPr>
                <w:rFonts w:ascii="Arial" w:cs="Arial" w:eastAsia="Arial" w:hAnsi="Arial"/>
                <w:sz w:val="15"/>
                <w:szCs w:val="15"/>
                <w:color w:val="auto"/>
              </w:rPr>
              <w:t>Licensing and non-compete agreements</w:t>
            </w:r>
          </w:p>
        </w:tc>
        <w:tc>
          <w:tcPr>
            <w:tcW w:w="1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7,642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(7,321)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ind w:right="7"/>
              <w:spacing w:after="0"/>
              <w:rPr>
                <w:sz w:val="20"/>
                <w:szCs w:val="20"/>
                <w:color w:val="auto"/>
              </w:rPr>
            </w:pPr>
            <w:r>
              <w:rPr>
                <w:rFonts w:ascii="Arial" w:cs="Arial" w:eastAsia="Arial" w:hAnsi="Arial"/>
                <w:sz w:val="15"/>
                <w:szCs w:val="15"/>
                <w:color w:val="auto"/>
              </w:rPr>
              <w:t>321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7,515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(7,050)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465</w:t>
            </w:r>
          </w:p>
        </w:tc>
      </w:tr>
      <w:tr>
        <w:trPr>
          <w:trHeight w:val="208"/>
        </w:trPr>
        <w:tc>
          <w:tcPr>
            <w:tcW w:w="3120" w:type="dxa"/>
            <w:vAlign w:val="bottom"/>
            <w:shd w:val="clear" w:color="auto" w:fill="CCEEFF"/>
          </w:tcPr>
          <w:p>
            <w:pPr>
              <w:spacing w:after="0"/>
              <w:rPr>
                <w:sz w:val="20"/>
                <w:szCs w:val="20"/>
                <w:color w:val="auto"/>
              </w:rPr>
            </w:pPr>
            <w:r>
              <w:rPr>
                <w:rFonts w:ascii="Arial" w:cs="Arial" w:eastAsia="Arial" w:hAnsi="Arial"/>
                <w:sz w:val="15"/>
                <w:szCs w:val="15"/>
                <w:color w:val="auto"/>
              </w:rPr>
              <w:t>Distributor relations and other</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1"/>
        </w:trPr>
        <w:tc>
          <w:tcPr>
            <w:tcW w:w="3120" w:type="dxa"/>
            <w:vAlign w:val="bottom"/>
          </w:tcPr>
          <w:p>
            <w:pPr>
              <w:ind w:left="320"/>
              <w:spacing w:after="0"/>
              <w:rPr>
                <w:sz w:val="20"/>
                <w:szCs w:val="20"/>
                <w:color w:val="auto"/>
              </w:rPr>
            </w:pPr>
            <w:r>
              <w:rPr>
                <w:rFonts w:ascii="Arial" w:cs="Arial" w:eastAsia="Arial" w:hAnsi="Arial"/>
                <w:sz w:val="15"/>
                <w:szCs w:val="15"/>
                <w:color w:val="auto"/>
              </w:rPr>
              <w:t>Total</w:t>
            </w:r>
          </w:p>
        </w:tc>
        <w:tc>
          <w:tcPr>
            <w:tcW w:w="1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841,671</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(281,731)</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rPr>
              <w:t>559,940</w:t>
            </w: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740,192</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(238,231)</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501,961</w:t>
            </w:r>
          </w:p>
        </w:tc>
      </w:tr>
      <w:tr>
        <w:trPr>
          <w:trHeight w:val="207"/>
        </w:trPr>
        <w:tc>
          <w:tcPr>
            <w:tcW w:w="3120" w:type="dxa"/>
            <w:vAlign w:val="bottom"/>
            <w:shd w:val="clear" w:color="auto" w:fill="CCEEFF"/>
          </w:tcPr>
          <w:p>
            <w:pPr>
              <w:spacing w:after="0"/>
              <w:rPr>
                <w:sz w:val="20"/>
                <w:szCs w:val="20"/>
                <w:color w:val="auto"/>
              </w:rPr>
            </w:pPr>
            <w:r>
              <w:rPr>
                <w:rFonts w:ascii="Arial" w:cs="Arial" w:eastAsia="Arial" w:hAnsi="Arial"/>
                <w:sz w:val="15"/>
                <w:szCs w:val="15"/>
                <w:color w:val="auto"/>
              </w:rPr>
              <w:t>Trade names, not subject to amortization</w:t>
            </w:r>
          </w:p>
        </w:tc>
        <w:tc>
          <w:tcPr>
            <w:tcW w:w="1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59,985</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rPr>
              <w:t>59,985</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59,985</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59,985</w:t>
            </w:r>
          </w:p>
        </w:tc>
      </w:tr>
      <w:tr>
        <w:trPr>
          <w:trHeight w:val="191"/>
        </w:trPr>
        <w:tc>
          <w:tcPr>
            <w:tcW w:w="3120" w:type="dxa"/>
            <w:vAlign w:val="bottom"/>
          </w:tcPr>
          <w:p>
            <w:pPr>
              <w:ind w:left="320"/>
              <w:spacing w:after="0"/>
              <w:rPr>
                <w:sz w:val="20"/>
                <w:szCs w:val="20"/>
                <w:color w:val="auto"/>
              </w:rPr>
            </w:pPr>
            <w:r>
              <w:rPr>
                <w:rFonts w:ascii="Arial" w:cs="Arial" w:eastAsia="Arial" w:hAnsi="Arial"/>
                <w:sz w:val="15"/>
                <w:szCs w:val="15"/>
                <w:color w:val="auto"/>
              </w:rPr>
              <w:t>Total intangibles, net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901,656</w:t>
            </w:r>
          </w:p>
        </w:tc>
        <w:tc>
          <w:tcPr>
            <w:tcW w:w="24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(281,731)</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ind w:right="7"/>
              <w:spacing w:after="0"/>
              <w:rPr>
                <w:sz w:val="20"/>
                <w:szCs w:val="20"/>
                <w:color w:val="auto"/>
              </w:rPr>
            </w:pPr>
            <w:r>
              <w:rPr>
                <w:rFonts w:ascii="Arial" w:cs="Arial" w:eastAsia="Arial" w:hAnsi="Arial"/>
                <w:sz w:val="15"/>
                <w:szCs w:val="15"/>
                <w:color w:val="auto"/>
              </w:rPr>
              <w:t>619,925</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800,177</w:t>
            </w:r>
          </w:p>
        </w:tc>
        <w:tc>
          <w:tcPr>
            <w:tcW w:w="24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(238,231)</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561,946</w:t>
            </w:r>
          </w:p>
        </w:tc>
      </w:tr>
      <w:tr>
        <w:trPr>
          <w:trHeight w:val="25"/>
        </w:trPr>
        <w:tc>
          <w:tcPr>
            <w:tcW w:w="312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118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10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08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118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1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100" w:type="dxa"/>
            <w:vAlign w:val="bottom"/>
            <w:tcBorders>
              <w:top w:val="single" w:sz="8" w:color="auto"/>
              <w:bottom w:val="single" w:sz="8" w:color="auto"/>
            </w:tcBorders>
          </w:tcPr>
          <w:p>
            <w:pPr>
              <w:spacing w:after="0"/>
              <w:rPr>
                <w:sz w:val="2"/>
                <w:szCs w:val="2"/>
                <w:color w:val="auto"/>
              </w:rPr>
            </w:pPr>
          </w:p>
        </w:tc>
      </w:tr>
    </w:tbl>
    <w:p>
      <w:pPr>
        <w:spacing w:after="0" w:line="21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Amortization expense related to intangible assets was $ 15.2 million and $43.5 million for the three and nine months ended September 30, 2020, respectively and $13.5 million and $40.6 million for the three and nine months ended September 30, 2019, respectively.</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24" w:name="page25"/>
    <w:bookmarkEnd w:id="24"/>
    <w:p>
      <w:pPr>
        <w:jc w:val="both"/>
        <w:spacing w:after="0" w:line="282" w:lineRule="auto"/>
        <w:rPr>
          <w:sz w:val="20"/>
          <w:szCs w:val="20"/>
          <w:color w:val="auto"/>
        </w:rPr>
      </w:pPr>
      <w:r>
        <w:rPr>
          <w:rFonts w:ascii="Arial" w:cs="Arial" w:eastAsia="Arial" w:hAnsi="Arial"/>
          <w:sz w:val="18"/>
          <w:szCs w:val="18"/>
          <w:color w:val="auto"/>
        </w:rPr>
        <w:t xml:space="preserve">Estimated charges to amortization expense of intangible assets for the remainder of 2020 and the next four years, is as follows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35" w:lineRule="exact"/>
        <w:rPr>
          <w:sz w:val="20"/>
          <w:szCs w:val="20"/>
          <w:color w:val="auto"/>
        </w:rPr>
      </w:pPr>
    </w:p>
    <w:tbl>
      <w:tblPr>
        <w:tblLayout w:type="fixed"/>
        <w:tblInd w:w="2800" w:type="dxa"/>
        <w:tblCellMar>
          <w:top w:w="0" w:type="dxa"/>
          <w:left w:w="0" w:type="dxa"/>
          <w:bottom w:w="0" w:type="dxa"/>
          <w:right w:w="0" w:type="dxa"/>
        </w:tblCellMar>
      </w:tblPr>
      <w:tr>
        <w:trPr>
          <w:trHeight w:val="218"/>
        </w:trPr>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2023</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2024</w:t>
            </w:r>
          </w:p>
        </w:tc>
      </w:tr>
      <w:tr>
        <w:trPr>
          <w:trHeight w:val="37"/>
        </w:trPr>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16"/>
        </w:trPr>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16,832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59,897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58,265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57,868</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56,776</w:t>
            </w:r>
          </w:p>
        </w:tc>
      </w:tr>
    </w:tbl>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H — Warranties</w:t>
      </w:r>
    </w:p>
    <w:p>
      <w:pPr>
        <w:spacing w:after="0" w:line="19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Company’s Ergobaby, Liberty, Marucci and Velocity Outdoor operating segments estimate their exposure to warranty claims based on both current and historical product sales data and warranty costs incurred. The Company assesses the adequacy of its recorded warranty liability quarterly and adjusts the amount as necessary. Warranty liability is included in accrued expenses in the accompanying consolidated balance sheets. A reconciliation of the change in the carrying value of the Company’s warranty liability for the nine months ended September 30, 2020 and the year ended December 31, 2019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74" w:lineRule="exact"/>
        <w:rPr>
          <w:sz w:val="20"/>
          <w:szCs w:val="20"/>
          <w:color w:val="auto"/>
        </w:rPr>
      </w:pPr>
    </w:p>
    <w:tbl>
      <w:tblPr>
        <w:tblLayout w:type="fixed"/>
        <w:tblInd w:w="1280" w:type="dxa"/>
        <w:tblCellMar>
          <w:top w:w="0" w:type="dxa"/>
          <w:left w:w="0" w:type="dxa"/>
          <w:bottom w:w="0" w:type="dxa"/>
          <w:right w:w="0" w:type="dxa"/>
        </w:tblCellMar>
      </w:tblPr>
      <w:tr>
        <w:trPr>
          <w:trHeight w:val="172"/>
        </w:trPr>
        <w:tc>
          <w:tcPr>
            <w:tcW w:w="470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Warranty liability</w:t>
            </w:r>
          </w:p>
        </w:tc>
        <w:tc>
          <w:tcPr>
            <w:tcW w:w="200" w:type="dxa"/>
            <w:vAlign w:val="bottom"/>
          </w:tcPr>
          <w:p>
            <w:pPr>
              <w:spacing w:after="0"/>
              <w:rPr>
                <w:sz w:val="14"/>
                <w:szCs w:val="14"/>
                <w:color w:val="auto"/>
              </w:rPr>
            </w:pPr>
          </w:p>
        </w:tc>
        <w:tc>
          <w:tcPr>
            <w:tcW w:w="1920" w:type="dxa"/>
            <w:vAlign w:val="bottom"/>
            <w:gridSpan w:val="2"/>
          </w:tcPr>
          <w:p>
            <w:pPr>
              <w:ind w:left="100"/>
              <w:spacing w:after="0"/>
              <w:rPr>
                <w:sz w:val="20"/>
                <w:szCs w:val="20"/>
                <w:color w:val="auto"/>
              </w:rPr>
            </w:pPr>
            <w:r>
              <w:rPr>
                <w:rFonts w:ascii="Arial" w:cs="Arial" w:eastAsia="Arial" w:hAnsi="Arial"/>
                <w:sz w:val="15"/>
                <w:szCs w:val="15"/>
                <w:b w:val="1"/>
                <w:bCs w:val="1"/>
                <w:color w:val="auto"/>
              </w:rPr>
              <w:t>Nine months ended</w:t>
            </w:r>
          </w:p>
        </w:tc>
        <w:tc>
          <w:tcPr>
            <w:tcW w:w="120" w:type="dxa"/>
            <w:vAlign w:val="bottom"/>
          </w:tcPr>
          <w:p>
            <w:pPr>
              <w:spacing w:after="0"/>
              <w:rPr>
                <w:sz w:val="14"/>
                <w:szCs w:val="14"/>
                <w:color w:val="auto"/>
              </w:rPr>
            </w:pPr>
          </w:p>
        </w:tc>
        <w:tc>
          <w:tcPr>
            <w:tcW w:w="1760" w:type="dxa"/>
            <w:vAlign w:val="bottom"/>
          </w:tcPr>
          <w:p>
            <w:pPr>
              <w:jc w:val="right"/>
              <w:ind w:right="60"/>
              <w:spacing w:after="0"/>
              <w:rPr>
                <w:sz w:val="20"/>
                <w:szCs w:val="20"/>
                <w:color w:val="auto"/>
              </w:rPr>
            </w:pPr>
            <w:r>
              <w:rPr>
                <w:rFonts w:ascii="Arial" w:cs="Arial" w:eastAsia="Arial" w:hAnsi="Arial"/>
                <w:sz w:val="15"/>
                <w:szCs w:val="15"/>
                <w:b w:val="1"/>
                <w:bCs w:val="1"/>
                <w:color w:val="auto"/>
              </w:rPr>
              <w:t>Year ended December</w:t>
            </w:r>
          </w:p>
        </w:tc>
        <w:tc>
          <w:tcPr>
            <w:tcW w:w="0" w:type="dxa"/>
            <w:vAlign w:val="bottom"/>
          </w:tcPr>
          <w:p>
            <w:pPr>
              <w:spacing w:after="0"/>
              <w:rPr>
                <w:sz w:val="1"/>
                <w:szCs w:val="1"/>
                <w:color w:val="auto"/>
              </w:rPr>
            </w:pPr>
          </w:p>
        </w:tc>
      </w:tr>
      <w:tr>
        <w:trPr>
          <w:trHeight w:val="202"/>
        </w:trPr>
        <w:tc>
          <w:tcPr>
            <w:tcW w:w="470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2"/>
          </w:tcPr>
          <w:p>
            <w:pPr>
              <w:ind w:left="100"/>
              <w:spacing w:after="0"/>
              <w:rPr>
                <w:sz w:val="20"/>
                <w:szCs w:val="20"/>
                <w:color w:val="auto"/>
              </w:rPr>
            </w:pPr>
            <w:r>
              <w:rPr>
                <w:rFonts w:ascii="Arial" w:cs="Arial" w:eastAsia="Arial" w:hAnsi="Arial"/>
                <w:sz w:val="15"/>
                <w:szCs w:val="15"/>
                <w:b w:val="1"/>
                <w:bCs w:val="1"/>
                <w:color w:val="auto"/>
              </w:rPr>
              <w:t>September 30, 2020</w:t>
            </w:r>
          </w:p>
        </w:tc>
        <w:tc>
          <w:tcPr>
            <w:tcW w:w="12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ind w:right="560"/>
              <w:spacing w:after="0"/>
              <w:rPr>
                <w:sz w:val="20"/>
                <w:szCs w:val="20"/>
                <w:color w:val="auto"/>
              </w:rPr>
            </w:pPr>
            <w:r>
              <w:rPr>
                <w:rFonts w:ascii="Arial" w:cs="Arial" w:eastAsia="Arial" w:hAnsi="Arial"/>
                <w:sz w:val="15"/>
                <w:szCs w:val="15"/>
                <w:b w:val="1"/>
                <w:bCs w:val="1"/>
                <w:color w:val="auto"/>
              </w:rPr>
              <w:t>31, 2019</w:t>
            </w:r>
          </w:p>
        </w:tc>
        <w:tc>
          <w:tcPr>
            <w:tcW w:w="0" w:type="dxa"/>
            <w:vAlign w:val="bottom"/>
          </w:tcPr>
          <w:p>
            <w:pPr>
              <w:spacing w:after="0"/>
              <w:rPr>
                <w:sz w:val="1"/>
                <w:szCs w:val="1"/>
                <w:color w:val="auto"/>
              </w:rPr>
            </w:pPr>
          </w:p>
        </w:tc>
      </w:tr>
      <w:tr>
        <w:trPr>
          <w:trHeight w:val="88"/>
        </w:trPr>
        <w:tc>
          <w:tcPr>
            <w:tcW w:w="4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Beginning balance</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1,624</w:t>
            </w:r>
          </w:p>
        </w:tc>
        <w:tc>
          <w:tcPr>
            <w:tcW w:w="0" w:type="dxa"/>
            <w:vAlign w:val="bottom"/>
          </w:tcPr>
          <w:p>
            <w:pPr>
              <w:spacing w:after="0"/>
              <w:rPr>
                <w:sz w:val="1"/>
                <w:szCs w:val="1"/>
                <w:color w:val="auto"/>
              </w:rPr>
            </w:pPr>
          </w:p>
        </w:tc>
      </w:tr>
      <w:tr>
        <w:trPr>
          <w:trHeight w:val="213"/>
        </w:trPr>
        <w:tc>
          <w:tcPr>
            <w:tcW w:w="4700" w:type="dxa"/>
            <w:vAlign w:val="bottom"/>
          </w:tcPr>
          <w:p>
            <w:pPr>
              <w:ind w:left="20"/>
              <w:spacing w:after="0"/>
              <w:rPr>
                <w:sz w:val="20"/>
                <w:szCs w:val="20"/>
                <w:color w:val="auto"/>
              </w:rPr>
            </w:pPr>
            <w:r>
              <w:rPr>
                <w:rFonts w:ascii="Arial" w:cs="Arial" w:eastAsia="Arial" w:hAnsi="Arial"/>
                <w:sz w:val="16"/>
                <w:szCs w:val="16"/>
                <w:color w:val="auto"/>
              </w:rPr>
              <w:t>Provision for warranties issued during the period</w:t>
            </w:r>
          </w:p>
        </w:tc>
        <w:tc>
          <w:tcPr>
            <w:tcW w:w="2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2,511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2,238</w:t>
            </w:r>
          </w:p>
        </w:tc>
        <w:tc>
          <w:tcPr>
            <w:tcW w:w="0" w:type="dxa"/>
            <w:vAlign w:val="bottom"/>
          </w:tcPr>
          <w:p>
            <w:pPr>
              <w:spacing w:after="0"/>
              <w:rPr>
                <w:sz w:val="1"/>
                <w:szCs w:val="1"/>
                <w:color w:val="auto"/>
              </w:rPr>
            </w:pPr>
          </w:p>
        </w:tc>
      </w:tr>
      <w:tr>
        <w:trPr>
          <w:trHeight w:val="219"/>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Fulfillment of warranty obligations</w:t>
            </w: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(2,279)</w:t>
            </w:r>
          </w:p>
        </w:tc>
        <w:tc>
          <w:tcPr>
            <w:tcW w:w="0" w:type="dxa"/>
            <w:vAlign w:val="bottom"/>
          </w:tcPr>
          <w:p>
            <w:pPr>
              <w:spacing w:after="0"/>
              <w:rPr>
                <w:sz w:val="1"/>
                <w:szCs w:val="1"/>
                <w:color w:val="auto"/>
              </w:rPr>
            </w:pPr>
          </w:p>
        </w:tc>
      </w:tr>
      <w:tr>
        <w:trPr>
          <w:trHeight w:val="216"/>
        </w:trPr>
        <w:tc>
          <w:tcPr>
            <w:tcW w:w="470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b w:val="1"/>
                <w:bCs w:val="1"/>
                <w:color w:val="auto"/>
                <w:vertAlign w:val="superscript"/>
              </w:rPr>
              <w:t>(1)</w:t>
            </w:r>
          </w:p>
        </w:tc>
        <w:tc>
          <w:tcPr>
            <w:tcW w:w="2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2"/>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Ending balance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1,891</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1,583</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0"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26"/>
          <w:szCs w:val="26"/>
          <w:b w:val="1"/>
          <w:bCs w:val="1"/>
          <w:color w:val="auto"/>
          <w:vertAlign w:val="superscript"/>
        </w:rPr>
      </w:pPr>
      <w:r>
        <w:rPr>
          <w:rFonts w:ascii="Arial" w:cs="Arial" w:eastAsia="Arial" w:hAnsi="Arial"/>
          <w:sz w:val="16"/>
          <w:szCs w:val="16"/>
          <w:color w:val="auto"/>
        </w:rPr>
        <w:t>Represents the warranty liability recorded in relation to the Marucci acquisition in April 2020.</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I — Debt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Credit Facility</w:t>
      </w:r>
    </w:p>
    <w:p>
      <w:pPr>
        <w:spacing w:after="0" w:line="135"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On April 18, 2018, the Company entered into an Amended and Restated Credit Agreement (the "2018 Credit Facility") to amend and restate the 2014 Credit Facility, originally dated as of June 6, 2014 (as previously amended) among the Company, the lenders from time to time party thereto (the “Lenders”), and Bank of America, N.A., as Administrative Agent. The 2018 Credit Facility is secured by all of the assets of the Company, including all of its equity interests in, and loans to, its consolidated subsidiaries. The 2018 Credit Facility provides for (i) revolving loans, swing line loans and letters of credit (the “2018 Revolving Credit Facility”) up to a maximum aggregate amount of $600 million, and</w:t>
      </w:r>
    </w:p>
    <w:p>
      <w:pPr>
        <w:spacing w:after="0" w:line="1" w:lineRule="exact"/>
        <w:rPr>
          <w:sz w:val="20"/>
          <w:szCs w:val="20"/>
          <w:color w:val="auto"/>
        </w:rPr>
      </w:pPr>
    </w:p>
    <w:p>
      <w:pPr>
        <w:jc w:val="both"/>
        <w:ind w:firstLine="8"/>
        <w:spacing w:after="0" w:line="256" w:lineRule="auto"/>
        <w:tabs>
          <w:tab w:leader="none" w:pos="254"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$500 million term loan (the “2018 Term Loan”). The 2018 Credit Facility also permits the Company, prior to the applicable maturity date, to increase the revolving loan commitment and/or obtain additional term loans in an aggregate amount of up to $250 million (the “Incremental Loans”), subject to certain restrictions and conditions.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2018 Revolving Credit Facility</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All amounts outstanding under the 2018 Revolving Credit Facility will become due on April 18, 2023, which is the maturity date of loans advanced under the 2018 Revolving Credit Facility. The Company may borrow, prepay and reborrow principal under the 2018 Revolving Credit Facility from time to time during its term.</w:t>
      </w:r>
    </w:p>
    <w:p>
      <w:pPr>
        <w:spacing w:after="0" w:line="9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Under the 2018 Revolving Credit Facility, an aggregate amount of up to $100 million in letters of credit may be issued, as well as swing line loans of up to $25 million outstanding at one time. The issuance of such letters of credit and the making of any swing line loan would reduce the amount available under the 2018 Revolving Credit Facility.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2018 Term Loan</w:t>
      </w:r>
    </w:p>
    <w:p>
      <w:pPr>
        <w:spacing w:after="0" w:line="15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2018 Term Loan was issued at an original issuance discount of 99.75%. The 2018 Term Loan required quarterly payments of $1.25 million commencing June 30, 2018, with a final payment of all remaining principal and interest due on April 18, 2025, the maturity date of the 2018 Term Loan. In July 2019, the Company repaid approximately $193.8 million of the 2018 Term Loan using a portion of the proceeds received from the sale of Clean Earth, and in November 2019, the Company repaid the remaining $298.8 million balance due under the 2018 Term Loan.</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25" w:name="page26"/>
    <w:bookmarkEnd w:id="25"/>
    <w:p>
      <w:pPr>
        <w:jc w:val="both"/>
        <w:spacing w:after="0" w:line="254" w:lineRule="auto"/>
        <w:rPr>
          <w:sz w:val="20"/>
          <w:szCs w:val="20"/>
          <w:color w:val="auto"/>
        </w:rPr>
      </w:pPr>
      <w:r>
        <w:rPr>
          <w:rFonts w:ascii="Arial" w:cs="Arial" w:eastAsia="Arial" w:hAnsi="Arial"/>
          <w:sz w:val="18"/>
          <w:szCs w:val="18"/>
          <w:color w:val="auto"/>
        </w:rPr>
        <w:t>Net availability under the 2018 Revolving Credit Facility was approximately $598.8 million at September 30, 2020. Subsequent to the end of the quarter, the Company drew $300 million on the 2018 Revolving Credit Facility to fund a portion of the purchase price of an acquisition. Letters of credit outstanding at September 30, 2020 totaled approximately $1.2 million. At September 30, 2020, the Company was in compliance with all covenants as defined in the 2018 Credit Facility.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April 18, 2018, the Company consummated the issuance and sale of $400 million aggregate principal amount of its 8.000% Senior Notes due 2026 (the “Existing Notes”) offered pursuant to a private offering to qualified institutional buyers in accordance with Rule 144A under the Securities Act, and to non-U.S. persons under Regulation S under the Securities Act. The Existing Notes were issued pursuant to an indenture, dated as of April 18, 2018 (the “Indenture”), between the Company and U.S. Bank National Association, as trustee.</w:t>
      </w:r>
    </w:p>
    <w:p>
      <w:pPr>
        <w:spacing w:after="0" w:line="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May 7, 2020, the Company consummated the issuance and sale of $200 million aggregate principal amount of its 8.000% Senior Notes due 2026 at an issue price of 101% (the "Additional Notes", and, together with the Existing Notes, the "Senior Notes"). The Additional Notes were issued under the Indenture between the Company and U.S. Bank National Association, as trustee. The proceeds from the Additional Notes were used to pay down the amount outstanding on the Company's 2018 Revolving Credit Facility. The Additional Notes were issued at 101% of par value and the resulting $2 million premium will be amortized over the remaining term of the Additional Notes.</w:t>
      </w:r>
    </w:p>
    <w:p>
      <w:pPr>
        <w:spacing w:after="0" w:line="9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Senior Notes bear interest at the rate of 8.000% per annum and will mature on May 1, 2026. Interest on the Senior Notes is payable in cash on May 1st and November 1st of each year. The first interest payment date on the Additional Notes will be November 1, 2020. The Senior Notes are general senior unsecured obligations of the Company and are not guaranteed by the subsidiaries through which the Company currently conducts substantially all of its operations. The Senior Notes rank equal in right of payment with all of the Company’s existing and future senior unsecured indebtedness, and rank senior in right of payment to all of the Company’s future subordinated indebtedness, if any. The Senior Notes will be effectively subordinated to the Company’s existing and future secured indebtedness, to the extent of the value of the assets securing such indebtedness, including the indebtedness under the Company’s credit facilities described above.</w:t>
      </w:r>
    </w:p>
    <w:p>
      <w:pPr>
        <w:spacing w:after="0" w:line="15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Indenture contains several restrictive covenants including, but not limited to, limitations on the following: (i) the incurrence of additional indebtedness, (ii) restricted payments, (iii) dividends and other payments affecting restricted subsidiaries, (iv) the issuance of preferred stock of restricted subsidiaries, (v) transactions with affiliates, (vi) asset sales and mergers and consolidations, (vii) future subsidiary guarantees and (viii) liens, subject in each case to certain exceptions.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provides the Company’s debt holdings at September 30, 2020 and December 31, 2019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41" w:lineRule="exact"/>
        <w:rPr>
          <w:sz w:val="20"/>
          <w:szCs w:val="20"/>
          <w:color w:val="auto"/>
        </w:rPr>
      </w:pPr>
    </w:p>
    <w:tbl>
      <w:tblPr>
        <w:tblLayout w:type="fixed"/>
        <w:tblInd w:w="540" w:type="dxa"/>
        <w:tblCellMar>
          <w:top w:w="0" w:type="dxa"/>
          <w:left w:w="0" w:type="dxa"/>
          <w:bottom w:w="0" w:type="dxa"/>
          <w:right w:w="0" w:type="dxa"/>
        </w:tblCellMar>
      </w:tblPr>
      <w:tr>
        <w:trPr>
          <w:trHeight w:val="206"/>
        </w:trPr>
        <w:tc>
          <w:tcPr>
            <w:tcW w:w="5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0" w:type="dxa"/>
            <w:vAlign w:val="bottom"/>
            <w:gridSpan w:val="2"/>
          </w:tcPr>
          <w:p>
            <w:pPr>
              <w:ind w:left="120"/>
              <w:spacing w:after="0"/>
              <w:rPr>
                <w:sz w:val="20"/>
                <w:szCs w:val="20"/>
                <w:color w:val="auto"/>
              </w:rPr>
            </w:pPr>
            <w:r>
              <w:rPr>
                <w:rFonts w:ascii="Arial" w:cs="Arial" w:eastAsia="Arial" w:hAnsi="Arial"/>
                <w:sz w:val="15"/>
                <w:szCs w:val="15"/>
                <w:b w:val="1"/>
                <w:bCs w:val="1"/>
                <w:color w:val="auto"/>
              </w:rPr>
              <w:t>September 30, 2020</w:t>
            </w:r>
          </w:p>
        </w:tc>
        <w:tc>
          <w:tcPr>
            <w:tcW w:w="200" w:type="dxa"/>
            <w:vAlign w:val="bottom"/>
          </w:tcPr>
          <w:p>
            <w:pPr>
              <w:spacing w:after="0"/>
              <w:rPr>
                <w:sz w:val="17"/>
                <w:szCs w:val="17"/>
                <w:color w:val="auto"/>
              </w:rPr>
            </w:pPr>
          </w:p>
        </w:tc>
        <w:tc>
          <w:tcPr>
            <w:tcW w:w="1780" w:type="dxa"/>
            <w:vAlign w:val="bottom"/>
          </w:tcPr>
          <w:p>
            <w:pPr>
              <w:jc w:val="right"/>
              <w:ind w:right="220"/>
              <w:spacing w:after="0"/>
              <w:rPr>
                <w:sz w:val="20"/>
                <w:szCs w:val="20"/>
                <w:color w:val="auto"/>
              </w:rPr>
            </w:pPr>
            <w:r>
              <w:rPr>
                <w:rFonts w:ascii="Arial" w:cs="Arial" w:eastAsia="Arial" w:hAnsi="Arial"/>
                <w:sz w:val="15"/>
                <w:szCs w:val="15"/>
                <w:b w:val="1"/>
                <w:bCs w:val="1"/>
                <w:color w:val="auto"/>
              </w:rPr>
              <w:t>December 31, 2019</w:t>
            </w:r>
          </w:p>
        </w:tc>
      </w:tr>
      <w:tr>
        <w:trPr>
          <w:trHeight w:val="214"/>
        </w:trPr>
        <w:tc>
          <w:tcPr>
            <w:tcW w:w="5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Senior Notes</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600,000</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400,000</w:t>
            </w:r>
          </w:p>
        </w:tc>
      </w:tr>
      <w:tr>
        <w:trPr>
          <w:trHeight w:val="213"/>
        </w:trPr>
        <w:tc>
          <w:tcPr>
            <w:tcW w:w="59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Unamortized premiums and debt issuance costs</w:t>
            </w:r>
          </w:p>
        </w:tc>
        <w:tc>
          <w:tcPr>
            <w:tcW w:w="2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(7,893)</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(5,555)</w:t>
            </w:r>
          </w:p>
        </w:tc>
      </w:tr>
      <w:tr>
        <w:trPr>
          <w:trHeight w:val="235"/>
        </w:trPr>
        <w:tc>
          <w:tcPr>
            <w:tcW w:w="59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Long term debt</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592,107</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394,445</w:t>
            </w: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 Company's Senior Notes consisted of the following carrying value and estimated fair value (in thousands):</w:t>
      </w:r>
    </w:p>
    <w:p>
      <w:pPr>
        <w:spacing w:after="0" w:line="150" w:lineRule="exact"/>
        <w:rPr>
          <w:sz w:val="20"/>
          <w:szCs w:val="20"/>
          <w:color w:val="auto"/>
        </w:rPr>
      </w:pPr>
    </w:p>
    <w:tbl>
      <w:tblPr>
        <w:tblLayout w:type="fixed"/>
        <w:tblInd w:w="1240" w:type="dxa"/>
        <w:tblCellMar>
          <w:top w:w="0" w:type="dxa"/>
          <w:left w:w="0" w:type="dxa"/>
          <w:bottom w:w="0" w:type="dxa"/>
          <w:right w:w="0" w:type="dxa"/>
        </w:tblCellMar>
      </w:tblPr>
      <w:tr>
        <w:trPr>
          <w:trHeight w:val="184"/>
        </w:trPr>
        <w:tc>
          <w:tcPr>
            <w:tcW w:w="16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9"/>
              </w:rPr>
              <w:t>Fair Value</w:t>
            </w:r>
          </w:p>
        </w:tc>
        <w:tc>
          <w:tcPr>
            <w:tcW w:w="3080" w:type="dxa"/>
            <w:vAlign w:val="bottom"/>
            <w:gridSpan w:val="3"/>
            <w:vMerge w:val="restart"/>
          </w:tcPr>
          <w:p>
            <w:pPr>
              <w:jc w:val="right"/>
              <w:ind w:right="719"/>
              <w:spacing w:after="0"/>
              <w:rPr>
                <w:sz w:val="20"/>
                <w:szCs w:val="20"/>
                <w:color w:val="auto"/>
              </w:rPr>
            </w:pPr>
            <w:r>
              <w:rPr>
                <w:rFonts w:ascii="Arial" w:cs="Arial" w:eastAsia="Arial" w:hAnsi="Arial"/>
                <w:sz w:val="16"/>
                <w:szCs w:val="16"/>
                <w:b w:val="1"/>
                <w:bCs w:val="1"/>
                <w:color w:val="auto"/>
              </w:rPr>
              <w:t>September 30, 2020</w:t>
            </w:r>
          </w:p>
        </w:tc>
        <w:tc>
          <w:tcPr>
            <w:tcW w:w="0" w:type="dxa"/>
            <w:vAlign w:val="bottom"/>
          </w:tcPr>
          <w:p>
            <w:pPr>
              <w:spacing w:after="0"/>
              <w:rPr>
                <w:sz w:val="1"/>
                <w:szCs w:val="1"/>
                <w:color w:val="auto"/>
              </w:rPr>
            </w:pPr>
          </w:p>
        </w:tc>
      </w:tr>
      <w:tr>
        <w:trPr>
          <w:trHeight w:val="107"/>
        </w:trPr>
        <w:tc>
          <w:tcPr>
            <w:tcW w:w="16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gridSpan w:val="2"/>
            <w:vMerge w:val="restart"/>
          </w:tcPr>
          <w:p>
            <w:pPr>
              <w:jc w:val="center"/>
              <w:ind w:right="120"/>
              <w:spacing w:after="0" w:line="162" w:lineRule="exact"/>
              <w:rPr>
                <w:sz w:val="20"/>
                <w:szCs w:val="20"/>
                <w:color w:val="auto"/>
              </w:rPr>
            </w:pPr>
            <w:r>
              <w:rPr>
                <w:rFonts w:ascii="Arial" w:cs="Arial" w:eastAsia="Arial" w:hAnsi="Arial"/>
                <w:sz w:val="16"/>
                <w:szCs w:val="16"/>
                <w:b w:val="1"/>
                <w:bCs w:val="1"/>
                <w:color w:val="auto"/>
              </w:rPr>
              <w:t>Hierarchy</w:t>
            </w:r>
          </w:p>
        </w:tc>
        <w:tc>
          <w:tcPr>
            <w:tcW w:w="3080" w:type="dxa"/>
            <w:vAlign w:val="bottom"/>
            <w:tcBorders>
              <w:bottom w:val="single" w:sz="8" w:color="auto"/>
            </w:tcBorders>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0"/>
        </w:trPr>
        <w:tc>
          <w:tcPr>
            <w:tcW w:w="1680" w:type="dxa"/>
            <w:vAlign w:val="bottom"/>
          </w:tcPr>
          <w:p>
            <w:pPr>
              <w:spacing w:after="0"/>
              <w:rPr>
                <w:sz w:val="3"/>
                <w:szCs w:val="3"/>
                <w:color w:val="auto"/>
              </w:rPr>
            </w:pPr>
          </w:p>
        </w:tc>
        <w:tc>
          <w:tcPr>
            <w:tcW w:w="1380" w:type="dxa"/>
            <w:vAlign w:val="bottom"/>
            <w:vMerge w:val="restart"/>
          </w:tcPr>
          <w:p>
            <w:pPr>
              <w:ind w:left="180"/>
              <w:spacing w:after="0"/>
              <w:rPr>
                <w:sz w:val="20"/>
                <w:szCs w:val="20"/>
                <w:color w:val="auto"/>
              </w:rPr>
            </w:pPr>
            <w:r>
              <w:rPr>
                <w:rFonts w:ascii="Arial" w:cs="Arial" w:eastAsia="Arial" w:hAnsi="Arial"/>
                <w:sz w:val="16"/>
                <w:szCs w:val="16"/>
                <w:b w:val="1"/>
                <w:bCs w:val="1"/>
                <w:color w:val="auto"/>
              </w:rPr>
              <w:t>Maturity Date</w:t>
            </w:r>
          </w:p>
        </w:tc>
        <w:tc>
          <w:tcPr>
            <w:tcW w:w="100" w:type="dxa"/>
            <w:vAlign w:val="bottom"/>
            <w:vMerge w:val="restart"/>
          </w:tcPr>
          <w:p>
            <w:pPr>
              <w:spacing w:after="0"/>
              <w:rPr>
                <w:sz w:val="3"/>
                <w:szCs w:val="3"/>
                <w:color w:val="auto"/>
              </w:rPr>
            </w:pPr>
          </w:p>
        </w:tc>
        <w:tc>
          <w:tcPr>
            <w:tcW w:w="1220" w:type="dxa"/>
            <w:vAlign w:val="bottom"/>
            <w:vMerge w:val="restart"/>
          </w:tcPr>
          <w:p>
            <w:pPr>
              <w:jc w:val="right"/>
              <w:ind w:right="359"/>
              <w:spacing w:after="0"/>
              <w:rPr>
                <w:sz w:val="20"/>
                <w:szCs w:val="20"/>
                <w:color w:val="auto"/>
              </w:rPr>
            </w:pPr>
            <w:r>
              <w:rPr>
                <w:rFonts w:ascii="Arial" w:cs="Arial" w:eastAsia="Arial" w:hAnsi="Arial"/>
                <w:sz w:val="16"/>
                <w:szCs w:val="16"/>
                <w:b w:val="1"/>
                <w:bCs w:val="1"/>
                <w:color w:val="auto"/>
              </w:rPr>
              <w:t>Rate</w:t>
            </w:r>
          </w:p>
        </w:tc>
        <w:tc>
          <w:tcPr>
            <w:tcW w:w="10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148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rPr>
              <w:t>Carrying Value</w:t>
            </w:r>
          </w:p>
        </w:tc>
        <w:tc>
          <w:tcPr>
            <w:tcW w:w="100" w:type="dxa"/>
            <w:vAlign w:val="bottom"/>
            <w:vMerge w:val="restart"/>
          </w:tcPr>
          <w:p>
            <w:pPr>
              <w:spacing w:after="0"/>
              <w:rPr>
                <w:sz w:val="3"/>
                <w:szCs w:val="3"/>
                <w:color w:val="auto"/>
              </w:rPr>
            </w:pPr>
          </w:p>
        </w:tc>
        <w:tc>
          <w:tcPr>
            <w:tcW w:w="150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line="20" w:lineRule="exact"/>
              <w:rPr>
                <w:sz w:val="1"/>
                <w:szCs w:val="1"/>
                <w:color w:val="auto"/>
              </w:rPr>
            </w:pPr>
          </w:p>
        </w:tc>
      </w:tr>
      <w:tr>
        <w:trPr>
          <w:trHeight w:val="215"/>
        </w:trPr>
        <w:tc>
          <w:tcPr>
            <w:tcW w:w="168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Level</w:t>
            </w:r>
          </w:p>
        </w:tc>
        <w:tc>
          <w:tcPr>
            <w:tcW w:w="12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5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Senior Notes</w:t>
            </w:r>
          </w:p>
        </w:tc>
        <w:tc>
          <w:tcPr>
            <w:tcW w:w="148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May 1, 2026</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8.000 %</w:t>
            </w:r>
          </w:p>
        </w:tc>
        <w:tc>
          <w:tcPr>
            <w:tcW w:w="120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600,000</w:t>
            </w: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630,000</w:t>
            </w: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Debt Issuance Costs</w:t>
      </w:r>
    </w:p>
    <w:p>
      <w:pPr>
        <w:spacing w:after="0" w:line="117"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Deferred debt issuance costs represent the costs associated with the issuance of the Company's financing arrangements. In connection with the Additional Notes offering in May 2020, the Company recorded $3.2 million in deferred financing costs.</w:t>
      </w:r>
    </w:p>
    <w:p>
      <w:pPr>
        <w:spacing w:after="0" w:line="90"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Since the Company can borrow, repay and reborrow principal under the 2018 Revolving Credit Facility, the debt issuance costs associated with the 2018 Revolving Credit Facility have been classified as other non-current assets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26" w:name="page27"/>
    <w:bookmarkEnd w:id="26"/>
    <w:p>
      <w:pPr>
        <w:jc w:val="both"/>
        <w:spacing w:after="0" w:line="261" w:lineRule="auto"/>
        <w:rPr>
          <w:sz w:val="20"/>
          <w:szCs w:val="20"/>
          <w:color w:val="auto"/>
        </w:rPr>
      </w:pPr>
      <w:r>
        <w:rPr>
          <w:rFonts w:ascii="Arial" w:cs="Arial" w:eastAsia="Arial" w:hAnsi="Arial"/>
          <w:sz w:val="18"/>
          <w:szCs w:val="18"/>
          <w:color w:val="auto"/>
        </w:rPr>
        <w:t>in the accompanying condensed consolidated balance sheet. The debt issuance costs associated with the Senior Notes are classified as a reduction of long-term debt in the accompanying condensed consolidated balance sheet.</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table summarizes unamortized premiums and debt issuance costs at September 30, 2020 and December 31, 2019, and the balance sheet classification in each of the periods presented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04" w:lineRule="exact"/>
        <w:rPr>
          <w:sz w:val="20"/>
          <w:szCs w:val="20"/>
          <w:color w:val="auto"/>
        </w:rPr>
      </w:pPr>
    </w:p>
    <w:tbl>
      <w:tblPr>
        <w:tblLayout w:type="fixed"/>
        <w:tblInd w:w="1040" w:type="dxa"/>
        <w:tblCellMar>
          <w:top w:w="0" w:type="dxa"/>
          <w:left w:w="0" w:type="dxa"/>
          <w:bottom w:w="0" w:type="dxa"/>
          <w:right w:w="0" w:type="dxa"/>
        </w:tblCellMar>
      </w:tblPr>
      <w:tr>
        <w:trPr>
          <w:trHeight w:val="206"/>
        </w:trPr>
        <w:tc>
          <w:tcPr>
            <w:tcW w:w="5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September 30, 2020</w:t>
            </w:r>
          </w:p>
        </w:tc>
        <w:tc>
          <w:tcPr>
            <w:tcW w:w="180" w:type="dxa"/>
            <w:vAlign w:val="bottom"/>
          </w:tcPr>
          <w:p>
            <w:pPr>
              <w:spacing w:after="0"/>
              <w:rPr>
                <w:sz w:val="17"/>
                <w:szCs w:val="17"/>
                <w:color w:val="auto"/>
              </w:rPr>
            </w:pPr>
          </w:p>
        </w:tc>
        <w:tc>
          <w:tcPr>
            <w:tcW w:w="1760" w:type="dxa"/>
            <w:vAlign w:val="bottom"/>
          </w:tcPr>
          <w:p>
            <w:pPr>
              <w:jc w:val="right"/>
              <w:ind w:right="204"/>
              <w:spacing w:after="0"/>
              <w:rPr>
                <w:sz w:val="20"/>
                <w:szCs w:val="20"/>
                <w:color w:val="auto"/>
              </w:rPr>
            </w:pPr>
            <w:r>
              <w:rPr>
                <w:rFonts w:ascii="Arial" w:cs="Arial" w:eastAsia="Arial" w:hAnsi="Arial"/>
                <w:sz w:val="15"/>
                <w:szCs w:val="15"/>
                <w:b w:val="1"/>
                <w:bCs w:val="1"/>
                <w:color w:val="auto"/>
              </w:rPr>
              <w:t>December 31, 2019</w:t>
            </w:r>
          </w:p>
        </w:tc>
      </w:tr>
      <w:tr>
        <w:trPr>
          <w:trHeight w:val="200"/>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Unamortized premiums and debt issuance costs</w:t>
            </w:r>
          </w:p>
        </w:tc>
        <w:tc>
          <w:tcPr>
            <w:tcW w:w="1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7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16,466</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7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13,252</w:t>
            </w:r>
          </w:p>
        </w:tc>
      </w:tr>
      <w:tr>
        <w:trPr>
          <w:trHeight w:val="198"/>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Accumulated amortization</w:t>
            </w:r>
          </w:p>
        </w:tc>
        <w:tc>
          <w:tcPr>
            <w:tcW w:w="18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(5,461)</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(3,667)</w:t>
            </w:r>
          </w:p>
        </w:tc>
      </w:tr>
      <w:tr>
        <w:trPr>
          <w:trHeight w:val="225"/>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Unamortized premiums and debt issuance costs, net</w:t>
            </w:r>
          </w:p>
        </w:tc>
        <w:tc>
          <w:tcPr>
            <w:tcW w:w="1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7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11,005</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7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9,585</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03"/>
        </w:trPr>
        <w:tc>
          <w:tcPr>
            <w:tcW w:w="5200" w:type="dxa"/>
            <w:vAlign w:val="bottom"/>
            <w:shd w:val="clear" w:color="auto" w:fill="CCEEFF"/>
          </w:tcPr>
          <w:p>
            <w:pPr>
              <w:ind w:left="20"/>
              <w:spacing w:after="0"/>
              <w:rPr>
                <w:sz w:val="20"/>
                <w:szCs w:val="20"/>
                <w:color w:val="auto"/>
              </w:rPr>
            </w:pPr>
            <w:r>
              <w:rPr>
                <w:rFonts w:ascii="Arial" w:cs="Arial" w:eastAsia="Arial" w:hAnsi="Arial"/>
                <w:sz w:val="15"/>
                <w:szCs w:val="15"/>
                <w:color w:val="auto"/>
              </w:rPr>
              <w:t>Balance sheet classification:</w:t>
            </w:r>
          </w:p>
        </w:tc>
        <w:tc>
          <w:tcPr>
            <w:tcW w:w="18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r>
      <w:tr>
        <w:trPr>
          <w:trHeight w:val="198"/>
        </w:trPr>
        <w:tc>
          <w:tcPr>
            <w:tcW w:w="5200" w:type="dxa"/>
            <w:vAlign w:val="bottom"/>
          </w:tcPr>
          <w:p>
            <w:pPr>
              <w:ind w:left="20"/>
              <w:spacing w:after="0"/>
              <w:rPr>
                <w:sz w:val="20"/>
                <w:szCs w:val="20"/>
                <w:color w:val="auto"/>
              </w:rPr>
            </w:pPr>
            <w:r>
              <w:rPr>
                <w:rFonts w:ascii="Arial" w:cs="Arial" w:eastAsia="Arial" w:hAnsi="Arial"/>
                <w:sz w:val="15"/>
                <w:szCs w:val="15"/>
                <w:color w:val="auto"/>
              </w:rPr>
              <w:t>Other noncurrent assets</w:t>
            </w: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1760" w:type="dxa"/>
            <w:vAlign w:val="bottom"/>
          </w:tcPr>
          <w:p>
            <w:pPr>
              <w:jc w:val="right"/>
              <w:ind w:right="4"/>
              <w:spacing w:after="0"/>
              <w:rPr>
                <w:sz w:val="20"/>
                <w:szCs w:val="20"/>
                <w:color w:val="auto"/>
              </w:rPr>
            </w:pPr>
            <w:r>
              <w:rPr>
                <w:rFonts w:ascii="Arial" w:cs="Arial" w:eastAsia="Arial" w:hAnsi="Arial"/>
                <w:sz w:val="15"/>
                <w:szCs w:val="15"/>
                <w:color w:val="auto"/>
              </w:rPr>
              <w:t>3,112</w:t>
            </w:r>
          </w:p>
        </w:tc>
        <w:tc>
          <w:tcPr>
            <w:tcW w:w="100" w:type="dxa"/>
            <w:vAlign w:val="bottom"/>
          </w:tcPr>
          <w:p>
            <w:pPr>
              <w:spacing w:after="0"/>
              <w:rPr>
                <w:sz w:val="17"/>
                <w:szCs w:val="17"/>
                <w:color w:val="auto"/>
              </w:rPr>
            </w:pP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1760" w:type="dxa"/>
            <w:vAlign w:val="bottom"/>
          </w:tcPr>
          <w:p>
            <w:pPr>
              <w:jc w:val="right"/>
              <w:ind w:right="4"/>
              <w:spacing w:after="0"/>
              <w:rPr>
                <w:sz w:val="20"/>
                <w:szCs w:val="20"/>
                <w:color w:val="auto"/>
              </w:rPr>
            </w:pPr>
            <w:r>
              <w:rPr>
                <w:rFonts w:ascii="Arial" w:cs="Arial" w:eastAsia="Arial" w:hAnsi="Arial"/>
                <w:sz w:val="15"/>
                <w:szCs w:val="15"/>
                <w:color w:val="auto"/>
              </w:rPr>
              <w:t>4,030</w:t>
            </w:r>
          </w:p>
        </w:tc>
      </w:tr>
      <w:tr>
        <w:trPr>
          <w:trHeight w:val="203"/>
        </w:trPr>
        <w:tc>
          <w:tcPr>
            <w:tcW w:w="5200" w:type="dxa"/>
            <w:vAlign w:val="bottom"/>
            <w:shd w:val="clear" w:color="auto" w:fill="CCEEFF"/>
          </w:tcPr>
          <w:p>
            <w:pPr>
              <w:ind w:left="20"/>
              <w:spacing w:after="0"/>
              <w:rPr>
                <w:sz w:val="20"/>
                <w:szCs w:val="20"/>
                <w:color w:val="auto"/>
              </w:rPr>
            </w:pPr>
            <w:r>
              <w:rPr>
                <w:rFonts w:ascii="Arial" w:cs="Arial" w:eastAsia="Arial" w:hAnsi="Arial"/>
                <w:sz w:val="15"/>
                <w:szCs w:val="15"/>
                <w:color w:val="auto"/>
              </w:rPr>
              <w:t>Long-term debt</w:t>
            </w:r>
          </w:p>
        </w:tc>
        <w:tc>
          <w:tcPr>
            <w:tcW w:w="180" w:type="dxa"/>
            <w:vAlign w:val="bottom"/>
            <w:tcBorders>
              <w:bottom w:val="single" w:sz="8" w:color="auto"/>
            </w:tcBorders>
            <w:shd w:val="clear" w:color="auto" w:fill="CCEEFF"/>
          </w:tcPr>
          <w:p>
            <w:pPr>
              <w:spacing w:after="0"/>
              <w:rPr>
                <w:sz w:val="17"/>
                <w:szCs w:val="17"/>
                <w:color w:val="auto"/>
              </w:rPr>
            </w:pPr>
          </w:p>
        </w:tc>
        <w:tc>
          <w:tcPr>
            <w:tcW w:w="17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7,893</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7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5,555</w:t>
            </w:r>
          </w:p>
        </w:tc>
      </w:tr>
      <w:tr>
        <w:trPr>
          <w:trHeight w:val="196"/>
        </w:trPr>
        <w:tc>
          <w:tcPr>
            <w:tcW w:w="5200" w:type="dxa"/>
            <w:vAlign w:val="bottom"/>
          </w:tcPr>
          <w:p>
            <w:pPr>
              <w:spacing w:after="0"/>
              <w:rPr>
                <w:sz w:val="17"/>
                <w:szCs w:val="17"/>
                <w:color w:val="auto"/>
              </w:rPr>
            </w:pPr>
          </w:p>
        </w:tc>
        <w:tc>
          <w:tcPr>
            <w:tcW w:w="1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95"/>
              </w:rPr>
              <w:t>$</w:t>
            </w:r>
          </w:p>
        </w:tc>
        <w:tc>
          <w:tcPr>
            <w:tcW w:w="17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11,005</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95"/>
              </w:rPr>
              <w:t>$</w:t>
            </w:r>
          </w:p>
        </w:tc>
        <w:tc>
          <w:tcPr>
            <w:tcW w:w="17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9,585</w:t>
            </w:r>
          </w:p>
        </w:tc>
      </w:tr>
      <w:tr>
        <w:trPr>
          <w:trHeight w:val="25"/>
        </w:trPr>
        <w:tc>
          <w:tcPr>
            <w:tcW w:w="5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J — Stockholders’ Equity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Trust Common Shares</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Trust is authorized to issue 500,000,000 Trust common shares and the Company is authorized to issue a corresponding number of trust interests. The Company will at all times have the identical number of trust interests outstanding as Trust shares. Each Trust share represents an undivided beneficial interest in the Trust, and each Trust share is entitled to one vote per share on any matter with respect to which members of the Company are entitled to vote.</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Secondary Offering</w:t>
      </w:r>
    </w:p>
    <w:p>
      <w:pPr>
        <w:spacing w:after="0" w:line="13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May 2020, the Company completed an offering of 5,000,000 Trust common shares at a public offering price of $ 17.60 per share. The net proceeds to the Company, after deducting the underwriter's discount and offering costs, totaled approximately $83.9 million.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Trust Preferred Shares</w:t>
      </w:r>
    </w:p>
    <w:p>
      <w:pPr>
        <w:spacing w:after="0" w:line="139"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Trust is authorized to issue up to 50,000,000 Trust preferred shares and the Company is authorized to issue a corresponding number of trust preferred interests.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C Preferred Shares</w:t>
      </w:r>
    </w:p>
    <w:p>
      <w:pPr>
        <w:spacing w:after="0" w:line="13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November 20, 2019, the Trust issued 4,000,000 7.875% Series C Preferred Shares (the "Series C Preferred Shares") with a liquidation preference of $25.00 per share, and on December 2, 2019, the Trust issued 600,000 of the Series C Preferred Shares which were sold pursuant to an option to purchase additional shares by the underwriters. Total proceeds from the issuance of the Series C Preferred Shares were $115.0 million, or $111.0 million net of underwriters' discount and issuance costs. Distributions on the Series C Preferred Shares will be payable quarterly in arrears, when and as declared by the Company's board of directors on January 30, April 30, July 30, and October 30 of each year, beginning on January 30, 2020, at a rate per annum of 7.875%. Distributions on the Series C Preferred Shares are cumulative and at September 30, 2020, $1.5 million of Series C distributions are accumulated and unpaid. Unless full cumulative distributions on the Series C Preferred Shares have been or contemporaneously are declared and set apart for payment of the Series C Preferred Shares for all past distribution periods, no distribution may be declared or paid for payment on the Trust common shares. The Series C Preferred Shares are not convertible into Trust common shares and have no voting rights, except in limited circumstances as provided for in the share designation for the Series C Preferred Shares. The Series C Preferred Shares may be redeemed at the Company's option, in whole or in part, at any time after January 30, 2025, at a price of $25.00 per share, plus any accumulated and unpaid distributions (thereon whether authorized or declared) to, but excluding, the redemption date. Holders of Series C Preferred Shares will have no right to require the redemption of the Series C Preferred Shares and there is no maturity date.</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i w:val="1"/>
          <w:iCs w:val="1"/>
          <w:color w:val="auto"/>
        </w:rPr>
        <w:t>Series B Preferred Shares</w:t>
      </w:r>
    </w:p>
    <w:p>
      <w:pPr>
        <w:spacing w:after="0" w:line="13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March 13, 2018, the Trust issued 4,000,000 7.875% Series B Trust Preferred Shares (the "Series B Preferred Shares") with a liquidation preference of $25.00 per share, for gross proceeds of $100.0 million, or $96.5 million net of underwriters' discount and issuance costs. Distributions on the Series B Preferred Shares will be payable quarterly in arrears, when and as declared by the Company's board of directors on January 30, April 30, July 30, and October 30 of each year, beginning on July 30, 2018, at a rate per annum of 7.875%. Distributions on the Series B Preferred Shares are cumulative and at September 30, 2020, $1.3 million of Series B distributions are accumulated and unpaid. Unless full cumulative distributions on the Series B Preferred Shares have been or contemporaneously are declared and set apart for payment of the Series B Preferred Shares for all past distribution periods, no distribution may be declared or paid for payment on the Trust common shares. The Series B Preferred Shares are not convertible into Trust common shares and have no voting rights, except in limited circumstances as provided for in the share designation for the preferred shares. The Series B Preferred Shares may be redeemed at the Company's option, in whole or in part, at any time after April 30, 2028, at a price of $25.00 per share, plus any accumulated and unpaid distributions (thereon whether authorized or declared) to, but excluding, the redemption date. Holders of Series B Preferred Shares will have no right to require the redemption of the Series B Preferred Shares and there is no maturity date.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A Preferred Shares</w:t>
      </w:r>
    </w:p>
    <w:p>
      <w:pPr>
        <w:spacing w:after="0" w:line="13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June 28, 2017, the Trust issued 4,000,000 7.250% Series A Trust Preferred Shares (the "Series A Preferred Shares") with a liquidation preference of $25.00 per share, for gross proceeds of $100.0 million, or $96.4 million net of underwriters' discount and issuance costs. When, and if declared by the Company's board of directors, distribution on the Series A Preferred Shares will be payable quarterly on January 30, April 30, July 30, and October 30 of each year, beginning on October 30, 2017, at a rate per annum of 7.250%. Distributions on the Series A Preferred Shares are discretionary and non-cumulative. The Company has no obligation to pay distributions for a quarterly distribution period if the board of directors does not declare the distribution before the scheduled record of date for the period, whether or not distributions are paid for any subsequent distribution periods with respect to the Series A Preferred Shares, or the Trust common shares. If the Company's board of directors does not declare a distribution for the Series A Preferred Shares for a quarterly distribution period, during the remainder of that quarterly distribution period the Company cannot declare or pay distributions on the Trust common shares. The Series A Preferred Shares may be redeemed at the Company's option, in whole or in part, at any time after July 30, 2022, at a price of $25.00 per share, plus any declared and unpaid distributions. Holders of Series A Preferred Shares will have no right to require the redemption of the Series A Preferred Shares and there is no maturity date. The Series A Preferred Shares are not convertible into Trust common shares and have no voting rights, except in limited circumstances as provided for in the share designation for the preferred shares.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Profit Allocation Interests</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Allocation Interests represent the original equity interest in the Company. The holders of the Allocation Interests ("Holders") are entitled to receive distributions pursuant to a profit allocation formula upon the occurrence of certain events. The distributions of the profit allocation are paid upon the occurrence of the sale of a material amount of capital stock or assets of one of the Company’s businesses ("Sale Event") or, at the option of the Holders, at each five-year anniversary date of the acquisition of one of the Company’s businesses ("Holding Event"). The Company records distributions of the profit allocation to the Holders upon occurrence of a Sale Event or Holding Event as distributions declared on Allocation Interests to stockholders’ equity when they are approved by the Company’s board of directors.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Holding Event</w:t>
      </w:r>
    </w:p>
    <w:p>
      <w:pPr>
        <w:spacing w:after="0" w:line="1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five-year anniversary of the acquisition of Sterno Products occurred in October 2019 which represented a Holding Event. The Company declared and paid a distribution to the Holders of $9.1 million in February 2020. The ten-year anniversary of Liberty occurred in March 2020 which represented a Holding Event. The Holders elected to defer the distribution of $3.3 million until after the end of 2020. The ten-year anniversary of Ergo occurred in September 2020 which represented a Holding Event. The Holders elected to defer the distribution of $2.0 million until after the end of 2020.</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Sale Events</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sales of Manitoba Harvest in February 2019 and Clean Earth in June 2019 each qualified as a Sale Event under the Company's LLC Agreement. During the second quarter of 2019, the Company declared and paid a distribution to the Allocation Member of $8.0 million related to the sale of Manitoba Harvest and working capital settlements from prior Sale Events. The profit allocation distribution was calculated based on the portion of the gain</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28" w:name="page29"/>
    <w:bookmarkEnd w:id="28"/>
    <w:p>
      <w:pPr>
        <w:jc w:val="both"/>
        <w:spacing w:after="0" w:line="254" w:lineRule="auto"/>
        <w:rPr>
          <w:sz w:val="20"/>
          <w:szCs w:val="20"/>
          <w:color w:val="auto"/>
        </w:rPr>
      </w:pPr>
      <w:r>
        <w:rPr>
          <w:rFonts w:ascii="Arial" w:cs="Arial" w:eastAsia="Arial" w:hAnsi="Arial"/>
          <w:sz w:val="18"/>
          <w:szCs w:val="18"/>
          <w:color w:val="auto"/>
        </w:rPr>
        <w:t>on sale related to the Closing Date Consideration, less the loss on sale of shares that were received as part of the Closing Consideration. During the third quarter of 2019, the Company declared and paid a distribution to the Allocation Member of $43.3 million related to the sale of Clean Earth. During the fourth quarter of 2019, the Company declared and paid a distribution to the Allocation Member of $9.1 million related to the Deferred Consideration from the Manitoba Harvest sale and the working capital settlement received from the sale of Clean Earth.</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net income (loss) available to common shares of Holdings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net loss attributable to Holdings to net loss attributable to the common shares of Holdings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6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60" w:type="dxa"/>
            <w:vAlign w:val="bottom"/>
            <w:gridSpan w:val="5"/>
          </w:tcPr>
          <w:p>
            <w:pPr>
              <w:ind w:left="200"/>
              <w:spacing w:after="0"/>
              <w:rPr>
                <w:sz w:val="20"/>
                <w:szCs w:val="20"/>
                <w:color w:val="auto"/>
              </w:rPr>
            </w:pPr>
            <w:r>
              <w:rPr>
                <w:rFonts w:ascii="Arial" w:cs="Arial" w:eastAsia="Arial" w:hAnsi="Arial"/>
                <w:sz w:val="15"/>
                <w:szCs w:val="15"/>
                <w:b w:val="1"/>
                <w:bCs w:val="1"/>
                <w:color w:val="auto"/>
              </w:rPr>
              <w:t>Three months ended</w:t>
            </w:r>
          </w:p>
        </w:tc>
        <w:tc>
          <w:tcPr>
            <w:tcW w:w="260" w:type="dxa"/>
            <w:vAlign w:val="bottom"/>
          </w:tcPr>
          <w:p>
            <w:pPr>
              <w:spacing w:after="0"/>
              <w:rPr>
                <w:sz w:val="14"/>
                <w:szCs w:val="14"/>
                <w:color w:val="auto"/>
              </w:rPr>
            </w:pPr>
          </w:p>
        </w:tc>
        <w:tc>
          <w:tcPr>
            <w:tcW w:w="2220" w:type="dxa"/>
            <w:vAlign w:val="bottom"/>
            <w:gridSpan w:val="4"/>
          </w:tcPr>
          <w:p>
            <w:pPr>
              <w:jc w:val="right"/>
              <w:ind w:right="484"/>
              <w:spacing w:after="0"/>
              <w:rPr>
                <w:sz w:val="20"/>
                <w:szCs w:val="20"/>
                <w:color w:val="auto"/>
              </w:rPr>
            </w:pPr>
            <w:r>
              <w:rPr>
                <w:rFonts w:ascii="Arial" w:cs="Arial" w:eastAsia="Arial" w:hAnsi="Arial"/>
                <w:sz w:val="15"/>
                <w:szCs w:val="15"/>
                <w:b w:val="1"/>
                <w:bCs w:val="1"/>
                <w:color w:val="auto"/>
              </w:rPr>
              <w:t>Nine months ended</w:t>
            </w:r>
          </w:p>
        </w:tc>
      </w:tr>
      <w:tr>
        <w:trPr>
          <w:trHeight w:val="202"/>
        </w:trPr>
        <w:tc>
          <w:tcPr>
            <w:tcW w:w="6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60" w:type="dxa"/>
            <w:vAlign w:val="bottom"/>
            <w:gridSpan w:val="5"/>
          </w:tcPr>
          <w:p>
            <w:pPr>
              <w:ind w:left="480"/>
              <w:spacing w:after="0"/>
              <w:rPr>
                <w:sz w:val="20"/>
                <w:szCs w:val="20"/>
                <w:color w:val="auto"/>
              </w:rPr>
            </w:pPr>
            <w:r>
              <w:rPr>
                <w:rFonts w:ascii="Arial" w:cs="Arial" w:eastAsia="Arial" w:hAnsi="Arial"/>
                <w:sz w:val="15"/>
                <w:szCs w:val="15"/>
                <w:b w:val="1"/>
                <w:bCs w:val="1"/>
                <w:color w:val="auto"/>
              </w:rPr>
              <w:t>September 30,</w:t>
            </w:r>
          </w:p>
        </w:tc>
        <w:tc>
          <w:tcPr>
            <w:tcW w:w="260" w:type="dxa"/>
            <w:vAlign w:val="bottom"/>
          </w:tcPr>
          <w:p>
            <w:pPr>
              <w:spacing w:after="0"/>
              <w:rPr>
                <w:sz w:val="17"/>
                <w:szCs w:val="17"/>
                <w:color w:val="auto"/>
              </w:rPr>
            </w:pPr>
          </w:p>
        </w:tc>
        <w:tc>
          <w:tcPr>
            <w:tcW w:w="2220" w:type="dxa"/>
            <w:vAlign w:val="bottom"/>
            <w:gridSpan w:val="4"/>
          </w:tcPr>
          <w:p>
            <w:pPr>
              <w:jc w:val="right"/>
              <w:ind w:right="624"/>
              <w:spacing w:after="0"/>
              <w:rPr>
                <w:sz w:val="20"/>
                <w:szCs w:val="20"/>
                <w:color w:val="auto"/>
              </w:rPr>
            </w:pPr>
            <w:r>
              <w:rPr>
                <w:rFonts w:ascii="Arial" w:cs="Arial" w:eastAsia="Arial" w:hAnsi="Arial"/>
                <w:sz w:val="15"/>
                <w:szCs w:val="15"/>
                <w:b w:val="1"/>
                <w:bCs w:val="1"/>
                <w:color w:val="auto"/>
              </w:rPr>
              <w:t>September 30,</w:t>
            </w:r>
          </w:p>
        </w:tc>
      </w:tr>
      <w:tr>
        <w:trPr>
          <w:trHeight w:val="196"/>
        </w:trPr>
        <w:tc>
          <w:tcPr>
            <w:tcW w:w="608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64"/>
              <w:spacing w:after="0"/>
              <w:rPr>
                <w:sz w:val="20"/>
                <w:szCs w:val="20"/>
                <w:color w:val="auto"/>
              </w:rPr>
            </w:pPr>
            <w:r>
              <w:rPr>
                <w:rFonts w:ascii="Arial" w:cs="Arial" w:eastAsia="Arial" w:hAnsi="Arial"/>
                <w:sz w:val="15"/>
                <w:szCs w:val="15"/>
                <w:b w:val="1"/>
                <w:bCs w:val="1"/>
                <w:color w:val="auto"/>
              </w:rPr>
              <w:t>2020</w:t>
            </w:r>
          </w:p>
        </w:tc>
        <w:tc>
          <w:tcPr>
            <w:tcW w:w="100" w:type="dxa"/>
            <w:vAlign w:val="bottom"/>
            <w:tcBorders>
              <w:top w:val="single" w:sz="8" w:color="auto"/>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44"/>
              <w:spacing w:after="0"/>
              <w:rPr>
                <w:sz w:val="20"/>
                <w:szCs w:val="20"/>
                <w:color w:val="auto"/>
              </w:rPr>
            </w:pPr>
            <w:r>
              <w:rPr>
                <w:rFonts w:ascii="Arial" w:cs="Arial" w:eastAsia="Arial" w:hAnsi="Arial"/>
                <w:sz w:val="15"/>
                <w:szCs w:val="15"/>
                <w:b w:val="1"/>
                <w:bCs w:val="1"/>
                <w:color w:val="auto"/>
              </w:rPr>
              <w:t>2019</w:t>
            </w:r>
          </w:p>
        </w:tc>
        <w:tc>
          <w:tcPr>
            <w:tcW w:w="14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64"/>
              <w:spacing w:after="0"/>
              <w:rPr>
                <w:sz w:val="20"/>
                <w:szCs w:val="20"/>
                <w:color w:val="auto"/>
              </w:rPr>
            </w:pPr>
            <w:r>
              <w:rPr>
                <w:rFonts w:ascii="Arial" w:cs="Arial" w:eastAsia="Arial" w:hAnsi="Arial"/>
                <w:sz w:val="15"/>
                <w:szCs w:val="15"/>
                <w:b w:val="1"/>
                <w:bCs w:val="1"/>
                <w:color w:val="auto"/>
              </w:rPr>
              <w:t>2020</w:t>
            </w:r>
          </w:p>
        </w:tc>
        <w:tc>
          <w:tcPr>
            <w:tcW w:w="100" w:type="dxa"/>
            <w:vAlign w:val="bottom"/>
            <w:tcBorders>
              <w:top w:val="single" w:sz="8" w:color="auto"/>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44"/>
              <w:spacing w:after="0"/>
              <w:rPr>
                <w:sz w:val="20"/>
                <w:szCs w:val="20"/>
                <w:color w:val="auto"/>
              </w:rPr>
            </w:pPr>
            <w:r>
              <w:rPr>
                <w:rFonts w:ascii="Arial" w:cs="Arial" w:eastAsia="Arial" w:hAnsi="Arial"/>
                <w:sz w:val="15"/>
                <w:szCs w:val="15"/>
                <w:b w:val="1"/>
                <w:bCs w:val="1"/>
                <w:color w:val="auto"/>
              </w:rPr>
              <w:t>2019</w:t>
            </w:r>
          </w:p>
        </w:tc>
      </w:tr>
      <w:tr>
        <w:trPr>
          <w:trHeight w:val="196"/>
        </w:trPr>
        <w:tc>
          <w:tcPr>
            <w:tcW w:w="6080" w:type="dxa"/>
            <w:vAlign w:val="bottom"/>
            <w:shd w:val="clear" w:color="auto" w:fill="CCEEFF"/>
          </w:tcPr>
          <w:p>
            <w:pPr>
              <w:spacing w:after="0"/>
              <w:rPr>
                <w:sz w:val="20"/>
                <w:szCs w:val="20"/>
                <w:color w:val="auto"/>
              </w:rPr>
            </w:pPr>
            <w:r>
              <w:rPr>
                <w:rFonts w:ascii="Arial" w:cs="Arial" w:eastAsia="Arial" w:hAnsi="Arial"/>
                <w:sz w:val="15"/>
                <w:szCs w:val="15"/>
                <w:color w:val="auto"/>
              </w:rPr>
              <w:t>Net income (loss) from continuing operations attributable to Holdings</w:t>
            </w:r>
          </w:p>
        </w:tc>
        <w:tc>
          <w:tcPr>
            <w:tcW w:w="26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9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19,086</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(29,824)</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9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14,314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(49,313)</w:t>
            </w:r>
          </w:p>
        </w:tc>
      </w:tr>
      <w:tr>
        <w:trPr>
          <w:trHeight w:val="198"/>
        </w:trPr>
        <w:tc>
          <w:tcPr>
            <w:tcW w:w="6080" w:type="dxa"/>
            <w:vAlign w:val="bottom"/>
          </w:tcPr>
          <w:p>
            <w:pPr>
              <w:spacing w:after="0"/>
              <w:rPr>
                <w:sz w:val="20"/>
                <w:szCs w:val="20"/>
                <w:color w:val="auto"/>
              </w:rPr>
            </w:pPr>
            <w:r>
              <w:rPr>
                <w:rFonts w:ascii="Arial" w:cs="Arial" w:eastAsia="Arial" w:hAnsi="Arial"/>
                <w:sz w:val="15"/>
                <w:szCs w:val="15"/>
                <w:color w:val="auto"/>
              </w:rPr>
              <w:t>Less: Distributions paid - Allocation Interests</w:t>
            </w:r>
          </w:p>
        </w:tc>
        <w:tc>
          <w:tcPr>
            <w:tcW w:w="26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43,313</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ind w:right="4"/>
              <w:spacing w:after="0"/>
              <w:rPr>
                <w:sz w:val="20"/>
                <w:szCs w:val="20"/>
                <w:color w:val="auto"/>
              </w:rPr>
            </w:pPr>
            <w:r>
              <w:rPr>
                <w:rFonts w:ascii="Arial" w:cs="Arial" w:eastAsia="Arial" w:hAnsi="Arial"/>
                <w:sz w:val="15"/>
                <w:szCs w:val="15"/>
                <w:color w:val="auto"/>
              </w:rPr>
              <w:t>9,087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51,296</w:t>
            </w:r>
          </w:p>
        </w:tc>
      </w:tr>
      <w:tr>
        <w:trPr>
          <w:trHeight w:val="207"/>
        </w:trPr>
        <w:tc>
          <w:tcPr>
            <w:tcW w:w="6080" w:type="dxa"/>
            <w:vAlign w:val="bottom"/>
            <w:shd w:val="clear" w:color="auto" w:fill="CCEEFF"/>
          </w:tcPr>
          <w:p>
            <w:pPr>
              <w:spacing w:after="0"/>
              <w:rPr>
                <w:sz w:val="20"/>
                <w:szCs w:val="20"/>
                <w:color w:val="auto"/>
              </w:rPr>
            </w:pPr>
            <w:r>
              <w:rPr>
                <w:rFonts w:ascii="Arial" w:cs="Arial" w:eastAsia="Arial" w:hAnsi="Arial"/>
                <w:sz w:val="15"/>
                <w:szCs w:val="15"/>
                <w:color w:val="auto"/>
              </w:rPr>
              <w:t>Less: Distributions paid - Preferred Shares</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6,046</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3,781</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17,633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11,344</w:t>
            </w:r>
          </w:p>
        </w:tc>
      </w:tr>
      <w:tr>
        <w:trPr>
          <w:trHeight w:val="198"/>
        </w:trPr>
        <w:tc>
          <w:tcPr>
            <w:tcW w:w="608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Less: Accrued distributions - Preferred Shares</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2,869</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1,334</w:t>
            </w:r>
          </w:p>
        </w:tc>
        <w:tc>
          <w:tcPr>
            <w:tcW w:w="1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2,869</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1,334</w:t>
            </w:r>
          </w:p>
        </w:tc>
      </w:tr>
      <w:tr>
        <w:trPr>
          <w:trHeight w:val="225"/>
        </w:trPr>
        <w:tc>
          <w:tcPr>
            <w:tcW w:w="6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Net income (loss) from continuing operations attributable to common shares of Holdings</w:t>
            </w:r>
          </w:p>
        </w:tc>
        <w:tc>
          <w:tcPr>
            <w:tcW w:w="26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9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10,171</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(78,252)</w:t>
            </w:r>
          </w:p>
        </w:tc>
        <w:tc>
          <w:tcPr>
            <w:tcW w:w="1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(15,275)</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(113,287)</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calculates basic and diluted earnings per share using the two-class method which requires the Company to allocate to participating securities that have rights to earnings that otherwise would have been available only to Trust shareholders as a separate class of securities in calculating earnings per share. The Allocation Interests are considered participating securities that contain participating rights to receive profit allocations upon the occurrence of a Holding Event or Sale Event. The calculation of basic and diluted earnings per share for the three and nine months ended September 30, 2020 and 2019 reflects the incremental increase during the period in the profit allocation distribution to Holders related to Holding Events.</w:t>
      </w:r>
    </w:p>
    <w:p>
      <w:pPr>
        <w:spacing w:after="0" w:line="10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Basic and diluted earnings per share for the three and nine months ended September 30, 2020 and 2019 attributable to the common shares of Holdings is calculated as follows </w:t>
      </w:r>
      <w:r>
        <w:rPr>
          <w:rFonts w:ascii="Arial" w:cs="Arial" w:eastAsia="Arial" w:hAnsi="Arial"/>
          <w:sz w:val="18"/>
          <w:szCs w:val="18"/>
          <w:i w:val="1"/>
          <w:iCs w:val="1"/>
          <w:color w:val="auto"/>
        </w:rPr>
        <w:t>(in thousands, except per share data)</w:t>
      </w:r>
      <w:r>
        <w:rPr>
          <w:rFonts w:ascii="Arial" w:cs="Arial" w:eastAsia="Arial" w:hAnsi="Arial"/>
          <w:sz w:val="18"/>
          <w:szCs w:val="18"/>
          <w:color w:val="auto"/>
        </w:rPr>
        <w: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20" w:type="dxa"/>
            <w:vAlign w:val="bottom"/>
            <w:gridSpan w:val="5"/>
          </w:tcPr>
          <w:p>
            <w:pPr>
              <w:ind w:left="200"/>
              <w:spacing w:after="0"/>
              <w:rPr>
                <w:sz w:val="20"/>
                <w:szCs w:val="20"/>
                <w:color w:val="auto"/>
              </w:rPr>
            </w:pPr>
            <w:r>
              <w:rPr>
                <w:rFonts w:ascii="Arial" w:cs="Arial" w:eastAsia="Arial" w:hAnsi="Arial"/>
                <w:sz w:val="15"/>
                <w:szCs w:val="15"/>
                <w:b w:val="1"/>
                <w:bCs w:val="1"/>
                <w:color w:val="auto"/>
              </w:rPr>
              <w:t>Three months ended</w:t>
            </w:r>
          </w:p>
        </w:tc>
        <w:tc>
          <w:tcPr>
            <w:tcW w:w="200" w:type="dxa"/>
            <w:vAlign w:val="bottom"/>
          </w:tcPr>
          <w:p>
            <w:pPr>
              <w:spacing w:after="0"/>
              <w:rPr>
                <w:sz w:val="15"/>
                <w:szCs w:val="15"/>
                <w:color w:val="auto"/>
              </w:rPr>
            </w:pPr>
          </w:p>
        </w:tc>
        <w:tc>
          <w:tcPr>
            <w:tcW w:w="2020" w:type="dxa"/>
            <w:vAlign w:val="bottom"/>
            <w:gridSpan w:val="4"/>
          </w:tcPr>
          <w:p>
            <w:pPr>
              <w:jc w:val="center"/>
              <w:ind w:right="164"/>
              <w:spacing w:after="0"/>
              <w:rPr>
                <w:sz w:val="20"/>
                <w:szCs w:val="20"/>
                <w:color w:val="auto"/>
              </w:rPr>
            </w:pPr>
            <w:r>
              <w:rPr>
                <w:rFonts w:ascii="Arial" w:cs="Arial" w:eastAsia="Arial" w:hAnsi="Arial"/>
                <w:sz w:val="15"/>
                <w:szCs w:val="15"/>
                <w:b w:val="1"/>
                <w:bCs w:val="1"/>
                <w:color w:val="auto"/>
              </w:rPr>
              <w:t>Nine months ended</w:t>
            </w:r>
          </w:p>
        </w:tc>
      </w:tr>
      <w:tr>
        <w:trPr>
          <w:trHeight w:val="202"/>
        </w:trPr>
        <w:tc>
          <w:tcPr>
            <w:tcW w:w="6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20" w:type="dxa"/>
            <w:vAlign w:val="bottom"/>
            <w:gridSpan w:val="5"/>
          </w:tcPr>
          <w:p>
            <w:pPr>
              <w:ind w:left="480"/>
              <w:spacing w:after="0"/>
              <w:rPr>
                <w:sz w:val="20"/>
                <w:szCs w:val="20"/>
                <w:color w:val="auto"/>
              </w:rPr>
            </w:pPr>
            <w:r>
              <w:rPr>
                <w:rFonts w:ascii="Arial" w:cs="Arial" w:eastAsia="Arial" w:hAnsi="Arial"/>
                <w:sz w:val="15"/>
                <w:szCs w:val="15"/>
                <w:b w:val="1"/>
                <w:bCs w:val="1"/>
                <w:color w:val="auto"/>
              </w:rPr>
              <w:t>September 30,</w:t>
            </w:r>
          </w:p>
        </w:tc>
        <w:tc>
          <w:tcPr>
            <w:tcW w:w="200" w:type="dxa"/>
            <w:vAlign w:val="bottom"/>
          </w:tcPr>
          <w:p>
            <w:pPr>
              <w:spacing w:after="0"/>
              <w:rPr>
                <w:sz w:val="17"/>
                <w:szCs w:val="17"/>
                <w:color w:val="auto"/>
              </w:rPr>
            </w:pPr>
          </w:p>
        </w:tc>
        <w:tc>
          <w:tcPr>
            <w:tcW w:w="2020" w:type="dxa"/>
            <w:vAlign w:val="bottom"/>
            <w:gridSpan w:val="4"/>
          </w:tcPr>
          <w:p>
            <w:pPr>
              <w:jc w:val="right"/>
              <w:ind w:right="484"/>
              <w:spacing w:after="0"/>
              <w:rPr>
                <w:sz w:val="20"/>
                <w:szCs w:val="20"/>
                <w:color w:val="auto"/>
              </w:rPr>
            </w:pPr>
            <w:r>
              <w:rPr>
                <w:rFonts w:ascii="Arial" w:cs="Arial" w:eastAsia="Arial" w:hAnsi="Arial"/>
                <w:sz w:val="15"/>
                <w:szCs w:val="15"/>
                <w:b w:val="1"/>
                <w:bCs w:val="1"/>
                <w:color w:val="auto"/>
              </w:rPr>
              <w:t>September 30,</w:t>
            </w:r>
          </w:p>
        </w:tc>
      </w:tr>
      <w:tr>
        <w:trPr>
          <w:trHeight w:val="196"/>
        </w:trPr>
        <w:tc>
          <w:tcPr>
            <w:tcW w:w="644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44"/>
              <w:spacing w:after="0"/>
              <w:rPr>
                <w:sz w:val="20"/>
                <w:szCs w:val="20"/>
                <w:color w:val="auto"/>
              </w:rPr>
            </w:pPr>
            <w:r>
              <w:rPr>
                <w:rFonts w:ascii="Arial" w:cs="Arial" w:eastAsia="Arial" w:hAnsi="Arial"/>
                <w:sz w:val="15"/>
                <w:szCs w:val="15"/>
                <w:b w:val="1"/>
                <w:bCs w:val="1"/>
                <w:color w:val="auto"/>
              </w:rPr>
              <w:t>2020</w:t>
            </w:r>
          </w:p>
        </w:tc>
        <w:tc>
          <w:tcPr>
            <w:tcW w:w="10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44"/>
              <w:spacing w:after="0"/>
              <w:rPr>
                <w:sz w:val="20"/>
                <w:szCs w:val="20"/>
                <w:color w:val="auto"/>
              </w:rPr>
            </w:pPr>
            <w:r>
              <w:rPr>
                <w:rFonts w:ascii="Arial" w:cs="Arial" w:eastAsia="Arial" w:hAnsi="Arial"/>
                <w:sz w:val="15"/>
                <w:szCs w:val="15"/>
                <w:b w:val="1"/>
                <w:bCs w:val="1"/>
                <w:color w:val="auto"/>
              </w:rPr>
              <w:t>2019</w:t>
            </w: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204"/>
              <w:spacing w:after="0"/>
              <w:rPr>
                <w:sz w:val="20"/>
                <w:szCs w:val="20"/>
                <w:color w:val="auto"/>
              </w:rPr>
            </w:pPr>
            <w:r>
              <w:rPr>
                <w:rFonts w:ascii="Arial" w:cs="Arial" w:eastAsia="Arial" w:hAnsi="Arial"/>
                <w:sz w:val="15"/>
                <w:szCs w:val="15"/>
                <w:b w:val="1"/>
                <w:bCs w:val="1"/>
                <w:color w:val="auto"/>
              </w:rPr>
              <w:t>2020</w:t>
            </w:r>
          </w:p>
        </w:tc>
        <w:tc>
          <w:tcPr>
            <w:tcW w:w="120" w:type="dxa"/>
            <w:vAlign w:val="bottom"/>
            <w:tcBorders>
              <w:top w:val="single" w:sz="8" w:color="auto"/>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44"/>
              <w:spacing w:after="0"/>
              <w:rPr>
                <w:sz w:val="20"/>
                <w:szCs w:val="20"/>
                <w:color w:val="auto"/>
              </w:rPr>
            </w:pPr>
            <w:r>
              <w:rPr>
                <w:rFonts w:ascii="Arial" w:cs="Arial" w:eastAsia="Arial" w:hAnsi="Arial"/>
                <w:sz w:val="15"/>
                <w:szCs w:val="15"/>
                <w:b w:val="1"/>
                <w:bCs w:val="1"/>
                <w:color w:val="auto"/>
              </w:rPr>
              <w:t>2019</w:t>
            </w:r>
          </w:p>
        </w:tc>
      </w:tr>
      <w:tr>
        <w:trPr>
          <w:trHeight w:val="196"/>
        </w:trPr>
        <w:tc>
          <w:tcPr>
            <w:tcW w:w="6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Income (loss) from continuing operations attributable to common shares of Holdings</w:t>
            </w:r>
          </w:p>
        </w:tc>
        <w:tc>
          <w:tcPr>
            <w:tcW w:w="26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10,171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(78,252)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(15,275)</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center"/>
              <w:ind w:right="64"/>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(113,287)</w:t>
            </w:r>
          </w:p>
        </w:tc>
      </w:tr>
      <w:tr>
        <w:trPr>
          <w:trHeight w:val="198"/>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Less: Effect of contribution based profit - Holding Event</w:t>
            </w: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4,844</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1,709</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5,134</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3,562</w:t>
            </w:r>
          </w:p>
        </w:tc>
      </w:tr>
      <w:tr>
        <w:trPr>
          <w:trHeight w:val="200"/>
        </w:trPr>
        <w:tc>
          <w:tcPr>
            <w:tcW w:w="6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Income (loss) from continuing operations attributable to common shares of Holdings</w:t>
            </w:r>
          </w:p>
        </w:tc>
        <w:tc>
          <w:tcPr>
            <w:tcW w:w="26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5,327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(79,961)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(20,409)</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center"/>
              <w:ind w:right="64"/>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(116,849)</w:t>
            </w:r>
          </w:p>
        </w:tc>
      </w:tr>
      <w:tr>
        <w:trPr>
          <w:trHeight w:val="148"/>
        </w:trPr>
        <w:tc>
          <w:tcPr>
            <w:tcW w:w="6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203"/>
        </w:trPr>
        <w:tc>
          <w:tcPr>
            <w:tcW w:w="6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Income from discontinued operations attributable to Holdings</w:t>
            </w:r>
          </w:p>
        </w:tc>
        <w:tc>
          <w:tcPr>
            <w:tcW w:w="26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2,039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center"/>
              <w:ind w:right="64"/>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347,370</w:t>
            </w:r>
          </w:p>
        </w:tc>
      </w:tr>
      <w:tr>
        <w:trPr>
          <w:trHeight w:val="198"/>
        </w:trPr>
        <w:tc>
          <w:tcPr>
            <w:tcW w:w="6440" w:type="dxa"/>
            <w:vAlign w:val="bottom"/>
          </w:tcPr>
          <w:p>
            <w:pPr>
              <w:ind w:left="20"/>
              <w:spacing w:after="0"/>
              <w:rPr>
                <w:sz w:val="20"/>
                <w:szCs w:val="20"/>
                <w:color w:val="auto"/>
              </w:rPr>
            </w:pPr>
            <w:r>
              <w:rPr>
                <w:rFonts w:ascii="Arial" w:cs="Arial" w:eastAsia="Arial" w:hAnsi="Arial"/>
                <w:sz w:val="15"/>
                <w:szCs w:val="15"/>
                <w:color w:val="auto"/>
              </w:rPr>
              <w:t>Less: Effect of contribution based profit - Holding Event</w:t>
            </w:r>
          </w:p>
        </w:tc>
        <w:tc>
          <w:tcPr>
            <w:tcW w:w="26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0"/>
        </w:trPr>
        <w:tc>
          <w:tcPr>
            <w:tcW w:w="6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Income from discontinued operations attributable to common shares of Holdings</w:t>
            </w:r>
          </w:p>
        </w:tc>
        <w:tc>
          <w:tcPr>
            <w:tcW w:w="26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rPr>
              <w:t>$</w:t>
            </w:r>
          </w:p>
        </w:tc>
        <w:tc>
          <w:tcPr>
            <w:tcW w:w="9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2,039</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w:t>
            </w: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center"/>
              <w:ind w:right="64"/>
              <w:spacing w:after="0"/>
              <w:rPr>
                <w:sz w:val="20"/>
                <w:szCs w:val="20"/>
                <w:color w:val="auto"/>
              </w:rPr>
            </w:pPr>
            <w:r>
              <w:rPr>
                <w:rFonts w:ascii="Arial" w:cs="Arial" w:eastAsia="Arial" w:hAnsi="Arial"/>
                <w:sz w:val="15"/>
                <w:szCs w:val="15"/>
                <w:color w:val="auto"/>
                <w:w w:val="95"/>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347,370</w:t>
            </w:r>
          </w:p>
        </w:tc>
      </w:tr>
      <w:tr>
        <w:trPr>
          <w:trHeight w:val="162"/>
        </w:trPr>
        <w:tc>
          <w:tcPr>
            <w:tcW w:w="6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03"/>
        </w:trPr>
        <w:tc>
          <w:tcPr>
            <w:tcW w:w="6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Basic and diluted weighted average common shares outstanding</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64,900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59,900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62,556</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59,900</w:t>
            </w:r>
          </w:p>
        </w:tc>
      </w:tr>
      <w:tr>
        <w:trPr>
          <w:trHeight w:val="162"/>
        </w:trPr>
        <w:tc>
          <w:tcPr>
            <w:tcW w:w="6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89"/>
        </w:trPr>
        <w:tc>
          <w:tcPr>
            <w:tcW w:w="64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Basic and fully diluted income (loss) per common share attributable to Holdings</w:t>
            </w: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198"/>
        </w:trPr>
        <w:tc>
          <w:tcPr>
            <w:tcW w:w="6440" w:type="dxa"/>
            <w:vAlign w:val="bottom"/>
          </w:tcPr>
          <w:p>
            <w:pPr>
              <w:ind w:left="20"/>
              <w:spacing w:after="0"/>
              <w:rPr>
                <w:sz w:val="20"/>
                <w:szCs w:val="20"/>
                <w:color w:val="auto"/>
              </w:rPr>
            </w:pPr>
            <w:r>
              <w:rPr>
                <w:rFonts w:ascii="Arial" w:cs="Arial" w:eastAsia="Arial" w:hAnsi="Arial"/>
                <w:sz w:val="15"/>
                <w:szCs w:val="15"/>
                <w:color w:val="auto"/>
              </w:rPr>
              <w:t>Continuing operations</w:t>
            </w:r>
          </w:p>
        </w:tc>
        <w:tc>
          <w:tcPr>
            <w:tcW w:w="260" w:type="dxa"/>
            <w:vAlign w:val="bottom"/>
          </w:tcPr>
          <w:p>
            <w:pPr>
              <w:jc w:val="right"/>
              <w:ind w:right="84"/>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0.08</w:t>
            </w:r>
          </w:p>
        </w:tc>
        <w:tc>
          <w:tcPr>
            <w:tcW w:w="100" w:type="dxa"/>
            <w:vAlign w:val="bottom"/>
          </w:tcPr>
          <w:p>
            <w:pPr>
              <w:spacing w:after="0"/>
              <w:rPr>
                <w:sz w:val="17"/>
                <w:szCs w:val="17"/>
                <w:color w:val="auto"/>
              </w:rPr>
            </w:pPr>
          </w:p>
        </w:tc>
        <w:tc>
          <w:tcPr>
            <w:tcW w:w="28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(1.33)</w:t>
            </w:r>
          </w:p>
        </w:tc>
        <w:tc>
          <w:tcPr>
            <w:tcW w:w="100" w:type="dxa"/>
            <w:vAlign w:val="bottom"/>
          </w:tcPr>
          <w:p>
            <w:pPr>
              <w:spacing w:after="0"/>
              <w:rPr>
                <w:sz w:val="17"/>
                <w:szCs w:val="17"/>
                <w:color w:val="auto"/>
              </w:rPr>
            </w:pP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(0.33)</w:t>
            </w:r>
          </w:p>
        </w:tc>
        <w:tc>
          <w:tcPr>
            <w:tcW w:w="120" w:type="dxa"/>
            <w:vAlign w:val="bottom"/>
          </w:tcPr>
          <w:p>
            <w:pPr>
              <w:spacing w:after="0"/>
              <w:rPr>
                <w:sz w:val="17"/>
                <w:szCs w:val="17"/>
                <w:color w:val="auto"/>
              </w:rPr>
            </w:pPr>
          </w:p>
        </w:tc>
        <w:tc>
          <w:tcPr>
            <w:tcW w:w="260" w:type="dxa"/>
            <w:vAlign w:val="bottom"/>
          </w:tcPr>
          <w:p>
            <w:pPr>
              <w:jc w:val="center"/>
              <w:ind w:right="64"/>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(1.95)</w:t>
            </w:r>
          </w:p>
        </w:tc>
      </w:tr>
      <w:tr>
        <w:trPr>
          <w:trHeight w:val="203"/>
        </w:trPr>
        <w:tc>
          <w:tcPr>
            <w:tcW w:w="6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Discontinued operations</w:t>
            </w:r>
          </w:p>
        </w:tc>
        <w:tc>
          <w:tcPr>
            <w:tcW w:w="2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0.03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5.80</w:t>
            </w:r>
          </w:p>
        </w:tc>
      </w:tr>
      <w:tr>
        <w:trPr>
          <w:trHeight w:val="196"/>
        </w:trPr>
        <w:tc>
          <w:tcPr>
            <w:tcW w:w="644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4"/>
              <w:spacing w:after="0"/>
              <w:rPr>
                <w:sz w:val="20"/>
                <w:szCs w:val="20"/>
                <w:color w:val="auto"/>
              </w:rPr>
            </w:pPr>
            <w:r>
              <w:rPr>
                <w:rFonts w:ascii="Arial" w:cs="Arial" w:eastAsia="Arial" w:hAnsi="Arial"/>
                <w:sz w:val="15"/>
                <w:szCs w:val="15"/>
                <w:color w:val="auto"/>
                <w:w w:val="9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0.08</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84"/>
              <w:spacing w:after="0"/>
              <w:rPr>
                <w:sz w:val="20"/>
                <w:szCs w:val="20"/>
                <w:color w:val="auto"/>
              </w:rPr>
            </w:pPr>
            <w:r>
              <w:rPr>
                <w:rFonts w:ascii="Arial" w:cs="Arial" w:eastAsia="Arial" w:hAnsi="Arial"/>
                <w:sz w:val="15"/>
                <w:szCs w:val="15"/>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(1.30)</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w w:val="9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(0.33)</w:t>
            </w:r>
          </w:p>
        </w:tc>
        <w:tc>
          <w:tcPr>
            <w:tcW w:w="12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center"/>
              <w:ind w:right="64"/>
              <w:spacing w:after="0"/>
              <w:rPr>
                <w:sz w:val="20"/>
                <w:szCs w:val="20"/>
                <w:color w:val="auto"/>
              </w:rPr>
            </w:pPr>
            <w:r>
              <w:rPr>
                <w:rFonts w:ascii="Arial" w:cs="Arial" w:eastAsia="Arial" w:hAnsi="Arial"/>
                <w:sz w:val="15"/>
                <w:szCs w:val="15"/>
                <w:color w:val="auto"/>
                <w:w w:val="9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3.85</w:t>
            </w:r>
          </w:p>
        </w:tc>
      </w:tr>
      <w:tr>
        <w:trPr>
          <w:trHeight w:val="25"/>
        </w:trPr>
        <w:tc>
          <w:tcPr>
            <w:tcW w:w="64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13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following table summarizes information related to our quarterly cash distributions on our Trust common and preferred shares (in thousands, except per share data</w:t>
      </w:r>
      <w:r>
        <w:rPr>
          <w:rFonts w:ascii="Arial" w:cs="Arial" w:eastAsia="Arial" w:hAnsi="Arial"/>
          <w:sz w:val="14"/>
          <w:szCs w:val="14"/>
          <w:i w:val="1"/>
          <w:iCs w:val="1"/>
          <w:color w:val="auto"/>
        </w:rPr>
        <w:t>)</w:t>
      </w:r>
      <w:r>
        <w:rPr>
          <w:rFonts w:ascii="Arial" w:cs="Arial" w:eastAsia="Arial" w:hAnsi="Arial"/>
          <w:sz w:val="18"/>
          <w:szCs w:val="18"/>
          <w:color w:val="auto"/>
        </w:rPr>
        <w:t>:</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3580" w:type="dxa"/>
            <w:vAlign w:val="bottom"/>
            <w:vMerge w:val="restart"/>
          </w:tcPr>
          <w:p>
            <w:pPr>
              <w:ind w:left="1540"/>
              <w:spacing w:after="0"/>
              <w:rPr>
                <w:sz w:val="20"/>
                <w:szCs w:val="20"/>
                <w:color w:val="auto"/>
              </w:rPr>
            </w:pPr>
            <w:r>
              <w:rPr>
                <w:rFonts w:ascii="Arial" w:cs="Arial" w:eastAsia="Arial" w:hAnsi="Arial"/>
                <w:sz w:val="16"/>
                <w:szCs w:val="16"/>
                <w:b w:val="1"/>
                <w:bCs w:val="1"/>
                <w:color w:val="auto"/>
              </w:rPr>
              <w:t>Period</w:t>
            </w:r>
          </w:p>
        </w:tc>
        <w:tc>
          <w:tcPr>
            <w:tcW w:w="120" w:type="dxa"/>
            <w:vAlign w:val="bottom"/>
            <w:vMerge w:val="restart"/>
          </w:tcPr>
          <w:p>
            <w:pPr>
              <w:spacing w:after="0"/>
              <w:rPr>
                <w:sz w:val="16"/>
                <w:szCs w:val="16"/>
                <w:color w:val="auto"/>
              </w:rPr>
            </w:pPr>
          </w:p>
        </w:tc>
        <w:tc>
          <w:tcPr>
            <w:tcW w:w="1880" w:type="dxa"/>
            <w:vAlign w:val="bottom"/>
            <w:gridSpan w:val="3"/>
          </w:tcPr>
          <w:p>
            <w:pPr>
              <w:ind w:left="80"/>
              <w:spacing w:after="0"/>
              <w:rPr>
                <w:sz w:val="20"/>
                <w:szCs w:val="20"/>
                <w:color w:val="auto"/>
              </w:rPr>
            </w:pPr>
            <w:r>
              <w:rPr>
                <w:rFonts w:ascii="Arial" w:cs="Arial" w:eastAsia="Arial" w:hAnsi="Arial"/>
                <w:sz w:val="16"/>
                <w:szCs w:val="16"/>
                <w:b w:val="1"/>
                <w:bCs w:val="1"/>
                <w:color w:val="auto"/>
              </w:rPr>
              <w:t>Cash Distribution per</w:t>
            </w:r>
          </w:p>
        </w:tc>
        <w:tc>
          <w:tcPr>
            <w:tcW w:w="186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w w:val="98"/>
              </w:rPr>
              <w:t>Total Cash Distributions</w:t>
            </w:r>
          </w:p>
        </w:tc>
        <w:tc>
          <w:tcPr>
            <w:tcW w:w="100" w:type="dxa"/>
            <w:vAlign w:val="bottom"/>
            <w:vMerge w:val="restart"/>
          </w:tcPr>
          <w:p>
            <w:pPr>
              <w:spacing w:after="0"/>
              <w:rPr>
                <w:sz w:val="16"/>
                <w:szCs w:val="16"/>
                <w:color w:val="auto"/>
              </w:rPr>
            </w:pPr>
          </w:p>
        </w:tc>
        <w:tc>
          <w:tcPr>
            <w:tcW w:w="1760" w:type="dxa"/>
            <w:vAlign w:val="bottom"/>
            <w:vMerge w:val="restart"/>
          </w:tcPr>
          <w:p>
            <w:pPr>
              <w:jc w:val="right"/>
              <w:ind w:right="339"/>
              <w:spacing w:after="0"/>
              <w:rPr>
                <w:sz w:val="20"/>
                <w:szCs w:val="20"/>
                <w:color w:val="auto"/>
              </w:rPr>
            </w:pPr>
            <w:r>
              <w:rPr>
                <w:rFonts w:ascii="Arial" w:cs="Arial" w:eastAsia="Arial" w:hAnsi="Arial"/>
                <w:sz w:val="16"/>
                <w:szCs w:val="16"/>
                <w:b w:val="1"/>
                <w:bCs w:val="1"/>
                <w:color w:val="auto"/>
              </w:rPr>
              <w:t>Record Date</w:t>
            </w:r>
          </w:p>
        </w:tc>
        <w:tc>
          <w:tcPr>
            <w:tcW w:w="100" w:type="dxa"/>
            <w:vAlign w:val="bottom"/>
            <w:vMerge w:val="restart"/>
          </w:tcPr>
          <w:p>
            <w:pPr>
              <w:spacing w:after="0"/>
              <w:rPr>
                <w:sz w:val="16"/>
                <w:szCs w:val="16"/>
                <w:color w:val="auto"/>
              </w:rPr>
            </w:pPr>
          </w:p>
        </w:tc>
        <w:tc>
          <w:tcPr>
            <w:tcW w:w="178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auto"/>
              </w:rPr>
              <w:t>Payment Date</w:t>
            </w:r>
          </w:p>
        </w:tc>
        <w:tc>
          <w:tcPr>
            <w:tcW w:w="0" w:type="dxa"/>
            <w:vAlign w:val="bottom"/>
          </w:tcPr>
          <w:p>
            <w:pPr>
              <w:spacing w:after="0"/>
              <w:rPr>
                <w:sz w:val="1"/>
                <w:szCs w:val="1"/>
                <w:color w:val="auto"/>
              </w:rPr>
            </w:pPr>
          </w:p>
        </w:tc>
      </w:tr>
      <w:tr>
        <w:trPr>
          <w:trHeight w:val="189"/>
        </w:trPr>
        <w:tc>
          <w:tcPr>
            <w:tcW w:w="35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Share</w:t>
            </w:r>
          </w:p>
        </w:tc>
        <w:tc>
          <w:tcPr>
            <w:tcW w:w="100" w:type="dxa"/>
            <w:vAlign w:val="bottom"/>
          </w:tcPr>
          <w:p>
            <w:pPr>
              <w:spacing w:after="0"/>
              <w:rPr>
                <w:sz w:val="16"/>
                <w:szCs w:val="16"/>
                <w:color w:val="auto"/>
              </w:rPr>
            </w:pPr>
          </w:p>
        </w:tc>
        <w:tc>
          <w:tcPr>
            <w:tcW w:w="186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7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55"/>
        </w:trPr>
        <w:tc>
          <w:tcPr>
            <w:tcW w:w="3700" w:type="dxa"/>
            <w:vAlign w:val="bottom"/>
            <w:gridSpan w:val="2"/>
          </w:tcPr>
          <w:p>
            <w:pPr>
              <w:ind w:left="20"/>
              <w:spacing w:after="0"/>
              <w:rPr>
                <w:sz w:val="20"/>
                <w:szCs w:val="20"/>
                <w:color w:val="auto"/>
              </w:rPr>
            </w:pPr>
            <w:r>
              <w:rPr>
                <w:rFonts w:ascii="Arial" w:cs="Arial" w:eastAsia="Arial" w:hAnsi="Arial"/>
                <w:sz w:val="16"/>
                <w:szCs w:val="16"/>
                <w:b w:val="1"/>
                <w:bCs w:val="1"/>
                <w:color w:val="auto"/>
              </w:rPr>
              <w:t>Trust Common Shares:</w:t>
            </w:r>
          </w:p>
        </w:tc>
        <w:tc>
          <w:tcPr>
            <w:tcW w:w="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3700" w:type="dxa"/>
            <w:vAlign w:val="bottom"/>
            <w:gridSpan w:val="2"/>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July 1, 2020 - September 30, 2020 </w:t>
            </w:r>
            <w:r>
              <w:rPr>
                <w:rFonts w:ascii="Arial" w:cs="Arial" w:eastAsia="Arial" w:hAnsi="Arial"/>
                <w:sz w:val="21"/>
                <w:szCs w:val="21"/>
                <w:b w:val="1"/>
                <w:bCs w:val="1"/>
                <w:color w:val="auto"/>
                <w:vertAlign w:val="superscript"/>
              </w:rPr>
              <w:t>(1)</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0.36</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23,364</w:t>
            </w:r>
          </w:p>
        </w:tc>
        <w:tc>
          <w:tcPr>
            <w:tcW w:w="10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October 15, 2020</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October 22, 2020</w:t>
            </w:r>
          </w:p>
        </w:tc>
        <w:tc>
          <w:tcPr>
            <w:tcW w:w="0" w:type="dxa"/>
            <w:vAlign w:val="bottom"/>
          </w:tcPr>
          <w:p>
            <w:pPr>
              <w:spacing w:after="0"/>
              <w:rPr>
                <w:sz w:val="1"/>
                <w:szCs w:val="1"/>
                <w:color w:val="auto"/>
              </w:rPr>
            </w:pPr>
          </w:p>
        </w:tc>
      </w:tr>
      <w:tr>
        <w:trPr>
          <w:trHeight w:val="213"/>
        </w:trPr>
        <w:tc>
          <w:tcPr>
            <w:tcW w:w="3700" w:type="dxa"/>
            <w:vAlign w:val="bottom"/>
            <w:gridSpan w:val="2"/>
          </w:tcPr>
          <w:p>
            <w:pPr>
              <w:ind w:left="20"/>
              <w:spacing w:after="0"/>
              <w:rPr>
                <w:sz w:val="20"/>
                <w:szCs w:val="20"/>
                <w:color w:val="auto"/>
              </w:rPr>
            </w:pPr>
            <w:r>
              <w:rPr>
                <w:rFonts w:ascii="Arial" w:cs="Arial" w:eastAsia="Arial" w:hAnsi="Arial"/>
                <w:sz w:val="16"/>
                <w:szCs w:val="16"/>
                <w:color w:val="auto"/>
              </w:rPr>
              <w:t>April 1, 2020 - June 30, 2020</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0.36</w:t>
            </w:r>
          </w:p>
        </w:tc>
        <w:tc>
          <w:tcPr>
            <w:tcW w:w="100" w:type="dxa"/>
            <w:vAlign w:val="bottom"/>
          </w:tcPr>
          <w:p>
            <w:pPr>
              <w:spacing w:after="0"/>
              <w:rPr>
                <w:sz w:val="18"/>
                <w:szCs w:val="18"/>
                <w:color w:val="auto"/>
              </w:rPr>
            </w:pPr>
          </w:p>
        </w:tc>
        <w:tc>
          <w:tcPr>
            <w:tcW w:w="700" w:type="dxa"/>
            <w:vAlign w:val="bottom"/>
          </w:tcPr>
          <w:p>
            <w:pPr>
              <w:ind w:left="2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23,364</w:t>
            </w:r>
          </w:p>
        </w:tc>
        <w:tc>
          <w:tcPr>
            <w:tcW w:w="100" w:type="dxa"/>
            <w:vAlign w:val="bottom"/>
          </w:tcPr>
          <w:p>
            <w:pPr>
              <w:spacing w:after="0"/>
              <w:rPr>
                <w:sz w:val="18"/>
                <w:szCs w:val="18"/>
                <w:color w:val="auto"/>
              </w:rPr>
            </w:pPr>
          </w:p>
        </w:tc>
        <w:tc>
          <w:tcPr>
            <w:tcW w:w="1860" w:type="dxa"/>
            <w:vAlign w:val="bottom"/>
            <w:gridSpan w:val="2"/>
          </w:tcPr>
          <w:p>
            <w:pPr>
              <w:jc w:val="right"/>
              <w:ind w:right="120"/>
              <w:spacing w:after="0"/>
              <w:rPr>
                <w:sz w:val="20"/>
                <w:szCs w:val="20"/>
                <w:color w:val="auto"/>
              </w:rPr>
            </w:pPr>
            <w:r>
              <w:rPr>
                <w:rFonts w:ascii="Arial" w:cs="Arial" w:eastAsia="Arial" w:hAnsi="Arial"/>
                <w:sz w:val="16"/>
                <w:szCs w:val="16"/>
                <w:color w:val="auto"/>
              </w:rPr>
              <w:t>July 16, 2020</w:t>
            </w:r>
          </w:p>
        </w:tc>
        <w:tc>
          <w:tcPr>
            <w:tcW w:w="1780" w:type="dxa"/>
            <w:vAlign w:val="bottom"/>
          </w:tcPr>
          <w:p>
            <w:pPr>
              <w:jc w:val="right"/>
              <w:spacing w:after="0"/>
              <w:rPr>
                <w:sz w:val="20"/>
                <w:szCs w:val="20"/>
                <w:color w:val="auto"/>
              </w:rPr>
            </w:pPr>
            <w:r>
              <w:rPr>
                <w:rFonts w:ascii="Arial" w:cs="Arial" w:eastAsia="Arial" w:hAnsi="Arial"/>
                <w:sz w:val="16"/>
                <w:szCs w:val="16"/>
                <w:color w:val="auto"/>
              </w:rPr>
              <w:t>July 23, 2020</w:t>
            </w:r>
          </w:p>
        </w:tc>
        <w:tc>
          <w:tcPr>
            <w:tcW w:w="0" w:type="dxa"/>
            <w:vAlign w:val="bottom"/>
          </w:tcPr>
          <w:p>
            <w:pPr>
              <w:spacing w:after="0"/>
              <w:rPr>
                <w:sz w:val="1"/>
                <w:szCs w:val="1"/>
                <w:color w:val="auto"/>
              </w:rPr>
            </w:pPr>
          </w:p>
        </w:tc>
      </w:tr>
      <w:tr>
        <w:trPr>
          <w:trHeight w:val="219"/>
        </w:trPr>
        <w:tc>
          <w:tcPr>
            <w:tcW w:w="3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January 1, 2020 - March 31, 2020</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0.36</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21,564</w:t>
            </w:r>
          </w:p>
        </w:tc>
        <w:tc>
          <w:tcPr>
            <w:tcW w:w="10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April 16, 2020</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April 23, 2020</w:t>
            </w:r>
          </w:p>
        </w:tc>
        <w:tc>
          <w:tcPr>
            <w:tcW w:w="0" w:type="dxa"/>
            <w:vAlign w:val="bottom"/>
          </w:tcPr>
          <w:p>
            <w:pPr>
              <w:spacing w:after="0"/>
              <w:rPr>
                <w:sz w:val="1"/>
                <w:szCs w:val="1"/>
                <w:color w:val="auto"/>
              </w:rPr>
            </w:pPr>
          </w:p>
        </w:tc>
      </w:tr>
      <w:tr>
        <w:trPr>
          <w:trHeight w:val="213"/>
        </w:trPr>
        <w:tc>
          <w:tcPr>
            <w:tcW w:w="3700" w:type="dxa"/>
            <w:vAlign w:val="bottom"/>
            <w:gridSpan w:val="2"/>
          </w:tcPr>
          <w:p>
            <w:pPr>
              <w:ind w:left="20"/>
              <w:spacing w:after="0"/>
              <w:rPr>
                <w:sz w:val="20"/>
                <w:szCs w:val="20"/>
                <w:color w:val="auto"/>
              </w:rPr>
            </w:pPr>
            <w:r>
              <w:rPr>
                <w:rFonts w:ascii="Arial" w:cs="Arial" w:eastAsia="Arial" w:hAnsi="Arial"/>
                <w:sz w:val="16"/>
                <w:szCs w:val="16"/>
                <w:color w:val="auto"/>
              </w:rPr>
              <w:t>October 1, 2019 - December 31, 2019</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0.36</w:t>
            </w:r>
          </w:p>
        </w:tc>
        <w:tc>
          <w:tcPr>
            <w:tcW w:w="100" w:type="dxa"/>
            <w:vAlign w:val="bottom"/>
          </w:tcPr>
          <w:p>
            <w:pPr>
              <w:spacing w:after="0"/>
              <w:rPr>
                <w:sz w:val="18"/>
                <w:szCs w:val="18"/>
                <w:color w:val="auto"/>
              </w:rPr>
            </w:pPr>
          </w:p>
        </w:tc>
        <w:tc>
          <w:tcPr>
            <w:tcW w:w="700" w:type="dxa"/>
            <w:vAlign w:val="bottom"/>
          </w:tcPr>
          <w:p>
            <w:pPr>
              <w:ind w:left="2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21,564</w:t>
            </w:r>
          </w:p>
        </w:tc>
        <w:tc>
          <w:tcPr>
            <w:tcW w:w="100" w:type="dxa"/>
            <w:vAlign w:val="bottom"/>
          </w:tcPr>
          <w:p>
            <w:pPr>
              <w:spacing w:after="0"/>
              <w:rPr>
                <w:sz w:val="18"/>
                <w:szCs w:val="18"/>
                <w:color w:val="auto"/>
              </w:rPr>
            </w:pPr>
          </w:p>
        </w:tc>
        <w:tc>
          <w:tcPr>
            <w:tcW w:w="1860" w:type="dxa"/>
            <w:vAlign w:val="bottom"/>
            <w:gridSpan w:val="2"/>
          </w:tcPr>
          <w:p>
            <w:pPr>
              <w:jc w:val="right"/>
              <w:ind w:right="120"/>
              <w:spacing w:after="0"/>
              <w:rPr>
                <w:sz w:val="20"/>
                <w:szCs w:val="20"/>
                <w:color w:val="auto"/>
              </w:rPr>
            </w:pPr>
            <w:r>
              <w:rPr>
                <w:rFonts w:ascii="Arial" w:cs="Arial" w:eastAsia="Arial" w:hAnsi="Arial"/>
                <w:sz w:val="16"/>
                <w:szCs w:val="16"/>
                <w:color w:val="auto"/>
              </w:rPr>
              <w:t>January 16, 2020</w:t>
            </w:r>
          </w:p>
        </w:tc>
        <w:tc>
          <w:tcPr>
            <w:tcW w:w="1780" w:type="dxa"/>
            <w:vAlign w:val="bottom"/>
          </w:tcPr>
          <w:p>
            <w:pPr>
              <w:jc w:val="right"/>
              <w:spacing w:after="0"/>
              <w:rPr>
                <w:sz w:val="20"/>
                <w:szCs w:val="20"/>
                <w:color w:val="auto"/>
              </w:rPr>
            </w:pPr>
            <w:r>
              <w:rPr>
                <w:rFonts w:ascii="Arial" w:cs="Arial" w:eastAsia="Arial" w:hAnsi="Arial"/>
                <w:sz w:val="16"/>
                <w:szCs w:val="16"/>
                <w:color w:val="auto"/>
              </w:rPr>
              <w:t>January 23, 2020</w:t>
            </w:r>
          </w:p>
        </w:tc>
        <w:tc>
          <w:tcPr>
            <w:tcW w:w="0" w:type="dxa"/>
            <w:vAlign w:val="bottom"/>
          </w:tcPr>
          <w:p>
            <w:pPr>
              <w:spacing w:after="0"/>
              <w:rPr>
                <w:sz w:val="1"/>
                <w:szCs w:val="1"/>
                <w:color w:val="auto"/>
              </w:rPr>
            </w:pPr>
          </w:p>
        </w:tc>
      </w:tr>
      <w:tr>
        <w:trPr>
          <w:trHeight w:val="219"/>
        </w:trPr>
        <w:tc>
          <w:tcPr>
            <w:tcW w:w="3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July 1, 2019 - September 30, 2019</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0.36</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21,564</w:t>
            </w:r>
          </w:p>
        </w:tc>
        <w:tc>
          <w:tcPr>
            <w:tcW w:w="10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October 17, 2019</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October 24, 2019</w:t>
            </w:r>
          </w:p>
        </w:tc>
        <w:tc>
          <w:tcPr>
            <w:tcW w:w="0" w:type="dxa"/>
            <w:vAlign w:val="bottom"/>
          </w:tcPr>
          <w:p>
            <w:pPr>
              <w:spacing w:after="0"/>
              <w:rPr>
                <w:sz w:val="1"/>
                <w:szCs w:val="1"/>
                <w:color w:val="auto"/>
              </w:rPr>
            </w:pPr>
          </w:p>
        </w:tc>
      </w:tr>
      <w:tr>
        <w:trPr>
          <w:trHeight w:val="213"/>
        </w:trPr>
        <w:tc>
          <w:tcPr>
            <w:tcW w:w="3700" w:type="dxa"/>
            <w:vAlign w:val="bottom"/>
            <w:gridSpan w:val="2"/>
          </w:tcPr>
          <w:p>
            <w:pPr>
              <w:ind w:left="20"/>
              <w:spacing w:after="0"/>
              <w:rPr>
                <w:sz w:val="20"/>
                <w:szCs w:val="20"/>
                <w:color w:val="auto"/>
              </w:rPr>
            </w:pPr>
            <w:r>
              <w:rPr>
                <w:rFonts w:ascii="Arial" w:cs="Arial" w:eastAsia="Arial" w:hAnsi="Arial"/>
                <w:sz w:val="16"/>
                <w:szCs w:val="16"/>
                <w:color w:val="auto"/>
              </w:rPr>
              <w:t>April 1, 2019 - June 30, 2019</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0.36</w:t>
            </w:r>
          </w:p>
        </w:tc>
        <w:tc>
          <w:tcPr>
            <w:tcW w:w="100" w:type="dxa"/>
            <w:vAlign w:val="bottom"/>
          </w:tcPr>
          <w:p>
            <w:pPr>
              <w:spacing w:after="0"/>
              <w:rPr>
                <w:sz w:val="18"/>
                <w:szCs w:val="18"/>
                <w:color w:val="auto"/>
              </w:rPr>
            </w:pPr>
          </w:p>
        </w:tc>
        <w:tc>
          <w:tcPr>
            <w:tcW w:w="700" w:type="dxa"/>
            <w:vAlign w:val="bottom"/>
          </w:tcPr>
          <w:p>
            <w:pPr>
              <w:ind w:left="2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21,564</w:t>
            </w:r>
          </w:p>
        </w:tc>
        <w:tc>
          <w:tcPr>
            <w:tcW w:w="100" w:type="dxa"/>
            <w:vAlign w:val="bottom"/>
          </w:tcPr>
          <w:p>
            <w:pPr>
              <w:spacing w:after="0"/>
              <w:rPr>
                <w:sz w:val="18"/>
                <w:szCs w:val="18"/>
                <w:color w:val="auto"/>
              </w:rPr>
            </w:pPr>
          </w:p>
        </w:tc>
        <w:tc>
          <w:tcPr>
            <w:tcW w:w="1860" w:type="dxa"/>
            <w:vAlign w:val="bottom"/>
            <w:gridSpan w:val="2"/>
          </w:tcPr>
          <w:p>
            <w:pPr>
              <w:jc w:val="right"/>
              <w:ind w:right="120"/>
              <w:spacing w:after="0"/>
              <w:rPr>
                <w:sz w:val="20"/>
                <w:szCs w:val="20"/>
                <w:color w:val="auto"/>
              </w:rPr>
            </w:pPr>
            <w:r>
              <w:rPr>
                <w:rFonts w:ascii="Arial" w:cs="Arial" w:eastAsia="Arial" w:hAnsi="Arial"/>
                <w:sz w:val="16"/>
                <w:szCs w:val="16"/>
                <w:color w:val="auto"/>
              </w:rPr>
              <w:t>July 18, 2019</w:t>
            </w:r>
          </w:p>
        </w:tc>
        <w:tc>
          <w:tcPr>
            <w:tcW w:w="1780" w:type="dxa"/>
            <w:vAlign w:val="bottom"/>
          </w:tcPr>
          <w:p>
            <w:pPr>
              <w:jc w:val="right"/>
              <w:spacing w:after="0"/>
              <w:rPr>
                <w:sz w:val="20"/>
                <w:szCs w:val="20"/>
                <w:color w:val="auto"/>
              </w:rPr>
            </w:pPr>
            <w:r>
              <w:rPr>
                <w:rFonts w:ascii="Arial" w:cs="Arial" w:eastAsia="Arial" w:hAnsi="Arial"/>
                <w:sz w:val="16"/>
                <w:szCs w:val="16"/>
                <w:color w:val="auto"/>
              </w:rPr>
              <w:t>July 25, 2019</w:t>
            </w:r>
          </w:p>
        </w:tc>
        <w:tc>
          <w:tcPr>
            <w:tcW w:w="0" w:type="dxa"/>
            <w:vAlign w:val="bottom"/>
          </w:tcPr>
          <w:p>
            <w:pPr>
              <w:spacing w:after="0"/>
              <w:rPr>
                <w:sz w:val="1"/>
                <w:szCs w:val="1"/>
                <w:color w:val="auto"/>
              </w:rPr>
            </w:pPr>
          </w:p>
        </w:tc>
      </w:tr>
      <w:tr>
        <w:trPr>
          <w:trHeight w:val="219"/>
        </w:trPr>
        <w:tc>
          <w:tcPr>
            <w:tcW w:w="3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January 1, 2019 - March 31, 2019</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0.36</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21,564</w:t>
            </w:r>
          </w:p>
        </w:tc>
        <w:tc>
          <w:tcPr>
            <w:tcW w:w="10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April 18, 2019</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April 25, 2019</w:t>
            </w:r>
          </w:p>
        </w:tc>
        <w:tc>
          <w:tcPr>
            <w:tcW w:w="0" w:type="dxa"/>
            <w:vAlign w:val="bottom"/>
          </w:tcPr>
          <w:p>
            <w:pPr>
              <w:spacing w:after="0"/>
              <w:rPr>
                <w:sz w:val="1"/>
                <w:szCs w:val="1"/>
                <w:color w:val="auto"/>
              </w:rPr>
            </w:pPr>
          </w:p>
        </w:tc>
      </w:tr>
      <w:tr>
        <w:trPr>
          <w:trHeight w:val="210"/>
        </w:trPr>
        <w:tc>
          <w:tcPr>
            <w:tcW w:w="3700" w:type="dxa"/>
            <w:vAlign w:val="bottom"/>
            <w:gridSpan w:val="2"/>
          </w:tcPr>
          <w:p>
            <w:pPr>
              <w:ind w:left="20"/>
              <w:spacing w:after="0"/>
              <w:rPr>
                <w:sz w:val="20"/>
                <w:szCs w:val="20"/>
                <w:color w:val="auto"/>
              </w:rPr>
            </w:pPr>
            <w:r>
              <w:rPr>
                <w:rFonts w:ascii="Arial" w:cs="Arial" w:eastAsia="Arial" w:hAnsi="Arial"/>
                <w:sz w:val="16"/>
                <w:szCs w:val="16"/>
                <w:color w:val="auto"/>
              </w:rPr>
              <w:t>October 1, 2018 - December 31, 2018</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0.36</w:t>
            </w:r>
          </w:p>
        </w:tc>
        <w:tc>
          <w:tcPr>
            <w:tcW w:w="100" w:type="dxa"/>
            <w:vAlign w:val="bottom"/>
          </w:tcPr>
          <w:p>
            <w:pPr>
              <w:spacing w:after="0"/>
              <w:rPr>
                <w:sz w:val="18"/>
                <w:szCs w:val="18"/>
                <w:color w:val="auto"/>
              </w:rPr>
            </w:pPr>
          </w:p>
        </w:tc>
        <w:tc>
          <w:tcPr>
            <w:tcW w:w="700" w:type="dxa"/>
            <w:vAlign w:val="bottom"/>
          </w:tcPr>
          <w:p>
            <w:pPr>
              <w:ind w:left="2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21,564</w:t>
            </w:r>
          </w:p>
        </w:tc>
        <w:tc>
          <w:tcPr>
            <w:tcW w:w="100" w:type="dxa"/>
            <w:vAlign w:val="bottom"/>
          </w:tcPr>
          <w:p>
            <w:pPr>
              <w:spacing w:after="0"/>
              <w:rPr>
                <w:sz w:val="18"/>
                <w:szCs w:val="18"/>
                <w:color w:val="auto"/>
              </w:rPr>
            </w:pPr>
          </w:p>
        </w:tc>
        <w:tc>
          <w:tcPr>
            <w:tcW w:w="1860" w:type="dxa"/>
            <w:vAlign w:val="bottom"/>
            <w:gridSpan w:val="2"/>
          </w:tcPr>
          <w:p>
            <w:pPr>
              <w:jc w:val="right"/>
              <w:ind w:right="120"/>
              <w:spacing w:after="0"/>
              <w:rPr>
                <w:sz w:val="20"/>
                <w:szCs w:val="20"/>
                <w:color w:val="auto"/>
              </w:rPr>
            </w:pPr>
            <w:r>
              <w:rPr>
                <w:rFonts w:ascii="Arial" w:cs="Arial" w:eastAsia="Arial" w:hAnsi="Arial"/>
                <w:sz w:val="16"/>
                <w:szCs w:val="16"/>
                <w:color w:val="auto"/>
              </w:rPr>
              <w:t>January 17, 2019</w:t>
            </w:r>
          </w:p>
        </w:tc>
        <w:tc>
          <w:tcPr>
            <w:tcW w:w="1780" w:type="dxa"/>
            <w:vAlign w:val="bottom"/>
          </w:tcPr>
          <w:p>
            <w:pPr>
              <w:jc w:val="right"/>
              <w:spacing w:after="0"/>
              <w:rPr>
                <w:sz w:val="20"/>
                <w:szCs w:val="20"/>
                <w:color w:val="auto"/>
              </w:rPr>
            </w:pPr>
            <w:r>
              <w:rPr>
                <w:rFonts w:ascii="Arial" w:cs="Arial" w:eastAsia="Arial" w:hAnsi="Arial"/>
                <w:sz w:val="16"/>
                <w:szCs w:val="16"/>
                <w:color w:val="auto"/>
              </w:rPr>
              <w:t>January 24, 2019</w:t>
            </w:r>
          </w:p>
        </w:tc>
        <w:tc>
          <w:tcPr>
            <w:tcW w:w="0" w:type="dxa"/>
            <w:vAlign w:val="bottom"/>
          </w:tcPr>
          <w:p>
            <w:pPr>
              <w:spacing w:after="0"/>
              <w:rPr>
                <w:sz w:val="1"/>
                <w:szCs w:val="1"/>
                <w:color w:val="auto"/>
              </w:rPr>
            </w:pPr>
          </w:p>
        </w:tc>
      </w:tr>
      <w:tr>
        <w:trPr>
          <w:trHeight w:val="276"/>
        </w:trPr>
        <w:tc>
          <w:tcPr>
            <w:tcW w:w="3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Series A Preferred Shares:</w:t>
            </w:r>
          </w:p>
        </w:tc>
        <w:tc>
          <w:tcPr>
            <w:tcW w:w="3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2"/>
          </w:tcPr>
          <w:p>
            <w:pPr>
              <w:ind w:left="20"/>
              <w:spacing w:after="0" w:line="216" w:lineRule="exact"/>
              <w:rPr>
                <w:sz w:val="20"/>
                <w:szCs w:val="20"/>
                <w:color w:val="auto"/>
              </w:rPr>
            </w:pPr>
            <w:r>
              <w:rPr>
                <w:rFonts w:ascii="Arial" w:cs="Arial" w:eastAsia="Arial" w:hAnsi="Arial"/>
                <w:sz w:val="16"/>
                <w:szCs w:val="16"/>
                <w:color w:val="auto"/>
              </w:rPr>
              <w:t xml:space="preserve">July 30, 2020 - September 29, 2020 </w:t>
            </w:r>
            <w:r>
              <w:rPr>
                <w:rFonts w:ascii="Arial" w:cs="Arial" w:eastAsia="Arial" w:hAnsi="Arial"/>
                <w:sz w:val="21"/>
                <w:szCs w:val="21"/>
                <w:b w:val="1"/>
                <w:bCs w:val="1"/>
                <w:color w:val="auto"/>
                <w:vertAlign w:val="superscript"/>
              </w:rPr>
              <w:t>(1)</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0.453125</w:t>
            </w:r>
          </w:p>
        </w:tc>
        <w:tc>
          <w:tcPr>
            <w:tcW w:w="100" w:type="dxa"/>
            <w:vAlign w:val="bottom"/>
          </w:tcPr>
          <w:p>
            <w:pPr>
              <w:spacing w:after="0"/>
              <w:rPr>
                <w:sz w:val="18"/>
                <w:szCs w:val="18"/>
                <w:color w:val="auto"/>
              </w:rPr>
            </w:pPr>
          </w:p>
        </w:tc>
        <w:tc>
          <w:tcPr>
            <w:tcW w:w="700" w:type="dxa"/>
            <w:vAlign w:val="bottom"/>
          </w:tcPr>
          <w:p>
            <w:pPr>
              <w:ind w:left="2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1,813</w:t>
            </w:r>
          </w:p>
        </w:tc>
        <w:tc>
          <w:tcPr>
            <w:tcW w:w="100" w:type="dxa"/>
            <w:vAlign w:val="bottom"/>
          </w:tcPr>
          <w:p>
            <w:pPr>
              <w:spacing w:after="0"/>
              <w:rPr>
                <w:sz w:val="18"/>
                <w:szCs w:val="18"/>
                <w:color w:val="auto"/>
              </w:rPr>
            </w:pPr>
          </w:p>
        </w:tc>
        <w:tc>
          <w:tcPr>
            <w:tcW w:w="1860" w:type="dxa"/>
            <w:vAlign w:val="bottom"/>
            <w:gridSpan w:val="2"/>
          </w:tcPr>
          <w:p>
            <w:pPr>
              <w:jc w:val="right"/>
              <w:ind w:right="120"/>
              <w:spacing w:after="0"/>
              <w:rPr>
                <w:sz w:val="20"/>
                <w:szCs w:val="20"/>
                <w:color w:val="auto"/>
              </w:rPr>
            </w:pPr>
            <w:r>
              <w:rPr>
                <w:rFonts w:ascii="Arial" w:cs="Arial" w:eastAsia="Arial" w:hAnsi="Arial"/>
                <w:sz w:val="16"/>
                <w:szCs w:val="16"/>
                <w:color w:val="auto"/>
              </w:rPr>
              <w:t>October 15, 2020</w:t>
            </w:r>
          </w:p>
        </w:tc>
        <w:tc>
          <w:tcPr>
            <w:tcW w:w="1780" w:type="dxa"/>
            <w:vAlign w:val="bottom"/>
          </w:tcPr>
          <w:p>
            <w:pPr>
              <w:jc w:val="right"/>
              <w:spacing w:after="0"/>
              <w:rPr>
                <w:sz w:val="20"/>
                <w:szCs w:val="20"/>
                <w:color w:val="auto"/>
              </w:rPr>
            </w:pPr>
            <w:r>
              <w:rPr>
                <w:rFonts w:ascii="Arial" w:cs="Arial" w:eastAsia="Arial" w:hAnsi="Arial"/>
                <w:sz w:val="16"/>
                <w:szCs w:val="16"/>
                <w:color w:val="auto"/>
              </w:rPr>
              <w:t>October 30, 2020</w:t>
            </w: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April 30, 2020 - July 29, 2020</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0.453125</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1,813</w:t>
            </w:r>
          </w:p>
        </w:tc>
        <w:tc>
          <w:tcPr>
            <w:tcW w:w="1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July 15, 2020</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July 30, 2020</w:t>
            </w:r>
          </w:p>
        </w:tc>
        <w:tc>
          <w:tcPr>
            <w:tcW w:w="0" w:type="dxa"/>
            <w:vAlign w:val="bottom"/>
          </w:tcPr>
          <w:p>
            <w:pPr>
              <w:spacing w:after="0"/>
              <w:rPr>
                <w:sz w:val="1"/>
                <w:szCs w:val="1"/>
                <w:color w:val="auto"/>
              </w:rPr>
            </w:pPr>
          </w:p>
        </w:tc>
      </w:tr>
      <w:tr>
        <w:trPr>
          <w:trHeight w:val="213"/>
        </w:trPr>
        <w:tc>
          <w:tcPr>
            <w:tcW w:w="3700" w:type="dxa"/>
            <w:vAlign w:val="bottom"/>
            <w:gridSpan w:val="2"/>
          </w:tcPr>
          <w:p>
            <w:pPr>
              <w:ind w:left="20"/>
              <w:spacing w:after="0"/>
              <w:rPr>
                <w:sz w:val="20"/>
                <w:szCs w:val="20"/>
                <w:color w:val="auto"/>
              </w:rPr>
            </w:pPr>
            <w:r>
              <w:rPr>
                <w:rFonts w:ascii="Arial" w:cs="Arial" w:eastAsia="Arial" w:hAnsi="Arial"/>
                <w:sz w:val="16"/>
                <w:szCs w:val="16"/>
                <w:color w:val="auto"/>
              </w:rPr>
              <w:t>January 30, 2020 - April 29, 2020</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0.453125</w:t>
            </w:r>
          </w:p>
        </w:tc>
        <w:tc>
          <w:tcPr>
            <w:tcW w:w="100" w:type="dxa"/>
            <w:vAlign w:val="bottom"/>
          </w:tcPr>
          <w:p>
            <w:pPr>
              <w:spacing w:after="0"/>
              <w:rPr>
                <w:sz w:val="18"/>
                <w:szCs w:val="18"/>
                <w:color w:val="auto"/>
              </w:rPr>
            </w:pPr>
          </w:p>
        </w:tc>
        <w:tc>
          <w:tcPr>
            <w:tcW w:w="700" w:type="dxa"/>
            <w:vAlign w:val="bottom"/>
          </w:tcPr>
          <w:p>
            <w:pPr>
              <w:ind w:left="2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1,813</w:t>
            </w:r>
          </w:p>
        </w:tc>
        <w:tc>
          <w:tcPr>
            <w:tcW w:w="100" w:type="dxa"/>
            <w:vAlign w:val="bottom"/>
          </w:tcPr>
          <w:p>
            <w:pPr>
              <w:spacing w:after="0"/>
              <w:rPr>
                <w:sz w:val="18"/>
                <w:szCs w:val="18"/>
                <w:color w:val="auto"/>
              </w:rPr>
            </w:pPr>
          </w:p>
        </w:tc>
        <w:tc>
          <w:tcPr>
            <w:tcW w:w="1860" w:type="dxa"/>
            <w:vAlign w:val="bottom"/>
            <w:gridSpan w:val="2"/>
          </w:tcPr>
          <w:p>
            <w:pPr>
              <w:jc w:val="right"/>
              <w:ind w:right="120"/>
              <w:spacing w:after="0"/>
              <w:rPr>
                <w:sz w:val="20"/>
                <w:szCs w:val="20"/>
                <w:color w:val="auto"/>
              </w:rPr>
            </w:pPr>
            <w:r>
              <w:rPr>
                <w:rFonts w:ascii="Arial" w:cs="Arial" w:eastAsia="Arial" w:hAnsi="Arial"/>
                <w:sz w:val="16"/>
                <w:szCs w:val="16"/>
                <w:color w:val="auto"/>
              </w:rPr>
              <w:t>April 15, 2020</w:t>
            </w:r>
          </w:p>
        </w:tc>
        <w:tc>
          <w:tcPr>
            <w:tcW w:w="1780" w:type="dxa"/>
            <w:vAlign w:val="bottom"/>
          </w:tcPr>
          <w:p>
            <w:pPr>
              <w:jc w:val="right"/>
              <w:spacing w:after="0"/>
              <w:rPr>
                <w:sz w:val="20"/>
                <w:szCs w:val="20"/>
                <w:color w:val="auto"/>
              </w:rPr>
            </w:pPr>
            <w:r>
              <w:rPr>
                <w:rFonts w:ascii="Arial" w:cs="Arial" w:eastAsia="Arial" w:hAnsi="Arial"/>
                <w:sz w:val="16"/>
                <w:szCs w:val="16"/>
                <w:color w:val="auto"/>
              </w:rPr>
              <w:t>April 30, 2020</w:t>
            </w:r>
          </w:p>
        </w:tc>
        <w:tc>
          <w:tcPr>
            <w:tcW w:w="0" w:type="dxa"/>
            <w:vAlign w:val="bottom"/>
          </w:tcPr>
          <w:p>
            <w:pPr>
              <w:spacing w:after="0"/>
              <w:rPr>
                <w:sz w:val="1"/>
                <w:szCs w:val="1"/>
                <w:color w:val="auto"/>
              </w:rPr>
            </w:pPr>
          </w:p>
        </w:tc>
      </w:tr>
      <w:tr>
        <w:trPr>
          <w:trHeight w:val="219"/>
        </w:trPr>
        <w:tc>
          <w:tcPr>
            <w:tcW w:w="3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October 30, 2019 - January 29, 2020</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0.453125</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1,813</w:t>
            </w:r>
          </w:p>
        </w:tc>
        <w:tc>
          <w:tcPr>
            <w:tcW w:w="10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January 15, 2020</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January 30, 2020</w:t>
            </w:r>
          </w:p>
        </w:tc>
        <w:tc>
          <w:tcPr>
            <w:tcW w:w="0" w:type="dxa"/>
            <w:vAlign w:val="bottom"/>
          </w:tcPr>
          <w:p>
            <w:pPr>
              <w:spacing w:after="0"/>
              <w:rPr>
                <w:sz w:val="1"/>
                <w:szCs w:val="1"/>
                <w:color w:val="auto"/>
              </w:rPr>
            </w:pPr>
          </w:p>
        </w:tc>
      </w:tr>
      <w:tr>
        <w:trPr>
          <w:trHeight w:val="213"/>
        </w:trPr>
        <w:tc>
          <w:tcPr>
            <w:tcW w:w="3700" w:type="dxa"/>
            <w:vAlign w:val="bottom"/>
            <w:gridSpan w:val="2"/>
          </w:tcPr>
          <w:p>
            <w:pPr>
              <w:ind w:left="20"/>
              <w:spacing w:after="0"/>
              <w:rPr>
                <w:sz w:val="20"/>
                <w:szCs w:val="20"/>
                <w:color w:val="auto"/>
              </w:rPr>
            </w:pPr>
            <w:r>
              <w:rPr>
                <w:rFonts w:ascii="Arial" w:cs="Arial" w:eastAsia="Arial" w:hAnsi="Arial"/>
                <w:sz w:val="16"/>
                <w:szCs w:val="16"/>
                <w:color w:val="auto"/>
              </w:rPr>
              <w:t>July 30, 2019 - October 29, 2019</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0.453125</w:t>
            </w:r>
          </w:p>
        </w:tc>
        <w:tc>
          <w:tcPr>
            <w:tcW w:w="100" w:type="dxa"/>
            <w:vAlign w:val="bottom"/>
          </w:tcPr>
          <w:p>
            <w:pPr>
              <w:spacing w:after="0"/>
              <w:rPr>
                <w:sz w:val="18"/>
                <w:szCs w:val="18"/>
                <w:color w:val="auto"/>
              </w:rPr>
            </w:pPr>
          </w:p>
        </w:tc>
        <w:tc>
          <w:tcPr>
            <w:tcW w:w="700" w:type="dxa"/>
            <w:vAlign w:val="bottom"/>
          </w:tcPr>
          <w:p>
            <w:pPr>
              <w:ind w:left="2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1,813</w:t>
            </w:r>
          </w:p>
        </w:tc>
        <w:tc>
          <w:tcPr>
            <w:tcW w:w="100" w:type="dxa"/>
            <w:vAlign w:val="bottom"/>
          </w:tcPr>
          <w:p>
            <w:pPr>
              <w:spacing w:after="0"/>
              <w:rPr>
                <w:sz w:val="18"/>
                <w:szCs w:val="18"/>
                <w:color w:val="auto"/>
              </w:rPr>
            </w:pPr>
          </w:p>
        </w:tc>
        <w:tc>
          <w:tcPr>
            <w:tcW w:w="1860" w:type="dxa"/>
            <w:vAlign w:val="bottom"/>
            <w:gridSpan w:val="2"/>
          </w:tcPr>
          <w:p>
            <w:pPr>
              <w:jc w:val="right"/>
              <w:ind w:right="120"/>
              <w:spacing w:after="0"/>
              <w:rPr>
                <w:sz w:val="20"/>
                <w:szCs w:val="20"/>
                <w:color w:val="auto"/>
              </w:rPr>
            </w:pPr>
            <w:r>
              <w:rPr>
                <w:rFonts w:ascii="Arial" w:cs="Arial" w:eastAsia="Arial" w:hAnsi="Arial"/>
                <w:sz w:val="16"/>
                <w:szCs w:val="16"/>
                <w:color w:val="auto"/>
              </w:rPr>
              <w:t>October 15, 2019</w:t>
            </w:r>
          </w:p>
        </w:tc>
        <w:tc>
          <w:tcPr>
            <w:tcW w:w="1780" w:type="dxa"/>
            <w:vAlign w:val="bottom"/>
          </w:tcPr>
          <w:p>
            <w:pPr>
              <w:jc w:val="right"/>
              <w:spacing w:after="0"/>
              <w:rPr>
                <w:sz w:val="20"/>
                <w:szCs w:val="20"/>
                <w:color w:val="auto"/>
              </w:rPr>
            </w:pPr>
            <w:r>
              <w:rPr>
                <w:rFonts w:ascii="Arial" w:cs="Arial" w:eastAsia="Arial" w:hAnsi="Arial"/>
                <w:sz w:val="16"/>
                <w:szCs w:val="16"/>
                <w:color w:val="auto"/>
              </w:rPr>
              <w:t>October 30, 2019</w:t>
            </w:r>
          </w:p>
        </w:tc>
        <w:tc>
          <w:tcPr>
            <w:tcW w:w="0" w:type="dxa"/>
            <w:vAlign w:val="bottom"/>
          </w:tcPr>
          <w:p>
            <w:pPr>
              <w:spacing w:after="0"/>
              <w:rPr>
                <w:sz w:val="1"/>
                <w:szCs w:val="1"/>
                <w:color w:val="auto"/>
              </w:rPr>
            </w:pPr>
          </w:p>
        </w:tc>
      </w:tr>
      <w:tr>
        <w:trPr>
          <w:trHeight w:val="219"/>
        </w:trPr>
        <w:tc>
          <w:tcPr>
            <w:tcW w:w="3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April 30, 2019 - July 29, 2019</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0.453125</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1,813</w:t>
            </w:r>
          </w:p>
        </w:tc>
        <w:tc>
          <w:tcPr>
            <w:tcW w:w="10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July 15, 2019</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July 30, 2019</w:t>
            </w:r>
          </w:p>
        </w:tc>
        <w:tc>
          <w:tcPr>
            <w:tcW w:w="0" w:type="dxa"/>
            <w:vAlign w:val="bottom"/>
          </w:tcPr>
          <w:p>
            <w:pPr>
              <w:spacing w:after="0"/>
              <w:rPr>
                <w:sz w:val="1"/>
                <w:szCs w:val="1"/>
                <w:color w:val="auto"/>
              </w:rPr>
            </w:pPr>
          </w:p>
        </w:tc>
      </w:tr>
      <w:tr>
        <w:trPr>
          <w:trHeight w:val="213"/>
        </w:trPr>
        <w:tc>
          <w:tcPr>
            <w:tcW w:w="3700" w:type="dxa"/>
            <w:vAlign w:val="bottom"/>
            <w:gridSpan w:val="2"/>
          </w:tcPr>
          <w:p>
            <w:pPr>
              <w:ind w:left="20"/>
              <w:spacing w:after="0"/>
              <w:rPr>
                <w:sz w:val="20"/>
                <w:szCs w:val="20"/>
                <w:color w:val="auto"/>
              </w:rPr>
            </w:pPr>
            <w:r>
              <w:rPr>
                <w:rFonts w:ascii="Arial" w:cs="Arial" w:eastAsia="Arial" w:hAnsi="Arial"/>
                <w:sz w:val="16"/>
                <w:szCs w:val="16"/>
                <w:color w:val="auto"/>
              </w:rPr>
              <w:t>January 30, 2019 - April 29, 2019</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0.453125</w:t>
            </w:r>
          </w:p>
        </w:tc>
        <w:tc>
          <w:tcPr>
            <w:tcW w:w="100" w:type="dxa"/>
            <w:vAlign w:val="bottom"/>
          </w:tcPr>
          <w:p>
            <w:pPr>
              <w:spacing w:after="0"/>
              <w:rPr>
                <w:sz w:val="18"/>
                <w:szCs w:val="18"/>
                <w:color w:val="auto"/>
              </w:rPr>
            </w:pPr>
          </w:p>
        </w:tc>
        <w:tc>
          <w:tcPr>
            <w:tcW w:w="700" w:type="dxa"/>
            <w:vAlign w:val="bottom"/>
          </w:tcPr>
          <w:p>
            <w:pPr>
              <w:ind w:left="2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1,813</w:t>
            </w:r>
          </w:p>
        </w:tc>
        <w:tc>
          <w:tcPr>
            <w:tcW w:w="100" w:type="dxa"/>
            <w:vAlign w:val="bottom"/>
          </w:tcPr>
          <w:p>
            <w:pPr>
              <w:spacing w:after="0"/>
              <w:rPr>
                <w:sz w:val="18"/>
                <w:szCs w:val="18"/>
                <w:color w:val="auto"/>
              </w:rPr>
            </w:pPr>
          </w:p>
        </w:tc>
        <w:tc>
          <w:tcPr>
            <w:tcW w:w="1860" w:type="dxa"/>
            <w:vAlign w:val="bottom"/>
            <w:gridSpan w:val="2"/>
          </w:tcPr>
          <w:p>
            <w:pPr>
              <w:jc w:val="right"/>
              <w:ind w:right="120"/>
              <w:spacing w:after="0"/>
              <w:rPr>
                <w:sz w:val="20"/>
                <w:szCs w:val="20"/>
                <w:color w:val="auto"/>
              </w:rPr>
            </w:pPr>
            <w:r>
              <w:rPr>
                <w:rFonts w:ascii="Arial" w:cs="Arial" w:eastAsia="Arial" w:hAnsi="Arial"/>
                <w:sz w:val="16"/>
                <w:szCs w:val="16"/>
                <w:color w:val="auto"/>
              </w:rPr>
              <w:t>April 15, 2019</w:t>
            </w:r>
          </w:p>
        </w:tc>
        <w:tc>
          <w:tcPr>
            <w:tcW w:w="1780" w:type="dxa"/>
            <w:vAlign w:val="bottom"/>
          </w:tcPr>
          <w:p>
            <w:pPr>
              <w:jc w:val="right"/>
              <w:spacing w:after="0"/>
              <w:rPr>
                <w:sz w:val="20"/>
                <w:szCs w:val="20"/>
                <w:color w:val="auto"/>
              </w:rPr>
            </w:pPr>
            <w:r>
              <w:rPr>
                <w:rFonts w:ascii="Arial" w:cs="Arial" w:eastAsia="Arial" w:hAnsi="Arial"/>
                <w:sz w:val="16"/>
                <w:szCs w:val="16"/>
                <w:color w:val="auto"/>
              </w:rPr>
              <w:t>April 30, 2019</w:t>
            </w:r>
          </w:p>
        </w:tc>
        <w:tc>
          <w:tcPr>
            <w:tcW w:w="0" w:type="dxa"/>
            <w:vAlign w:val="bottom"/>
          </w:tcPr>
          <w:p>
            <w:pPr>
              <w:spacing w:after="0"/>
              <w:rPr>
                <w:sz w:val="1"/>
                <w:szCs w:val="1"/>
                <w:color w:val="auto"/>
              </w:rPr>
            </w:pPr>
          </w:p>
        </w:tc>
      </w:tr>
      <w:tr>
        <w:trPr>
          <w:trHeight w:val="219"/>
        </w:trPr>
        <w:tc>
          <w:tcPr>
            <w:tcW w:w="3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October 30, 2018 - January 29, 2019</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0.453125</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1,813</w:t>
            </w:r>
          </w:p>
        </w:tc>
        <w:tc>
          <w:tcPr>
            <w:tcW w:w="10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January 15, 2019</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January 30, 2019</w:t>
            </w:r>
          </w:p>
        </w:tc>
        <w:tc>
          <w:tcPr>
            <w:tcW w:w="0" w:type="dxa"/>
            <w:vAlign w:val="bottom"/>
          </w:tcPr>
          <w:p>
            <w:pPr>
              <w:spacing w:after="0"/>
              <w:rPr>
                <w:sz w:val="1"/>
                <w:szCs w:val="1"/>
                <w:color w:val="auto"/>
              </w:rPr>
            </w:pPr>
          </w:p>
        </w:tc>
      </w:tr>
      <w:tr>
        <w:trPr>
          <w:trHeight w:val="483"/>
        </w:trPr>
        <w:tc>
          <w:tcPr>
            <w:tcW w:w="3700" w:type="dxa"/>
            <w:vAlign w:val="bottom"/>
            <w:gridSpan w:val="2"/>
          </w:tcPr>
          <w:p>
            <w:pPr>
              <w:ind w:left="20"/>
              <w:spacing w:after="0"/>
              <w:rPr>
                <w:sz w:val="20"/>
                <w:szCs w:val="20"/>
                <w:color w:val="auto"/>
              </w:rPr>
            </w:pPr>
            <w:r>
              <w:rPr>
                <w:rFonts w:ascii="Arial" w:cs="Arial" w:eastAsia="Arial" w:hAnsi="Arial"/>
                <w:sz w:val="16"/>
                <w:szCs w:val="16"/>
                <w:b w:val="1"/>
                <w:bCs w:val="1"/>
                <w:color w:val="auto"/>
              </w:rPr>
              <w:t>Series B Preferred Shares:</w:t>
            </w:r>
          </w:p>
        </w:tc>
        <w:tc>
          <w:tcPr>
            <w:tcW w:w="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3700" w:type="dxa"/>
            <w:vAlign w:val="bottom"/>
            <w:gridSpan w:val="2"/>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July 30, 2020 - September 29, 2020 </w:t>
            </w:r>
            <w:r>
              <w:rPr>
                <w:rFonts w:ascii="Arial" w:cs="Arial" w:eastAsia="Arial" w:hAnsi="Arial"/>
                <w:sz w:val="21"/>
                <w:szCs w:val="21"/>
                <w:b w:val="1"/>
                <w:bCs w:val="1"/>
                <w:color w:val="auto"/>
                <w:vertAlign w:val="superscript"/>
              </w:rPr>
              <w:t>(1)</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0.4921875</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1,969</w:t>
            </w:r>
          </w:p>
        </w:tc>
        <w:tc>
          <w:tcPr>
            <w:tcW w:w="10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October 15, 2020</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October 30, 2020</w:t>
            </w:r>
          </w:p>
        </w:tc>
        <w:tc>
          <w:tcPr>
            <w:tcW w:w="0" w:type="dxa"/>
            <w:vAlign w:val="bottom"/>
          </w:tcPr>
          <w:p>
            <w:pPr>
              <w:spacing w:after="0"/>
              <w:rPr>
                <w:sz w:val="1"/>
                <w:szCs w:val="1"/>
                <w:color w:val="auto"/>
              </w:rPr>
            </w:pPr>
          </w:p>
        </w:tc>
      </w:tr>
      <w:tr>
        <w:trPr>
          <w:trHeight w:val="213"/>
        </w:trPr>
        <w:tc>
          <w:tcPr>
            <w:tcW w:w="3700" w:type="dxa"/>
            <w:vAlign w:val="bottom"/>
            <w:gridSpan w:val="2"/>
          </w:tcPr>
          <w:p>
            <w:pPr>
              <w:ind w:left="20"/>
              <w:spacing w:after="0"/>
              <w:rPr>
                <w:sz w:val="20"/>
                <w:szCs w:val="20"/>
                <w:color w:val="auto"/>
              </w:rPr>
            </w:pPr>
            <w:r>
              <w:rPr>
                <w:rFonts w:ascii="Arial" w:cs="Arial" w:eastAsia="Arial" w:hAnsi="Arial"/>
                <w:sz w:val="16"/>
                <w:szCs w:val="16"/>
                <w:color w:val="auto"/>
              </w:rPr>
              <w:t>April 30, 2020 - July 29, 2020</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0.4921875</w:t>
            </w:r>
          </w:p>
        </w:tc>
        <w:tc>
          <w:tcPr>
            <w:tcW w:w="100" w:type="dxa"/>
            <w:vAlign w:val="bottom"/>
          </w:tcPr>
          <w:p>
            <w:pPr>
              <w:spacing w:after="0"/>
              <w:rPr>
                <w:sz w:val="18"/>
                <w:szCs w:val="18"/>
                <w:color w:val="auto"/>
              </w:rPr>
            </w:pPr>
          </w:p>
        </w:tc>
        <w:tc>
          <w:tcPr>
            <w:tcW w:w="700" w:type="dxa"/>
            <w:vAlign w:val="bottom"/>
          </w:tcPr>
          <w:p>
            <w:pPr>
              <w:ind w:left="2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1,969</w:t>
            </w:r>
          </w:p>
        </w:tc>
        <w:tc>
          <w:tcPr>
            <w:tcW w:w="100" w:type="dxa"/>
            <w:vAlign w:val="bottom"/>
          </w:tcPr>
          <w:p>
            <w:pPr>
              <w:spacing w:after="0"/>
              <w:rPr>
                <w:sz w:val="18"/>
                <w:szCs w:val="18"/>
                <w:color w:val="auto"/>
              </w:rPr>
            </w:pPr>
          </w:p>
        </w:tc>
        <w:tc>
          <w:tcPr>
            <w:tcW w:w="1860" w:type="dxa"/>
            <w:vAlign w:val="bottom"/>
            <w:gridSpan w:val="2"/>
          </w:tcPr>
          <w:p>
            <w:pPr>
              <w:jc w:val="right"/>
              <w:ind w:right="120"/>
              <w:spacing w:after="0"/>
              <w:rPr>
                <w:sz w:val="20"/>
                <w:szCs w:val="20"/>
                <w:color w:val="auto"/>
              </w:rPr>
            </w:pPr>
            <w:r>
              <w:rPr>
                <w:rFonts w:ascii="Arial" w:cs="Arial" w:eastAsia="Arial" w:hAnsi="Arial"/>
                <w:sz w:val="16"/>
                <w:szCs w:val="16"/>
                <w:color w:val="auto"/>
              </w:rPr>
              <w:t>July 15, 2020</w:t>
            </w:r>
          </w:p>
        </w:tc>
        <w:tc>
          <w:tcPr>
            <w:tcW w:w="1780" w:type="dxa"/>
            <w:vAlign w:val="bottom"/>
          </w:tcPr>
          <w:p>
            <w:pPr>
              <w:jc w:val="right"/>
              <w:spacing w:after="0"/>
              <w:rPr>
                <w:sz w:val="20"/>
                <w:szCs w:val="20"/>
                <w:color w:val="auto"/>
              </w:rPr>
            </w:pPr>
            <w:r>
              <w:rPr>
                <w:rFonts w:ascii="Arial" w:cs="Arial" w:eastAsia="Arial" w:hAnsi="Arial"/>
                <w:sz w:val="16"/>
                <w:szCs w:val="16"/>
                <w:color w:val="auto"/>
              </w:rPr>
              <w:t>July 30, 2020</w:t>
            </w:r>
          </w:p>
        </w:tc>
        <w:tc>
          <w:tcPr>
            <w:tcW w:w="0" w:type="dxa"/>
            <w:vAlign w:val="bottom"/>
          </w:tcPr>
          <w:p>
            <w:pPr>
              <w:spacing w:after="0"/>
              <w:rPr>
                <w:sz w:val="1"/>
                <w:szCs w:val="1"/>
                <w:color w:val="auto"/>
              </w:rPr>
            </w:pPr>
          </w:p>
        </w:tc>
      </w:tr>
      <w:tr>
        <w:trPr>
          <w:trHeight w:val="219"/>
        </w:trPr>
        <w:tc>
          <w:tcPr>
            <w:tcW w:w="3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January 30, 2020 - April 29, 2020</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0.4921875</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1,969</w:t>
            </w:r>
          </w:p>
        </w:tc>
        <w:tc>
          <w:tcPr>
            <w:tcW w:w="10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April 15, 2020</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April 30, 2020</w:t>
            </w:r>
          </w:p>
        </w:tc>
        <w:tc>
          <w:tcPr>
            <w:tcW w:w="0" w:type="dxa"/>
            <w:vAlign w:val="bottom"/>
          </w:tcPr>
          <w:p>
            <w:pPr>
              <w:spacing w:after="0"/>
              <w:rPr>
                <w:sz w:val="1"/>
                <w:szCs w:val="1"/>
                <w:color w:val="auto"/>
              </w:rPr>
            </w:pPr>
          </w:p>
        </w:tc>
      </w:tr>
      <w:tr>
        <w:trPr>
          <w:trHeight w:val="213"/>
        </w:trPr>
        <w:tc>
          <w:tcPr>
            <w:tcW w:w="3700" w:type="dxa"/>
            <w:vAlign w:val="bottom"/>
            <w:gridSpan w:val="2"/>
          </w:tcPr>
          <w:p>
            <w:pPr>
              <w:ind w:left="20"/>
              <w:spacing w:after="0"/>
              <w:rPr>
                <w:sz w:val="20"/>
                <w:szCs w:val="20"/>
                <w:color w:val="auto"/>
              </w:rPr>
            </w:pPr>
            <w:r>
              <w:rPr>
                <w:rFonts w:ascii="Arial" w:cs="Arial" w:eastAsia="Arial" w:hAnsi="Arial"/>
                <w:sz w:val="16"/>
                <w:szCs w:val="16"/>
                <w:color w:val="auto"/>
              </w:rPr>
              <w:t>October 30, 2019 - January 29, 2020</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0.4921875</w:t>
            </w:r>
          </w:p>
        </w:tc>
        <w:tc>
          <w:tcPr>
            <w:tcW w:w="100" w:type="dxa"/>
            <w:vAlign w:val="bottom"/>
          </w:tcPr>
          <w:p>
            <w:pPr>
              <w:spacing w:after="0"/>
              <w:rPr>
                <w:sz w:val="18"/>
                <w:szCs w:val="18"/>
                <w:color w:val="auto"/>
              </w:rPr>
            </w:pPr>
          </w:p>
        </w:tc>
        <w:tc>
          <w:tcPr>
            <w:tcW w:w="700" w:type="dxa"/>
            <w:vAlign w:val="bottom"/>
          </w:tcPr>
          <w:p>
            <w:pPr>
              <w:ind w:left="2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1,969</w:t>
            </w:r>
          </w:p>
        </w:tc>
        <w:tc>
          <w:tcPr>
            <w:tcW w:w="100" w:type="dxa"/>
            <w:vAlign w:val="bottom"/>
          </w:tcPr>
          <w:p>
            <w:pPr>
              <w:spacing w:after="0"/>
              <w:rPr>
                <w:sz w:val="18"/>
                <w:szCs w:val="18"/>
                <w:color w:val="auto"/>
              </w:rPr>
            </w:pPr>
          </w:p>
        </w:tc>
        <w:tc>
          <w:tcPr>
            <w:tcW w:w="1860" w:type="dxa"/>
            <w:vAlign w:val="bottom"/>
            <w:gridSpan w:val="2"/>
          </w:tcPr>
          <w:p>
            <w:pPr>
              <w:jc w:val="right"/>
              <w:ind w:right="120"/>
              <w:spacing w:after="0"/>
              <w:rPr>
                <w:sz w:val="20"/>
                <w:szCs w:val="20"/>
                <w:color w:val="auto"/>
              </w:rPr>
            </w:pPr>
            <w:r>
              <w:rPr>
                <w:rFonts w:ascii="Arial" w:cs="Arial" w:eastAsia="Arial" w:hAnsi="Arial"/>
                <w:sz w:val="16"/>
                <w:szCs w:val="16"/>
                <w:color w:val="auto"/>
              </w:rPr>
              <w:t>January 15, 2020</w:t>
            </w:r>
          </w:p>
        </w:tc>
        <w:tc>
          <w:tcPr>
            <w:tcW w:w="1780" w:type="dxa"/>
            <w:vAlign w:val="bottom"/>
          </w:tcPr>
          <w:p>
            <w:pPr>
              <w:jc w:val="right"/>
              <w:spacing w:after="0"/>
              <w:rPr>
                <w:sz w:val="20"/>
                <w:szCs w:val="20"/>
                <w:color w:val="auto"/>
              </w:rPr>
            </w:pPr>
            <w:r>
              <w:rPr>
                <w:rFonts w:ascii="Arial" w:cs="Arial" w:eastAsia="Arial" w:hAnsi="Arial"/>
                <w:sz w:val="16"/>
                <w:szCs w:val="16"/>
                <w:color w:val="auto"/>
              </w:rPr>
              <w:t>January 30, 2020</w:t>
            </w:r>
          </w:p>
        </w:tc>
        <w:tc>
          <w:tcPr>
            <w:tcW w:w="0" w:type="dxa"/>
            <w:vAlign w:val="bottom"/>
          </w:tcPr>
          <w:p>
            <w:pPr>
              <w:spacing w:after="0"/>
              <w:rPr>
                <w:sz w:val="1"/>
                <w:szCs w:val="1"/>
                <w:color w:val="auto"/>
              </w:rPr>
            </w:pPr>
          </w:p>
        </w:tc>
      </w:tr>
      <w:tr>
        <w:trPr>
          <w:trHeight w:val="219"/>
        </w:trPr>
        <w:tc>
          <w:tcPr>
            <w:tcW w:w="3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July 30, 2019 - October 29, 2019</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0.4921875</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1,969</w:t>
            </w:r>
          </w:p>
        </w:tc>
        <w:tc>
          <w:tcPr>
            <w:tcW w:w="10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October 15, 2019</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October 30, 2019</w:t>
            </w:r>
          </w:p>
        </w:tc>
        <w:tc>
          <w:tcPr>
            <w:tcW w:w="0" w:type="dxa"/>
            <w:vAlign w:val="bottom"/>
          </w:tcPr>
          <w:p>
            <w:pPr>
              <w:spacing w:after="0"/>
              <w:rPr>
                <w:sz w:val="1"/>
                <w:szCs w:val="1"/>
                <w:color w:val="auto"/>
              </w:rPr>
            </w:pPr>
          </w:p>
        </w:tc>
      </w:tr>
      <w:tr>
        <w:trPr>
          <w:trHeight w:val="213"/>
        </w:trPr>
        <w:tc>
          <w:tcPr>
            <w:tcW w:w="3700" w:type="dxa"/>
            <w:vAlign w:val="bottom"/>
            <w:gridSpan w:val="2"/>
          </w:tcPr>
          <w:p>
            <w:pPr>
              <w:ind w:left="20"/>
              <w:spacing w:after="0"/>
              <w:rPr>
                <w:sz w:val="20"/>
                <w:szCs w:val="20"/>
                <w:color w:val="auto"/>
              </w:rPr>
            </w:pPr>
            <w:r>
              <w:rPr>
                <w:rFonts w:ascii="Arial" w:cs="Arial" w:eastAsia="Arial" w:hAnsi="Arial"/>
                <w:sz w:val="16"/>
                <w:szCs w:val="16"/>
                <w:color w:val="auto"/>
              </w:rPr>
              <w:t>April 30, 2019 - July 29, 2019</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0.4921875</w:t>
            </w:r>
          </w:p>
        </w:tc>
        <w:tc>
          <w:tcPr>
            <w:tcW w:w="100" w:type="dxa"/>
            <w:vAlign w:val="bottom"/>
          </w:tcPr>
          <w:p>
            <w:pPr>
              <w:spacing w:after="0"/>
              <w:rPr>
                <w:sz w:val="18"/>
                <w:szCs w:val="18"/>
                <w:color w:val="auto"/>
              </w:rPr>
            </w:pPr>
          </w:p>
        </w:tc>
        <w:tc>
          <w:tcPr>
            <w:tcW w:w="700" w:type="dxa"/>
            <w:vAlign w:val="bottom"/>
          </w:tcPr>
          <w:p>
            <w:pPr>
              <w:ind w:left="2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1,969</w:t>
            </w:r>
          </w:p>
        </w:tc>
        <w:tc>
          <w:tcPr>
            <w:tcW w:w="100" w:type="dxa"/>
            <w:vAlign w:val="bottom"/>
          </w:tcPr>
          <w:p>
            <w:pPr>
              <w:spacing w:after="0"/>
              <w:rPr>
                <w:sz w:val="18"/>
                <w:szCs w:val="18"/>
                <w:color w:val="auto"/>
              </w:rPr>
            </w:pPr>
          </w:p>
        </w:tc>
        <w:tc>
          <w:tcPr>
            <w:tcW w:w="1860" w:type="dxa"/>
            <w:vAlign w:val="bottom"/>
            <w:gridSpan w:val="2"/>
          </w:tcPr>
          <w:p>
            <w:pPr>
              <w:jc w:val="right"/>
              <w:ind w:right="120"/>
              <w:spacing w:after="0"/>
              <w:rPr>
                <w:sz w:val="20"/>
                <w:szCs w:val="20"/>
                <w:color w:val="auto"/>
              </w:rPr>
            </w:pPr>
            <w:r>
              <w:rPr>
                <w:rFonts w:ascii="Arial" w:cs="Arial" w:eastAsia="Arial" w:hAnsi="Arial"/>
                <w:sz w:val="16"/>
                <w:szCs w:val="16"/>
                <w:color w:val="auto"/>
              </w:rPr>
              <w:t>July 15, 2019</w:t>
            </w:r>
          </w:p>
        </w:tc>
        <w:tc>
          <w:tcPr>
            <w:tcW w:w="1780" w:type="dxa"/>
            <w:vAlign w:val="bottom"/>
          </w:tcPr>
          <w:p>
            <w:pPr>
              <w:jc w:val="right"/>
              <w:spacing w:after="0"/>
              <w:rPr>
                <w:sz w:val="20"/>
                <w:szCs w:val="20"/>
                <w:color w:val="auto"/>
              </w:rPr>
            </w:pPr>
            <w:r>
              <w:rPr>
                <w:rFonts w:ascii="Arial" w:cs="Arial" w:eastAsia="Arial" w:hAnsi="Arial"/>
                <w:sz w:val="16"/>
                <w:szCs w:val="16"/>
                <w:color w:val="auto"/>
              </w:rPr>
              <w:t>July 30, 2019</w:t>
            </w:r>
          </w:p>
        </w:tc>
        <w:tc>
          <w:tcPr>
            <w:tcW w:w="0" w:type="dxa"/>
            <w:vAlign w:val="bottom"/>
          </w:tcPr>
          <w:p>
            <w:pPr>
              <w:spacing w:after="0"/>
              <w:rPr>
                <w:sz w:val="1"/>
                <w:szCs w:val="1"/>
                <w:color w:val="auto"/>
              </w:rPr>
            </w:pPr>
          </w:p>
        </w:tc>
      </w:tr>
      <w:tr>
        <w:trPr>
          <w:trHeight w:val="219"/>
        </w:trPr>
        <w:tc>
          <w:tcPr>
            <w:tcW w:w="3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January 30, 2019 - April 29, 2019</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0.4921875</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1,969</w:t>
            </w:r>
          </w:p>
        </w:tc>
        <w:tc>
          <w:tcPr>
            <w:tcW w:w="10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April 15, 2019</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April 30, 2019</w:t>
            </w:r>
          </w:p>
        </w:tc>
        <w:tc>
          <w:tcPr>
            <w:tcW w:w="0" w:type="dxa"/>
            <w:vAlign w:val="bottom"/>
          </w:tcPr>
          <w:p>
            <w:pPr>
              <w:spacing w:after="0"/>
              <w:rPr>
                <w:sz w:val="1"/>
                <w:szCs w:val="1"/>
                <w:color w:val="auto"/>
              </w:rPr>
            </w:pPr>
          </w:p>
        </w:tc>
      </w:tr>
      <w:tr>
        <w:trPr>
          <w:trHeight w:val="210"/>
        </w:trPr>
        <w:tc>
          <w:tcPr>
            <w:tcW w:w="3700" w:type="dxa"/>
            <w:vAlign w:val="bottom"/>
            <w:gridSpan w:val="2"/>
          </w:tcPr>
          <w:p>
            <w:pPr>
              <w:ind w:left="20"/>
              <w:spacing w:after="0"/>
              <w:rPr>
                <w:sz w:val="20"/>
                <w:szCs w:val="20"/>
                <w:color w:val="auto"/>
              </w:rPr>
            </w:pPr>
            <w:r>
              <w:rPr>
                <w:rFonts w:ascii="Arial" w:cs="Arial" w:eastAsia="Arial" w:hAnsi="Arial"/>
                <w:sz w:val="16"/>
                <w:szCs w:val="16"/>
                <w:color w:val="auto"/>
              </w:rPr>
              <w:t>October 30, 2018 - January 29, 2019</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0.4921875</w:t>
            </w:r>
          </w:p>
        </w:tc>
        <w:tc>
          <w:tcPr>
            <w:tcW w:w="100" w:type="dxa"/>
            <w:vAlign w:val="bottom"/>
          </w:tcPr>
          <w:p>
            <w:pPr>
              <w:spacing w:after="0"/>
              <w:rPr>
                <w:sz w:val="18"/>
                <w:szCs w:val="18"/>
                <w:color w:val="auto"/>
              </w:rPr>
            </w:pPr>
          </w:p>
        </w:tc>
        <w:tc>
          <w:tcPr>
            <w:tcW w:w="700" w:type="dxa"/>
            <w:vAlign w:val="bottom"/>
          </w:tcPr>
          <w:p>
            <w:pPr>
              <w:ind w:left="2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1,969</w:t>
            </w:r>
          </w:p>
        </w:tc>
        <w:tc>
          <w:tcPr>
            <w:tcW w:w="100" w:type="dxa"/>
            <w:vAlign w:val="bottom"/>
          </w:tcPr>
          <w:p>
            <w:pPr>
              <w:spacing w:after="0"/>
              <w:rPr>
                <w:sz w:val="18"/>
                <w:szCs w:val="18"/>
                <w:color w:val="auto"/>
              </w:rPr>
            </w:pPr>
          </w:p>
        </w:tc>
        <w:tc>
          <w:tcPr>
            <w:tcW w:w="1860" w:type="dxa"/>
            <w:vAlign w:val="bottom"/>
            <w:gridSpan w:val="2"/>
          </w:tcPr>
          <w:p>
            <w:pPr>
              <w:jc w:val="right"/>
              <w:ind w:right="120"/>
              <w:spacing w:after="0"/>
              <w:rPr>
                <w:sz w:val="20"/>
                <w:szCs w:val="20"/>
                <w:color w:val="auto"/>
              </w:rPr>
            </w:pPr>
            <w:r>
              <w:rPr>
                <w:rFonts w:ascii="Arial" w:cs="Arial" w:eastAsia="Arial" w:hAnsi="Arial"/>
                <w:sz w:val="16"/>
                <w:szCs w:val="16"/>
                <w:color w:val="auto"/>
              </w:rPr>
              <w:t>January 15, 2019</w:t>
            </w:r>
          </w:p>
        </w:tc>
        <w:tc>
          <w:tcPr>
            <w:tcW w:w="1780" w:type="dxa"/>
            <w:vAlign w:val="bottom"/>
          </w:tcPr>
          <w:p>
            <w:pPr>
              <w:jc w:val="right"/>
              <w:spacing w:after="0"/>
              <w:rPr>
                <w:sz w:val="20"/>
                <w:szCs w:val="20"/>
                <w:color w:val="auto"/>
              </w:rPr>
            </w:pPr>
            <w:r>
              <w:rPr>
                <w:rFonts w:ascii="Arial" w:cs="Arial" w:eastAsia="Arial" w:hAnsi="Arial"/>
                <w:sz w:val="16"/>
                <w:szCs w:val="16"/>
                <w:color w:val="auto"/>
              </w:rPr>
              <w:t>January 30, 2019</w:t>
            </w:r>
          </w:p>
        </w:tc>
        <w:tc>
          <w:tcPr>
            <w:tcW w:w="0" w:type="dxa"/>
            <w:vAlign w:val="bottom"/>
          </w:tcPr>
          <w:p>
            <w:pPr>
              <w:spacing w:after="0"/>
              <w:rPr>
                <w:sz w:val="1"/>
                <w:szCs w:val="1"/>
                <w:color w:val="auto"/>
              </w:rPr>
            </w:pPr>
          </w:p>
        </w:tc>
      </w:tr>
      <w:tr>
        <w:trPr>
          <w:trHeight w:val="276"/>
        </w:trPr>
        <w:tc>
          <w:tcPr>
            <w:tcW w:w="3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Series C Preferred Shares:</w:t>
            </w:r>
          </w:p>
        </w:tc>
        <w:tc>
          <w:tcPr>
            <w:tcW w:w="3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2"/>
          </w:tcPr>
          <w:p>
            <w:pPr>
              <w:ind w:left="20"/>
              <w:spacing w:after="0" w:line="216" w:lineRule="exact"/>
              <w:rPr>
                <w:sz w:val="20"/>
                <w:szCs w:val="20"/>
                <w:color w:val="auto"/>
              </w:rPr>
            </w:pPr>
            <w:r>
              <w:rPr>
                <w:rFonts w:ascii="Arial" w:cs="Arial" w:eastAsia="Arial" w:hAnsi="Arial"/>
                <w:sz w:val="16"/>
                <w:szCs w:val="16"/>
                <w:color w:val="auto"/>
              </w:rPr>
              <w:t xml:space="preserve">July 30, 2020 - September 29, 2020 </w:t>
            </w:r>
            <w:r>
              <w:rPr>
                <w:rFonts w:ascii="Arial" w:cs="Arial" w:eastAsia="Arial" w:hAnsi="Arial"/>
                <w:sz w:val="21"/>
                <w:szCs w:val="21"/>
                <w:b w:val="1"/>
                <w:bCs w:val="1"/>
                <w:color w:val="auto"/>
                <w:vertAlign w:val="superscript"/>
              </w:rPr>
              <w:t>(1)</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0.4921875</w:t>
            </w:r>
          </w:p>
        </w:tc>
        <w:tc>
          <w:tcPr>
            <w:tcW w:w="100" w:type="dxa"/>
            <w:vAlign w:val="bottom"/>
          </w:tcPr>
          <w:p>
            <w:pPr>
              <w:spacing w:after="0"/>
              <w:rPr>
                <w:sz w:val="18"/>
                <w:szCs w:val="18"/>
                <w:color w:val="auto"/>
              </w:rPr>
            </w:pPr>
          </w:p>
        </w:tc>
        <w:tc>
          <w:tcPr>
            <w:tcW w:w="700" w:type="dxa"/>
            <w:vAlign w:val="bottom"/>
          </w:tcPr>
          <w:p>
            <w:pPr>
              <w:ind w:left="2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2,264</w:t>
            </w:r>
          </w:p>
        </w:tc>
        <w:tc>
          <w:tcPr>
            <w:tcW w:w="100" w:type="dxa"/>
            <w:vAlign w:val="bottom"/>
          </w:tcPr>
          <w:p>
            <w:pPr>
              <w:spacing w:after="0"/>
              <w:rPr>
                <w:sz w:val="18"/>
                <w:szCs w:val="18"/>
                <w:color w:val="auto"/>
              </w:rPr>
            </w:pPr>
          </w:p>
        </w:tc>
        <w:tc>
          <w:tcPr>
            <w:tcW w:w="1860" w:type="dxa"/>
            <w:vAlign w:val="bottom"/>
            <w:gridSpan w:val="2"/>
          </w:tcPr>
          <w:p>
            <w:pPr>
              <w:jc w:val="right"/>
              <w:ind w:right="120"/>
              <w:spacing w:after="0"/>
              <w:rPr>
                <w:sz w:val="20"/>
                <w:szCs w:val="20"/>
                <w:color w:val="auto"/>
              </w:rPr>
            </w:pPr>
            <w:r>
              <w:rPr>
                <w:rFonts w:ascii="Arial" w:cs="Arial" w:eastAsia="Arial" w:hAnsi="Arial"/>
                <w:sz w:val="16"/>
                <w:szCs w:val="16"/>
                <w:color w:val="auto"/>
              </w:rPr>
              <w:t>October 15, 2020</w:t>
            </w:r>
          </w:p>
        </w:tc>
        <w:tc>
          <w:tcPr>
            <w:tcW w:w="1780" w:type="dxa"/>
            <w:vAlign w:val="bottom"/>
          </w:tcPr>
          <w:p>
            <w:pPr>
              <w:jc w:val="right"/>
              <w:spacing w:after="0"/>
              <w:rPr>
                <w:sz w:val="20"/>
                <w:szCs w:val="20"/>
                <w:color w:val="auto"/>
              </w:rPr>
            </w:pPr>
            <w:r>
              <w:rPr>
                <w:rFonts w:ascii="Arial" w:cs="Arial" w:eastAsia="Arial" w:hAnsi="Arial"/>
                <w:sz w:val="16"/>
                <w:szCs w:val="16"/>
                <w:color w:val="auto"/>
              </w:rPr>
              <w:t>October 30, 2020</w:t>
            </w: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April 30, 2020 - July 29, 2020</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0.4921875</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2,264</w:t>
            </w:r>
          </w:p>
        </w:tc>
        <w:tc>
          <w:tcPr>
            <w:tcW w:w="1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July 15, 2020</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July 30, 2020</w:t>
            </w:r>
          </w:p>
        </w:tc>
        <w:tc>
          <w:tcPr>
            <w:tcW w:w="0" w:type="dxa"/>
            <w:vAlign w:val="bottom"/>
          </w:tcPr>
          <w:p>
            <w:pPr>
              <w:spacing w:after="0"/>
              <w:rPr>
                <w:sz w:val="1"/>
                <w:szCs w:val="1"/>
                <w:color w:val="auto"/>
              </w:rPr>
            </w:pPr>
          </w:p>
        </w:tc>
      </w:tr>
      <w:tr>
        <w:trPr>
          <w:trHeight w:val="213"/>
        </w:trPr>
        <w:tc>
          <w:tcPr>
            <w:tcW w:w="3700" w:type="dxa"/>
            <w:vAlign w:val="bottom"/>
            <w:gridSpan w:val="2"/>
          </w:tcPr>
          <w:p>
            <w:pPr>
              <w:ind w:left="20"/>
              <w:spacing w:after="0"/>
              <w:rPr>
                <w:sz w:val="20"/>
                <w:szCs w:val="20"/>
                <w:color w:val="auto"/>
              </w:rPr>
            </w:pPr>
            <w:r>
              <w:rPr>
                <w:rFonts w:ascii="Arial" w:cs="Arial" w:eastAsia="Arial" w:hAnsi="Arial"/>
                <w:sz w:val="16"/>
                <w:szCs w:val="16"/>
                <w:color w:val="auto"/>
              </w:rPr>
              <w:t>January 30, 2020 - April 29, 2020</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0.4921875</w:t>
            </w:r>
          </w:p>
        </w:tc>
        <w:tc>
          <w:tcPr>
            <w:tcW w:w="100" w:type="dxa"/>
            <w:vAlign w:val="bottom"/>
          </w:tcPr>
          <w:p>
            <w:pPr>
              <w:spacing w:after="0"/>
              <w:rPr>
                <w:sz w:val="18"/>
                <w:szCs w:val="18"/>
                <w:color w:val="auto"/>
              </w:rPr>
            </w:pPr>
          </w:p>
        </w:tc>
        <w:tc>
          <w:tcPr>
            <w:tcW w:w="700" w:type="dxa"/>
            <w:vAlign w:val="bottom"/>
          </w:tcPr>
          <w:p>
            <w:pPr>
              <w:ind w:left="2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2,264</w:t>
            </w:r>
          </w:p>
        </w:tc>
        <w:tc>
          <w:tcPr>
            <w:tcW w:w="100" w:type="dxa"/>
            <w:vAlign w:val="bottom"/>
          </w:tcPr>
          <w:p>
            <w:pPr>
              <w:spacing w:after="0"/>
              <w:rPr>
                <w:sz w:val="18"/>
                <w:szCs w:val="18"/>
                <w:color w:val="auto"/>
              </w:rPr>
            </w:pPr>
          </w:p>
        </w:tc>
        <w:tc>
          <w:tcPr>
            <w:tcW w:w="1860" w:type="dxa"/>
            <w:vAlign w:val="bottom"/>
            <w:gridSpan w:val="2"/>
          </w:tcPr>
          <w:p>
            <w:pPr>
              <w:jc w:val="right"/>
              <w:ind w:right="120"/>
              <w:spacing w:after="0"/>
              <w:rPr>
                <w:sz w:val="20"/>
                <w:szCs w:val="20"/>
                <w:color w:val="auto"/>
              </w:rPr>
            </w:pPr>
            <w:r>
              <w:rPr>
                <w:rFonts w:ascii="Arial" w:cs="Arial" w:eastAsia="Arial" w:hAnsi="Arial"/>
                <w:sz w:val="16"/>
                <w:szCs w:val="16"/>
                <w:color w:val="auto"/>
              </w:rPr>
              <w:t>April 15, 2020</w:t>
            </w:r>
          </w:p>
        </w:tc>
        <w:tc>
          <w:tcPr>
            <w:tcW w:w="1780" w:type="dxa"/>
            <w:vAlign w:val="bottom"/>
          </w:tcPr>
          <w:p>
            <w:pPr>
              <w:jc w:val="right"/>
              <w:spacing w:after="0"/>
              <w:rPr>
                <w:sz w:val="20"/>
                <w:szCs w:val="20"/>
                <w:color w:val="auto"/>
              </w:rPr>
            </w:pPr>
            <w:r>
              <w:rPr>
                <w:rFonts w:ascii="Arial" w:cs="Arial" w:eastAsia="Arial" w:hAnsi="Arial"/>
                <w:sz w:val="16"/>
                <w:szCs w:val="16"/>
                <w:color w:val="auto"/>
              </w:rPr>
              <w:t>April 30, 2020</w:t>
            </w:r>
          </w:p>
        </w:tc>
        <w:tc>
          <w:tcPr>
            <w:tcW w:w="0" w:type="dxa"/>
            <w:vAlign w:val="bottom"/>
          </w:tcPr>
          <w:p>
            <w:pPr>
              <w:spacing w:after="0"/>
              <w:rPr>
                <w:sz w:val="1"/>
                <w:szCs w:val="1"/>
                <w:color w:val="auto"/>
              </w:rPr>
            </w:pPr>
          </w:p>
        </w:tc>
      </w:tr>
      <w:tr>
        <w:trPr>
          <w:trHeight w:val="219"/>
        </w:trPr>
        <w:tc>
          <w:tcPr>
            <w:tcW w:w="3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November 20, 2019 - January 29, 2020</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0.38281</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1,531</w:t>
            </w:r>
          </w:p>
        </w:tc>
        <w:tc>
          <w:tcPr>
            <w:tcW w:w="10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January 15, 2020</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January 30, 2020</w:t>
            </w:r>
          </w:p>
        </w:tc>
        <w:tc>
          <w:tcPr>
            <w:tcW w:w="0" w:type="dxa"/>
            <w:vAlign w:val="bottom"/>
          </w:tcPr>
          <w:p>
            <w:pPr>
              <w:spacing w:after="0"/>
              <w:rPr>
                <w:sz w:val="1"/>
                <w:szCs w:val="1"/>
                <w:color w:val="auto"/>
              </w:rPr>
            </w:pPr>
          </w:p>
        </w:tc>
      </w:tr>
    </w:tbl>
    <w:p>
      <w:pPr>
        <w:spacing w:after="0" w:line="46" w:lineRule="exact"/>
        <w:rPr>
          <w:sz w:val="20"/>
          <w:szCs w:val="20"/>
          <w:color w:val="auto"/>
        </w:rPr>
      </w:pPr>
    </w:p>
    <w:p>
      <w:pPr>
        <w:spacing w:after="0"/>
        <w:tabs>
          <w:tab w:leader="none" w:pos="2060" w:val="left"/>
        </w:tabs>
        <w:rPr>
          <w:sz w:val="20"/>
          <w:szCs w:val="20"/>
          <w:color w:val="auto"/>
        </w:rPr>
      </w:pPr>
      <w:r>
        <w:rPr>
          <w:rFonts w:ascii="Arial" w:cs="Arial" w:eastAsia="Arial" w:hAnsi="Arial"/>
          <w:sz w:val="28"/>
          <w:szCs w:val="28"/>
          <w:b w:val="1"/>
          <w:bCs w:val="1"/>
          <w:color w:val="auto"/>
          <w:vertAlign w:val="superscript"/>
        </w:rPr>
        <w:t>(1)</w:t>
      </w:r>
      <w:r>
        <w:rPr>
          <w:rFonts w:ascii="Arial" w:cs="Arial" w:eastAsia="Arial" w:hAnsi="Arial"/>
          <w:sz w:val="18"/>
          <w:szCs w:val="18"/>
          <w:color w:val="auto"/>
        </w:rPr>
        <w:t xml:space="preserve"> This distribution was</w:t>
        <w:tab/>
        <w:t>declared on October 1, 2020.</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8"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Note K — Noncontrolling Interest</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Noncontrolling interest represents the portion of the Company’s majority owned subsidiary’s net income (loss) and equity that is owned by noncontrolling shareholders. The following tables reflect the Company’s ownership percentage of its majority owned operating segments and related noncontrolling interest balances as of September 30, 2020 and December 31, 2019:</w:t>
      </w:r>
    </w:p>
    <w:p>
      <w:pPr>
        <w:spacing w:after="0" w:line="38" w:lineRule="exact"/>
        <w:rPr>
          <w:sz w:val="20"/>
          <w:szCs w:val="20"/>
          <w:color w:val="auto"/>
        </w:rPr>
      </w:pPr>
    </w:p>
    <w:tbl>
      <w:tblPr>
        <w:tblLayout w:type="fixed"/>
        <w:tblInd w:w="500" w:type="dxa"/>
        <w:tblCellMar>
          <w:top w:w="0" w:type="dxa"/>
          <w:left w:w="0" w:type="dxa"/>
          <w:bottom w:w="0" w:type="dxa"/>
          <w:right w:w="0" w:type="dxa"/>
        </w:tblCellMar>
      </w:tblPr>
      <w:tr>
        <w:trPr>
          <w:trHeight w:val="218"/>
        </w:trPr>
        <w:tc>
          <w:tcPr>
            <w:tcW w:w="4400" w:type="dxa"/>
            <w:vAlign w:val="bottom"/>
          </w:tcPr>
          <w:p>
            <w:pPr>
              <w:spacing w:after="0"/>
              <w:rPr>
                <w:sz w:val="18"/>
                <w:szCs w:val="18"/>
                <w:color w:val="auto"/>
              </w:rPr>
            </w:pPr>
          </w:p>
        </w:tc>
        <w:tc>
          <w:tcPr>
            <w:tcW w:w="2440" w:type="dxa"/>
            <w:vAlign w:val="bottom"/>
            <w:gridSpan w:val="3"/>
          </w:tcPr>
          <w:p>
            <w:pPr>
              <w:jc w:val="center"/>
              <w:ind w:left="340"/>
              <w:spacing w:after="0"/>
              <w:rPr>
                <w:sz w:val="20"/>
                <w:szCs w:val="20"/>
                <w:color w:val="auto"/>
              </w:rPr>
            </w:pPr>
            <w:r>
              <w:rPr>
                <w:rFonts w:ascii="Arial" w:cs="Arial" w:eastAsia="Arial" w:hAnsi="Arial"/>
                <w:sz w:val="15"/>
                <w:szCs w:val="15"/>
                <w:b w:val="1"/>
                <w:bCs w:val="1"/>
                <w:color w:val="auto"/>
                <w:w w:val="99"/>
              </w:rPr>
              <w:t xml:space="preserve">% Ownership </w:t>
            </w:r>
            <w:r>
              <w:rPr>
                <w:rFonts w:ascii="Arial" w:cs="Arial" w:eastAsia="Arial" w:hAnsi="Arial"/>
                <w:sz w:val="19"/>
                <w:szCs w:val="19"/>
                <w:b w:val="1"/>
                <w:bCs w:val="1"/>
                <w:color w:val="auto"/>
                <w:w w:val="99"/>
                <w:vertAlign w:val="superscript"/>
              </w:rPr>
              <w:t>(1)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gridSpan w:val="3"/>
          </w:tcPr>
          <w:p>
            <w:pPr>
              <w:jc w:val="right"/>
              <w:ind w:right="800"/>
              <w:spacing w:after="0"/>
              <w:rPr>
                <w:sz w:val="20"/>
                <w:szCs w:val="20"/>
                <w:color w:val="auto"/>
              </w:rPr>
            </w:pPr>
            <w:r>
              <w:rPr>
                <w:rFonts w:ascii="Arial" w:cs="Arial" w:eastAsia="Arial" w:hAnsi="Arial"/>
                <w:sz w:val="15"/>
                <w:szCs w:val="15"/>
                <w:b w:val="1"/>
                <w:bCs w:val="1"/>
                <w:color w:val="auto"/>
              </w:rPr>
              <w:t xml:space="preserve">% Ownership </w:t>
            </w:r>
            <w:r>
              <w:rPr>
                <w:rFonts w:ascii="Arial" w:cs="Arial" w:eastAsia="Arial" w:hAnsi="Arial"/>
                <w:sz w:val="19"/>
                <w:szCs w:val="19"/>
                <w:b w:val="1"/>
                <w:bCs w:val="1"/>
                <w:color w:val="auto"/>
                <w:vertAlign w:val="superscript"/>
              </w:rPr>
              <w:t>(1)</w:t>
            </w:r>
          </w:p>
        </w:tc>
        <w:tc>
          <w:tcPr>
            <w:tcW w:w="0" w:type="dxa"/>
            <w:vAlign w:val="bottom"/>
          </w:tcPr>
          <w:p>
            <w:pPr>
              <w:spacing w:after="0"/>
              <w:rPr>
                <w:sz w:val="1"/>
                <w:szCs w:val="1"/>
                <w:color w:val="auto"/>
              </w:rPr>
            </w:pPr>
          </w:p>
        </w:tc>
      </w:tr>
      <w:tr>
        <w:trPr>
          <w:trHeight w:val="202"/>
        </w:trPr>
        <w:tc>
          <w:tcPr>
            <w:tcW w:w="4400" w:type="dxa"/>
            <w:vAlign w:val="bottom"/>
          </w:tcPr>
          <w:p>
            <w:pPr>
              <w:spacing w:after="0"/>
              <w:rPr>
                <w:sz w:val="17"/>
                <w:szCs w:val="17"/>
                <w:color w:val="auto"/>
              </w:rPr>
            </w:pPr>
          </w:p>
        </w:tc>
        <w:tc>
          <w:tcPr>
            <w:tcW w:w="2440" w:type="dxa"/>
            <w:vAlign w:val="bottom"/>
            <w:tcBorders>
              <w:bottom w:val="single" w:sz="8" w:color="auto"/>
            </w:tcBorders>
            <w:gridSpan w:val="3"/>
          </w:tcPr>
          <w:p>
            <w:pPr>
              <w:jc w:val="center"/>
              <w:ind w:left="340"/>
              <w:spacing w:after="0"/>
              <w:rPr>
                <w:sz w:val="20"/>
                <w:szCs w:val="20"/>
                <w:color w:val="auto"/>
              </w:rPr>
            </w:pPr>
            <w:r>
              <w:rPr>
                <w:rFonts w:ascii="Arial" w:cs="Arial" w:eastAsia="Arial" w:hAnsi="Arial"/>
                <w:sz w:val="15"/>
                <w:szCs w:val="15"/>
                <w:b w:val="1"/>
                <w:bCs w:val="1"/>
                <w:color w:val="auto"/>
              </w:rPr>
              <w:t>September 30, 2020</w:t>
            </w:r>
          </w:p>
        </w:tc>
        <w:tc>
          <w:tcPr>
            <w:tcW w:w="4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80" w:type="dxa"/>
            <w:vAlign w:val="bottom"/>
            <w:tcBorders>
              <w:bottom w:val="single" w:sz="8" w:color="auto"/>
            </w:tcBorders>
            <w:gridSpan w:val="3"/>
          </w:tcPr>
          <w:p>
            <w:pPr>
              <w:jc w:val="right"/>
              <w:ind w:right="680"/>
              <w:spacing w:after="0"/>
              <w:rPr>
                <w:sz w:val="20"/>
                <w:szCs w:val="20"/>
                <w:color w:val="auto"/>
              </w:rPr>
            </w:pPr>
            <w:r>
              <w:rPr>
                <w:rFonts w:ascii="Arial" w:cs="Arial" w:eastAsia="Arial" w:hAnsi="Arial"/>
                <w:sz w:val="15"/>
                <w:szCs w:val="15"/>
                <w:b w:val="1"/>
                <w:bCs w:val="1"/>
                <w:color w:val="auto"/>
              </w:rPr>
              <w:t>December 31, 2019</w:t>
            </w:r>
          </w:p>
        </w:tc>
        <w:tc>
          <w:tcPr>
            <w:tcW w:w="0" w:type="dxa"/>
            <w:vAlign w:val="bottom"/>
          </w:tcPr>
          <w:p>
            <w:pPr>
              <w:spacing w:after="0"/>
              <w:rPr>
                <w:sz w:val="1"/>
                <w:szCs w:val="1"/>
                <w:color w:val="auto"/>
              </w:rPr>
            </w:pPr>
          </w:p>
        </w:tc>
      </w:tr>
      <w:tr>
        <w:trPr>
          <w:trHeight w:val="142"/>
        </w:trPr>
        <w:tc>
          <w:tcPr>
            <w:tcW w:w="4400" w:type="dxa"/>
            <w:vAlign w:val="bottom"/>
          </w:tcPr>
          <w:p>
            <w:pPr>
              <w:spacing w:after="0"/>
              <w:rPr>
                <w:sz w:val="12"/>
                <w:szCs w:val="12"/>
                <w:color w:val="auto"/>
              </w:rPr>
            </w:pPr>
          </w:p>
        </w:tc>
        <w:tc>
          <w:tcPr>
            <w:tcW w:w="1460" w:type="dxa"/>
            <w:vAlign w:val="bottom"/>
            <w:gridSpan w:val="2"/>
            <w:vMerge w:val="restart"/>
          </w:tcPr>
          <w:p>
            <w:pPr>
              <w:ind w:left="380"/>
              <w:spacing w:after="0"/>
              <w:rPr>
                <w:sz w:val="20"/>
                <w:szCs w:val="20"/>
                <w:color w:val="auto"/>
              </w:rPr>
            </w:pPr>
            <w:r>
              <w:rPr>
                <w:rFonts w:ascii="Arial" w:cs="Arial" w:eastAsia="Arial" w:hAnsi="Arial"/>
                <w:sz w:val="15"/>
                <w:szCs w:val="15"/>
                <w:b w:val="1"/>
                <w:bCs w:val="1"/>
                <w:color w:val="auto"/>
              </w:rPr>
              <w:t>Primary</w:t>
            </w:r>
          </w:p>
        </w:tc>
        <w:tc>
          <w:tcPr>
            <w:tcW w:w="980" w:type="dxa"/>
            <w:vAlign w:val="bottom"/>
          </w:tcPr>
          <w:p>
            <w:pPr>
              <w:jc w:val="center"/>
              <w:ind w:left="344"/>
              <w:spacing w:after="0" w:line="142" w:lineRule="exact"/>
              <w:rPr>
                <w:sz w:val="20"/>
                <w:szCs w:val="20"/>
                <w:color w:val="auto"/>
              </w:rPr>
            </w:pPr>
            <w:r>
              <w:rPr>
                <w:rFonts w:ascii="Arial" w:cs="Arial" w:eastAsia="Arial" w:hAnsi="Arial"/>
                <w:sz w:val="15"/>
                <w:szCs w:val="15"/>
                <w:b w:val="1"/>
                <w:bCs w:val="1"/>
                <w:color w:val="auto"/>
              </w:rPr>
              <w:t>Fully</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vMerge w:val="restart"/>
          </w:tcPr>
          <w:p>
            <w:pPr>
              <w:ind w:left="380"/>
              <w:spacing w:after="0"/>
              <w:rPr>
                <w:sz w:val="20"/>
                <w:szCs w:val="20"/>
                <w:color w:val="auto"/>
              </w:rPr>
            </w:pPr>
            <w:r>
              <w:rPr>
                <w:rFonts w:ascii="Arial" w:cs="Arial" w:eastAsia="Arial" w:hAnsi="Arial"/>
                <w:sz w:val="15"/>
                <w:szCs w:val="15"/>
                <w:b w:val="1"/>
                <w:bCs w:val="1"/>
                <w:color w:val="auto"/>
              </w:rPr>
              <w:t>Primary</w:t>
            </w:r>
          </w:p>
        </w:tc>
        <w:tc>
          <w:tcPr>
            <w:tcW w:w="1440" w:type="dxa"/>
            <w:vAlign w:val="bottom"/>
          </w:tcPr>
          <w:p>
            <w:pPr>
              <w:jc w:val="right"/>
              <w:ind w:right="460"/>
              <w:spacing w:after="0" w:line="142" w:lineRule="exact"/>
              <w:rPr>
                <w:sz w:val="20"/>
                <w:szCs w:val="20"/>
                <w:color w:val="auto"/>
              </w:rPr>
            </w:pPr>
            <w:r>
              <w:rPr>
                <w:rFonts w:ascii="Arial" w:cs="Arial" w:eastAsia="Arial" w:hAnsi="Arial"/>
                <w:sz w:val="15"/>
                <w:szCs w:val="15"/>
                <w:b w:val="1"/>
                <w:bCs w:val="1"/>
                <w:color w:val="auto"/>
              </w:rPr>
              <w:t>Fully</w:t>
            </w:r>
          </w:p>
        </w:tc>
        <w:tc>
          <w:tcPr>
            <w:tcW w:w="0" w:type="dxa"/>
            <w:vAlign w:val="bottom"/>
          </w:tcPr>
          <w:p>
            <w:pPr>
              <w:spacing w:after="0"/>
              <w:rPr>
                <w:sz w:val="1"/>
                <w:szCs w:val="1"/>
                <w:color w:val="auto"/>
              </w:rPr>
            </w:pPr>
          </w:p>
        </w:tc>
      </w:tr>
      <w:tr>
        <w:trPr>
          <w:trHeight w:val="202"/>
        </w:trPr>
        <w:tc>
          <w:tcPr>
            <w:tcW w:w="4400" w:type="dxa"/>
            <w:vAlign w:val="bottom"/>
          </w:tcPr>
          <w:p>
            <w:pPr>
              <w:spacing w:after="0"/>
              <w:rPr>
                <w:sz w:val="17"/>
                <w:szCs w:val="17"/>
                <w:color w:val="auto"/>
              </w:rPr>
            </w:pPr>
          </w:p>
        </w:tc>
        <w:tc>
          <w:tcPr>
            <w:tcW w:w="1460" w:type="dxa"/>
            <w:vAlign w:val="bottom"/>
            <w:gridSpan w:val="2"/>
            <w:vMerge w:val="continue"/>
          </w:tcPr>
          <w:p>
            <w:pPr>
              <w:spacing w:after="0"/>
              <w:rPr>
                <w:sz w:val="17"/>
                <w:szCs w:val="17"/>
                <w:color w:val="auto"/>
              </w:rPr>
            </w:pPr>
          </w:p>
        </w:tc>
        <w:tc>
          <w:tcPr>
            <w:tcW w:w="980" w:type="dxa"/>
            <w:vAlign w:val="bottom"/>
          </w:tcPr>
          <w:p>
            <w:pPr>
              <w:jc w:val="center"/>
              <w:ind w:left="344"/>
              <w:spacing w:after="0"/>
              <w:rPr>
                <w:sz w:val="20"/>
                <w:szCs w:val="20"/>
                <w:color w:val="auto"/>
              </w:rPr>
            </w:pPr>
            <w:r>
              <w:rPr>
                <w:rFonts w:ascii="Arial" w:cs="Arial" w:eastAsia="Arial" w:hAnsi="Arial"/>
                <w:sz w:val="15"/>
                <w:szCs w:val="15"/>
                <w:b w:val="1"/>
                <w:bCs w:val="1"/>
                <w:color w:val="auto"/>
              </w:rPr>
              <w:t>Diluted</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2"/>
            <w:vMerge w:val="continue"/>
          </w:tcPr>
          <w:p>
            <w:pPr>
              <w:spacing w:after="0"/>
              <w:rPr>
                <w:sz w:val="17"/>
                <w:szCs w:val="17"/>
                <w:color w:val="auto"/>
              </w:rPr>
            </w:pPr>
          </w:p>
        </w:tc>
        <w:tc>
          <w:tcPr>
            <w:tcW w:w="1440" w:type="dxa"/>
            <w:vAlign w:val="bottom"/>
          </w:tcPr>
          <w:p>
            <w:pPr>
              <w:jc w:val="right"/>
              <w:ind w:right="380"/>
              <w:spacing w:after="0"/>
              <w:rPr>
                <w:sz w:val="20"/>
                <w:szCs w:val="20"/>
                <w:color w:val="auto"/>
              </w:rPr>
            </w:pPr>
            <w:r>
              <w:rPr>
                <w:rFonts w:ascii="Arial" w:cs="Arial" w:eastAsia="Arial" w:hAnsi="Arial"/>
                <w:sz w:val="15"/>
                <w:szCs w:val="15"/>
                <w:b w:val="1"/>
                <w:bCs w:val="1"/>
                <w:color w:val="auto"/>
              </w:rPr>
              <w:t>Diluted</w:t>
            </w:r>
          </w:p>
        </w:tc>
        <w:tc>
          <w:tcPr>
            <w:tcW w:w="0" w:type="dxa"/>
            <w:vAlign w:val="bottom"/>
          </w:tcPr>
          <w:p>
            <w:pPr>
              <w:spacing w:after="0"/>
              <w:rPr>
                <w:sz w:val="1"/>
                <w:szCs w:val="1"/>
                <w:color w:val="auto"/>
              </w:rPr>
            </w:pPr>
          </w:p>
        </w:tc>
      </w:tr>
      <w:tr>
        <w:trPr>
          <w:trHeight w:val="210"/>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5.11</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97.6</w:t>
            </w:r>
          </w:p>
        </w:tc>
        <w:tc>
          <w:tcPr>
            <w:tcW w:w="1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88.1</w:t>
            </w:r>
          </w:p>
        </w:tc>
        <w:tc>
          <w:tcPr>
            <w:tcW w:w="1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97.6</w:t>
            </w: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88.9</w:t>
            </w:r>
          </w:p>
        </w:tc>
        <w:tc>
          <w:tcPr>
            <w:tcW w:w="0" w:type="dxa"/>
            <w:vAlign w:val="bottom"/>
          </w:tcPr>
          <w:p>
            <w:pPr>
              <w:spacing w:after="0"/>
              <w:rPr>
                <w:sz w:val="1"/>
                <w:szCs w:val="1"/>
                <w:color w:val="auto"/>
              </w:rPr>
            </w:pPr>
          </w:p>
        </w:tc>
      </w:tr>
      <w:tr>
        <w:trPr>
          <w:trHeight w:val="213"/>
        </w:trPr>
        <w:tc>
          <w:tcPr>
            <w:tcW w:w="4400" w:type="dxa"/>
            <w:vAlign w:val="bottom"/>
          </w:tcPr>
          <w:p>
            <w:pPr>
              <w:ind w:left="20"/>
              <w:spacing w:after="0"/>
              <w:rPr>
                <w:sz w:val="20"/>
                <w:szCs w:val="20"/>
                <w:color w:val="auto"/>
              </w:rPr>
            </w:pPr>
            <w:r>
              <w:rPr>
                <w:rFonts w:ascii="Arial" w:cs="Arial" w:eastAsia="Arial" w:hAnsi="Arial"/>
                <w:sz w:val="16"/>
                <w:szCs w:val="16"/>
                <w:color w:val="auto"/>
              </w:rPr>
              <w:t>Ergobaby</w:t>
            </w:r>
          </w:p>
        </w:tc>
        <w:tc>
          <w:tcPr>
            <w:tcW w:w="1340" w:type="dxa"/>
            <w:vAlign w:val="bottom"/>
          </w:tcPr>
          <w:p>
            <w:pPr>
              <w:jc w:val="right"/>
              <w:spacing w:after="0"/>
              <w:rPr>
                <w:sz w:val="20"/>
                <w:szCs w:val="20"/>
                <w:color w:val="auto"/>
              </w:rPr>
            </w:pPr>
            <w:r>
              <w:rPr>
                <w:rFonts w:ascii="Arial" w:cs="Arial" w:eastAsia="Arial" w:hAnsi="Arial"/>
                <w:sz w:val="16"/>
                <w:szCs w:val="16"/>
                <w:color w:val="auto"/>
              </w:rPr>
              <w:t>81.4</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72.6</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81.9</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75.8</w:t>
            </w:r>
          </w:p>
        </w:tc>
        <w:tc>
          <w:tcPr>
            <w:tcW w:w="0" w:type="dxa"/>
            <w:vAlign w:val="bottom"/>
          </w:tcPr>
          <w:p>
            <w:pPr>
              <w:spacing w:after="0"/>
              <w:rPr>
                <w:sz w:val="1"/>
                <w:szCs w:val="1"/>
                <w:color w:val="auto"/>
              </w:rPr>
            </w:pPr>
          </w:p>
        </w:tc>
      </w:tr>
      <w:tr>
        <w:trPr>
          <w:trHeight w:val="219"/>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Liberty</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91.2</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86.0</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91.2</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86.0</w:t>
            </w:r>
          </w:p>
        </w:tc>
        <w:tc>
          <w:tcPr>
            <w:tcW w:w="0" w:type="dxa"/>
            <w:vAlign w:val="bottom"/>
          </w:tcPr>
          <w:p>
            <w:pPr>
              <w:spacing w:after="0"/>
              <w:rPr>
                <w:sz w:val="1"/>
                <w:szCs w:val="1"/>
                <w:color w:val="auto"/>
              </w:rPr>
            </w:pPr>
          </w:p>
        </w:tc>
      </w:tr>
      <w:tr>
        <w:trPr>
          <w:trHeight w:val="213"/>
        </w:trPr>
        <w:tc>
          <w:tcPr>
            <w:tcW w:w="4400" w:type="dxa"/>
            <w:vAlign w:val="bottom"/>
          </w:tcPr>
          <w:p>
            <w:pPr>
              <w:ind w:left="20"/>
              <w:spacing w:after="0"/>
              <w:rPr>
                <w:sz w:val="20"/>
                <w:szCs w:val="20"/>
                <w:color w:val="auto"/>
              </w:rPr>
            </w:pPr>
            <w:r>
              <w:rPr>
                <w:rFonts w:ascii="Arial" w:cs="Arial" w:eastAsia="Arial" w:hAnsi="Arial"/>
                <w:sz w:val="16"/>
                <w:szCs w:val="16"/>
                <w:color w:val="auto"/>
              </w:rPr>
              <w:t>Marucci</w:t>
            </w:r>
          </w:p>
        </w:tc>
        <w:tc>
          <w:tcPr>
            <w:tcW w:w="1340" w:type="dxa"/>
            <w:vAlign w:val="bottom"/>
          </w:tcPr>
          <w:p>
            <w:pPr>
              <w:jc w:val="right"/>
              <w:spacing w:after="0"/>
              <w:rPr>
                <w:sz w:val="20"/>
                <w:szCs w:val="20"/>
                <w:color w:val="auto"/>
              </w:rPr>
            </w:pPr>
            <w:r>
              <w:rPr>
                <w:rFonts w:ascii="Arial" w:cs="Arial" w:eastAsia="Arial" w:hAnsi="Arial"/>
                <w:sz w:val="16"/>
                <w:szCs w:val="16"/>
                <w:color w:val="auto"/>
              </w:rPr>
              <w:t>92.2</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83.8</w:t>
            </w:r>
          </w:p>
        </w:tc>
        <w:tc>
          <w:tcPr>
            <w:tcW w:w="100" w:type="dxa"/>
            <w:vAlign w:val="bottom"/>
          </w:tcPr>
          <w:p>
            <w:pPr>
              <w:spacing w:after="0"/>
              <w:rPr>
                <w:sz w:val="18"/>
                <w:szCs w:val="18"/>
                <w:color w:val="auto"/>
              </w:rPr>
            </w:pPr>
          </w:p>
        </w:tc>
        <w:tc>
          <w:tcPr>
            <w:tcW w:w="1440" w:type="dxa"/>
            <w:vAlign w:val="bottom"/>
            <w:gridSpan w:val="2"/>
          </w:tcPr>
          <w:p>
            <w:pPr>
              <w:ind w:left="1060"/>
              <w:spacing w:after="0"/>
              <w:rPr>
                <w:sz w:val="20"/>
                <w:szCs w:val="20"/>
                <w:color w:val="auto"/>
              </w:rPr>
            </w:pPr>
            <w:r>
              <w:rPr>
                <w:rFonts w:ascii="Arial" w:cs="Arial" w:eastAsia="Arial" w:hAnsi="Arial"/>
                <w:sz w:val="16"/>
                <w:szCs w:val="16"/>
                <w:color w:val="auto"/>
              </w:rPr>
              <w:t>N/a</w:t>
            </w:r>
          </w:p>
        </w:tc>
        <w:tc>
          <w:tcPr>
            <w:tcW w:w="1440" w:type="dxa"/>
            <w:vAlign w:val="bottom"/>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19"/>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Velocity Outdoor</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99.3</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88.0</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99.3</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93.9</w:t>
            </w:r>
          </w:p>
        </w:tc>
        <w:tc>
          <w:tcPr>
            <w:tcW w:w="0" w:type="dxa"/>
            <w:vAlign w:val="bottom"/>
          </w:tcPr>
          <w:p>
            <w:pPr>
              <w:spacing w:after="0"/>
              <w:rPr>
                <w:sz w:val="1"/>
                <w:szCs w:val="1"/>
                <w:color w:val="auto"/>
              </w:rPr>
            </w:pPr>
          </w:p>
        </w:tc>
      </w:tr>
      <w:tr>
        <w:trPr>
          <w:trHeight w:val="213"/>
        </w:trPr>
        <w:tc>
          <w:tcPr>
            <w:tcW w:w="4400" w:type="dxa"/>
            <w:vAlign w:val="bottom"/>
          </w:tcPr>
          <w:p>
            <w:pPr>
              <w:ind w:left="20"/>
              <w:spacing w:after="0"/>
              <w:rPr>
                <w:sz w:val="20"/>
                <w:szCs w:val="20"/>
                <w:color w:val="auto"/>
              </w:rPr>
            </w:pPr>
            <w:r>
              <w:rPr>
                <w:rFonts w:ascii="Arial" w:cs="Arial" w:eastAsia="Arial" w:hAnsi="Arial"/>
                <w:sz w:val="16"/>
                <w:szCs w:val="16"/>
                <w:color w:val="auto"/>
              </w:rPr>
              <w:t>ACI</w:t>
            </w:r>
          </w:p>
        </w:tc>
        <w:tc>
          <w:tcPr>
            <w:tcW w:w="1340" w:type="dxa"/>
            <w:vAlign w:val="bottom"/>
          </w:tcPr>
          <w:p>
            <w:pPr>
              <w:jc w:val="right"/>
              <w:spacing w:after="0"/>
              <w:rPr>
                <w:sz w:val="20"/>
                <w:szCs w:val="20"/>
                <w:color w:val="auto"/>
              </w:rPr>
            </w:pPr>
            <w:r>
              <w:rPr>
                <w:rFonts w:ascii="Arial" w:cs="Arial" w:eastAsia="Arial" w:hAnsi="Arial"/>
                <w:sz w:val="16"/>
                <w:szCs w:val="16"/>
                <w:color w:val="auto"/>
              </w:rPr>
              <w:t>69.3</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65.4</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69.4</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65.4</w:t>
            </w:r>
          </w:p>
        </w:tc>
        <w:tc>
          <w:tcPr>
            <w:tcW w:w="0" w:type="dxa"/>
            <w:vAlign w:val="bottom"/>
          </w:tcPr>
          <w:p>
            <w:pPr>
              <w:spacing w:after="0"/>
              <w:rPr>
                <w:sz w:val="1"/>
                <w:szCs w:val="1"/>
                <w:color w:val="auto"/>
              </w:rPr>
            </w:pPr>
          </w:p>
        </w:tc>
      </w:tr>
      <w:tr>
        <w:trPr>
          <w:trHeight w:val="219"/>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Arnold</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96.7</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82.4</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96.7</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80.2</w:t>
            </w:r>
          </w:p>
        </w:tc>
        <w:tc>
          <w:tcPr>
            <w:tcW w:w="0" w:type="dxa"/>
            <w:vAlign w:val="bottom"/>
          </w:tcPr>
          <w:p>
            <w:pPr>
              <w:spacing w:after="0"/>
              <w:rPr>
                <w:sz w:val="1"/>
                <w:szCs w:val="1"/>
                <w:color w:val="auto"/>
              </w:rPr>
            </w:pPr>
          </w:p>
        </w:tc>
      </w:tr>
      <w:tr>
        <w:trPr>
          <w:trHeight w:val="213"/>
        </w:trPr>
        <w:tc>
          <w:tcPr>
            <w:tcW w:w="4400" w:type="dxa"/>
            <w:vAlign w:val="bottom"/>
          </w:tcPr>
          <w:p>
            <w:pPr>
              <w:ind w:left="20"/>
              <w:spacing w:after="0"/>
              <w:rPr>
                <w:sz w:val="20"/>
                <w:szCs w:val="20"/>
                <w:color w:val="auto"/>
              </w:rPr>
            </w:pPr>
            <w:r>
              <w:rPr>
                <w:rFonts w:ascii="Arial" w:cs="Arial" w:eastAsia="Arial" w:hAnsi="Arial"/>
                <w:sz w:val="16"/>
                <w:szCs w:val="16"/>
                <w:color w:val="auto"/>
              </w:rPr>
              <w:t>Foam Fabricators</w:t>
            </w:r>
          </w:p>
        </w:tc>
        <w:tc>
          <w:tcPr>
            <w:tcW w:w="1340" w:type="dxa"/>
            <w:vAlign w:val="bottom"/>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91.5</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91.5</w:t>
            </w:r>
          </w:p>
        </w:tc>
        <w:tc>
          <w:tcPr>
            <w:tcW w:w="0" w:type="dxa"/>
            <w:vAlign w:val="bottom"/>
          </w:tcPr>
          <w:p>
            <w:pPr>
              <w:spacing w:after="0"/>
              <w:rPr>
                <w:sz w:val="1"/>
                <w:szCs w:val="1"/>
                <w:color w:val="auto"/>
              </w:rPr>
            </w:pPr>
          </w:p>
        </w:tc>
      </w:tr>
      <w:tr>
        <w:trPr>
          <w:trHeight w:val="219"/>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Sterno</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88.5</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88.5</w:t>
            </w:r>
          </w:p>
        </w:tc>
        <w:tc>
          <w:tcPr>
            <w:tcW w:w="0" w:type="dxa"/>
            <w:vAlign w:val="bottom"/>
          </w:tcPr>
          <w:p>
            <w:pPr>
              <w:spacing w:after="0"/>
              <w:rPr>
                <w:sz w:val="1"/>
                <w:szCs w:val="1"/>
                <w:color w:val="auto"/>
              </w:rPr>
            </w:pPr>
          </w:p>
        </w:tc>
      </w:tr>
    </w:tbl>
    <w:p>
      <w:pPr>
        <w:spacing w:after="0" w:line="102" w:lineRule="exact"/>
        <w:rPr>
          <w:sz w:val="20"/>
          <w:szCs w:val="20"/>
          <w:color w:val="auto"/>
        </w:rPr>
      </w:pPr>
    </w:p>
    <w:p>
      <w:pPr>
        <w:ind w:left="340" w:hanging="332"/>
        <w:spacing w:after="0" w:line="217" w:lineRule="auto"/>
        <w:tabs>
          <w:tab w:leader="none" w:pos="477" w:val="left"/>
        </w:tabs>
        <w:numPr>
          <w:ilvl w:val="0"/>
          <w:numId w:val="16"/>
        </w:numPr>
        <w:rPr>
          <w:rFonts w:ascii="Arial" w:cs="Arial" w:eastAsia="Arial" w:hAnsi="Arial"/>
          <w:sz w:val="22"/>
          <w:szCs w:val="22"/>
          <w:b w:val="1"/>
          <w:bCs w:val="1"/>
          <w:color w:val="auto"/>
          <w:vertAlign w:val="superscript"/>
        </w:rPr>
      </w:pPr>
      <w:r>
        <w:rPr>
          <w:rFonts w:ascii="Arial" w:cs="Arial" w:eastAsia="Arial" w:hAnsi="Arial"/>
          <w:sz w:val="17"/>
          <w:szCs w:val="17"/>
          <w:color w:val="auto"/>
        </w:rPr>
        <w:t>The principal difference between primary and diluted percentages of our operating segments is due to stock option issuances of operating segment stock to management of the respective businesses.</w:t>
      </w:r>
    </w:p>
    <w:p>
      <w:pPr>
        <w:spacing w:after="0" w:line="214" w:lineRule="exact"/>
        <w:rPr>
          <w:sz w:val="20"/>
          <w:szCs w:val="20"/>
          <w:color w:val="auto"/>
        </w:rPr>
      </w:pPr>
    </w:p>
    <w:tbl>
      <w:tblPr>
        <w:tblLayout w:type="fixed"/>
        <w:tblInd w:w="860" w:type="dxa"/>
        <w:tblCellMar>
          <w:top w:w="0" w:type="dxa"/>
          <w:left w:w="0" w:type="dxa"/>
          <w:bottom w:w="0" w:type="dxa"/>
          <w:right w:w="0" w:type="dxa"/>
        </w:tblCellMar>
      </w:tblPr>
      <w:tr>
        <w:trPr>
          <w:trHeight w:val="206"/>
        </w:trPr>
        <w:tc>
          <w:tcPr>
            <w:tcW w:w="56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740" w:type="dxa"/>
            <w:vAlign w:val="bottom"/>
            <w:tcBorders>
              <w:bottom w:val="single" w:sz="8" w:color="auto"/>
            </w:tcBorders>
            <w:gridSpan w:val="4"/>
          </w:tcPr>
          <w:p>
            <w:pPr>
              <w:jc w:val="right"/>
              <w:ind w:right="679"/>
              <w:spacing w:after="0"/>
              <w:rPr>
                <w:sz w:val="20"/>
                <w:szCs w:val="20"/>
                <w:color w:val="auto"/>
              </w:rPr>
            </w:pPr>
            <w:r>
              <w:rPr>
                <w:rFonts w:ascii="Arial" w:cs="Arial" w:eastAsia="Arial" w:hAnsi="Arial"/>
                <w:sz w:val="15"/>
                <w:szCs w:val="15"/>
                <w:b w:val="1"/>
                <w:bCs w:val="1"/>
                <w:color w:val="auto"/>
              </w:rPr>
              <w:t>Noncontrolling Interest Balances</w:t>
            </w:r>
          </w:p>
        </w:tc>
      </w:tr>
      <w:tr>
        <w:trPr>
          <w:trHeight w:val="200"/>
        </w:trPr>
        <w:tc>
          <w:tcPr>
            <w:tcW w:w="562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Pr>
          <w:p>
            <w:pPr>
              <w:spacing w:after="0"/>
              <w:rPr>
                <w:sz w:val="17"/>
                <w:szCs w:val="17"/>
                <w:color w:val="auto"/>
              </w:rPr>
            </w:pPr>
          </w:p>
        </w:tc>
        <w:tc>
          <w:tcPr>
            <w:tcW w:w="1840" w:type="dxa"/>
            <w:vAlign w:val="bottom"/>
            <w:gridSpan w:val="2"/>
          </w:tcPr>
          <w:p>
            <w:pPr>
              <w:ind w:left="60"/>
              <w:spacing w:after="0"/>
              <w:rPr>
                <w:sz w:val="20"/>
                <w:szCs w:val="20"/>
                <w:color w:val="auto"/>
              </w:rPr>
            </w:pPr>
            <w:r>
              <w:rPr>
                <w:rFonts w:ascii="Arial" w:cs="Arial" w:eastAsia="Arial" w:hAnsi="Arial"/>
                <w:sz w:val="15"/>
                <w:szCs w:val="15"/>
                <w:b w:val="1"/>
                <w:bCs w:val="1"/>
                <w:color w:val="auto"/>
              </w:rPr>
              <w:t>September 30, 2020</w:t>
            </w:r>
          </w:p>
        </w:tc>
        <w:tc>
          <w:tcPr>
            <w:tcW w:w="180" w:type="dxa"/>
            <w:vAlign w:val="bottom"/>
          </w:tcPr>
          <w:p>
            <w:pPr>
              <w:spacing w:after="0"/>
              <w:rPr>
                <w:sz w:val="17"/>
                <w:szCs w:val="17"/>
                <w:color w:val="auto"/>
              </w:rPr>
            </w:pPr>
          </w:p>
        </w:tc>
        <w:tc>
          <w:tcPr>
            <w:tcW w:w="1720" w:type="dxa"/>
            <w:vAlign w:val="bottom"/>
          </w:tcPr>
          <w:p>
            <w:pPr>
              <w:jc w:val="right"/>
              <w:ind w:right="179"/>
              <w:spacing w:after="0"/>
              <w:rPr>
                <w:sz w:val="20"/>
                <w:szCs w:val="20"/>
                <w:color w:val="auto"/>
              </w:rPr>
            </w:pPr>
            <w:r>
              <w:rPr>
                <w:rFonts w:ascii="Arial" w:cs="Arial" w:eastAsia="Arial" w:hAnsi="Arial"/>
                <w:sz w:val="15"/>
                <w:szCs w:val="15"/>
                <w:b w:val="1"/>
                <w:bCs w:val="1"/>
                <w:color w:val="auto"/>
              </w:rPr>
              <w:t>December 31, 2019</w:t>
            </w: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5.11</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13,837</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12,056</w:t>
            </w:r>
          </w:p>
        </w:tc>
      </w:tr>
      <w:tr>
        <w:trPr>
          <w:trHeight w:val="213"/>
        </w:trPr>
        <w:tc>
          <w:tcPr>
            <w:tcW w:w="5620" w:type="dxa"/>
            <w:vAlign w:val="bottom"/>
          </w:tcPr>
          <w:p>
            <w:pPr>
              <w:spacing w:after="0"/>
              <w:rPr>
                <w:sz w:val="20"/>
                <w:szCs w:val="20"/>
                <w:color w:val="auto"/>
              </w:rPr>
            </w:pPr>
            <w:r>
              <w:rPr>
                <w:rFonts w:ascii="Arial" w:cs="Arial" w:eastAsia="Arial" w:hAnsi="Arial"/>
                <w:sz w:val="16"/>
                <w:szCs w:val="16"/>
                <w:color w:val="auto"/>
              </w:rPr>
              <w:t>Ergobaby</w:t>
            </w: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27,207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27,036</w:t>
            </w:r>
          </w:p>
        </w:tc>
      </w:tr>
      <w:tr>
        <w:trPr>
          <w:trHeight w:val="219"/>
        </w:trPr>
        <w:tc>
          <w:tcPr>
            <w:tcW w:w="5620" w:type="dxa"/>
            <w:vAlign w:val="bottom"/>
            <w:shd w:val="clear" w:color="auto" w:fill="CCEEFF"/>
          </w:tcPr>
          <w:p>
            <w:pPr>
              <w:spacing w:after="0"/>
              <w:rPr>
                <w:sz w:val="20"/>
                <w:szCs w:val="20"/>
                <w:color w:val="auto"/>
              </w:rPr>
            </w:pPr>
            <w:r>
              <w:rPr>
                <w:rFonts w:ascii="Arial" w:cs="Arial" w:eastAsia="Arial" w:hAnsi="Arial"/>
                <w:sz w:val="16"/>
                <w:szCs w:val="16"/>
                <w:color w:val="auto"/>
              </w:rPr>
              <w:t>Liberty</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2,936</w:t>
            </w:r>
          </w:p>
        </w:tc>
      </w:tr>
      <w:tr>
        <w:trPr>
          <w:trHeight w:val="213"/>
        </w:trPr>
        <w:tc>
          <w:tcPr>
            <w:tcW w:w="5620" w:type="dxa"/>
            <w:vAlign w:val="bottom"/>
          </w:tcPr>
          <w:p>
            <w:pPr>
              <w:spacing w:after="0"/>
              <w:rPr>
                <w:sz w:val="20"/>
                <w:szCs w:val="20"/>
                <w:color w:val="auto"/>
              </w:rPr>
            </w:pPr>
            <w:r>
              <w:rPr>
                <w:rFonts w:ascii="Arial" w:cs="Arial" w:eastAsia="Arial" w:hAnsi="Arial"/>
                <w:sz w:val="16"/>
                <w:szCs w:val="16"/>
                <w:color w:val="auto"/>
              </w:rPr>
              <w:t>Marucci</w:t>
            </w: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11,069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5620" w:type="dxa"/>
            <w:vAlign w:val="bottom"/>
            <w:shd w:val="clear" w:color="auto" w:fill="CCEEFF"/>
          </w:tcPr>
          <w:p>
            <w:pPr>
              <w:spacing w:after="0"/>
              <w:rPr>
                <w:sz w:val="20"/>
                <w:szCs w:val="20"/>
                <w:color w:val="auto"/>
              </w:rPr>
            </w:pPr>
            <w:r>
              <w:rPr>
                <w:rFonts w:ascii="Arial" w:cs="Arial" w:eastAsia="Arial" w:hAnsi="Arial"/>
                <w:sz w:val="16"/>
                <w:szCs w:val="16"/>
                <w:color w:val="auto"/>
              </w:rPr>
              <w:t>Velocity Outdoor</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2,506</w:t>
            </w:r>
          </w:p>
        </w:tc>
      </w:tr>
      <w:tr>
        <w:trPr>
          <w:trHeight w:val="213"/>
        </w:trPr>
        <w:tc>
          <w:tcPr>
            <w:tcW w:w="5620" w:type="dxa"/>
            <w:vAlign w:val="bottom"/>
          </w:tcPr>
          <w:p>
            <w:pPr>
              <w:spacing w:after="0"/>
              <w:rPr>
                <w:sz w:val="20"/>
                <w:szCs w:val="20"/>
                <w:color w:val="auto"/>
              </w:rPr>
            </w:pPr>
            <w:r>
              <w:rPr>
                <w:rFonts w:ascii="Arial" w:cs="Arial" w:eastAsia="Arial" w:hAnsi="Arial"/>
                <w:sz w:val="16"/>
                <w:szCs w:val="16"/>
                <w:color w:val="auto"/>
              </w:rPr>
              <w:t>ACI</w:t>
            </w: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7,587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3,670</w:t>
            </w:r>
          </w:p>
        </w:tc>
      </w:tr>
      <w:tr>
        <w:trPr>
          <w:trHeight w:val="219"/>
        </w:trPr>
        <w:tc>
          <w:tcPr>
            <w:tcW w:w="5620" w:type="dxa"/>
            <w:vAlign w:val="bottom"/>
            <w:shd w:val="clear" w:color="auto" w:fill="CCEEFF"/>
          </w:tcPr>
          <w:p>
            <w:pPr>
              <w:spacing w:after="0"/>
              <w:rPr>
                <w:sz w:val="20"/>
                <w:szCs w:val="20"/>
                <w:color w:val="auto"/>
              </w:rPr>
            </w:pPr>
            <w:r>
              <w:rPr>
                <w:rFonts w:ascii="Arial" w:cs="Arial" w:eastAsia="Arial" w:hAnsi="Arial"/>
                <w:sz w:val="16"/>
                <w:szCs w:val="16"/>
                <w:color w:val="auto"/>
              </w:rPr>
              <w:t>Arnold</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1,255</w:t>
            </w:r>
          </w:p>
        </w:tc>
      </w:tr>
      <w:tr>
        <w:trPr>
          <w:trHeight w:val="213"/>
        </w:trPr>
        <w:tc>
          <w:tcPr>
            <w:tcW w:w="5620" w:type="dxa"/>
            <w:vAlign w:val="bottom"/>
          </w:tcPr>
          <w:p>
            <w:pPr>
              <w:spacing w:after="0"/>
              <w:rPr>
                <w:sz w:val="20"/>
                <w:szCs w:val="20"/>
                <w:color w:val="auto"/>
              </w:rPr>
            </w:pPr>
            <w:r>
              <w:rPr>
                <w:rFonts w:ascii="Arial" w:cs="Arial" w:eastAsia="Arial" w:hAnsi="Arial"/>
                <w:sz w:val="16"/>
                <w:szCs w:val="16"/>
                <w:color w:val="auto"/>
              </w:rPr>
              <w:t>Foam Fabricators</w:t>
            </w: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2,644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1,873</w:t>
            </w:r>
          </w:p>
        </w:tc>
      </w:tr>
      <w:tr>
        <w:trPr>
          <w:trHeight w:val="219"/>
        </w:trPr>
        <w:tc>
          <w:tcPr>
            <w:tcW w:w="5620" w:type="dxa"/>
            <w:vAlign w:val="bottom"/>
            <w:shd w:val="clear" w:color="auto" w:fill="CCEEFF"/>
          </w:tcPr>
          <w:p>
            <w:pPr>
              <w:spacing w:after="0"/>
              <w:rPr>
                <w:sz w:val="20"/>
                <w:szCs w:val="20"/>
                <w:color w:val="auto"/>
              </w:rPr>
            </w:pPr>
            <w:r>
              <w:rPr>
                <w:rFonts w:ascii="Arial" w:cs="Arial" w:eastAsia="Arial" w:hAnsi="Arial"/>
                <w:sz w:val="16"/>
                <w:szCs w:val="16"/>
                <w:color w:val="auto"/>
              </w:rPr>
              <w:t>Sterno</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(884)</w:t>
            </w:r>
          </w:p>
        </w:tc>
      </w:tr>
      <w:tr>
        <w:trPr>
          <w:trHeight w:val="213"/>
        </w:trPr>
        <w:tc>
          <w:tcPr>
            <w:tcW w:w="56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Allocation Interests</w:t>
            </w:r>
          </w:p>
        </w:tc>
        <w:tc>
          <w:tcPr>
            <w:tcW w:w="1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r>
      <w:tr>
        <w:trPr>
          <w:trHeight w:val="234"/>
        </w:trPr>
        <w:tc>
          <w:tcPr>
            <w:tcW w:w="56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70,794</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50,548</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L — Fair Value Measurement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assets and liabilities carried at fair value measured on a recurring basis at September 30, 2020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19" w:lineRule="exact"/>
        <w:rPr>
          <w:sz w:val="20"/>
          <w:szCs w:val="20"/>
          <w:color w:val="auto"/>
        </w:rPr>
      </w:pPr>
    </w:p>
    <w:tbl>
      <w:tblPr>
        <w:tblLayout w:type="fixed"/>
        <w:tblInd w:w="420" w:type="dxa"/>
        <w:tblCellMar>
          <w:top w:w="0" w:type="dxa"/>
          <w:left w:w="0" w:type="dxa"/>
          <w:bottom w:w="0" w:type="dxa"/>
          <w:right w:w="0" w:type="dxa"/>
        </w:tblCellMar>
      </w:tblPr>
      <w:tr>
        <w:trPr>
          <w:trHeight w:val="216"/>
        </w:trPr>
        <w:tc>
          <w:tcPr>
            <w:tcW w:w="4360" w:type="dxa"/>
            <w:vAlign w:val="bottom"/>
          </w:tcPr>
          <w:p>
            <w:pPr>
              <w:spacing w:after="0"/>
              <w:rPr>
                <w:sz w:val="18"/>
                <w:szCs w:val="18"/>
                <w:color w:val="auto"/>
              </w:rPr>
            </w:pPr>
          </w:p>
        </w:tc>
        <w:tc>
          <w:tcPr>
            <w:tcW w:w="1020" w:type="dxa"/>
            <w:vAlign w:val="bottom"/>
            <w:tcBorders>
              <w:top w:val="single" w:sz="8" w:color="auto"/>
              <w:bottom w:val="single" w:sz="8" w:color="auto"/>
            </w:tcBorders>
          </w:tcPr>
          <w:p>
            <w:pPr>
              <w:spacing w:after="0"/>
              <w:rPr>
                <w:sz w:val="18"/>
                <w:szCs w:val="18"/>
                <w:color w:val="auto"/>
              </w:rPr>
            </w:pPr>
          </w:p>
        </w:tc>
        <w:tc>
          <w:tcPr>
            <w:tcW w:w="3900" w:type="dxa"/>
            <w:vAlign w:val="bottom"/>
            <w:tcBorders>
              <w:top w:val="single" w:sz="8" w:color="auto"/>
              <w:bottom w:val="single" w:sz="8" w:color="auto"/>
            </w:tcBorders>
            <w:gridSpan w:val="9"/>
          </w:tcPr>
          <w:p>
            <w:pPr>
              <w:jc w:val="right"/>
              <w:ind w:right="79"/>
              <w:spacing w:after="0"/>
              <w:rPr>
                <w:sz w:val="20"/>
                <w:szCs w:val="20"/>
                <w:color w:val="auto"/>
              </w:rPr>
            </w:pPr>
            <w:r>
              <w:rPr>
                <w:rFonts w:ascii="Arial" w:cs="Arial" w:eastAsia="Arial" w:hAnsi="Arial"/>
                <w:sz w:val="15"/>
                <w:szCs w:val="15"/>
                <w:b w:val="1"/>
                <w:bCs w:val="1"/>
                <w:color w:val="auto"/>
              </w:rPr>
              <w:t>Fair Value Measurements at September 30, 2020</w:t>
            </w:r>
          </w:p>
        </w:tc>
        <w:tc>
          <w:tcPr>
            <w:tcW w:w="114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4360" w:type="dxa"/>
            <w:vAlign w:val="bottom"/>
          </w:tcPr>
          <w:p>
            <w:pPr>
              <w:spacing w:after="0"/>
              <w:rPr>
                <w:sz w:val="12"/>
                <w:szCs w:val="12"/>
                <w:color w:val="auto"/>
              </w:rPr>
            </w:pPr>
          </w:p>
        </w:tc>
        <w:tc>
          <w:tcPr>
            <w:tcW w:w="1020" w:type="dxa"/>
            <w:vAlign w:val="bottom"/>
          </w:tcPr>
          <w:p>
            <w:pPr>
              <w:jc w:val="right"/>
              <w:spacing w:after="0" w:line="142" w:lineRule="exact"/>
              <w:rPr>
                <w:sz w:val="20"/>
                <w:szCs w:val="20"/>
                <w:color w:val="auto"/>
              </w:rPr>
            </w:pPr>
            <w:r>
              <w:rPr>
                <w:rFonts w:ascii="Arial" w:cs="Arial" w:eastAsia="Arial" w:hAnsi="Arial"/>
                <w:sz w:val="15"/>
                <w:szCs w:val="15"/>
                <w:b w:val="1"/>
                <w:bCs w:val="1"/>
                <w:color w:val="auto"/>
              </w:rPr>
              <w:t>Carrying</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vMerge w:val="restart"/>
          </w:tcPr>
          <w:p>
            <w:pPr>
              <w:jc w:val="right"/>
              <w:ind w:right="41"/>
              <w:spacing w:after="0"/>
              <w:rPr>
                <w:sz w:val="20"/>
                <w:szCs w:val="20"/>
                <w:color w:val="auto"/>
              </w:rPr>
            </w:pPr>
            <w:r>
              <w:rPr>
                <w:rFonts w:ascii="Arial" w:cs="Arial" w:eastAsia="Arial" w:hAnsi="Arial"/>
                <w:sz w:val="15"/>
                <w:szCs w:val="15"/>
                <w:b w:val="1"/>
                <w:bCs w:val="1"/>
                <w:color w:val="auto"/>
              </w:rPr>
              <w:t>Level 1</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5"/>
                <w:szCs w:val="15"/>
                <w:b w:val="1"/>
                <w:bCs w:val="1"/>
                <w:color w:val="auto"/>
              </w:rPr>
              <w:t>Level 2</w:t>
            </w:r>
          </w:p>
        </w:tc>
        <w:tc>
          <w:tcPr>
            <w:tcW w:w="280" w:type="dxa"/>
            <w:vAlign w:val="bottom"/>
          </w:tcPr>
          <w:p>
            <w:pPr>
              <w:spacing w:after="0"/>
              <w:rPr>
                <w:sz w:val="12"/>
                <w:szCs w:val="12"/>
                <w:color w:val="auto"/>
              </w:rPr>
            </w:pPr>
          </w:p>
        </w:tc>
        <w:tc>
          <w:tcPr>
            <w:tcW w:w="1140" w:type="dxa"/>
            <w:vAlign w:val="bottom"/>
            <w:vMerge w:val="restart"/>
          </w:tcPr>
          <w:p>
            <w:pPr>
              <w:jc w:val="right"/>
              <w:ind w:right="381"/>
              <w:spacing w:after="0"/>
              <w:rPr>
                <w:sz w:val="20"/>
                <w:szCs w:val="20"/>
                <w:color w:val="auto"/>
              </w:rPr>
            </w:pPr>
            <w:r>
              <w:rPr>
                <w:rFonts w:ascii="Arial" w:cs="Arial" w:eastAsia="Arial" w:hAnsi="Arial"/>
                <w:sz w:val="15"/>
                <w:szCs w:val="15"/>
                <w:b w:val="1"/>
                <w:bCs w:val="1"/>
                <w:color w:val="auto"/>
              </w:rPr>
              <w:t>Level 3</w:t>
            </w:r>
          </w:p>
        </w:tc>
        <w:tc>
          <w:tcPr>
            <w:tcW w:w="0" w:type="dxa"/>
            <w:vAlign w:val="bottom"/>
          </w:tcPr>
          <w:p>
            <w:pPr>
              <w:spacing w:after="0"/>
              <w:rPr>
                <w:sz w:val="1"/>
                <w:szCs w:val="1"/>
                <w:color w:val="auto"/>
              </w:rPr>
            </w:pPr>
          </w:p>
        </w:tc>
      </w:tr>
      <w:tr>
        <w:trPr>
          <w:trHeight w:val="202"/>
        </w:trPr>
        <w:tc>
          <w:tcPr>
            <w:tcW w:w="4360" w:type="dxa"/>
            <w:vAlign w:val="bottom"/>
          </w:tcPr>
          <w:p>
            <w:pPr>
              <w:spacing w:after="0"/>
              <w:rPr>
                <w:sz w:val="17"/>
                <w:szCs w:val="17"/>
                <w:color w:val="auto"/>
              </w:rPr>
            </w:pPr>
          </w:p>
        </w:tc>
        <w:tc>
          <w:tcPr>
            <w:tcW w:w="1020" w:type="dxa"/>
            <w:vAlign w:val="bottom"/>
          </w:tcPr>
          <w:p>
            <w:pPr>
              <w:jc w:val="right"/>
              <w:ind w:right="41"/>
              <w:spacing w:after="0"/>
              <w:rPr>
                <w:sz w:val="20"/>
                <w:szCs w:val="20"/>
                <w:color w:val="auto"/>
              </w:rPr>
            </w:pPr>
            <w:r>
              <w:rPr>
                <w:rFonts w:ascii="Arial" w:cs="Arial" w:eastAsia="Arial" w:hAnsi="Arial"/>
                <w:sz w:val="15"/>
                <w:szCs w:val="15"/>
                <w:b w:val="1"/>
                <w:bCs w:val="1"/>
                <w:color w:val="auto"/>
              </w:rPr>
              <w:t>Value</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360" w:type="dxa"/>
            <w:vAlign w:val="bottom"/>
          </w:tcPr>
          <w:p>
            <w:pPr>
              <w:spacing w:after="0"/>
              <w:rPr>
                <w:sz w:val="20"/>
                <w:szCs w:val="20"/>
                <w:color w:val="auto"/>
              </w:rPr>
            </w:pPr>
            <w:r>
              <w:rPr>
                <w:rFonts w:ascii="Arial" w:cs="Arial" w:eastAsia="Arial" w:hAnsi="Arial"/>
                <w:sz w:val="16"/>
                <w:szCs w:val="16"/>
                <w:i w:val="1"/>
                <w:iCs w:val="1"/>
                <w:color w:val="auto"/>
              </w:rPr>
              <w:t>Liabilities:</w:t>
            </w:r>
          </w:p>
        </w:tc>
        <w:tc>
          <w:tcPr>
            <w:tcW w:w="102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120"/>
              <w:spacing w:after="0" w:line="219" w:lineRule="exact"/>
              <w:rPr>
                <w:sz w:val="20"/>
                <w:szCs w:val="20"/>
                <w:color w:val="auto"/>
              </w:rPr>
            </w:pPr>
            <w:r>
              <w:rPr>
                <w:rFonts w:ascii="Arial" w:cs="Arial" w:eastAsia="Arial" w:hAnsi="Arial"/>
                <w:sz w:val="16"/>
                <w:szCs w:val="16"/>
                <w:color w:val="auto"/>
              </w:rPr>
              <w:t xml:space="preserve">Put option of noncontrolling shareholders </w:t>
            </w:r>
            <w:r>
              <w:rPr>
                <w:rFonts w:ascii="Arial" w:cs="Arial" w:eastAsia="Arial" w:hAnsi="Arial"/>
                <w:sz w:val="21"/>
                <w:szCs w:val="21"/>
                <w:color w:val="auto"/>
                <w:vertAlign w:val="superscript"/>
              </w:rPr>
              <w:t>(1)</w:t>
            </w:r>
          </w:p>
        </w:tc>
        <w:tc>
          <w:tcPr>
            <w:tcW w:w="1020" w:type="dxa"/>
            <w:vAlign w:val="bottom"/>
            <w:shd w:val="clear" w:color="auto" w:fill="CCEEFF"/>
          </w:tcPr>
          <w:p>
            <w:pPr>
              <w:jc w:val="right"/>
              <w:ind w:right="841"/>
              <w:spacing w:after="0"/>
              <w:rPr>
                <w:sz w:val="20"/>
                <w:szCs w:val="20"/>
                <w:color w:val="auto"/>
              </w:rPr>
            </w:pPr>
            <w:r>
              <w:rPr>
                <w:rFonts w:ascii="Arial" w:cs="Arial" w:eastAsia="Arial" w:hAnsi="Arial"/>
                <w:sz w:val="16"/>
                <w:szCs w:val="16"/>
                <w:color w:val="auto"/>
                <w:w w:val="8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(303)</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21"/>
              <w:spacing w:after="0"/>
              <w:rPr>
                <w:sz w:val="20"/>
                <w:szCs w:val="20"/>
                <w:color w:val="auto"/>
              </w:rPr>
            </w:pPr>
            <w:r>
              <w:rPr>
                <w:rFonts w:ascii="Arial" w:cs="Arial" w:eastAsia="Arial" w:hAnsi="Arial"/>
                <w:sz w:val="16"/>
                <w:szCs w:val="16"/>
                <w:color w:val="auto"/>
                <w:w w:val="89"/>
              </w:rPr>
              <w:t>$</w:t>
            </w: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6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w:t>
            </w:r>
          </w:p>
        </w:tc>
        <w:tc>
          <w:tcPr>
            <w:tcW w:w="0" w:type="dxa"/>
            <w:vAlign w:val="bottom"/>
          </w:tcPr>
          <w:p>
            <w:pPr>
              <w:spacing w:after="0"/>
              <w:rPr>
                <w:sz w:val="1"/>
                <w:szCs w:val="1"/>
                <w:color w:val="auto"/>
              </w:rPr>
            </w:pPr>
          </w:p>
        </w:tc>
      </w:tr>
      <w:tr>
        <w:trPr>
          <w:trHeight w:val="213"/>
        </w:trPr>
        <w:tc>
          <w:tcPr>
            <w:tcW w:w="4360" w:type="dxa"/>
            <w:vAlign w:val="bottom"/>
          </w:tcPr>
          <w:p>
            <w:pPr>
              <w:spacing w:after="0"/>
              <w:rPr>
                <w:sz w:val="20"/>
                <w:szCs w:val="20"/>
                <w:color w:val="auto"/>
              </w:rPr>
            </w:pPr>
            <w:r>
              <w:rPr>
                <w:rFonts w:ascii="Arial" w:cs="Arial" w:eastAsia="Arial" w:hAnsi="Arial"/>
                <w:sz w:val="16"/>
                <w:szCs w:val="16"/>
                <w:color w:val="auto"/>
              </w:rPr>
              <w:t>Total recorded at fair value</w:t>
            </w:r>
          </w:p>
        </w:tc>
        <w:tc>
          <w:tcPr>
            <w:tcW w:w="1020" w:type="dxa"/>
            <w:vAlign w:val="bottom"/>
          </w:tcPr>
          <w:p>
            <w:pPr>
              <w:jc w:val="right"/>
              <w:ind w:right="841"/>
              <w:spacing w:after="0"/>
              <w:rPr>
                <w:sz w:val="20"/>
                <w:szCs w:val="20"/>
                <w:color w:val="auto"/>
              </w:rPr>
            </w:pPr>
            <w:r>
              <w:rPr>
                <w:rFonts w:ascii="Arial" w:cs="Arial" w:eastAsia="Arial" w:hAnsi="Arial"/>
                <w:sz w:val="16"/>
                <w:szCs w:val="16"/>
                <w:color w:val="auto"/>
                <w:w w:val="89"/>
              </w:rPr>
              <w:t>$</w:t>
            </w:r>
          </w:p>
        </w:tc>
        <w:tc>
          <w:tcPr>
            <w:tcW w:w="420" w:type="dxa"/>
            <w:vAlign w:val="bottom"/>
          </w:tcPr>
          <w:p>
            <w:pPr>
              <w:jc w:val="right"/>
              <w:spacing w:after="0"/>
              <w:rPr>
                <w:sz w:val="20"/>
                <w:szCs w:val="20"/>
                <w:color w:val="auto"/>
              </w:rPr>
            </w:pPr>
            <w:r>
              <w:rPr>
                <w:rFonts w:ascii="Arial" w:cs="Arial" w:eastAsia="Arial" w:hAnsi="Arial"/>
                <w:sz w:val="16"/>
                <w:szCs w:val="16"/>
                <w:color w:val="auto"/>
                <w:w w:val="96"/>
              </w:rPr>
              <w:t>(303)</w:t>
            </w:r>
          </w:p>
        </w:tc>
        <w:tc>
          <w:tcPr>
            <w:tcW w:w="100" w:type="dxa"/>
            <w:vAlign w:val="bottom"/>
          </w:tcPr>
          <w:p>
            <w:pPr>
              <w:spacing w:after="0"/>
              <w:rPr>
                <w:sz w:val="18"/>
                <w:szCs w:val="18"/>
                <w:color w:val="auto"/>
              </w:rPr>
            </w:pPr>
          </w:p>
        </w:tc>
        <w:tc>
          <w:tcPr>
            <w:tcW w:w="1100" w:type="dxa"/>
            <w:vAlign w:val="bottom"/>
          </w:tcPr>
          <w:p>
            <w:pPr>
              <w:jc w:val="right"/>
              <w:ind w:right="921"/>
              <w:spacing w:after="0"/>
              <w:rPr>
                <w:sz w:val="20"/>
                <w:szCs w:val="20"/>
                <w:color w:val="auto"/>
              </w:rPr>
            </w:pPr>
            <w:r>
              <w:rPr>
                <w:rFonts w:ascii="Arial" w:cs="Arial" w:eastAsia="Arial" w:hAnsi="Arial"/>
                <w:sz w:val="16"/>
                <w:szCs w:val="16"/>
                <w:color w:val="auto"/>
                <w:w w:val="89"/>
              </w:rPr>
              <w:t>$</w:t>
            </w:r>
          </w:p>
        </w:tc>
        <w:tc>
          <w:tcPr>
            <w:tcW w:w="46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6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(303)</w:t>
            </w:r>
          </w:p>
        </w:tc>
        <w:tc>
          <w:tcPr>
            <w:tcW w:w="0" w:type="dxa"/>
            <w:vAlign w:val="bottom"/>
          </w:tcPr>
          <w:p>
            <w:pPr>
              <w:spacing w:after="0"/>
              <w:rPr>
                <w:sz w:val="1"/>
                <w:szCs w:val="1"/>
                <w:color w:val="auto"/>
              </w:rPr>
            </w:pPr>
          </w:p>
        </w:tc>
      </w:tr>
      <w:tr>
        <w:trPr>
          <w:trHeight w:val="24"/>
        </w:trPr>
        <w:tc>
          <w:tcPr>
            <w:tcW w:w="4360" w:type="dxa"/>
            <w:vAlign w:val="bottom"/>
          </w:tcPr>
          <w:p>
            <w:pPr>
              <w:spacing w:after="0"/>
              <w:rPr>
                <w:sz w:val="2"/>
                <w:szCs w:val="2"/>
                <w:color w:val="auto"/>
              </w:rPr>
            </w:pPr>
          </w:p>
        </w:tc>
        <w:tc>
          <w:tcPr>
            <w:tcW w:w="1020" w:type="dxa"/>
            <w:vAlign w:val="bottom"/>
            <w:tcBorders>
              <w:top w:val="single" w:sz="8" w:color="auto"/>
              <w:bottom w:val="single" w:sz="8" w:color="auto"/>
            </w:tcBorders>
          </w:tcPr>
          <w:p>
            <w:pPr>
              <w:spacing w:after="0"/>
              <w:rPr>
                <w:sz w:val="2"/>
                <w:szCs w:val="2"/>
                <w:color w:val="auto"/>
              </w:rPr>
            </w:pPr>
          </w:p>
        </w:tc>
        <w:tc>
          <w:tcPr>
            <w:tcW w:w="4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top w:val="single" w:sz="8" w:color="auto"/>
              <w:bottom w:val="single" w:sz="8" w:color="auto"/>
            </w:tcBorders>
          </w:tcPr>
          <w:p>
            <w:pPr>
              <w:spacing w:after="0"/>
              <w:rPr>
                <w:sz w:val="2"/>
                <w:szCs w:val="2"/>
                <w:color w:val="auto"/>
              </w:rPr>
            </w:pPr>
          </w:p>
        </w:tc>
        <w:tc>
          <w:tcPr>
            <w:tcW w:w="3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114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114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20" w:hanging="312"/>
        <w:spacing w:after="0"/>
        <w:tabs>
          <w:tab w:leader="none" w:pos="320" w:val="left"/>
        </w:tabs>
        <w:numPr>
          <w:ilvl w:val="0"/>
          <w:numId w:val="17"/>
        </w:numPr>
        <w:rPr>
          <w:rFonts w:ascii="Arial" w:cs="Arial" w:eastAsia="Arial" w:hAnsi="Arial"/>
          <w:sz w:val="21"/>
          <w:szCs w:val="21"/>
          <w:b w:val="1"/>
          <w:bCs w:val="1"/>
          <w:color w:val="auto"/>
          <w:vertAlign w:val="superscript"/>
        </w:rPr>
      </w:pPr>
      <w:r>
        <w:rPr>
          <w:rFonts w:ascii="Arial" w:cs="Arial" w:eastAsia="Arial" w:hAnsi="Arial"/>
          <w:sz w:val="16"/>
          <w:szCs w:val="16"/>
          <w:color w:val="auto"/>
        </w:rPr>
        <w:t>Represents put option issued to noncontrolling shareholders in connection with the 5.11 and Liberty acquisitions.</w:t>
      </w:r>
    </w:p>
    <w:p>
      <w:pPr>
        <w:spacing w:after="0" w:line="200" w:lineRule="exact"/>
        <w:rPr>
          <w:rFonts w:ascii="Arial" w:cs="Arial" w:eastAsia="Arial" w:hAnsi="Arial"/>
          <w:sz w:val="21"/>
          <w:szCs w:val="21"/>
          <w:b w:val="1"/>
          <w:bCs w:val="1"/>
          <w:color w:val="auto"/>
          <w:vertAlign w:val="superscript"/>
        </w:rPr>
      </w:pPr>
    </w:p>
    <w:p>
      <w:pPr>
        <w:spacing w:after="0" w:line="374" w:lineRule="exact"/>
        <w:rPr>
          <w:rFonts w:ascii="Arial" w:cs="Arial" w:eastAsia="Arial" w:hAnsi="Arial"/>
          <w:sz w:val="21"/>
          <w:szCs w:val="21"/>
          <w:b w:val="1"/>
          <w:bCs w:val="1"/>
          <w:color w:val="auto"/>
          <w:vertAlign w:val="superscript"/>
        </w:rPr>
      </w:pPr>
    </w:p>
    <w:p>
      <w:pPr>
        <w:ind w:left="5540"/>
        <w:spacing w:after="0"/>
        <w:rPr>
          <w:rFonts w:ascii="Arial" w:cs="Arial" w:eastAsia="Arial" w:hAnsi="Arial"/>
          <w:sz w:val="21"/>
          <w:szCs w:val="21"/>
          <w:b w:val="1"/>
          <w:bCs w:val="1"/>
          <w:color w:val="auto"/>
          <w:vertAlign w:val="superscript"/>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31" w:name="page32"/>
    <w:bookmarkEnd w:id="31"/>
    <w:tbl>
      <w:tblPr>
        <w:tblLayout w:type="fixed"/>
        <w:tblInd w:w="420" w:type="dxa"/>
        <w:tblCellMar>
          <w:top w:w="0" w:type="dxa"/>
          <w:left w:w="0" w:type="dxa"/>
          <w:bottom w:w="0" w:type="dxa"/>
          <w:right w:w="0" w:type="dxa"/>
        </w:tblCellMar>
      </w:tblPr>
      <w:tr>
        <w:trPr>
          <w:trHeight w:val="216"/>
        </w:trPr>
        <w:tc>
          <w:tcPr>
            <w:tcW w:w="4360" w:type="dxa"/>
            <w:vAlign w:val="bottom"/>
          </w:tcPr>
          <w:p>
            <w:pPr>
              <w:spacing w:after="0"/>
              <w:rPr>
                <w:sz w:val="18"/>
                <w:szCs w:val="18"/>
                <w:color w:val="auto"/>
              </w:rPr>
            </w:pPr>
          </w:p>
        </w:tc>
        <w:tc>
          <w:tcPr>
            <w:tcW w:w="1040" w:type="dxa"/>
            <w:vAlign w:val="bottom"/>
            <w:tcBorders>
              <w:top w:val="single" w:sz="8" w:color="auto"/>
              <w:bottom w:val="single" w:sz="8" w:color="auto"/>
            </w:tcBorders>
          </w:tcPr>
          <w:p>
            <w:pPr>
              <w:spacing w:after="0"/>
              <w:rPr>
                <w:sz w:val="18"/>
                <w:szCs w:val="18"/>
                <w:color w:val="auto"/>
              </w:rPr>
            </w:pPr>
          </w:p>
        </w:tc>
        <w:tc>
          <w:tcPr>
            <w:tcW w:w="3880" w:type="dxa"/>
            <w:vAlign w:val="bottom"/>
            <w:tcBorders>
              <w:top w:val="single" w:sz="8" w:color="auto"/>
              <w:bottom w:val="single" w:sz="8" w:color="auto"/>
            </w:tcBorders>
            <w:gridSpan w:val="9"/>
          </w:tcPr>
          <w:p>
            <w:pPr>
              <w:jc w:val="right"/>
              <w:ind w:right="99"/>
              <w:spacing w:after="0"/>
              <w:rPr>
                <w:sz w:val="20"/>
                <w:szCs w:val="20"/>
                <w:color w:val="auto"/>
              </w:rPr>
            </w:pPr>
            <w:r>
              <w:rPr>
                <w:rFonts w:ascii="Arial" w:cs="Arial" w:eastAsia="Arial" w:hAnsi="Arial"/>
                <w:sz w:val="15"/>
                <w:szCs w:val="15"/>
                <w:b w:val="1"/>
                <w:bCs w:val="1"/>
                <w:color w:val="auto"/>
              </w:rPr>
              <w:t>Fair Value Measurements at December 31, 2019</w:t>
            </w:r>
          </w:p>
        </w:tc>
        <w:tc>
          <w:tcPr>
            <w:tcW w:w="114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4360" w:type="dxa"/>
            <w:vAlign w:val="bottom"/>
          </w:tcPr>
          <w:p>
            <w:pPr>
              <w:spacing w:after="0"/>
              <w:rPr>
                <w:sz w:val="12"/>
                <w:szCs w:val="12"/>
                <w:color w:val="auto"/>
              </w:rPr>
            </w:pPr>
          </w:p>
        </w:tc>
        <w:tc>
          <w:tcPr>
            <w:tcW w:w="1040" w:type="dxa"/>
            <w:vAlign w:val="bottom"/>
          </w:tcPr>
          <w:p>
            <w:pPr>
              <w:jc w:val="right"/>
              <w:spacing w:after="0" w:line="142" w:lineRule="exact"/>
              <w:rPr>
                <w:sz w:val="20"/>
                <w:szCs w:val="20"/>
                <w:color w:val="auto"/>
              </w:rPr>
            </w:pPr>
            <w:r>
              <w:rPr>
                <w:rFonts w:ascii="Arial" w:cs="Arial" w:eastAsia="Arial" w:hAnsi="Arial"/>
                <w:sz w:val="15"/>
                <w:szCs w:val="15"/>
                <w:b w:val="1"/>
                <w:bCs w:val="1"/>
                <w:color w:val="auto"/>
              </w:rPr>
              <w:t>Carrying</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5"/>
                <w:szCs w:val="15"/>
                <w:b w:val="1"/>
                <w:bCs w:val="1"/>
                <w:color w:val="auto"/>
              </w:rPr>
              <w:t>Level 1</w:t>
            </w:r>
          </w:p>
        </w:tc>
        <w:tc>
          <w:tcPr>
            <w:tcW w:w="280" w:type="dxa"/>
            <w:vAlign w:val="bottom"/>
          </w:tcPr>
          <w:p>
            <w:pPr>
              <w:spacing w:after="0"/>
              <w:rPr>
                <w:sz w:val="12"/>
                <w:szCs w:val="12"/>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5"/>
                <w:szCs w:val="15"/>
                <w:b w:val="1"/>
                <w:bCs w:val="1"/>
                <w:color w:val="auto"/>
              </w:rPr>
              <w:t>Level 2</w:t>
            </w:r>
          </w:p>
        </w:tc>
        <w:tc>
          <w:tcPr>
            <w:tcW w:w="280" w:type="dxa"/>
            <w:vAlign w:val="bottom"/>
          </w:tcPr>
          <w:p>
            <w:pPr>
              <w:spacing w:after="0"/>
              <w:rPr>
                <w:sz w:val="12"/>
                <w:szCs w:val="12"/>
                <w:color w:val="auto"/>
              </w:rPr>
            </w:pPr>
          </w:p>
        </w:tc>
        <w:tc>
          <w:tcPr>
            <w:tcW w:w="1140" w:type="dxa"/>
            <w:vAlign w:val="bottom"/>
            <w:vMerge w:val="restart"/>
          </w:tcPr>
          <w:p>
            <w:pPr>
              <w:jc w:val="right"/>
              <w:ind w:right="381"/>
              <w:spacing w:after="0"/>
              <w:rPr>
                <w:sz w:val="20"/>
                <w:szCs w:val="20"/>
                <w:color w:val="auto"/>
              </w:rPr>
            </w:pPr>
            <w:r>
              <w:rPr>
                <w:rFonts w:ascii="Arial" w:cs="Arial" w:eastAsia="Arial" w:hAnsi="Arial"/>
                <w:sz w:val="15"/>
                <w:szCs w:val="15"/>
                <w:b w:val="1"/>
                <w:bCs w:val="1"/>
                <w:color w:val="auto"/>
              </w:rPr>
              <w:t>Level 3</w:t>
            </w:r>
          </w:p>
        </w:tc>
        <w:tc>
          <w:tcPr>
            <w:tcW w:w="0" w:type="dxa"/>
            <w:vAlign w:val="bottom"/>
          </w:tcPr>
          <w:p>
            <w:pPr>
              <w:spacing w:after="0"/>
              <w:rPr>
                <w:sz w:val="1"/>
                <w:szCs w:val="1"/>
                <w:color w:val="auto"/>
              </w:rPr>
            </w:pPr>
          </w:p>
        </w:tc>
      </w:tr>
      <w:tr>
        <w:trPr>
          <w:trHeight w:val="202"/>
        </w:trPr>
        <w:tc>
          <w:tcPr>
            <w:tcW w:w="4360" w:type="dxa"/>
            <w:vAlign w:val="bottom"/>
          </w:tcPr>
          <w:p>
            <w:pPr>
              <w:spacing w:after="0"/>
              <w:rPr>
                <w:sz w:val="17"/>
                <w:szCs w:val="17"/>
                <w:color w:val="auto"/>
              </w:rPr>
            </w:pPr>
          </w:p>
        </w:tc>
        <w:tc>
          <w:tcPr>
            <w:tcW w:w="1040" w:type="dxa"/>
            <w:vAlign w:val="bottom"/>
          </w:tcPr>
          <w:p>
            <w:pPr>
              <w:jc w:val="right"/>
              <w:ind w:right="41"/>
              <w:spacing w:after="0"/>
              <w:rPr>
                <w:sz w:val="20"/>
                <w:szCs w:val="20"/>
                <w:color w:val="auto"/>
              </w:rPr>
            </w:pPr>
            <w:r>
              <w:rPr>
                <w:rFonts w:ascii="Arial" w:cs="Arial" w:eastAsia="Arial" w:hAnsi="Arial"/>
                <w:sz w:val="15"/>
                <w:szCs w:val="15"/>
                <w:b w:val="1"/>
                <w:bCs w:val="1"/>
                <w:color w:val="auto"/>
              </w:rPr>
              <w:t>Value</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360" w:type="dxa"/>
            <w:vAlign w:val="bottom"/>
          </w:tcPr>
          <w:p>
            <w:pPr>
              <w:spacing w:after="0"/>
              <w:rPr>
                <w:sz w:val="20"/>
                <w:szCs w:val="20"/>
                <w:color w:val="auto"/>
              </w:rPr>
            </w:pPr>
            <w:r>
              <w:rPr>
                <w:rFonts w:ascii="Arial" w:cs="Arial" w:eastAsia="Arial" w:hAnsi="Arial"/>
                <w:sz w:val="16"/>
                <w:szCs w:val="16"/>
                <w:i w:val="1"/>
                <w:iCs w:val="1"/>
                <w:color w:val="auto"/>
              </w:rPr>
              <w:t>Liabilities:</w:t>
            </w:r>
          </w:p>
        </w:tc>
        <w:tc>
          <w:tcPr>
            <w:tcW w:w="104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120"/>
              <w:spacing w:after="0" w:line="219" w:lineRule="exact"/>
              <w:rPr>
                <w:sz w:val="20"/>
                <w:szCs w:val="20"/>
                <w:color w:val="auto"/>
              </w:rPr>
            </w:pPr>
            <w:r>
              <w:rPr>
                <w:rFonts w:ascii="Arial" w:cs="Arial" w:eastAsia="Arial" w:hAnsi="Arial"/>
                <w:sz w:val="16"/>
                <w:szCs w:val="16"/>
                <w:color w:val="auto"/>
              </w:rPr>
              <w:t xml:space="preserve">Put option of noncontrolling shareholders </w:t>
            </w:r>
            <w:r>
              <w:rPr>
                <w:rFonts w:ascii="Arial" w:cs="Arial" w:eastAsia="Arial" w:hAnsi="Arial"/>
                <w:sz w:val="21"/>
                <w:szCs w:val="21"/>
                <w:color w:val="auto"/>
                <w:vertAlign w:val="superscript"/>
              </w:rPr>
              <w:t>(1)</w:t>
            </w:r>
          </w:p>
        </w:tc>
        <w:tc>
          <w:tcPr>
            <w:tcW w:w="1040" w:type="dxa"/>
            <w:vAlign w:val="bottom"/>
            <w:shd w:val="clear" w:color="auto" w:fill="CCEEFF"/>
          </w:tcPr>
          <w:p>
            <w:pPr>
              <w:jc w:val="right"/>
              <w:ind w:right="861"/>
              <w:spacing w:after="0"/>
              <w:rPr>
                <w:sz w:val="20"/>
                <w:szCs w:val="20"/>
                <w:color w:val="auto"/>
              </w:rPr>
            </w:pPr>
            <w:r>
              <w:rPr>
                <w:rFonts w:ascii="Arial" w:cs="Arial" w:eastAsia="Arial" w:hAnsi="Arial"/>
                <w:sz w:val="16"/>
                <w:szCs w:val="16"/>
                <w:color w:val="auto"/>
                <w:w w:val="8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6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6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213"/>
        </w:trPr>
        <w:tc>
          <w:tcPr>
            <w:tcW w:w="4360" w:type="dxa"/>
            <w:vAlign w:val="bottom"/>
          </w:tcPr>
          <w:p>
            <w:pPr>
              <w:spacing w:after="0"/>
              <w:rPr>
                <w:sz w:val="20"/>
                <w:szCs w:val="20"/>
                <w:color w:val="auto"/>
              </w:rPr>
            </w:pPr>
            <w:r>
              <w:rPr>
                <w:rFonts w:ascii="Arial" w:cs="Arial" w:eastAsia="Arial" w:hAnsi="Arial"/>
                <w:sz w:val="16"/>
                <w:szCs w:val="16"/>
                <w:color w:val="auto"/>
              </w:rPr>
              <w:t>Total recorded at fair value</w:t>
            </w:r>
          </w:p>
        </w:tc>
        <w:tc>
          <w:tcPr>
            <w:tcW w:w="1040" w:type="dxa"/>
            <w:vAlign w:val="bottom"/>
          </w:tcPr>
          <w:p>
            <w:pPr>
              <w:jc w:val="right"/>
              <w:ind w:right="861"/>
              <w:spacing w:after="0"/>
              <w:rPr>
                <w:sz w:val="20"/>
                <w:szCs w:val="20"/>
                <w:color w:val="auto"/>
              </w:rPr>
            </w:pPr>
            <w:r>
              <w:rPr>
                <w:rFonts w:ascii="Arial" w:cs="Arial" w:eastAsia="Arial" w:hAnsi="Arial"/>
                <w:sz w:val="16"/>
                <w:szCs w:val="16"/>
                <w:color w:val="auto"/>
                <w:w w:val="89"/>
              </w:rPr>
              <w:t>$</w:t>
            </w:r>
          </w:p>
        </w:tc>
        <w:tc>
          <w:tcPr>
            <w:tcW w:w="420" w:type="dxa"/>
            <w:vAlign w:val="bottom"/>
          </w:tcPr>
          <w:p>
            <w:pPr>
              <w:jc w:val="right"/>
              <w:spacing w:after="0"/>
              <w:rPr>
                <w:sz w:val="20"/>
                <w:szCs w:val="20"/>
                <w:color w:val="auto"/>
              </w:rPr>
            </w:pPr>
            <w:r>
              <w:rPr>
                <w:rFonts w:ascii="Arial" w:cs="Arial" w:eastAsia="Arial" w:hAnsi="Arial"/>
                <w:sz w:val="16"/>
                <w:szCs w:val="16"/>
                <w:color w:val="auto"/>
                <w:w w:val="96"/>
              </w:rPr>
              <w:t>(111)</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6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6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23"/>
        </w:trPr>
        <w:tc>
          <w:tcPr>
            <w:tcW w:w="4360" w:type="dxa"/>
            <w:vAlign w:val="bottom"/>
          </w:tcPr>
          <w:p>
            <w:pPr>
              <w:spacing w:after="0"/>
              <w:rPr>
                <w:sz w:val="2"/>
                <w:szCs w:val="2"/>
                <w:color w:val="auto"/>
              </w:rPr>
            </w:pPr>
          </w:p>
        </w:tc>
        <w:tc>
          <w:tcPr>
            <w:tcW w:w="1040" w:type="dxa"/>
            <w:vAlign w:val="bottom"/>
            <w:tcBorders>
              <w:top w:val="single" w:sz="8" w:color="auto"/>
              <w:bottom w:val="single" w:sz="8" w:color="auto"/>
            </w:tcBorders>
          </w:tcPr>
          <w:p>
            <w:pPr>
              <w:spacing w:after="0"/>
              <w:rPr>
                <w:sz w:val="2"/>
                <w:szCs w:val="2"/>
                <w:color w:val="auto"/>
              </w:rPr>
            </w:pPr>
          </w:p>
        </w:tc>
        <w:tc>
          <w:tcPr>
            <w:tcW w:w="4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11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114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114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320" w:hanging="312"/>
        <w:spacing w:after="0"/>
        <w:tabs>
          <w:tab w:leader="none" w:pos="320" w:val="left"/>
        </w:tabs>
        <w:numPr>
          <w:ilvl w:val="0"/>
          <w:numId w:val="18"/>
        </w:numPr>
        <w:rPr>
          <w:rFonts w:ascii="Arial" w:cs="Arial" w:eastAsia="Arial" w:hAnsi="Arial"/>
          <w:sz w:val="21"/>
          <w:szCs w:val="21"/>
          <w:b w:val="1"/>
          <w:bCs w:val="1"/>
          <w:color w:val="auto"/>
          <w:vertAlign w:val="superscript"/>
        </w:rPr>
      </w:pPr>
      <w:r>
        <w:rPr>
          <w:rFonts w:ascii="Arial" w:cs="Arial" w:eastAsia="Arial" w:hAnsi="Arial"/>
          <w:sz w:val="16"/>
          <w:szCs w:val="16"/>
          <w:color w:val="auto"/>
        </w:rPr>
        <w:t>Represents put option issued to noncontrolling shareholders in connection with the 5.11 and Liberty acquisitions.</w:t>
      </w:r>
    </w:p>
    <w:p>
      <w:pPr>
        <w:spacing w:after="0" w:line="208"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Reconciliations of the change in the carrying value of the Level 3 fair value measurements from January 1, 2019 through September 30, 2020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ectPr>
          <w:pgSz w:w="11900" w:h="16838" w:orient="portrait"/>
          <w:cols w:equalWidth="0" w:num="1">
            <w:col w:w="11240"/>
          </w:cols>
          <w:pgMar w:left="320" w:top="1118" w:right="339" w:bottom="1440" w:gutter="0" w:footer="0" w:header="0"/>
        </w:sectPr>
      </w:pPr>
    </w:p>
    <w:p>
      <w:pPr>
        <w:spacing w:after="0" w:line="322"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Balance at January 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-134620</wp:posOffset>
            </wp:positionV>
            <wp:extent cx="5580380" cy="1454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580380" cy="145415"/>
                    </a:xfrm>
                    <a:prstGeom prst="rect">
                      <a:avLst/>
                    </a:prstGeom>
                    <a:noFill/>
                  </pic:spPr>
                </pic:pic>
              </a:graphicData>
            </a:graphic>
          </wp:anchor>
        </w:drawing>
      </w:r>
    </w:p>
    <w:p>
      <w:pPr>
        <w:spacing w:after="0" w:line="12" w:lineRule="exact"/>
        <w:rPr>
          <w:sz w:val="20"/>
          <w:szCs w:val="20"/>
          <w:color w:val="auto"/>
        </w:rPr>
      </w:pPr>
    </w:p>
    <w:p>
      <w:pPr>
        <w:ind w:left="1240" w:right="970"/>
        <w:spacing w:after="0" w:line="267" w:lineRule="auto"/>
        <w:rPr>
          <w:sz w:val="20"/>
          <w:szCs w:val="20"/>
          <w:color w:val="auto"/>
        </w:rPr>
      </w:pPr>
      <w:r>
        <w:rPr>
          <w:rFonts w:ascii="Arial" w:cs="Arial" w:eastAsia="Arial" w:hAnsi="Arial"/>
          <w:sz w:val="16"/>
          <w:szCs w:val="16"/>
          <w:color w:val="auto"/>
        </w:rPr>
        <w:t>Decrease in the fair value of put option of noncontrolling shareholder - Liberty Increase in the fair value of put option of noncontrolling shareholder - 5.11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-132080</wp:posOffset>
            </wp:positionV>
            <wp:extent cx="5580380"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580380" cy="137160"/>
                    </a:xfrm>
                    <a:prstGeom prst="rect">
                      <a:avLst/>
                    </a:prstGeom>
                    <a:noFill/>
                  </pic:spPr>
                </pic:pic>
              </a:graphicData>
            </a:graphic>
          </wp:anchor>
        </w:drawing>
      </w:r>
    </w:p>
    <w:p>
      <w:pPr>
        <w:ind w:left="1240"/>
        <w:spacing w:after="0" w:line="204" w:lineRule="auto"/>
        <w:rPr>
          <w:sz w:val="20"/>
          <w:szCs w:val="20"/>
          <w:color w:val="auto"/>
        </w:rPr>
      </w:pPr>
      <w:r>
        <w:rPr>
          <w:rFonts w:ascii="Arial" w:cs="Arial" w:eastAsia="Arial" w:hAnsi="Arial"/>
          <w:sz w:val="16"/>
          <w:szCs w:val="16"/>
          <w:color w:val="auto"/>
        </w:rPr>
        <w:t xml:space="preserve">Adjustment to Ravin contingent consideration </w:t>
      </w:r>
      <w:r>
        <w:rPr>
          <w:rFonts w:ascii="Arial" w:cs="Arial" w:eastAsia="Arial" w:hAnsi="Arial"/>
          <w:sz w:val="23"/>
          <w:szCs w:val="23"/>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-635</wp:posOffset>
            </wp:positionV>
            <wp:extent cx="5580380"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580380" cy="137160"/>
                    </a:xfrm>
                    <a:prstGeom prst="rect">
                      <a:avLst/>
                    </a:prstGeom>
                    <a:noFill/>
                  </pic:spPr>
                </pic:pic>
              </a:graphicData>
            </a:graphic>
          </wp:anchor>
        </w:drawing>
      </w:r>
    </w:p>
    <w:p>
      <w:pPr>
        <w:ind w:left="1240"/>
        <w:spacing w:after="0" w:line="220" w:lineRule="auto"/>
        <w:rPr>
          <w:sz w:val="20"/>
          <w:szCs w:val="20"/>
          <w:color w:val="auto"/>
        </w:rPr>
      </w:pPr>
      <w:r>
        <w:rPr>
          <w:rFonts w:ascii="Arial" w:cs="Arial" w:eastAsia="Arial" w:hAnsi="Arial"/>
          <w:sz w:val="16"/>
          <w:szCs w:val="16"/>
          <w:color w:val="auto"/>
        </w:rPr>
        <w:t xml:space="preserve">Payment of contingent consideration - Ravin </w:t>
      </w:r>
      <w:r>
        <w:rPr>
          <w:rFonts w:ascii="Arial" w:cs="Arial" w:eastAsia="Arial" w:hAnsi="Arial"/>
          <w:sz w:val="23"/>
          <w:szCs w:val="23"/>
          <w:b w:val="1"/>
          <w:bCs w:val="1"/>
          <w:color w:val="auto"/>
          <w:vertAlign w:val="superscript"/>
        </w:rPr>
        <w:t>(1)</w:t>
      </w:r>
    </w:p>
    <w:p>
      <w:pPr>
        <w:spacing w:after="0" w:line="1"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Balance at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10795</wp:posOffset>
            </wp:positionV>
            <wp:extent cx="5580380"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580380" cy="137160"/>
                    </a:xfrm>
                    <a:prstGeom prst="rect">
                      <a:avLst/>
                    </a:prstGeom>
                    <a:noFill/>
                  </pic:spPr>
                </pic:pic>
              </a:graphicData>
            </a:graphic>
          </wp:anchor>
        </w:drawing>
      </w:r>
    </w:p>
    <w:p>
      <w:pPr>
        <w:spacing w:after="0" w:line="12" w:lineRule="exact"/>
        <w:rPr>
          <w:sz w:val="20"/>
          <w:szCs w:val="20"/>
          <w:color w:val="auto"/>
        </w:rPr>
      </w:pPr>
    </w:p>
    <w:p>
      <w:pPr>
        <w:ind w:left="1240" w:right="1030"/>
        <w:spacing w:after="0" w:line="295" w:lineRule="auto"/>
        <w:rPr>
          <w:sz w:val="20"/>
          <w:szCs w:val="20"/>
          <w:color w:val="auto"/>
        </w:rPr>
      </w:pPr>
      <w:r>
        <w:rPr>
          <w:rFonts w:ascii="Arial" w:cs="Arial" w:eastAsia="Arial" w:hAnsi="Arial"/>
          <w:sz w:val="16"/>
          <w:szCs w:val="16"/>
          <w:color w:val="auto"/>
        </w:rPr>
        <w:t>Increase in the fair value of put option of noncontrolling shareholder - Liberty Increase in the fair value of put option of noncontrolling shareholder - 5.11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-22225</wp:posOffset>
            </wp:positionV>
            <wp:extent cx="5580380" cy="1631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580380" cy="163195"/>
                    </a:xfrm>
                    <a:prstGeom prst="rect">
                      <a:avLst/>
                    </a:prstGeom>
                    <a:noFill/>
                  </pic:spPr>
                </pic:pic>
              </a:graphicData>
            </a:graphic>
          </wp:anchor>
        </w:drawing>
      </w:r>
    </w:p>
    <w:p>
      <w:pPr>
        <w:ind w:left="1240"/>
        <w:spacing w:after="0"/>
        <w:rPr>
          <w:sz w:val="20"/>
          <w:szCs w:val="20"/>
          <w:color w:val="auto"/>
        </w:rPr>
      </w:pPr>
      <w:r>
        <w:rPr>
          <w:rFonts w:ascii="Arial" w:cs="Arial" w:eastAsia="Arial" w:hAnsi="Arial"/>
          <w:sz w:val="16"/>
          <w:szCs w:val="16"/>
          <w:color w:val="auto"/>
        </w:rPr>
        <w:t>Balance at September 30, 2020</w:t>
      </w:r>
    </w:p>
    <w:p>
      <w:pPr>
        <w:spacing w:after="0" w:line="20" w:lineRule="exact"/>
        <w:rPr>
          <w:sz w:val="20"/>
          <w:szCs w:val="20"/>
          <w:color w:val="auto"/>
        </w:rPr>
      </w:pPr>
      <w:r>
        <w:rPr>
          <w:sz w:val="20"/>
          <w:szCs w:val="20"/>
          <w:color w:val="auto"/>
        </w:rPr>
        <w:br w:type="column"/>
      </w:r>
    </w:p>
    <w:p>
      <w:pPr>
        <w:spacing w:after="0" w:line="63" w:lineRule="exact"/>
        <w:rPr>
          <w:sz w:val="20"/>
          <w:szCs w:val="20"/>
          <w:color w:val="auto"/>
        </w:rPr>
      </w:pPr>
    </w:p>
    <w:p>
      <w:pPr>
        <w:ind w:left="510"/>
        <w:spacing w:after="0"/>
        <w:rPr>
          <w:sz w:val="20"/>
          <w:szCs w:val="20"/>
          <w:color w:val="auto"/>
        </w:rPr>
      </w:pPr>
      <w:r>
        <w:rPr>
          <w:rFonts w:ascii="Arial" w:cs="Arial" w:eastAsia="Arial" w:hAnsi="Arial"/>
          <w:sz w:val="15"/>
          <w:szCs w:val="15"/>
          <w:b w:val="1"/>
          <w:bCs w:val="1"/>
          <w:color w:val="auto"/>
        </w:rPr>
        <w:t>Level 3</w:t>
      </w:r>
    </w:p>
    <w:p>
      <w:pPr>
        <w:spacing w:after="0" w:line="67" w:lineRule="exact"/>
        <w:rPr>
          <w:sz w:val="20"/>
          <w:szCs w:val="20"/>
          <w:color w:val="auto"/>
        </w:rPr>
      </w:pPr>
    </w:p>
    <w:p>
      <w:pPr>
        <w:ind w:left="1010" w:hanging="1010"/>
        <w:spacing w:after="0"/>
        <w:tabs>
          <w:tab w:leader="none" w:pos="1010" w:val="left"/>
        </w:tabs>
        <w:numPr>
          <w:ilvl w:val="0"/>
          <w:numId w:val="19"/>
        </w:numPr>
        <w:rPr>
          <w:rFonts w:ascii="Arial" w:cs="Arial" w:eastAsia="Arial" w:hAnsi="Arial"/>
          <w:sz w:val="16"/>
          <w:szCs w:val="16"/>
          <w:color w:val="auto"/>
        </w:rPr>
      </w:pPr>
      <w:r>
        <w:rPr>
          <w:rFonts w:ascii="Arial" w:cs="Arial" w:eastAsia="Arial" w:hAnsi="Arial"/>
          <w:sz w:val="16"/>
          <w:szCs w:val="16"/>
          <w:color w:val="auto"/>
        </w:rPr>
        <w:t>(4,547)</w:t>
      </w:r>
    </w:p>
    <w:p>
      <w:pPr>
        <w:spacing w:after="0" w:line="32" w:lineRule="exact"/>
        <w:rPr>
          <w:rFonts w:ascii="Arial" w:cs="Arial" w:eastAsia="Arial" w:hAnsi="Arial"/>
          <w:sz w:val="16"/>
          <w:szCs w:val="16"/>
          <w:color w:val="auto"/>
        </w:rPr>
      </w:pPr>
    </w:p>
    <w:p>
      <w:pPr>
        <w:ind w:left="1290"/>
        <w:spacing w:after="0"/>
        <w:rPr>
          <w:rFonts w:ascii="Arial" w:cs="Arial" w:eastAsia="Arial" w:hAnsi="Arial"/>
          <w:sz w:val="16"/>
          <w:szCs w:val="16"/>
          <w:color w:val="auto"/>
        </w:rPr>
      </w:pPr>
      <w:r>
        <w:rPr>
          <w:rFonts w:ascii="Arial" w:cs="Arial" w:eastAsia="Arial" w:hAnsi="Arial"/>
          <w:sz w:val="16"/>
          <w:szCs w:val="16"/>
          <w:color w:val="auto"/>
        </w:rPr>
        <w:t>72</w:t>
      </w:r>
    </w:p>
    <w:p>
      <w:pPr>
        <w:spacing w:after="0" w:line="32" w:lineRule="exact"/>
        <w:rPr>
          <w:sz w:val="20"/>
          <w:szCs w:val="20"/>
          <w:color w:val="auto"/>
        </w:rPr>
      </w:pPr>
    </w:p>
    <w:p>
      <w:pPr>
        <w:jc w:val="right"/>
        <w:ind w:right="1240"/>
        <w:spacing w:after="0"/>
        <w:rPr>
          <w:sz w:val="20"/>
          <w:szCs w:val="20"/>
          <w:color w:val="auto"/>
        </w:rPr>
      </w:pPr>
      <w:r>
        <w:rPr>
          <w:rFonts w:ascii="Arial" w:cs="Arial" w:eastAsia="Arial" w:hAnsi="Arial"/>
          <w:sz w:val="16"/>
          <w:szCs w:val="16"/>
          <w:color w:val="auto"/>
        </w:rPr>
        <w:t>(10)</w:t>
      </w:r>
    </w:p>
    <w:p>
      <w:pPr>
        <w:spacing w:after="0" w:line="32" w:lineRule="exact"/>
        <w:rPr>
          <w:sz w:val="20"/>
          <w:szCs w:val="20"/>
          <w:color w:val="auto"/>
        </w:rPr>
      </w:pPr>
    </w:p>
    <w:p>
      <w:pPr>
        <w:jc w:val="right"/>
        <w:ind w:right="1240"/>
        <w:spacing w:after="0"/>
        <w:rPr>
          <w:sz w:val="20"/>
          <w:szCs w:val="20"/>
          <w:color w:val="auto"/>
        </w:rPr>
      </w:pPr>
      <w:r>
        <w:rPr>
          <w:rFonts w:ascii="Arial" w:cs="Arial" w:eastAsia="Arial" w:hAnsi="Arial"/>
          <w:sz w:val="16"/>
          <w:szCs w:val="16"/>
          <w:color w:val="auto"/>
        </w:rPr>
        <w:t>(2,022)</w:t>
      </w:r>
    </w:p>
    <w:p>
      <w:pPr>
        <w:spacing w:after="0" w:line="32" w:lineRule="exact"/>
        <w:rPr>
          <w:sz w:val="20"/>
          <w:szCs w:val="20"/>
          <w:color w:val="auto"/>
        </w:rPr>
      </w:pPr>
    </w:p>
    <w:p>
      <w:pPr>
        <w:jc w:val="right"/>
        <w:ind w:right="1300"/>
        <w:spacing w:after="0"/>
        <w:rPr>
          <w:sz w:val="20"/>
          <w:szCs w:val="20"/>
          <w:color w:val="auto"/>
        </w:rPr>
      </w:pPr>
      <w:r>
        <w:rPr>
          <w:rFonts w:ascii="Arial" w:cs="Arial" w:eastAsia="Arial" w:hAnsi="Arial"/>
          <w:sz w:val="16"/>
          <w:szCs w:val="16"/>
          <w:color w:val="auto"/>
        </w:rPr>
        <w:t>6,396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10795</wp:posOffset>
            </wp:positionV>
            <wp:extent cx="99441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26" w:lineRule="exact"/>
        <w:rPr>
          <w:sz w:val="20"/>
          <w:szCs w:val="20"/>
          <w:color w:val="auto"/>
        </w:rPr>
      </w:pPr>
    </w:p>
    <w:p>
      <w:pPr>
        <w:ind w:left="1150" w:hanging="1150"/>
        <w:spacing w:after="0"/>
        <w:tabs>
          <w:tab w:leader="none" w:pos="1150" w:val="left"/>
        </w:tabs>
        <w:numPr>
          <w:ilvl w:val="0"/>
          <w:numId w:val="20"/>
        </w:numPr>
        <w:rPr>
          <w:rFonts w:ascii="Arial" w:cs="Arial" w:eastAsia="Arial" w:hAnsi="Arial"/>
          <w:sz w:val="16"/>
          <w:szCs w:val="16"/>
          <w:color w:val="auto"/>
        </w:rPr>
      </w:pPr>
      <w:r>
        <w:rPr>
          <w:rFonts w:ascii="Arial" w:cs="Arial" w:eastAsia="Arial" w:hAnsi="Arial"/>
          <w:sz w:val="16"/>
          <w:szCs w:val="16"/>
          <w:color w:val="auto"/>
        </w:rPr>
        <w:t>(111)</w:t>
      </w:r>
    </w:p>
    <w:p>
      <w:pPr>
        <w:spacing w:after="0" w:line="32" w:lineRule="exact"/>
        <w:rPr>
          <w:rFonts w:ascii="Arial" w:cs="Arial" w:eastAsia="Arial" w:hAnsi="Arial"/>
          <w:sz w:val="16"/>
          <w:szCs w:val="16"/>
          <w:color w:val="auto"/>
        </w:rPr>
      </w:pPr>
    </w:p>
    <w:p>
      <w:pPr>
        <w:ind w:left="1150"/>
        <w:spacing w:after="0"/>
        <w:rPr>
          <w:rFonts w:ascii="Arial" w:cs="Arial" w:eastAsia="Arial" w:hAnsi="Arial"/>
          <w:sz w:val="16"/>
          <w:szCs w:val="16"/>
          <w:color w:val="auto"/>
        </w:rPr>
      </w:pPr>
      <w:r>
        <w:rPr>
          <w:rFonts w:ascii="Arial" w:cs="Arial" w:eastAsia="Arial" w:hAnsi="Arial"/>
          <w:sz w:val="16"/>
          <w:szCs w:val="16"/>
          <w:color w:val="auto"/>
        </w:rPr>
        <w:t>(151)</w:t>
      </w:r>
    </w:p>
    <w:p>
      <w:pPr>
        <w:spacing w:after="0" w:line="32" w:lineRule="exact"/>
        <w:rPr>
          <w:rFonts w:ascii="Arial" w:cs="Arial" w:eastAsia="Arial" w:hAnsi="Arial"/>
          <w:sz w:val="16"/>
          <w:szCs w:val="16"/>
          <w:color w:val="auto"/>
        </w:rPr>
      </w:pPr>
    </w:p>
    <w:p>
      <w:pPr>
        <w:ind w:left="1230"/>
        <w:spacing w:after="0"/>
        <w:rPr>
          <w:rFonts w:ascii="Arial" w:cs="Arial" w:eastAsia="Arial" w:hAnsi="Arial"/>
          <w:sz w:val="16"/>
          <w:szCs w:val="16"/>
          <w:color w:val="auto"/>
        </w:rPr>
      </w:pPr>
      <w:r>
        <w:rPr>
          <w:rFonts w:ascii="Arial" w:cs="Arial" w:eastAsia="Arial" w:hAnsi="Arial"/>
          <w:sz w:val="16"/>
          <w:szCs w:val="16"/>
          <w:color w:val="auto"/>
        </w:rPr>
        <w:t>(41)</w:t>
      </w:r>
    </w:p>
    <w:p>
      <w:pPr>
        <w:spacing w:after="0" w:line="46" w:lineRule="exact"/>
        <w:rPr>
          <w:sz w:val="20"/>
          <w:szCs w:val="20"/>
          <w:color w:val="auto"/>
        </w:rPr>
      </w:pPr>
    </w:p>
    <w:p>
      <w:pPr>
        <w:ind w:left="1150" w:hanging="1150"/>
        <w:spacing w:after="0"/>
        <w:tabs>
          <w:tab w:leader="none" w:pos="1150" w:val="left"/>
        </w:tabs>
        <w:numPr>
          <w:ilvl w:val="0"/>
          <w:numId w:val="21"/>
        </w:numPr>
        <w:rPr>
          <w:rFonts w:ascii="Arial" w:cs="Arial" w:eastAsia="Arial" w:hAnsi="Arial"/>
          <w:sz w:val="16"/>
          <w:szCs w:val="16"/>
          <w:color w:val="auto"/>
        </w:rPr>
      </w:pPr>
      <w:r>
        <w:rPr>
          <w:rFonts w:ascii="Arial" w:cs="Arial" w:eastAsia="Arial" w:hAnsi="Arial"/>
          <w:sz w:val="16"/>
          <w:szCs w:val="16"/>
          <w:color w:val="auto"/>
        </w:rPr>
        <w:t>(303)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36195</wp:posOffset>
            </wp:positionV>
            <wp:extent cx="99441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227" w:lineRule="exact"/>
        <w:rPr>
          <w:sz w:val="20"/>
          <w:szCs w:val="20"/>
          <w:color w:val="auto"/>
        </w:rPr>
      </w:pPr>
    </w:p>
    <w:p>
      <w:pPr>
        <w:sectPr>
          <w:pgSz w:w="11900" w:h="16838" w:orient="portrait"/>
          <w:cols w:equalWidth="0" w:num="2">
            <w:col w:w="7750" w:space="720"/>
            <w:col w:w="2770"/>
          </w:cols>
          <w:pgMar w:left="320" w:top="1118" w:right="339" w:bottom="1440" w:gutter="0" w:footer="0" w:header="0"/>
          <w:type w:val="continuous"/>
        </w:sectPr>
      </w:pPr>
    </w:p>
    <w:p>
      <w:pPr>
        <w:spacing w:after="0" w:line="5" w:lineRule="exact"/>
        <w:rPr>
          <w:sz w:val="20"/>
          <w:szCs w:val="20"/>
          <w:color w:val="auto"/>
        </w:rPr>
      </w:pPr>
    </w:p>
    <w:p>
      <w:pPr>
        <w:jc w:val="both"/>
        <w:ind w:firstLine="8"/>
        <w:spacing w:after="0" w:line="249" w:lineRule="auto"/>
        <w:tabs>
          <w:tab w:leader="none" w:pos="193" w:val="left"/>
        </w:tabs>
        <w:numPr>
          <w:ilvl w:val="0"/>
          <w:numId w:val="22"/>
        </w:numPr>
        <w:rPr>
          <w:rFonts w:ascii="Arial" w:cs="Arial" w:eastAsia="Arial" w:hAnsi="Arial"/>
          <w:sz w:val="22"/>
          <w:szCs w:val="22"/>
          <w:b w:val="1"/>
          <w:bCs w:val="1"/>
          <w:color w:val="auto"/>
          <w:vertAlign w:val="superscript"/>
        </w:rPr>
      </w:pPr>
      <w:r>
        <w:rPr>
          <w:rFonts w:ascii="Arial" w:cs="Arial" w:eastAsia="Arial" w:hAnsi="Arial"/>
          <w:sz w:val="17"/>
          <w:szCs w:val="17"/>
          <w:color w:val="auto"/>
        </w:rPr>
        <w:t>The contingent consideration related to Velocity's acquisition of Ravin in September 2018. The purchase price of Ravin included a potential earn-out of up to $25.0 million contingent on the achievement of certain financial metrics for the trailing twelve month period ending December 31, 2018. The fair value of the contingent consideration was estimated at $4.7 million at acquisition date and was calculated using a risk-adjusted option pricing model. The earnout was adjusted to $6.4 million and paid out during the year ended December 31, 2019.</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Valuation Techniques</w:t>
      </w:r>
    </w:p>
    <w:p>
      <w:pPr>
        <w:spacing w:after="0" w:line="18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has not changed its valuation techniques in measuring the fair value of any of its other financial assets and liabilities during the period. For details of the Company’s fair value measurement policies under the fair value hierarchy, refer to the Company’s Annual Report on Form 10-K for the year ended December 31, 2019.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Nonrecurring Fair Value Measurements</w:t>
      </w:r>
    </w:p>
    <w:p>
      <w:pPr>
        <w:spacing w:after="0" w:line="135" w:lineRule="exact"/>
        <w:rPr>
          <w:sz w:val="20"/>
          <w:szCs w:val="20"/>
          <w:color w:val="auto"/>
        </w:rPr>
      </w:pPr>
    </w:p>
    <w:p>
      <w:pPr>
        <w:jc w:val="both"/>
        <w:spacing w:after="0" w:line="254" w:lineRule="auto"/>
        <w:rPr>
          <w:rFonts w:ascii="Arial" w:cs="Arial" w:eastAsia="Arial" w:hAnsi="Arial"/>
          <w:sz w:val="18"/>
          <w:szCs w:val="18"/>
          <w:color w:val="0000FF"/>
        </w:rPr>
      </w:pPr>
      <w:r>
        <w:rPr>
          <w:rFonts w:ascii="Arial" w:cs="Arial" w:eastAsia="Arial" w:hAnsi="Arial"/>
          <w:sz w:val="18"/>
          <w:szCs w:val="18"/>
          <w:color w:val="auto"/>
        </w:rPr>
        <w:t xml:space="preserve">There were no assets or liabilities measured on a non-recurring basis during the quarter ended September 30, 2020. The following table </w:t>
      </w:r>
      <w:hyperlink w:anchor="page22">
        <w:r>
          <w:rPr>
            <w:rFonts w:ascii="Arial" w:cs="Arial" w:eastAsia="Arial" w:hAnsi="Arial"/>
            <w:sz w:val="18"/>
            <w:szCs w:val="18"/>
            <w:color w:val="auto"/>
          </w:rPr>
          <w:t>provides the assets and liabilities carried at fair value measured on a non-recurring basis as of December 31, 2019. Refer to "</w:t>
        </w:r>
        <w:r>
          <w:rPr>
            <w:rFonts w:ascii="Arial" w:cs="Arial" w:eastAsia="Arial" w:hAnsi="Arial"/>
            <w:sz w:val="18"/>
            <w:szCs w:val="18"/>
            <w:u w:val="single" w:color="auto"/>
            <w:color w:val="0000FF"/>
          </w:rPr>
          <w:t>Note G –</w:t>
        </w:r>
      </w:hyperlink>
      <w:r>
        <w:rPr>
          <w:rFonts w:ascii="Arial" w:cs="Arial" w:eastAsia="Arial" w:hAnsi="Arial"/>
          <w:sz w:val="18"/>
          <w:szCs w:val="18"/>
          <w:color w:val="auto"/>
        </w:rPr>
        <w:t xml:space="preserve"> </w:t>
      </w:r>
      <w:hyperlink w:anchor="page22">
        <w:r>
          <w:rPr>
            <w:rFonts w:ascii="Arial" w:cs="Arial" w:eastAsia="Arial" w:hAnsi="Arial"/>
            <w:sz w:val="18"/>
            <w:szCs w:val="18"/>
            <w:u w:val="single" w:color="auto"/>
            <w:color w:val="0000FF"/>
          </w:rPr>
          <w:t>Goodwill and Other Intangible Assets</w:t>
        </w:r>
        <w:r>
          <w:rPr>
            <w:rFonts w:ascii="Arial" w:cs="Arial" w:eastAsia="Arial" w:hAnsi="Arial"/>
            <w:sz w:val="18"/>
            <w:szCs w:val="18"/>
            <w:color w:val="000000"/>
          </w:rPr>
          <w:t>", for a description of the valuation techniques used to determine fair value of the assets measured on a</w:t>
        </w:r>
      </w:hyperlink>
      <w:r>
        <w:rPr>
          <w:rFonts w:ascii="Arial" w:cs="Arial" w:eastAsia="Arial" w:hAnsi="Arial"/>
          <w:sz w:val="18"/>
          <w:szCs w:val="18"/>
          <w:color w:val="0000FF"/>
        </w:rPr>
        <w:t xml:space="preserve"> </w:t>
      </w:r>
      <w:r>
        <w:rPr>
          <w:rFonts w:ascii="Arial" w:cs="Arial" w:eastAsia="Arial" w:hAnsi="Arial"/>
          <w:sz w:val="18"/>
          <w:szCs w:val="18"/>
          <w:color w:val="000000"/>
        </w:rPr>
        <w:t>non-recurring basis in the table below.</w:t>
      </w:r>
    </w:p>
    <w:p>
      <w:pPr>
        <w:spacing w:after="0" w:line="156" w:lineRule="exact"/>
        <w:rPr>
          <w:sz w:val="20"/>
          <w:szCs w:val="20"/>
          <w:color w:val="auto"/>
        </w:rPr>
      </w:pPr>
    </w:p>
    <w:tbl>
      <w:tblPr>
        <w:tblLayout w:type="fixed"/>
        <w:tblInd w:w="740" w:type="dxa"/>
        <w:tblCellMar>
          <w:top w:w="0" w:type="dxa"/>
          <w:left w:w="0" w:type="dxa"/>
          <w:bottom w:w="0" w:type="dxa"/>
          <w:right w:w="0" w:type="dxa"/>
        </w:tblCellMar>
      </w:tblPr>
      <w:tr>
        <w:trPr>
          <w:trHeight w:val="206"/>
        </w:trPr>
        <w:tc>
          <w:tcPr>
            <w:tcW w:w="29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center"/>
              <w:ind w:right="124"/>
              <w:spacing w:after="0"/>
              <w:rPr>
                <w:sz w:val="20"/>
                <w:szCs w:val="20"/>
                <w:color w:val="auto"/>
              </w:rPr>
            </w:pPr>
            <w:r>
              <w:rPr>
                <w:rFonts w:ascii="Arial" w:cs="Arial" w:eastAsia="Arial" w:hAnsi="Arial"/>
                <w:sz w:val="15"/>
                <w:szCs w:val="15"/>
                <w:b w:val="1"/>
                <w:bCs w:val="1"/>
                <w:color w:val="auto"/>
              </w:rPr>
              <w:t>Expense</w:t>
            </w:r>
          </w:p>
        </w:tc>
        <w:tc>
          <w:tcPr>
            <w:tcW w:w="0" w:type="dxa"/>
            <w:vAlign w:val="bottom"/>
          </w:tcPr>
          <w:p>
            <w:pPr>
              <w:spacing w:after="0"/>
              <w:rPr>
                <w:sz w:val="1"/>
                <w:szCs w:val="1"/>
                <w:color w:val="auto"/>
              </w:rPr>
            </w:pPr>
          </w:p>
        </w:tc>
      </w:tr>
      <w:tr>
        <w:trPr>
          <w:trHeight w:val="200"/>
        </w:trPr>
        <w:tc>
          <w:tcPr>
            <w:tcW w:w="29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580" w:type="dxa"/>
            <w:vAlign w:val="bottom"/>
            <w:tcBorders>
              <w:bottom w:val="single" w:sz="8" w:color="auto"/>
            </w:tcBorders>
            <w:gridSpan w:val="8"/>
          </w:tcPr>
          <w:p>
            <w:pPr>
              <w:jc w:val="right"/>
              <w:ind w:right="584"/>
              <w:spacing w:after="0"/>
              <w:rPr>
                <w:sz w:val="20"/>
                <w:szCs w:val="20"/>
                <w:color w:val="auto"/>
              </w:rPr>
            </w:pPr>
            <w:r>
              <w:rPr>
                <w:rFonts w:ascii="Arial" w:cs="Arial" w:eastAsia="Arial" w:hAnsi="Arial"/>
                <w:sz w:val="15"/>
                <w:szCs w:val="15"/>
                <w:b w:val="1"/>
                <w:bCs w:val="1"/>
                <w:color w:val="auto"/>
              </w:rPr>
              <w:t>Fair Value Measurements at December 31, 2019</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center"/>
              <w:ind w:right="124"/>
              <w:spacing w:after="0"/>
              <w:rPr>
                <w:sz w:val="20"/>
                <w:szCs w:val="20"/>
                <w:color w:val="auto"/>
              </w:rPr>
            </w:pPr>
            <w:r>
              <w:rPr>
                <w:rFonts w:ascii="Arial" w:cs="Arial" w:eastAsia="Arial" w:hAnsi="Arial"/>
                <w:sz w:val="15"/>
                <w:szCs w:val="15"/>
                <w:b w:val="1"/>
                <w:bCs w:val="1"/>
                <w:color w:val="auto"/>
                <w:w w:val="98"/>
              </w:rPr>
              <w:t>Year ended</w:t>
            </w:r>
          </w:p>
        </w:tc>
        <w:tc>
          <w:tcPr>
            <w:tcW w:w="0" w:type="dxa"/>
            <w:vAlign w:val="bottom"/>
          </w:tcPr>
          <w:p>
            <w:pPr>
              <w:spacing w:after="0"/>
              <w:rPr>
                <w:sz w:val="1"/>
                <w:szCs w:val="1"/>
                <w:color w:val="auto"/>
              </w:rPr>
            </w:pPr>
          </w:p>
        </w:tc>
      </w:tr>
      <w:tr>
        <w:trPr>
          <w:trHeight w:val="142"/>
        </w:trPr>
        <w:tc>
          <w:tcPr>
            <w:tcW w:w="2960" w:type="dxa"/>
            <w:vAlign w:val="bottom"/>
            <w:vMerge w:val="restart"/>
          </w:tcPr>
          <w:p>
            <w:pPr>
              <w:ind w:left="20"/>
              <w:spacing w:after="0"/>
              <w:rPr>
                <w:sz w:val="20"/>
                <w:szCs w:val="20"/>
                <w:color w:val="auto"/>
              </w:rPr>
            </w:pPr>
            <w:r>
              <w:rPr>
                <w:rFonts w:ascii="Arial" w:cs="Arial" w:eastAsia="Arial" w:hAnsi="Arial"/>
                <w:sz w:val="15"/>
                <w:szCs w:val="15"/>
                <w:i w:val="1"/>
                <w:iCs w:val="1"/>
                <w:color w:val="auto"/>
              </w:rPr>
              <w:t>(in thousands)</w:t>
            </w:r>
          </w:p>
        </w:tc>
        <w:tc>
          <w:tcPr>
            <w:tcW w:w="180" w:type="dxa"/>
            <w:vAlign w:val="bottom"/>
          </w:tcPr>
          <w:p>
            <w:pPr>
              <w:spacing w:after="0"/>
              <w:rPr>
                <w:sz w:val="12"/>
                <w:szCs w:val="12"/>
                <w:color w:val="auto"/>
              </w:rPr>
            </w:pPr>
          </w:p>
        </w:tc>
        <w:tc>
          <w:tcPr>
            <w:tcW w:w="1040" w:type="dxa"/>
            <w:vAlign w:val="bottom"/>
            <w:gridSpan w:val="2"/>
          </w:tcPr>
          <w:p>
            <w:pPr>
              <w:jc w:val="center"/>
              <w:ind w:right="280"/>
              <w:spacing w:after="0" w:line="142" w:lineRule="exact"/>
              <w:rPr>
                <w:sz w:val="20"/>
                <w:szCs w:val="20"/>
                <w:color w:val="auto"/>
              </w:rPr>
            </w:pPr>
            <w:r>
              <w:rPr>
                <w:rFonts w:ascii="Arial" w:cs="Arial" w:eastAsia="Arial" w:hAnsi="Arial"/>
                <w:sz w:val="15"/>
                <w:szCs w:val="15"/>
                <w:b w:val="1"/>
                <w:bCs w:val="1"/>
                <w:color w:val="auto"/>
              </w:rPr>
              <w:t>Carrying</w:t>
            </w:r>
          </w:p>
        </w:tc>
        <w:tc>
          <w:tcPr>
            <w:tcW w:w="200" w:type="dxa"/>
            <w:vAlign w:val="bottom"/>
          </w:tcPr>
          <w:p>
            <w:pPr>
              <w:spacing w:after="0"/>
              <w:rPr>
                <w:sz w:val="12"/>
                <w:szCs w:val="12"/>
                <w:color w:val="auto"/>
              </w:rPr>
            </w:pPr>
          </w:p>
        </w:tc>
        <w:tc>
          <w:tcPr>
            <w:tcW w:w="900" w:type="dxa"/>
            <w:vAlign w:val="bottom"/>
            <w:vMerge w:val="restart"/>
          </w:tcPr>
          <w:p>
            <w:pPr>
              <w:ind w:left="100"/>
              <w:spacing w:after="0"/>
              <w:rPr>
                <w:sz w:val="20"/>
                <w:szCs w:val="20"/>
                <w:color w:val="auto"/>
              </w:rPr>
            </w:pPr>
            <w:r>
              <w:rPr>
                <w:rFonts w:ascii="Arial" w:cs="Arial" w:eastAsia="Arial" w:hAnsi="Arial"/>
                <w:sz w:val="15"/>
                <w:szCs w:val="15"/>
                <w:b w:val="1"/>
                <w:bCs w:val="1"/>
                <w:color w:val="auto"/>
              </w:rPr>
              <w:t>Level 1</w:t>
            </w:r>
          </w:p>
        </w:tc>
        <w:tc>
          <w:tcPr>
            <w:tcW w:w="120" w:type="dxa"/>
            <w:vAlign w:val="bottom"/>
            <w:vMerge w:val="restart"/>
          </w:tcPr>
          <w:p>
            <w:pPr>
              <w:spacing w:after="0"/>
              <w:rPr>
                <w:sz w:val="12"/>
                <w:szCs w:val="12"/>
                <w:color w:val="auto"/>
              </w:rPr>
            </w:pPr>
          </w:p>
        </w:tc>
        <w:tc>
          <w:tcPr>
            <w:tcW w:w="200" w:type="dxa"/>
            <w:vAlign w:val="bottom"/>
            <w:vMerge w:val="restart"/>
          </w:tcPr>
          <w:p>
            <w:pPr>
              <w:spacing w:after="0"/>
              <w:rPr>
                <w:sz w:val="12"/>
                <w:szCs w:val="12"/>
                <w:color w:val="auto"/>
              </w:rPr>
            </w:pPr>
          </w:p>
        </w:tc>
        <w:tc>
          <w:tcPr>
            <w:tcW w:w="1220" w:type="dxa"/>
            <w:vAlign w:val="bottom"/>
            <w:vMerge w:val="restart"/>
          </w:tcPr>
          <w:p>
            <w:pPr>
              <w:ind w:left="100"/>
              <w:spacing w:after="0"/>
              <w:rPr>
                <w:sz w:val="20"/>
                <w:szCs w:val="20"/>
                <w:color w:val="auto"/>
              </w:rPr>
            </w:pPr>
            <w:r>
              <w:rPr>
                <w:rFonts w:ascii="Arial" w:cs="Arial" w:eastAsia="Arial" w:hAnsi="Arial"/>
                <w:sz w:val="15"/>
                <w:szCs w:val="15"/>
                <w:b w:val="1"/>
                <w:bCs w:val="1"/>
                <w:color w:val="auto"/>
              </w:rPr>
              <w:t>Level 2</w:t>
            </w:r>
          </w:p>
        </w:tc>
        <w:tc>
          <w:tcPr>
            <w:tcW w:w="900" w:type="dxa"/>
            <w:vAlign w:val="bottom"/>
            <w:vMerge w:val="restart"/>
          </w:tcPr>
          <w:p>
            <w:pPr>
              <w:jc w:val="right"/>
              <w:ind w:right="224"/>
              <w:spacing w:after="0"/>
              <w:rPr>
                <w:sz w:val="20"/>
                <w:szCs w:val="20"/>
                <w:color w:val="auto"/>
              </w:rPr>
            </w:pPr>
            <w:r>
              <w:rPr>
                <w:rFonts w:ascii="Arial" w:cs="Arial" w:eastAsia="Arial" w:hAnsi="Arial"/>
                <w:sz w:val="15"/>
                <w:szCs w:val="15"/>
                <w:b w:val="1"/>
                <w:bCs w:val="1"/>
                <w:color w:val="auto"/>
              </w:rPr>
              <w:t>Level 3</w:t>
            </w:r>
          </w:p>
        </w:tc>
        <w:tc>
          <w:tcPr>
            <w:tcW w:w="10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760" w:type="dxa"/>
            <w:vAlign w:val="bottom"/>
            <w:vMerge w:val="restart"/>
          </w:tcPr>
          <w:p>
            <w:pPr>
              <w:jc w:val="center"/>
              <w:ind w:right="124"/>
              <w:spacing w:after="0"/>
              <w:rPr>
                <w:sz w:val="20"/>
                <w:szCs w:val="20"/>
                <w:color w:val="auto"/>
              </w:rPr>
            </w:pPr>
            <w:r>
              <w:rPr>
                <w:rFonts w:ascii="Arial" w:cs="Arial" w:eastAsia="Arial" w:hAnsi="Arial"/>
                <w:sz w:val="15"/>
                <w:szCs w:val="15"/>
                <w:b w:val="1"/>
                <w:bCs w:val="1"/>
                <w:color w:val="auto"/>
              </w:rPr>
              <w:t>December 31, 2019</w:t>
            </w:r>
          </w:p>
        </w:tc>
        <w:tc>
          <w:tcPr>
            <w:tcW w:w="0" w:type="dxa"/>
            <w:vAlign w:val="bottom"/>
          </w:tcPr>
          <w:p>
            <w:pPr>
              <w:spacing w:after="0"/>
              <w:rPr>
                <w:sz w:val="1"/>
                <w:szCs w:val="1"/>
                <w:color w:val="auto"/>
              </w:rPr>
            </w:pPr>
          </w:p>
        </w:tc>
      </w:tr>
      <w:tr>
        <w:trPr>
          <w:trHeight w:val="202"/>
        </w:trPr>
        <w:tc>
          <w:tcPr>
            <w:tcW w:w="2960" w:type="dxa"/>
            <w:vAlign w:val="bottom"/>
            <w:tcBorders>
              <w:bottom w:val="single" w:sz="8" w:color="CCEEFF"/>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104"/>
              <w:spacing w:after="0"/>
              <w:rPr>
                <w:sz w:val="20"/>
                <w:szCs w:val="20"/>
                <w:color w:val="auto"/>
              </w:rPr>
            </w:pPr>
            <w:r>
              <w:rPr>
                <w:rFonts w:ascii="Arial" w:cs="Arial" w:eastAsia="Arial" w:hAnsi="Arial"/>
                <w:sz w:val="15"/>
                <w:szCs w:val="15"/>
                <w:b w:val="1"/>
                <w:bCs w:val="1"/>
                <w:color w:val="auto"/>
                <w:w w:val="99"/>
              </w:rPr>
              <w:t>Value</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960" w:type="dxa"/>
            <w:vAlign w:val="bottom"/>
            <w:shd w:val="clear" w:color="auto" w:fill="CCEEFF"/>
          </w:tcPr>
          <w:p>
            <w:pPr>
              <w:ind w:left="20"/>
              <w:spacing w:after="0"/>
              <w:rPr>
                <w:sz w:val="20"/>
                <w:szCs w:val="20"/>
                <w:color w:val="auto"/>
              </w:rPr>
            </w:pPr>
            <w:r>
              <w:rPr>
                <w:rFonts w:ascii="Arial" w:cs="Arial" w:eastAsia="Arial" w:hAnsi="Arial"/>
                <w:sz w:val="15"/>
                <w:szCs w:val="15"/>
                <w:color w:val="auto"/>
              </w:rPr>
              <w:t>Goodwill - Velocity Outdoor</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30,079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220" w:type="dxa"/>
            <w:vAlign w:val="bottom"/>
            <w:gridSpan w:val="3"/>
            <w:shd w:val="clear" w:color="auto" w:fill="CCEEFF"/>
          </w:tcPr>
          <w:p>
            <w:pPr>
              <w:ind w:left="680"/>
              <w:spacing w:after="0"/>
              <w:rPr>
                <w:sz w:val="20"/>
                <w:szCs w:val="20"/>
                <w:color w:val="auto"/>
              </w:rPr>
            </w:pPr>
            <w:r>
              <w:rPr>
                <w:rFonts w:ascii="Arial" w:cs="Arial" w:eastAsia="Arial" w:hAnsi="Arial"/>
                <w:sz w:val="15"/>
                <w:szCs w:val="15"/>
                <w:color w:val="auto"/>
              </w:rPr>
              <w:t>—   $</w:t>
            </w:r>
          </w:p>
        </w:tc>
        <w:tc>
          <w:tcPr>
            <w:tcW w:w="1220" w:type="dxa"/>
            <w:vAlign w:val="bottom"/>
            <w:shd w:val="clear" w:color="auto" w:fill="CCEEFF"/>
          </w:tcPr>
          <w:p>
            <w:pPr>
              <w:ind w:left="680"/>
              <w:spacing w:after="0"/>
              <w:rPr>
                <w:sz w:val="20"/>
                <w:szCs w:val="20"/>
                <w:color w:val="auto"/>
              </w:rPr>
            </w:pPr>
            <w:r>
              <w:rPr>
                <w:rFonts w:ascii="Arial" w:cs="Arial" w:eastAsia="Arial" w:hAnsi="Arial"/>
                <w:sz w:val="15"/>
                <w:szCs w:val="15"/>
                <w:color w:val="auto"/>
              </w:rPr>
              <w:t>—   $</w:t>
            </w:r>
          </w:p>
        </w:tc>
        <w:tc>
          <w:tcPr>
            <w:tcW w:w="9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30,079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7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32,881</w:t>
            </w:r>
          </w:p>
        </w:tc>
        <w:tc>
          <w:tcPr>
            <w:tcW w:w="0" w:type="dxa"/>
            <w:vAlign w:val="bottom"/>
          </w:tcPr>
          <w:p>
            <w:pPr>
              <w:spacing w:after="0"/>
              <w:rPr>
                <w:sz w:val="1"/>
                <w:szCs w:val="1"/>
                <w:color w:val="auto"/>
              </w:rPr>
            </w:pPr>
          </w:p>
        </w:tc>
      </w:tr>
    </w:tbl>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M — Income taxes</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Each fiscal quarter, the Company estimates its annual effective tax rate and applies that rate to its interim pre-tax earnings. In this regard, the Company reflects the full year’s estimated tax impact of certain unusual or infrequently occurring items and the effects of changes in tax laws or rates in the interim period in which they occur.</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type w:val="continuous"/>
        </w:sectPr>
      </w:pPr>
    </w:p>
    <w:bookmarkStart w:id="32" w:name="page33"/>
    <w:bookmarkEnd w:id="32"/>
    <w:p>
      <w:pPr>
        <w:jc w:val="both"/>
        <w:spacing w:after="0" w:line="252" w:lineRule="auto"/>
        <w:rPr>
          <w:sz w:val="20"/>
          <w:szCs w:val="20"/>
          <w:color w:val="auto"/>
        </w:rPr>
      </w:pPr>
      <w:r>
        <w:rPr>
          <w:rFonts w:ascii="Arial" w:cs="Arial" w:eastAsia="Arial" w:hAnsi="Arial"/>
          <w:sz w:val="18"/>
          <w:szCs w:val="18"/>
          <w:color w:val="auto"/>
        </w:rPr>
        <w:t>The computation of the annual estimated effective tax rate in each interim period requires certain estimates and significant judgment, including the projected operating income for the year, projections of the proportion of income earned and taxed in other jurisdictions, permanent and temporary differences and the likelihood of recovering deferred tax assets generated in the current year. The accounting estimates used to compute the provision for income taxes may change as new events occur, as additional information is obtained or as the tax environment changes. Certain foreign operations are subject to foreign income taxation under existing provisions of the laws of those jurisdictions.</w:t>
      </w:r>
    </w:p>
    <w:p>
      <w:pPr>
        <w:spacing w:after="0" w:line="100"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reconciliation between the Federal Statutory Rate and the effective income tax rate for the nine months ended September 30, 2020 and 2019 is as follows:</w:t>
      </w:r>
    </w:p>
    <w:p>
      <w:pPr>
        <w:spacing w:after="0" w:line="150" w:lineRule="exact"/>
        <w:rPr>
          <w:sz w:val="20"/>
          <w:szCs w:val="20"/>
          <w:color w:val="auto"/>
        </w:rPr>
      </w:pPr>
    </w:p>
    <w:p>
      <w:pPr>
        <w:ind w:left="7520"/>
        <w:spacing w:after="0"/>
        <w:rPr>
          <w:sz w:val="20"/>
          <w:szCs w:val="20"/>
          <w:color w:val="auto"/>
        </w:rPr>
      </w:pPr>
      <w:r>
        <w:rPr>
          <w:rFonts w:ascii="Arial" w:cs="Arial" w:eastAsia="Arial" w:hAnsi="Arial"/>
          <w:sz w:val="15"/>
          <w:szCs w:val="15"/>
          <w:b w:val="1"/>
          <w:bCs w:val="1"/>
          <w:color w:val="auto"/>
        </w:rPr>
        <w:t>Nine months ended September 30,</w:t>
      </w:r>
    </w:p>
    <w:p>
      <w:pPr>
        <w:spacing w:after="0" w:line="30" w:lineRule="exact"/>
        <w:rPr>
          <w:sz w:val="20"/>
          <w:szCs w:val="20"/>
          <w:color w:val="auto"/>
        </w:rPr>
      </w:pPr>
    </w:p>
    <w:tbl>
      <w:tblPr>
        <w:tblLayout w:type="fixed"/>
        <w:tblInd w:w="580" w:type="dxa"/>
        <w:tblCellMar>
          <w:top w:w="0" w:type="dxa"/>
          <w:left w:w="0" w:type="dxa"/>
          <w:bottom w:w="0" w:type="dxa"/>
          <w:right w:w="0" w:type="dxa"/>
        </w:tblCellMar>
      </w:tblPr>
      <w:tr>
        <w:trPr>
          <w:trHeight w:val="204"/>
        </w:trPr>
        <w:tc>
          <w:tcPr>
            <w:tcW w:w="6300" w:type="dxa"/>
            <w:vAlign w:val="bottom"/>
            <w:tcBorders>
              <w:bottom w:val="single" w:sz="8" w:color="CCEEFF"/>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2020</w:t>
            </w:r>
          </w:p>
        </w:tc>
        <w:tc>
          <w:tcPr>
            <w:tcW w:w="64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1840" w:type="dxa"/>
            <w:vAlign w:val="bottom"/>
            <w:tcBorders>
              <w:top w:val="single" w:sz="8" w:color="auto"/>
              <w:bottom w:val="single" w:sz="8" w:color="auto"/>
            </w:tcBorders>
          </w:tcPr>
          <w:p>
            <w:pPr>
              <w:jc w:val="right"/>
              <w:ind w:right="679"/>
              <w:spacing w:after="0"/>
              <w:rPr>
                <w:sz w:val="20"/>
                <w:szCs w:val="20"/>
                <w:color w:val="auto"/>
              </w:rPr>
            </w:pPr>
            <w:r>
              <w:rPr>
                <w:rFonts w:ascii="Arial" w:cs="Arial" w:eastAsia="Arial" w:hAnsi="Arial"/>
                <w:sz w:val="15"/>
                <w:szCs w:val="15"/>
                <w:b w:val="1"/>
                <w:bCs w:val="1"/>
                <w:color w:val="auto"/>
              </w:rPr>
              <w:t>2019</w:t>
            </w:r>
          </w:p>
        </w:tc>
      </w:tr>
      <w:tr>
        <w:trPr>
          <w:trHeight w:val="210"/>
        </w:trPr>
        <w:tc>
          <w:tcPr>
            <w:tcW w:w="7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United States Federal Statutory Rate</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21.0 %</w:t>
            </w:r>
          </w:p>
        </w:tc>
        <w:tc>
          <w:tcPr>
            <w:tcW w:w="12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w:t>
            </w:r>
          </w:p>
        </w:tc>
      </w:tr>
      <w:tr>
        <w:trPr>
          <w:trHeight w:val="213"/>
        </w:trPr>
        <w:tc>
          <w:tcPr>
            <w:tcW w:w="7500" w:type="dxa"/>
            <w:vAlign w:val="bottom"/>
            <w:gridSpan w:val="2"/>
          </w:tcPr>
          <w:p>
            <w:pPr>
              <w:spacing w:after="0"/>
              <w:rPr>
                <w:sz w:val="20"/>
                <w:szCs w:val="20"/>
                <w:color w:val="auto"/>
              </w:rPr>
            </w:pPr>
            <w:r>
              <w:rPr>
                <w:rFonts w:ascii="Arial" w:cs="Arial" w:eastAsia="Arial" w:hAnsi="Arial"/>
                <w:sz w:val="16"/>
                <w:szCs w:val="16"/>
                <w:color w:val="auto"/>
              </w:rPr>
              <w:t>State income taxes (net of Federal benefits)</w:t>
            </w:r>
          </w:p>
        </w:tc>
        <w:tc>
          <w:tcPr>
            <w:tcW w:w="640" w:type="dxa"/>
            <w:vAlign w:val="bottom"/>
          </w:tcPr>
          <w:p>
            <w:pPr>
              <w:jc w:val="right"/>
              <w:ind w:right="119"/>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18"/>
                <w:szCs w:val="18"/>
                <w:color w:val="auto"/>
              </w:rPr>
            </w:pPr>
          </w:p>
        </w:tc>
        <w:tc>
          <w:tcPr>
            <w:tcW w:w="1840" w:type="dxa"/>
            <w:vAlign w:val="bottom"/>
          </w:tcPr>
          <w:p>
            <w:pPr>
              <w:jc w:val="right"/>
              <w:ind w:right="119"/>
              <w:spacing w:after="0"/>
              <w:rPr>
                <w:sz w:val="20"/>
                <w:szCs w:val="20"/>
                <w:color w:val="auto"/>
              </w:rPr>
            </w:pPr>
            <w:r>
              <w:rPr>
                <w:rFonts w:ascii="Arial" w:cs="Arial" w:eastAsia="Arial" w:hAnsi="Arial"/>
                <w:sz w:val="16"/>
                <w:szCs w:val="16"/>
                <w:color w:val="auto"/>
              </w:rPr>
              <w:t>4.4</w:t>
            </w:r>
          </w:p>
        </w:tc>
      </w:tr>
      <w:tr>
        <w:trPr>
          <w:trHeight w:val="219"/>
        </w:trPr>
        <w:tc>
          <w:tcPr>
            <w:tcW w:w="7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Foreign income taxes</w:t>
            </w:r>
          </w:p>
        </w:tc>
        <w:tc>
          <w:tcPr>
            <w:tcW w:w="6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7.2</w:t>
            </w:r>
          </w:p>
        </w:tc>
      </w:tr>
      <w:tr>
        <w:trPr>
          <w:trHeight w:val="162"/>
        </w:trPr>
        <w:tc>
          <w:tcPr>
            <w:tcW w:w="7500" w:type="dxa"/>
            <w:vAlign w:val="bottom"/>
            <w:gridSpan w:val="2"/>
          </w:tcPr>
          <w:p>
            <w:pPr>
              <w:spacing w:after="0" w:line="162" w:lineRule="exact"/>
              <w:rPr>
                <w:sz w:val="20"/>
                <w:szCs w:val="20"/>
                <w:color w:val="auto"/>
              </w:rPr>
            </w:pPr>
            <w:r>
              <w:rPr>
                <w:rFonts w:ascii="Arial" w:cs="Arial" w:eastAsia="Arial" w:hAnsi="Arial"/>
                <w:sz w:val="16"/>
                <w:szCs w:val="16"/>
                <w:color w:val="auto"/>
              </w:rPr>
              <w:t>Expenses of Compass Group Diversified Holdings LLC representing a pass through to</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216"/>
        </w:trPr>
        <w:tc>
          <w:tcPr>
            <w:tcW w:w="7500" w:type="dxa"/>
            <w:vAlign w:val="bottom"/>
            <w:gridSpan w:val="2"/>
          </w:tcPr>
          <w:p>
            <w:pPr>
              <w:spacing w:after="0" w:line="216" w:lineRule="exact"/>
              <w:rPr>
                <w:sz w:val="20"/>
                <w:szCs w:val="20"/>
                <w:color w:val="auto"/>
              </w:rPr>
            </w:pPr>
            <w:r>
              <w:rPr>
                <w:rFonts w:ascii="Arial" w:cs="Arial" w:eastAsia="Arial" w:hAnsi="Arial"/>
                <w:sz w:val="16"/>
                <w:szCs w:val="16"/>
                <w:color w:val="auto"/>
              </w:rPr>
              <w:t xml:space="preserve">shareholders </w:t>
            </w:r>
            <w:r>
              <w:rPr>
                <w:rFonts w:ascii="Arial" w:cs="Arial" w:eastAsia="Arial" w:hAnsi="Arial"/>
                <w:sz w:val="21"/>
                <w:szCs w:val="21"/>
                <w:color w:val="auto"/>
                <w:vertAlign w:val="superscript"/>
              </w:rPr>
              <w:t>(1)</w:t>
            </w:r>
          </w:p>
        </w:tc>
        <w:tc>
          <w:tcPr>
            <w:tcW w:w="640" w:type="dxa"/>
            <w:vAlign w:val="bottom"/>
          </w:tcPr>
          <w:p>
            <w:pPr>
              <w:jc w:val="right"/>
              <w:ind w:right="119"/>
              <w:spacing w:after="0"/>
              <w:rPr>
                <w:sz w:val="20"/>
                <w:szCs w:val="20"/>
                <w:color w:val="auto"/>
              </w:rPr>
            </w:pPr>
            <w:r>
              <w:rPr>
                <w:rFonts w:ascii="Arial" w:cs="Arial" w:eastAsia="Arial" w:hAnsi="Arial"/>
                <w:sz w:val="16"/>
                <w:szCs w:val="16"/>
                <w:color w:val="auto"/>
              </w:rPr>
              <w:t>8.3</w:t>
            </w:r>
          </w:p>
        </w:tc>
        <w:tc>
          <w:tcPr>
            <w:tcW w:w="120" w:type="dxa"/>
            <w:vAlign w:val="bottom"/>
          </w:tcPr>
          <w:p>
            <w:pPr>
              <w:spacing w:after="0"/>
              <w:rPr>
                <w:sz w:val="18"/>
                <w:szCs w:val="18"/>
                <w:color w:val="auto"/>
              </w:rPr>
            </w:pPr>
          </w:p>
        </w:tc>
        <w:tc>
          <w:tcPr>
            <w:tcW w:w="1840" w:type="dxa"/>
            <w:vAlign w:val="bottom"/>
          </w:tcPr>
          <w:p>
            <w:pPr>
              <w:jc w:val="right"/>
              <w:ind w:right="119"/>
              <w:spacing w:after="0"/>
              <w:rPr>
                <w:sz w:val="20"/>
                <w:szCs w:val="20"/>
                <w:color w:val="auto"/>
              </w:rPr>
            </w:pPr>
            <w:r>
              <w:rPr>
                <w:rFonts w:ascii="Arial" w:cs="Arial" w:eastAsia="Arial" w:hAnsi="Arial"/>
                <w:sz w:val="16"/>
                <w:szCs w:val="16"/>
                <w:color w:val="auto"/>
              </w:rPr>
              <w:t>22.7</w:t>
            </w:r>
          </w:p>
        </w:tc>
      </w:tr>
      <w:tr>
        <w:trPr>
          <w:trHeight w:val="216"/>
        </w:trPr>
        <w:tc>
          <w:tcPr>
            <w:tcW w:w="7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Impairment expense</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8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15.7</w:t>
            </w:r>
          </w:p>
        </w:tc>
      </w:tr>
      <w:tr>
        <w:trPr>
          <w:trHeight w:val="213"/>
        </w:trPr>
        <w:tc>
          <w:tcPr>
            <w:tcW w:w="7500" w:type="dxa"/>
            <w:vAlign w:val="bottom"/>
            <w:gridSpan w:val="2"/>
          </w:tcPr>
          <w:p>
            <w:pPr>
              <w:spacing w:after="0"/>
              <w:rPr>
                <w:sz w:val="20"/>
                <w:szCs w:val="20"/>
                <w:color w:val="auto"/>
              </w:rPr>
            </w:pPr>
            <w:r>
              <w:rPr>
                <w:rFonts w:ascii="Arial" w:cs="Arial" w:eastAsia="Arial" w:hAnsi="Arial"/>
                <w:sz w:val="16"/>
                <w:szCs w:val="16"/>
                <w:color w:val="auto"/>
              </w:rPr>
              <w:t>Impact of subsidiary employee stock options</w:t>
            </w:r>
          </w:p>
        </w:tc>
        <w:tc>
          <w:tcPr>
            <w:tcW w:w="640" w:type="dxa"/>
            <w:vAlign w:val="bottom"/>
          </w:tcPr>
          <w:p>
            <w:pPr>
              <w:jc w:val="right"/>
              <w:ind w:right="119"/>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8"/>
                <w:szCs w:val="18"/>
                <w:color w:val="auto"/>
              </w:rPr>
            </w:pPr>
          </w:p>
        </w:tc>
        <w:tc>
          <w:tcPr>
            <w:tcW w:w="1840" w:type="dxa"/>
            <w:vAlign w:val="bottom"/>
          </w:tcPr>
          <w:p>
            <w:pPr>
              <w:jc w:val="right"/>
              <w:ind w:right="119"/>
              <w:spacing w:after="0"/>
              <w:rPr>
                <w:sz w:val="20"/>
                <w:szCs w:val="20"/>
                <w:color w:val="auto"/>
              </w:rPr>
            </w:pPr>
            <w:r>
              <w:rPr>
                <w:rFonts w:ascii="Arial" w:cs="Arial" w:eastAsia="Arial" w:hAnsi="Arial"/>
                <w:sz w:val="16"/>
                <w:szCs w:val="16"/>
                <w:color w:val="auto"/>
              </w:rPr>
              <w:t>0.3</w:t>
            </w:r>
          </w:p>
        </w:tc>
      </w:tr>
      <w:tr>
        <w:trPr>
          <w:trHeight w:val="219"/>
        </w:trPr>
        <w:tc>
          <w:tcPr>
            <w:tcW w:w="7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Credit utilization</w:t>
            </w:r>
          </w:p>
        </w:tc>
        <w:tc>
          <w:tcPr>
            <w:tcW w:w="6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(2.0)</w:t>
            </w:r>
          </w:p>
        </w:tc>
      </w:tr>
      <w:tr>
        <w:trPr>
          <w:trHeight w:val="213"/>
        </w:trPr>
        <w:tc>
          <w:tcPr>
            <w:tcW w:w="7500" w:type="dxa"/>
            <w:vAlign w:val="bottom"/>
            <w:gridSpan w:val="2"/>
          </w:tcPr>
          <w:p>
            <w:pPr>
              <w:spacing w:after="0"/>
              <w:rPr>
                <w:sz w:val="20"/>
                <w:szCs w:val="20"/>
                <w:color w:val="auto"/>
              </w:rPr>
            </w:pPr>
            <w:r>
              <w:rPr>
                <w:rFonts w:ascii="Arial" w:cs="Arial" w:eastAsia="Arial" w:hAnsi="Arial"/>
                <w:sz w:val="16"/>
                <w:szCs w:val="16"/>
                <w:color w:val="auto"/>
              </w:rPr>
              <w:t>Non-recognition of NOL carryforwards at subsidiaries</w:t>
            </w:r>
          </w:p>
        </w:tc>
        <w:tc>
          <w:tcPr>
            <w:tcW w:w="640" w:type="dxa"/>
            <w:vAlign w:val="bottom"/>
          </w:tcPr>
          <w:p>
            <w:pPr>
              <w:jc w:val="right"/>
              <w:ind w:right="79"/>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18"/>
                <w:szCs w:val="18"/>
                <w:color w:val="auto"/>
              </w:rPr>
            </w:pPr>
          </w:p>
        </w:tc>
        <w:tc>
          <w:tcPr>
            <w:tcW w:w="1840" w:type="dxa"/>
            <w:vAlign w:val="bottom"/>
          </w:tcPr>
          <w:p>
            <w:pPr>
              <w:jc w:val="right"/>
              <w:ind w:right="119"/>
              <w:spacing w:after="0"/>
              <w:rPr>
                <w:sz w:val="20"/>
                <w:szCs w:val="20"/>
                <w:color w:val="auto"/>
              </w:rPr>
            </w:pPr>
            <w:r>
              <w:rPr>
                <w:rFonts w:ascii="Arial" w:cs="Arial" w:eastAsia="Arial" w:hAnsi="Arial"/>
                <w:sz w:val="16"/>
                <w:szCs w:val="16"/>
                <w:color w:val="auto"/>
              </w:rPr>
              <w:t>3.9</w:t>
            </w:r>
          </w:p>
        </w:tc>
      </w:tr>
      <w:tr>
        <w:trPr>
          <w:trHeight w:val="219"/>
        </w:trPr>
        <w:tc>
          <w:tcPr>
            <w:tcW w:w="7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Effect of Tax Act</w:t>
            </w:r>
          </w:p>
        </w:tc>
        <w:tc>
          <w:tcPr>
            <w:tcW w:w="6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4.7</w:t>
            </w: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4.0</w:t>
            </w:r>
          </w:p>
        </w:tc>
      </w:tr>
      <w:tr>
        <w:trPr>
          <w:trHeight w:val="213"/>
        </w:trPr>
        <w:tc>
          <w:tcPr>
            <w:tcW w:w="63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Other</w:t>
            </w:r>
          </w:p>
        </w:tc>
        <w:tc>
          <w:tcPr>
            <w:tcW w:w="1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(2.9)</w:t>
            </w:r>
          </w:p>
        </w:tc>
        <w:tc>
          <w:tcPr>
            <w:tcW w:w="120" w:type="dxa"/>
            <w:vAlign w:val="bottom"/>
            <w:tcBorders>
              <w:bottom w:val="single" w:sz="8" w:color="CCEEFF"/>
            </w:tcBorders>
          </w:tcPr>
          <w:p>
            <w:pPr>
              <w:spacing w:after="0"/>
              <w:rPr>
                <w:sz w:val="18"/>
                <w:szCs w:val="18"/>
                <w:color w:val="auto"/>
              </w:rPr>
            </w:pPr>
          </w:p>
        </w:tc>
        <w:tc>
          <w:tcPr>
            <w:tcW w:w="1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(5.5)</w:t>
            </w:r>
          </w:p>
        </w:tc>
      </w:tr>
      <w:tr>
        <w:trPr>
          <w:trHeight w:val="230"/>
        </w:trPr>
        <w:tc>
          <w:tcPr>
            <w:tcW w:w="750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Effective income tax rate</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31.6 %</w:t>
            </w: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29.7 %</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r>
    </w:tbl>
    <w:p>
      <w:pPr>
        <w:spacing w:after="0" w:line="299" w:lineRule="exact"/>
        <w:rPr>
          <w:sz w:val="20"/>
          <w:szCs w:val="20"/>
          <w:color w:val="auto"/>
        </w:rPr>
      </w:pPr>
    </w:p>
    <w:p>
      <w:pPr>
        <w:ind w:left="340" w:hanging="332"/>
        <w:spacing w:after="0" w:line="216" w:lineRule="auto"/>
        <w:tabs>
          <w:tab w:leader="none" w:pos="402" w:val="left"/>
        </w:tabs>
        <w:numPr>
          <w:ilvl w:val="0"/>
          <w:numId w:val="23"/>
        </w:numPr>
        <w:rPr>
          <w:rFonts w:ascii="Arial" w:cs="Arial" w:eastAsia="Arial" w:hAnsi="Arial"/>
          <w:sz w:val="21"/>
          <w:szCs w:val="21"/>
          <w:b w:val="1"/>
          <w:bCs w:val="1"/>
          <w:color w:val="auto"/>
          <w:vertAlign w:val="superscript"/>
        </w:rPr>
      </w:pPr>
      <w:r>
        <w:rPr>
          <w:rFonts w:ascii="Arial" w:cs="Arial" w:eastAsia="Arial" w:hAnsi="Arial"/>
          <w:sz w:val="16"/>
          <w:szCs w:val="16"/>
          <w:color w:val="auto"/>
        </w:rPr>
        <w:t>The effective income tax rate for the nine months ended September 30, 2020 and 2019 includes a loss at the Company's parent, which is taxed as a partnership.</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N — Defined Benefit Plan</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connection with the acquisition of Arnold, the Company has a defined benefit plan covering substantially all of Arnold’s employees at its Lupfig, Switzerland location. The benefits are based on years of service and the employees’ highest average compensation during the specific period.</w:t>
      </w:r>
    </w:p>
    <w:p>
      <w:pPr>
        <w:spacing w:after="0" w:line="9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The unfunded liability of $4.9 million is recognized in the consolidated balance sheet as a component of other non-current liabilities at September 30, 2020. Net periodic benefit cost consists of the following for the three and nine months ended September 30, 2020 and 2019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87" w:lineRule="exact"/>
        <w:rPr>
          <w:sz w:val="20"/>
          <w:szCs w:val="20"/>
          <w:color w:val="auto"/>
        </w:rPr>
      </w:pPr>
    </w:p>
    <w:tbl>
      <w:tblPr>
        <w:tblLayout w:type="fixed"/>
        <w:tblInd w:w="20" w:type="dxa"/>
        <w:tblCellMar>
          <w:top w:w="0" w:type="dxa"/>
          <w:left w:w="0" w:type="dxa"/>
          <w:bottom w:w="0" w:type="dxa"/>
          <w:right w:w="0" w:type="dxa"/>
        </w:tblCellMar>
      </w:tblPr>
      <w:tr>
        <w:trPr>
          <w:trHeight w:val="206"/>
        </w:trPr>
        <w:tc>
          <w:tcPr>
            <w:tcW w:w="5420" w:type="dxa"/>
            <w:vAlign w:val="bottom"/>
          </w:tcPr>
          <w:p>
            <w:pPr>
              <w:spacing w:after="0"/>
              <w:rPr>
                <w:sz w:val="17"/>
                <w:szCs w:val="17"/>
                <w:color w:val="auto"/>
              </w:rPr>
            </w:pPr>
          </w:p>
        </w:tc>
        <w:tc>
          <w:tcPr>
            <w:tcW w:w="2960" w:type="dxa"/>
            <w:vAlign w:val="bottom"/>
            <w:gridSpan w:val="6"/>
          </w:tcPr>
          <w:p>
            <w:pPr>
              <w:ind w:left="140"/>
              <w:spacing w:after="0"/>
              <w:rPr>
                <w:sz w:val="20"/>
                <w:szCs w:val="20"/>
                <w:color w:val="auto"/>
              </w:rPr>
            </w:pPr>
            <w:r>
              <w:rPr>
                <w:rFonts w:ascii="Arial" w:cs="Arial" w:eastAsia="Arial" w:hAnsi="Arial"/>
                <w:sz w:val="15"/>
                <w:szCs w:val="15"/>
                <w:b w:val="1"/>
                <w:bCs w:val="1"/>
                <w:color w:val="auto"/>
              </w:rPr>
              <w:t>Three months ended September 30,</w:t>
            </w:r>
          </w:p>
        </w:tc>
        <w:tc>
          <w:tcPr>
            <w:tcW w:w="120" w:type="dxa"/>
            <w:vAlign w:val="bottom"/>
          </w:tcPr>
          <w:p>
            <w:pPr>
              <w:spacing w:after="0"/>
              <w:rPr>
                <w:sz w:val="17"/>
                <w:szCs w:val="17"/>
                <w:color w:val="auto"/>
              </w:rPr>
            </w:pPr>
          </w:p>
        </w:tc>
        <w:tc>
          <w:tcPr>
            <w:tcW w:w="2700" w:type="dxa"/>
            <w:vAlign w:val="bottom"/>
            <w:gridSpan w:val="4"/>
          </w:tcPr>
          <w:p>
            <w:pPr>
              <w:jc w:val="right"/>
              <w:ind w:right="80"/>
              <w:spacing w:after="0"/>
              <w:rPr>
                <w:sz w:val="20"/>
                <w:szCs w:val="20"/>
                <w:color w:val="auto"/>
              </w:rPr>
            </w:pPr>
            <w:r>
              <w:rPr>
                <w:rFonts w:ascii="Arial" w:cs="Arial" w:eastAsia="Arial" w:hAnsi="Arial"/>
                <w:sz w:val="15"/>
                <w:szCs w:val="15"/>
                <w:b w:val="1"/>
                <w:bCs w:val="1"/>
                <w:color w:val="auto"/>
              </w:rPr>
              <w:t>Nine months ended September 30,</w:t>
            </w:r>
          </w:p>
        </w:tc>
      </w:tr>
      <w:tr>
        <w:trPr>
          <w:trHeight w:val="200"/>
        </w:trPr>
        <w:tc>
          <w:tcPr>
            <w:tcW w:w="5420" w:type="dxa"/>
            <w:vAlign w:val="bottom"/>
            <w:tcBorders>
              <w:bottom w:val="single" w:sz="8" w:color="CCEEFF"/>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5"/>
                <w:szCs w:val="15"/>
                <w:b w:val="1"/>
                <w:bCs w:val="1"/>
                <w:color w:val="auto"/>
              </w:rPr>
              <w:t>2020</w:t>
            </w:r>
          </w:p>
        </w:tc>
        <w:tc>
          <w:tcPr>
            <w:tcW w:w="4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20"/>
              <w:spacing w:after="0"/>
              <w:rPr>
                <w:sz w:val="20"/>
                <w:szCs w:val="20"/>
                <w:color w:val="auto"/>
              </w:rPr>
            </w:pPr>
            <w:r>
              <w:rPr>
                <w:rFonts w:ascii="Arial" w:cs="Arial" w:eastAsia="Arial" w:hAnsi="Arial"/>
                <w:sz w:val="15"/>
                <w:szCs w:val="15"/>
                <w:b w:val="1"/>
                <w:bCs w:val="1"/>
                <w:color w:val="auto"/>
              </w:rPr>
              <w:t>2019</w:t>
            </w:r>
          </w:p>
        </w:tc>
        <w:tc>
          <w:tcPr>
            <w:tcW w:w="1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440"/>
              <w:spacing w:after="0"/>
              <w:rPr>
                <w:sz w:val="20"/>
                <w:szCs w:val="20"/>
                <w:color w:val="auto"/>
              </w:rPr>
            </w:pPr>
            <w:r>
              <w:rPr>
                <w:rFonts w:ascii="Arial" w:cs="Arial" w:eastAsia="Arial" w:hAnsi="Arial"/>
                <w:sz w:val="15"/>
                <w:szCs w:val="15"/>
                <w:b w:val="1"/>
                <w:bCs w:val="1"/>
                <w:color w:val="auto"/>
              </w:rPr>
              <w:t>2020</w:t>
            </w:r>
          </w:p>
        </w:tc>
        <w:tc>
          <w:tcPr>
            <w:tcW w:w="10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20"/>
              <w:spacing w:after="0"/>
              <w:rPr>
                <w:sz w:val="20"/>
                <w:szCs w:val="20"/>
                <w:color w:val="auto"/>
              </w:rPr>
            </w:pPr>
            <w:r>
              <w:rPr>
                <w:rFonts w:ascii="Arial" w:cs="Arial" w:eastAsia="Arial" w:hAnsi="Arial"/>
                <w:sz w:val="15"/>
                <w:szCs w:val="15"/>
                <w:b w:val="1"/>
                <w:bCs w:val="1"/>
                <w:color w:val="auto"/>
              </w:rPr>
              <w:t>2019</w:t>
            </w:r>
          </w:p>
        </w:tc>
      </w:tr>
      <w:tr>
        <w:trPr>
          <w:trHeight w:val="210"/>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Service cost</w:t>
            </w:r>
          </w:p>
        </w:tc>
        <w:tc>
          <w:tcPr>
            <w:tcW w:w="940" w:type="dxa"/>
            <w:vAlign w:val="bottom"/>
            <w:shd w:val="clear" w:color="auto" w:fill="CCEEFF"/>
          </w:tcPr>
          <w:p>
            <w:pPr>
              <w:jc w:val="right"/>
              <w:ind w:right="741"/>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w:t>
            </w:r>
          </w:p>
        </w:tc>
      </w:tr>
      <w:tr>
        <w:trPr>
          <w:trHeight w:val="213"/>
        </w:trPr>
        <w:tc>
          <w:tcPr>
            <w:tcW w:w="542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9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99</w:t>
            </w:r>
          </w:p>
        </w:tc>
      </w:tr>
      <w:tr>
        <w:trPr>
          <w:trHeight w:val="219"/>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return on plan assets</w:t>
            </w:r>
          </w:p>
        </w:tc>
        <w:tc>
          <w:tcPr>
            <w:tcW w:w="9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w:t>
            </w:r>
          </w:p>
        </w:tc>
      </w:tr>
      <w:tr>
        <w:trPr>
          <w:trHeight w:val="213"/>
        </w:trPr>
        <w:tc>
          <w:tcPr>
            <w:tcW w:w="5420" w:type="dxa"/>
            <w:vAlign w:val="bottom"/>
          </w:tcPr>
          <w:p>
            <w:pPr>
              <w:ind w:left="20"/>
              <w:spacing w:after="0"/>
              <w:rPr>
                <w:sz w:val="20"/>
                <w:szCs w:val="20"/>
                <w:color w:val="auto"/>
              </w:rPr>
            </w:pPr>
            <w:r>
              <w:rPr>
                <w:rFonts w:ascii="Arial" w:cs="Arial" w:eastAsia="Arial" w:hAnsi="Arial"/>
                <w:sz w:val="16"/>
                <w:szCs w:val="16"/>
                <w:color w:val="auto"/>
              </w:rPr>
              <w:t>Amortization of unrecognized loss</w:t>
            </w:r>
          </w:p>
        </w:tc>
        <w:tc>
          <w:tcPr>
            <w:tcW w:w="9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171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104</w:t>
            </w:r>
          </w:p>
        </w:tc>
      </w:tr>
      <w:tr>
        <w:trPr>
          <w:trHeight w:val="219"/>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curtailment</w:t>
            </w:r>
          </w:p>
        </w:tc>
        <w:tc>
          <w:tcPr>
            <w:tcW w:w="9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5420" w:type="dxa"/>
            <w:vAlign w:val="bottom"/>
          </w:tcPr>
          <w:p>
            <w:pPr>
              <w:ind w:left="20"/>
              <w:spacing w:after="0"/>
              <w:rPr>
                <w:sz w:val="20"/>
                <w:szCs w:val="20"/>
                <w:color w:val="auto"/>
              </w:rPr>
            </w:pPr>
            <w:r>
              <w:rPr>
                <w:rFonts w:ascii="Arial" w:cs="Arial" w:eastAsia="Arial" w:hAnsi="Arial"/>
                <w:sz w:val="16"/>
                <w:szCs w:val="16"/>
                <w:color w:val="auto"/>
              </w:rPr>
              <w:t>Net periodic benefit cost</w:t>
            </w:r>
          </w:p>
        </w:tc>
        <w:tc>
          <w:tcPr>
            <w:tcW w:w="940" w:type="dxa"/>
            <w:vAlign w:val="bottom"/>
            <w:tcBorders>
              <w:top w:val="single" w:sz="8" w:color="auto"/>
              <w:bottom w:val="single" w:sz="8" w:color="auto"/>
            </w:tcBorders>
          </w:tcPr>
          <w:p>
            <w:pPr>
              <w:jc w:val="right"/>
              <w:ind w:right="741"/>
              <w:spacing w:after="0"/>
              <w:rPr>
                <w:sz w:val="20"/>
                <w:szCs w:val="20"/>
                <w:color w:val="auto"/>
              </w:rPr>
            </w:pPr>
            <w:r>
              <w:rPr>
                <w:rFonts w:ascii="Arial" w:cs="Arial" w:eastAsia="Arial" w:hAnsi="Arial"/>
                <w:sz w:val="16"/>
                <w:szCs w:val="16"/>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540</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156</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904</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467</w:t>
            </w:r>
          </w:p>
        </w:tc>
      </w:tr>
      <w:tr>
        <w:trPr>
          <w:trHeight w:val="23"/>
        </w:trPr>
        <w:tc>
          <w:tcPr>
            <w:tcW w:w="54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2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the third quarter of 2020, Arnold recognized a curtailment loss as a result of the termination of certain employees at the Switzerland location who were participants in the defined benefit plan. The termination of the employees resulted in a decrease in the accumulated benefit obligation liability and a curtailment loss of $0.4 million. The curtailment loss was recognized in other comprehensive income during the three months ended September 30, 2020.</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33" w:name="page34"/>
    <w:bookmarkEnd w:id="33"/>
    <w:p>
      <w:pPr>
        <w:jc w:val="both"/>
        <w:spacing w:after="0" w:line="277" w:lineRule="auto"/>
        <w:rPr>
          <w:sz w:val="20"/>
          <w:szCs w:val="20"/>
          <w:color w:val="auto"/>
        </w:rPr>
      </w:pPr>
      <w:r>
        <w:rPr>
          <w:rFonts w:ascii="Arial" w:cs="Arial" w:eastAsia="Arial" w:hAnsi="Arial"/>
          <w:sz w:val="18"/>
          <w:szCs w:val="18"/>
          <w:color w:val="auto"/>
        </w:rPr>
        <w:t>During the nine months ended September 30, 2020, per the terms of the pension agreement, Arnold contributed $0.3 million to the plan. For the remainder of 2020, the expected contribution to the plan will be approximately $0.1 million.</w:t>
      </w:r>
    </w:p>
    <w:p>
      <w:pPr>
        <w:spacing w:after="0" w:line="18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plan assets are pooled with assets of other participating employers and are not separable; therefore, the fair values of the pension plan assets at September 30, 2020 were considered Level 3.</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O - Commitments and Contingencies</w:t>
      </w:r>
    </w:p>
    <w:p>
      <w:pPr>
        <w:spacing w:after="0" w:line="19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the normal course of business, the Company and its subsidiaries are involved in various claims and legal proceedings. While the ultimate resolution of these matters has yet to be determined, the Company does not believe that any unfavorable outcomes will have a material adverse effect on the Company's consolidated financial position or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9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Company and its subsidiaries lease manufacturing facilities, warehouses, office facilities, retail stores, equipment and vehicles under various operating arrangements. Certain of the leases are subject to escalation clauses and renewal periods. The Company and its subsidiaries recognize lease expense, including predetermined fixed escalations, on a straight-line basis over the initial term of the lease including reasonably assured renewal periods from the time that the Company and its subsidiaries control the leased property. Leases with an initial term of 12 months or less are not recorded on the balance sheet; we recognize lease expense for these leases on a straight-line basis over the lease term. Certain of our subsidiaries have leases that contain both fixed rent costs and variable rent costs based on achievement of certain operating metrics. The variable lease expense has not been material on a historic basis and no amount was incurred during the quarter ending September 30, 2020. In the three and nine months ended September 30, 2020, the Company recognized $7.9 million and $22.8 million, respectively, in expense related to operating leases in the condensed consolidated statements of operations.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maturities of lease liabilities at September 30, 2020 were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57" w:lineRule="exact"/>
        <w:rPr>
          <w:sz w:val="20"/>
          <w:szCs w:val="20"/>
          <w:color w:val="auto"/>
        </w:rPr>
      </w:pPr>
    </w:p>
    <w:tbl>
      <w:tblPr>
        <w:tblLayout w:type="fixed"/>
        <w:tblInd w:w="1860" w:type="dxa"/>
        <w:tblCellMar>
          <w:top w:w="0" w:type="dxa"/>
          <w:left w:w="0" w:type="dxa"/>
          <w:bottom w:w="0" w:type="dxa"/>
          <w:right w:w="0" w:type="dxa"/>
        </w:tblCellMar>
      </w:tblPr>
      <w:tr>
        <w:trPr>
          <w:trHeight w:val="216"/>
        </w:trPr>
        <w:tc>
          <w:tcPr>
            <w:tcW w:w="5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2020 (excluding nine months ended September 30, 2020)</w:t>
            </w:r>
          </w:p>
        </w:tc>
        <w:tc>
          <w:tcPr>
            <w:tcW w:w="84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4,841</w:t>
            </w:r>
          </w:p>
        </w:tc>
      </w:tr>
      <w:tr>
        <w:trPr>
          <w:trHeight w:val="213"/>
        </w:trPr>
        <w:tc>
          <w:tcPr>
            <w:tcW w:w="5300" w:type="dxa"/>
            <w:vAlign w:val="bottom"/>
          </w:tcPr>
          <w:p>
            <w:pPr>
              <w:ind w:left="20"/>
              <w:spacing w:after="0"/>
              <w:rPr>
                <w:sz w:val="20"/>
                <w:szCs w:val="20"/>
                <w:color w:val="auto"/>
              </w:rPr>
            </w:pPr>
            <w:r>
              <w:rPr>
                <w:rFonts w:ascii="Arial" w:cs="Arial" w:eastAsia="Arial" w:hAnsi="Arial"/>
                <w:sz w:val="16"/>
                <w:szCs w:val="16"/>
                <w:color w:val="auto"/>
              </w:rPr>
              <w:t>2021</w:t>
            </w:r>
          </w:p>
        </w:tc>
        <w:tc>
          <w:tcPr>
            <w:tcW w:w="8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27,334</w:t>
            </w:r>
          </w:p>
        </w:tc>
      </w:tr>
      <w:tr>
        <w:trPr>
          <w:trHeight w:val="219"/>
        </w:trPr>
        <w:tc>
          <w:tcPr>
            <w:tcW w:w="5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2022</w:t>
            </w:r>
          </w:p>
        </w:tc>
        <w:tc>
          <w:tcPr>
            <w:tcW w:w="8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25,059</w:t>
            </w:r>
          </w:p>
        </w:tc>
      </w:tr>
      <w:tr>
        <w:trPr>
          <w:trHeight w:val="213"/>
        </w:trPr>
        <w:tc>
          <w:tcPr>
            <w:tcW w:w="5300" w:type="dxa"/>
            <w:vAlign w:val="bottom"/>
          </w:tcPr>
          <w:p>
            <w:pPr>
              <w:ind w:left="20"/>
              <w:spacing w:after="0"/>
              <w:rPr>
                <w:sz w:val="20"/>
                <w:szCs w:val="20"/>
                <w:color w:val="auto"/>
              </w:rPr>
            </w:pPr>
            <w:r>
              <w:rPr>
                <w:rFonts w:ascii="Arial" w:cs="Arial" w:eastAsia="Arial" w:hAnsi="Arial"/>
                <w:sz w:val="16"/>
                <w:szCs w:val="16"/>
                <w:color w:val="auto"/>
              </w:rPr>
              <w:t>2023</w:t>
            </w:r>
          </w:p>
        </w:tc>
        <w:tc>
          <w:tcPr>
            <w:tcW w:w="8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18,180</w:t>
            </w:r>
          </w:p>
        </w:tc>
      </w:tr>
      <w:tr>
        <w:trPr>
          <w:trHeight w:val="219"/>
        </w:trPr>
        <w:tc>
          <w:tcPr>
            <w:tcW w:w="5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2024</w:t>
            </w:r>
          </w:p>
        </w:tc>
        <w:tc>
          <w:tcPr>
            <w:tcW w:w="8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14,244</w:t>
            </w:r>
          </w:p>
        </w:tc>
      </w:tr>
      <w:tr>
        <w:trPr>
          <w:trHeight w:val="213"/>
        </w:trPr>
        <w:tc>
          <w:tcPr>
            <w:tcW w:w="53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8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43,456</w:t>
            </w:r>
          </w:p>
        </w:tc>
      </w:tr>
      <w:tr>
        <w:trPr>
          <w:trHeight w:val="213"/>
        </w:trPr>
        <w:tc>
          <w:tcPr>
            <w:tcW w:w="5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undiscounted lease payments</w:t>
            </w:r>
          </w:p>
        </w:tc>
        <w:tc>
          <w:tcPr>
            <w:tcW w:w="84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133,114</w:t>
            </w:r>
          </w:p>
        </w:tc>
      </w:tr>
      <w:tr>
        <w:trPr>
          <w:trHeight w:val="213"/>
        </w:trPr>
        <w:tc>
          <w:tcPr>
            <w:tcW w:w="53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Interest</w:t>
            </w:r>
          </w:p>
        </w:tc>
        <w:tc>
          <w:tcPr>
            <w:tcW w:w="8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34,584</w:t>
            </w:r>
          </w:p>
        </w:tc>
      </w:tr>
      <w:tr>
        <w:trPr>
          <w:trHeight w:val="238"/>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Present value of lease liabilities</w:t>
            </w:r>
          </w:p>
        </w:tc>
        <w:tc>
          <w:tcPr>
            <w:tcW w:w="84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98,530</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calculated amount of the right-of-use assets and lease liabilities in the table above are impacted by the length of the lease term and discount rate used to present value the minimum lease payments. The Company's lease agreements often include one or more options to renew at the company's discretion. In general, it is not reasonably certain that lease renewals will be exercised at lease commencement and therefore lease renewals are not included in the lease term. Regarding the discount rate, Topic 842 requires the use of a rate implicit in the lease whenever this rate is readily determinable. As this rate is rarely determinable, the Company utilizes the incremental borrowing rate of the subsidiary entering into the lease arrangement, on a collateralized basis, over a similar term as adjusted for any country specific risk.</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remaining lease terms and discount rates for all of our operating leases were as follows as of September 30, 2020:</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200" w:type="dxa"/>
            <w:vAlign w:val="bottom"/>
          </w:tcPr>
          <w:p>
            <w:pPr>
              <w:spacing w:after="0"/>
              <w:rPr>
                <w:sz w:val="15"/>
                <w:szCs w:val="15"/>
                <w:color w:val="auto"/>
              </w:rPr>
            </w:pPr>
          </w:p>
        </w:tc>
        <w:tc>
          <w:tcPr>
            <w:tcW w:w="4920" w:type="dxa"/>
            <w:vAlign w:val="bottom"/>
            <w:gridSpan w:val="3"/>
          </w:tcPr>
          <w:p>
            <w:pPr>
              <w:ind w:left="20"/>
              <w:spacing w:after="0"/>
              <w:rPr>
                <w:sz w:val="20"/>
                <w:szCs w:val="20"/>
                <w:color w:val="auto"/>
              </w:rPr>
            </w:pPr>
            <w:r>
              <w:rPr>
                <w:rFonts w:ascii="Arial" w:cs="Arial" w:eastAsia="Arial" w:hAnsi="Arial"/>
                <w:sz w:val="15"/>
                <w:szCs w:val="15"/>
                <w:b w:val="1"/>
                <w:bCs w:val="1"/>
                <w:color w:val="auto"/>
              </w:rPr>
              <w:t>Lease Term and Discount Rate</w:t>
            </w:r>
          </w:p>
        </w:tc>
        <w:tc>
          <w:tcPr>
            <w:tcW w:w="1940" w:type="dxa"/>
            <w:vAlign w:val="bottom"/>
          </w:tcPr>
          <w:p>
            <w:pPr>
              <w:spacing w:after="0"/>
              <w:rPr>
                <w:sz w:val="15"/>
                <w:szCs w:val="15"/>
                <w:color w:val="auto"/>
              </w:rPr>
            </w:pPr>
          </w:p>
        </w:tc>
        <w:tc>
          <w:tcPr>
            <w:tcW w:w="2180" w:type="dxa"/>
            <w:vAlign w:val="bottom"/>
          </w:tcPr>
          <w:p>
            <w:pPr>
              <w:spacing w:after="0"/>
              <w:rPr>
                <w:sz w:val="15"/>
                <w:szCs w:val="15"/>
                <w:color w:val="auto"/>
              </w:rPr>
            </w:pPr>
          </w:p>
        </w:tc>
      </w:tr>
      <w:tr>
        <w:trPr>
          <w:trHeight w:val="20"/>
        </w:trPr>
        <w:tc>
          <w:tcPr>
            <w:tcW w:w="2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20" w:type="dxa"/>
            <w:vAlign w:val="bottom"/>
            <w:tcBorders>
              <w:top w:val="single" w:sz="8" w:color="auto"/>
            </w:tcBorders>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216"/>
        </w:trPr>
        <w:tc>
          <w:tcPr>
            <w:tcW w:w="2200" w:type="dxa"/>
            <w:vAlign w:val="bottom"/>
          </w:tcPr>
          <w:p>
            <w:pPr>
              <w:spacing w:after="0"/>
              <w:rPr>
                <w:sz w:val="18"/>
                <w:szCs w:val="18"/>
                <w:color w:val="auto"/>
              </w:rPr>
            </w:pPr>
          </w:p>
        </w:tc>
        <w:tc>
          <w:tcPr>
            <w:tcW w:w="49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Weighted-average remaining lease term (years)</w:t>
            </w: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6.05</w:t>
            </w:r>
          </w:p>
        </w:tc>
        <w:tc>
          <w:tcPr>
            <w:tcW w:w="2180" w:type="dxa"/>
            <w:vAlign w:val="bottom"/>
          </w:tcPr>
          <w:p>
            <w:pPr>
              <w:spacing w:after="0"/>
              <w:rPr>
                <w:sz w:val="18"/>
                <w:szCs w:val="18"/>
                <w:color w:val="auto"/>
              </w:rPr>
            </w:pPr>
          </w:p>
        </w:tc>
      </w:tr>
      <w:tr>
        <w:trPr>
          <w:trHeight w:val="210"/>
        </w:trPr>
        <w:tc>
          <w:tcPr>
            <w:tcW w:w="2200" w:type="dxa"/>
            <w:vAlign w:val="bottom"/>
          </w:tcPr>
          <w:p>
            <w:pPr>
              <w:spacing w:after="0"/>
              <w:rPr>
                <w:sz w:val="18"/>
                <w:szCs w:val="18"/>
                <w:color w:val="auto"/>
              </w:rPr>
            </w:pPr>
          </w:p>
        </w:tc>
        <w:tc>
          <w:tcPr>
            <w:tcW w:w="4920" w:type="dxa"/>
            <w:vAlign w:val="bottom"/>
            <w:gridSpan w:val="3"/>
          </w:tcPr>
          <w:p>
            <w:pPr>
              <w:ind w:left="20"/>
              <w:spacing w:after="0"/>
              <w:rPr>
                <w:sz w:val="20"/>
                <w:szCs w:val="20"/>
                <w:color w:val="auto"/>
              </w:rPr>
            </w:pPr>
            <w:r>
              <w:rPr>
                <w:rFonts w:ascii="Arial" w:cs="Arial" w:eastAsia="Arial" w:hAnsi="Arial"/>
                <w:sz w:val="16"/>
                <w:szCs w:val="16"/>
                <w:color w:val="auto"/>
              </w:rPr>
              <w:t>Weighted-average discount rate</w:t>
            </w:r>
          </w:p>
        </w:tc>
        <w:tc>
          <w:tcPr>
            <w:tcW w:w="1940" w:type="dxa"/>
            <w:vAlign w:val="bottom"/>
          </w:tcPr>
          <w:p>
            <w:pPr>
              <w:jc w:val="right"/>
              <w:spacing w:after="0"/>
              <w:rPr>
                <w:sz w:val="20"/>
                <w:szCs w:val="20"/>
                <w:color w:val="auto"/>
              </w:rPr>
            </w:pPr>
            <w:r>
              <w:rPr>
                <w:rFonts w:ascii="Arial" w:cs="Arial" w:eastAsia="Arial" w:hAnsi="Arial"/>
                <w:sz w:val="16"/>
                <w:szCs w:val="16"/>
                <w:color w:val="auto"/>
              </w:rPr>
              <w:t>7.65 %</w:t>
            </w:r>
          </w:p>
        </w:tc>
        <w:tc>
          <w:tcPr>
            <w:tcW w:w="2180" w:type="dxa"/>
            <w:vAlign w:val="bottom"/>
          </w:tcPr>
          <w:p>
            <w:pPr>
              <w:spacing w:after="0"/>
              <w:rPr>
                <w:sz w:val="18"/>
                <w:szCs w:val="18"/>
                <w:color w:val="auto"/>
              </w:rPr>
            </w:pPr>
          </w:p>
        </w:tc>
      </w:tr>
      <w:tr>
        <w:trPr>
          <w:trHeight w:val="945"/>
        </w:trPr>
        <w:tc>
          <w:tcPr>
            <w:tcW w:w="7120" w:type="dxa"/>
            <w:vAlign w:val="bottom"/>
            <w:gridSpan w:val="4"/>
          </w:tcPr>
          <w:p>
            <w:pPr>
              <w:jc w:val="right"/>
              <w:ind w:right="1400"/>
              <w:spacing w:after="0"/>
              <w:rPr>
                <w:sz w:val="20"/>
                <w:szCs w:val="20"/>
                <w:color w:val="auto"/>
              </w:rPr>
            </w:pPr>
            <w:r>
              <w:rPr>
                <w:rFonts w:ascii="Arial" w:cs="Arial" w:eastAsia="Arial" w:hAnsi="Arial"/>
                <w:sz w:val="16"/>
                <w:szCs w:val="16"/>
                <w:color w:val="auto"/>
              </w:rPr>
              <w:t>34</w:t>
            </w:r>
          </w:p>
        </w:tc>
        <w:tc>
          <w:tcPr>
            <w:tcW w:w="194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108"/>
        </w:trPr>
        <w:tc>
          <w:tcPr>
            <w:tcW w:w="22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220" w:type="dxa"/>
            <w:vAlign w:val="bottom"/>
            <w:tcBorders>
              <w:bottom w:val="single" w:sz="8" w:color="9A9A9A"/>
            </w:tcBorders>
          </w:tcPr>
          <w:p>
            <w:pPr>
              <w:spacing w:after="0"/>
              <w:rPr>
                <w:sz w:val="9"/>
                <w:szCs w:val="9"/>
                <w:color w:val="auto"/>
              </w:rPr>
            </w:pPr>
          </w:p>
        </w:tc>
        <w:tc>
          <w:tcPr>
            <w:tcW w:w="2680" w:type="dxa"/>
            <w:vAlign w:val="bottom"/>
            <w:tcBorders>
              <w:bottom w:val="single" w:sz="8" w:color="9A9A9A"/>
            </w:tcBorders>
          </w:tcPr>
          <w:p>
            <w:pPr>
              <w:spacing w:after="0"/>
              <w:rPr>
                <w:sz w:val="9"/>
                <w:szCs w:val="9"/>
                <w:color w:val="auto"/>
              </w:rPr>
            </w:pPr>
          </w:p>
        </w:tc>
        <w:tc>
          <w:tcPr>
            <w:tcW w:w="1940" w:type="dxa"/>
            <w:vAlign w:val="bottom"/>
            <w:tcBorders>
              <w:bottom w:val="single" w:sz="8" w:color="9A9A9A"/>
            </w:tcBorders>
          </w:tcPr>
          <w:p>
            <w:pPr>
              <w:spacing w:after="0"/>
              <w:rPr>
                <w:sz w:val="9"/>
                <w:szCs w:val="9"/>
                <w:color w:val="auto"/>
              </w:rPr>
            </w:pPr>
          </w:p>
        </w:tc>
        <w:tc>
          <w:tcPr>
            <w:tcW w:w="21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t>Supplemental balance sheet information related to leases was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ectPr>
          <w:pgSz w:w="11900" w:h="16838" w:orient="portrait"/>
          <w:cols w:equalWidth="0" w:num="1">
            <w:col w:w="11240"/>
          </w:cols>
          <w:pgMar w:left="320" w:top="110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Operating lease right-of-use assets</w:t>
      </w:r>
    </w:p>
    <w:p>
      <w:pPr>
        <w:spacing w:after="0" w:line="32"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Current portion, operating lease liabilities</w:t>
      </w:r>
    </w:p>
    <w:p>
      <w:pPr>
        <w:spacing w:after="0" w:line="32"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Operating lease liabilities</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324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rPr>
              <w:t>Line Item in the Company’s Consolidated</w:t>
            </w:r>
          </w:p>
        </w:tc>
        <w:tc>
          <w:tcPr>
            <w:tcW w:w="220" w:type="dxa"/>
            <w:vAlign w:val="bottom"/>
          </w:tcPr>
          <w:p>
            <w:pPr>
              <w:spacing w:after="0"/>
              <w:rPr>
                <w:sz w:val="14"/>
                <w:szCs w:val="14"/>
                <w:color w:val="auto"/>
              </w:rPr>
            </w:pPr>
          </w:p>
        </w:tc>
        <w:tc>
          <w:tcPr>
            <w:tcW w:w="1880" w:type="dxa"/>
            <w:vAlign w:val="bottom"/>
            <w:vMerge w:val="restart"/>
          </w:tcPr>
          <w:p>
            <w:pPr>
              <w:jc w:val="right"/>
              <w:ind w:right="260"/>
              <w:spacing w:after="0"/>
              <w:rPr>
                <w:sz w:val="20"/>
                <w:szCs w:val="20"/>
                <w:color w:val="auto"/>
              </w:rPr>
            </w:pPr>
            <w:r>
              <w:rPr>
                <w:rFonts w:ascii="Arial" w:cs="Arial" w:eastAsia="Arial" w:hAnsi="Arial"/>
                <w:sz w:val="15"/>
                <w:szCs w:val="15"/>
                <w:b w:val="1"/>
                <w:bCs w:val="1"/>
                <w:color w:val="auto"/>
              </w:rPr>
              <w:t>September 30, 2020</w:t>
            </w:r>
          </w:p>
        </w:tc>
        <w:tc>
          <w:tcPr>
            <w:tcW w:w="0" w:type="dxa"/>
            <w:vAlign w:val="bottom"/>
          </w:tcPr>
          <w:p>
            <w:pPr>
              <w:spacing w:after="0"/>
              <w:rPr>
                <w:sz w:val="1"/>
                <w:szCs w:val="1"/>
                <w:color w:val="auto"/>
              </w:rPr>
            </w:pPr>
          </w:p>
        </w:tc>
      </w:tr>
      <w:tr>
        <w:trPr>
          <w:trHeight w:val="202"/>
        </w:trPr>
        <w:tc>
          <w:tcPr>
            <w:tcW w:w="31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Balance Sheet</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8"/>
        </w:trPr>
        <w:tc>
          <w:tcPr>
            <w:tcW w:w="3240" w:type="dxa"/>
            <w:vAlign w:val="bottom"/>
            <w:gridSpan w:val="2"/>
          </w:tcPr>
          <w:p>
            <w:pPr>
              <w:ind w:left="20"/>
              <w:spacing w:after="0"/>
              <w:rPr>
                <w:sz w:val="20"/>
                <w:szCs w:val="20"/>
                <w:color w:val="auto"/>
              </w:rPr>
            </w:pPr>
            <w:r>
              <w:rPr>
                <w:rFonts w:ascii="Arial" w:cs="Arial" w:eastAsia="Arial" w:hAnsi="Arial"/>
                <w:sz w:val="16"/>
                <w:szCs w:val="16"/>
                <w:color w:val="auto"/>
              </w:rPr>
              <w:t>Other non-current assets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80" w:type="dxa"/>
            <w:vAlign w:val="bottom"/>
          </w:tcPr>
          <w:p>
            <w:pPr>
              <w:jc w:val="right"/>
              <w:spacing w:after="0"/>
              <w:rPr>
                <w:sz w:val="20"/>
                <w:szCs w:val="20"/>
                <w:color w:val="auto"/>
              </w:rPr>
            </w:pPr>
            <w:r>
              <w:rPr>
                <w:rFonts w:ascii="Arial" w:cs="Arial" w:eastAsia="Arial" w:hAnsi="Arial"/>
                <w:sz w:val="16"/>
                <w:szCs w:val="16"/>
                <w:color w:val="auto"/>
              </w:rPr>
              <w:t>94,464</w:t>
            </w:r>
          </w:p>
        </w:tc>
        <w:tc>
          <w:tcPr>
            <w:tcW w:w="0" w:type="dxa"/>
            <w:vAlign w:val="bottom"/>
          </w:tcPr>
          <w:p>
            <w:pPr>
              <w:spacing w:after="0"/>
              <w:rPr>
                <w:sz w:val="1"/>
                <w:szCs w:val="1"/>
                <w:color w:val="auto"/>
              </w:rPr>
            </w:pPr>
          </w:p>
        </w:tc>
      </w:tr>
      <w:tr>
        <w:trPr>
          <w:trHeight w:val="216"/>
        </w:trPr>
        <w:tc>
          <w:tcPr>
            <w:tcW w:w="3240" w:type="dxa"/>
            <w:vAlign w:val="bottom"/>
            <w:gridSpan w:val="2"/>
          </w:tcPr>
          <w:p>
            <w:pPr>
              <w:ind w:left="20"/>
              <w:spacing w:after="0"/>
              <w:rPr>
                <w:sz w:val="20"/>
                <w:szCs w:val="20"/>
                <w:color w:val="auto"/>
              </w:rPr>
            </w:pPr>
            <w:r>
              <w:rPr>
                <w:rFonts w:ascii="Arial" w:cs="Arial" w:eastAsia="Arial" w:hAnsi="Arial"/>
                <w:sz w:val="16"/>
                <w:szCs w:val="16"/>
                <w:color w:val="auto"/>
              </w:rPr>
              <w:t>Other current liabilities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80" w:type="dxa"/>
            <w:vAlign w:val="bottom"/>
          </w:tcPr>
          <w:p>
            <w:pPr>
              <w:jc w:val="right"/>
              <w:spacing w:after="0"/>
              <w:rPr>
                <w:sz w:val="20"/>
                <w:szCs w:val="20"/>
                <w:color w:val="auto"/>
              </w:rPr>
            </w:pPr>
            <w:r>
              <w:rPr>
                <w:rFonts w:ascii="Arial" w:cs="Arial" w:eastAsia="Arial" w:hAnsi="Arial"/>
                <w:sz w:val="16"/>
                <w:szCs w:val="16"/>
                <w:color w:val="auto"/>
              </w:rPr>
              <w:t>20,739</w:t>
            </w:r>
          </w:p>
        </w:tc>
        <w:tc>
          <w:tcPr>
            <w:tcW w:w="0" w:type="dxa"/>
            <w:vAlign w:val="bottom"/>
          </w:tcPr>
          <w:p>
            <w:pPr>
              <w:spacing w:after="0"/>
              <w:rPr>
                <w:sz w:val="1"/>
                <w:szCs w:val="1"/>
                <w:color w:val="auto"/>
              </w:rPr>
            </w:pPr>
          </w:p>
        </w:tc>
      </w:tr>
      <w:tr>
        <w:trPr>
          <w:trHeight w:val="216"/>
        </w:trPr>
        <w:tc>
          <w:tcPr>
            <w:tcW w:w="3240" w:type="dxa"/>
            <w:vAlign w:val="bottom"/>
            <w:gridSpan w:val="2"/>
          </w:tcPr>
          <w:p>
            <w:pPr>
              <w:ind w:left="20"/>
              <w:spacing w:after="0"/>
              <w:rPr>
                <w:sz w:val="20"/>
                <w:szCs w:val="20"/>
                <w:color w:val="auto"/>
              </w:rPr>
            </w:pPr>
            <w:r>
              <w:rPr>
                <w:rFonts w:ascii="Arial" w:cs="Arial" w:eastAsia="Arial" w:hAnsi="Arial"/>
                <w:sz w:val="16"/>
                <w:szCs w:val="16"/>
                <w:color w:val="auto"/>
              </w:rPr>
              <w:t>Other non-current liabilities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80" w:type="dxa"/>
            <w:vAlign w:val="bottom"/>
          </w:tcPr>
          <w:p>
            <w:pPr>
              <w:jc w:val="right"/>
              <w:spacing w:after="0"/>
              <w:rPr>
                <w:sz w:val="20"/>
                <w:szCs w:val="20"/>
                <w:color w:val="auto"/>
              </w:rPr>
            </w:pPr>
            <w:r>
              <w:rPr>
                <w:rFonts w:ascii="Arial" w:cs="Arial" w:eastAsia="Arial" w:hAnsi="Arial"/>
                <w:sz w:val="16"/>
                <w:szCs w:val="16"/>
                <w:color w:val="auto"/>
              </w:rPr>
              <w:t>77,791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-2501265</wp:posOffset>
            </wp:positionH>
            <wp:positionV relativeFrom="paragraph">
              <wp:posOffset>-407035</wp:posOffset>
            </wp:positionV>
            <wp:extent cx="5897880"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897880" cy="137160"/>
                    </a:xfrm>
                    <a:prstGeom prst="rect">
                      <a:avLst/>
                    </a:prstGeom>
                    <a:noFill/>
                  </pic:spPr>
                </pic:pic>
              </a:graphicData>
            </a:graphic>
          </wp:anchor>
        </w:drawing>
        <w:drawing>
          <wp:anchor simplePos="0" relativeHeight="251657728" behindDoc="1" locked="0" layoutInCell="0" allowOverlap="1">
            <wp:simplePos x="0" y="0"/>
            <wp:positionH relativeFrom="column">
              <wp:posOffset>-2501265</wp:posOffset>
            </wp:positionH>
            <wp:positionV relativeFrom="paragraph">
              <wp:posOffset>-132715</wp:posOffset>
            </wp:positionV>
            <wp:extent cx="5897880"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89788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200" w:space="720"/>
            <w:col w:w="6320"/>
          </w:cols>
          <w:pgMar w:left="320" w:top="1106" w:right="339" w:bottom="1440" w:gutter="0" w:footer="0" w:header="0"/>
          <w:type w:val="continuous"/>
        </w:sectPr>
      </w:pP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related to leases was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6" w:lineRule="exact"/>
        <w:rPr>
          <w:sz w:val="20"/>
          <w:szCs w:val="20"/>
          <w:color w:val="auto"/>
        </w:rPr>
      </w:pPr>
    </w:p>
    <w:tbl>
      <w:tblPr>
        <w:tblLayout w:type="fixed"/>
        <w:tblInd w:w="1320" w:type="dxa"/>
        <w:tblCellMar>
          <w:top w:w="0" w:type="dxa"/>
          <w:left w:w="0" w:type="dxa"/>
          <w:bottom w:w="0" w:type="dxa"/>
          <w:right w:w="0" w:type="dxa"/>
        </w:tblCellMar>
      </w:tblPr>
      <w:tr>
        <w:trPr>
          <w:trHeight w:val="172"/>
        </w:trPr>
        <w:tc>
          <w:tcPr>
            <w:tcW w:w="6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80" w:type="dxa"/>
            <w:vAlign w:val="bottom"/>
          </w:tcPr>
          <w:p>
            <w:pPr>
              <w:jc w:val="right"/>
              <w:ind w:right="321"/>
              <w:spacing w:after="0"/>
              <w:rPr>
                <w:sz w:val="20"/>
                <w:szCs w:val="20"/>
                <w:color w:val="auto"/>
              </w:rPr>
            </w:pPr>
            <w:r>
              <w:rPr>
                <w:rFonts w:ascii="Arial" w:cs="Arial" w:eastAsia="Arial" w:hAnsi="Arial"/>
                <w:sz w:val="15"/>
                <w:szCs w:val="15"/>
                <w:b w:val="1"/>
                <w:bCs w:val="1"/>
                <w:color w:val="auto"/>
              </w:rPr>
              <w:t>Nine months ended</w:t>
            </w:r>
          </w:p>
        </w:tc>
      </w:tr>
      <w:tr>
        <w:trPr>
          <w:trHeight w:val="202"/>
        </w:trPr>
        <w:tc>
          <w:tcPr>
            <w:tcW w:w="64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tcPr>
          <w:p>
            <w:pPr>
              <w:jc w:val="right"/>
              <w:ind w:right="321"/>
              <w:spacing w:after="0"/>
              <w:rPr>
                <w:sz w:val="20"/>
                <w:szCs w:val="20"/>
                <w:color w:val="auto"/>
              </w:rPr>
            </w:pPr>
            <w:r>
              <w:rPr>
                <w:rFonts w:ascii="Arial" w:cs="Arial" w:eastAsia="Arial" w:hAnsi="Arial"/>
                <w:sz w:val="15"/>
                <w:szCs w:val="15"/>
                <w:b w:val="1"/>
                <w:bCs w:val="1"/>
                <w:color w:val="auto"/>
              </w:rPr>
              <w:t>September 30, 2020</w:t>
            </w:r>
          </w:p>
        </w:tc>
      </w:tr>
      <w:tr>
        <w:trPr>
          <w:trHeight w:val="196"/>
        </w:trPr>
        <w:tc>
          <w:tcPr>
            <w:tcW w:w="6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paid for amounts included in the measurement of lease liabilities:</w:t>
            </w:r>
          </w:p>
        </w:tc>
        <w:tc>
          <w:tcPr>
            <w:tcW w:w="24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r>
      <w:tr>
        <w:trPr>
          <w:trHeight w:val="213"/>
        </w:trPr>
        <w:tc>
          <w:tcPr>
            <w:tcW w:w="6400" w:type="dxa"/>
            <w:vAlign w:val="bottom"/>
          </w:tcPr>
          <w:p>
            <w:pPr>
              <w:ind w:left="160"/>
              <w:spacing w:after="0"/>
              <w:rPr>
                <w:sz w:val="20"/>
                <w:szCs w:val="20"/>
                <w:color w:val="auto"/>
              </w:rPr>
            </w:pPr>
            <w:r>
              <w:rPr>
                <w:rFonts w:ascii="Arial" w:cs="Arial" w:eastAsia="Arial" w:hAnsi="Arial"/>
                <w:sz w:val="16"/>
                <w:szCs w:val="16"/>
                <w:color w:val="auto"/>
              </w:rPr>
              <w:t>Operating cash flows from operating leases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980" w:type="dxa"/>
            <w:vAlign w:val="bottom"/>
          </w:tcPr>
          <w:p>
            <w:pPr>
              <w:jc w:val="right"/>
              <w:ind w:right="1"/>
              <w:spacing w:after="0"/>
              <w:rPr>
                <w:sz w:val="20"/>
                <w:szCs w:val="20"/>
                <w:color w:val="auto"/>
              </w:rPr>
            </w:pPr>
            <w:r>
              <w:rPr>
                <w:rFonts w:ascii="Arial" w:cs="Arial" w:eastAsia="Arial" w:hAnsi="Arial"/>
                <w:sz w:val="16"/>
                <w:szCs w:val="16"/>
                <w:color w:val="auto"/>
              </w:rPr>
              <w:t>22,816</w:t>
            </w:r>
          </w:p>
        </w:tc>
      </w:tr>
      <w:tr>
        <w:trPr>
          <w:trHeight w:val="219"/>
        </w:trPr>
        <w:tc>
          <w:tcPr>
            <w:tcW w:w="6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Right-of-use assets obtained in exchange for lease obligations:</w:t>
            </w:r>
          </w:p>
        </w:tc>
        <w:tc>
          <w:tcPr>
            <w:tcW w:w="24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r>
      <w:tr>
        <w:trPr>
          <w:trHeight w:val="210"/>
        </w:trPr>
        <w:tc>
          <w:tcPr>
            <w:tcW w:w="6400" w:type="dxa"/>
            <w:vAlign w:val="bottom"/>
          </w:tcPr>
          <w:p>
            <w:pPr>
              <w:ind w:left="160"/>
              <w:spacing w:after="0"/>
              <w:rPr>
                <w:sz w:val="20"/>
                <w:szCs w:val="20"/>
                <w:color w:val="auto"/>
              </w:rPr>
            </w:pPr>
            <w:r>
              <w:rPr>
                <w:rFonts w:ascii="Arial" w:cs="Arial" w:eastAsia="Arial" w:hAnsi="Arial"/>
                <w:sz w:val="16"/>
                <w:szCs w:val="16"/>
                <w:color w:val="auto"/>
              </w:rPr>
              <w:t>Operating leases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980" w:type="dxa"/>
            <w:vAlign w:val="bottom"/>
          </w:tcPr>
          <w:p>
            <w:pPr>
              <w:jc w:val="right"/>
              <w:ind w:right="1"/>
              <w:spacing w:after="0"/>
              <w:rPr>
                <w:sz w:val="20"/>
                <w:szCs w:val="20"/>
                <w:color w:val="auto"/>
              </w:rPr>
            </w:pPr>
            <w:r>
              <w:rPr>
                <w:rFonts w:ascii="Arial" w:cs="Arial" w:eastAsia="Arial" w:hAnsi="Arial"/>
                <w:sz w:val="16"/>
                <w:szCs w:val="16"/>
                <w:color w:val="auto"/>
              </w:rPr>
              <w:t>9,913</w:t>
            </w:r>
          </w:p>
        </w:tc>
      </w:tr>
    </w:tbl>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P — Related Party Transactions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Management Services Agreement</w:t>
      </w:r>
    </w:p>
    <w:p>
      <w:pPr>
        <w:spacing w:after="0" w:line="135" w:lineRule="exact"/>
        <w:rPr>
          <w:sz w:val="20"/>
          <w:szCs w:val="20"/>
          <w:color w:val="auto"/>
        </w:rPr>
      </w:pPr>
    </w:p>
    <w:p>
      <w:pPr>
        <w:jc w:val="both"/>
        <w:spacing w:after="0" w:line="251" w:lineRule="auto"/>
        <w:rPr>
          <w:rFonts w:ascii="Arial" w:cs="Arial" w:eastAsia="Arial" w:hAnsi="Arial"/>
          <w:sz w:val="18"/>
          <w:szCs w:val="18"/>
          <w:color w:val="auto"/>
        </w:rPr>
      </w:pPr>
      <w:r>
        <w:rPr>
          <w:rFonts w:ascii="Arial" w:cs="Arial" w:eastAsia="Arial" w:hAnsi="Arial"/>
          <w:sz w:val="18"/>
          <w:szCs w:val="18"/>
          <w:color w:val="auto"/>
        </w:rPr>
        <w:t xml:space="preserve">The Company entered into the MSA with CGM effective May 16, 2006. The MSA provides for, among other things, CGM to perform services for the Company in exchange for a management fee paid quarterly and equal to 0.5% of the Company's adjusted net assets, as defined in the MSA. Concurrent with the June 2019 sale of Clean Earth (refer to </w:t>
      </w:r>
      <w:hyperlink w:anchor="page15">
        <w:r>
          <w:rPr>
            <w:rFonts w:ascii="Arial" w:cs="Arial" w:eastAsia="Arial" w:hAnsi="Arial"/>
            <w:sz w:val="18"/>
            <w:szCs w:val="18"/>
            <w:u w:val="single" w:color="auto"/>
            <w:color w:val="0000FF"/>
          </w:rPr>
          <w:t>Note C - Discontinued Operations</w:t>
        </w:r>
      </w:hyperlink>
      <w:r>
        <w:rPr>
          <w:rFonts w:ascii="Arial" w:cs="Arial" w:eastAsia="Arial" w:hAnsi="Arial"/>
          <w:sz w:val="18"/>
          <w:szCs w:val="18"/>
          <w:color w:val="auto"/>
        </w:rPr>
        <w:t>), CGM agreed to waive the management fee on cash balances held at the Company, commencing with the quarter ended June 30, 2019 and continuing until the quarter during which the Company next borrowed under the 2018 Revolving Credit Facility. In March 2020, as a proactive measure to provide the Company with additional cash liquidity in light of the COVID-19 pandemic, the Company elected to draw down $200 million on our 2018 Revolving Credit Facility. The Company and CGM entered into a waiver agreement whereby CGM agreed to waive the portion of the management fee attributable to the cash balances held at the Company as of March 31, 2020. In addition, due to the unprecedented uncertainty as a result of the COVID-19 pandemic, CGM agreed to waive 50% of the management fee calculated at June 30, 2020 that was paid in July 2020. Further, for the third quarter of 2020, the Company and CGM entered into a waiver agreement whereby CGM agreed to waive the portion of the management fee attributable to the cash balances held at the Company as of September 30, 2020.</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Integration Services Agreements</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Marucci Sports, which was acquired in April 2020, entered into an Integration Services Agreement ("ISA") with CGM. The ISA provides for CGM to provide services for new platform acquisitions to, amongst other things, assist the management at the acquired entities in establishing a corporate governance program, implement compliance and reporting requirements of the Sarbanes-Oxley Act of 2002, as amended, and align the acquired entity's policies and procedures with our other subsidiaries. CGM will receive integration service fees of $2.0 million payable quarterly over a twelve month period as services are rendered beginning in the quarter ended September 30, 2020. Foam Fabricators, which was acquired in 2018, entered into an ISA with CGM. Foam Fabricators paid CGM $2.3 million over the term of the ISA, with $2.0 million paid in 2018 and $0.3 million in 2019. Integration service fees are included in selling, general and administrative expense on the subsidiaries' statement of operations in the period in which they are incurred.</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 Company and its businesses have the following significant related party transactions</w:t>
      </w:r>
      <w:r>
        <w:rPr>
          <w:rFonts w:ascii="Arial" w:cs="Arial" w:eastAsia="Arial" w:hAnsi="Arial"/>
          <w:sz w:val="18"/>
          <w:szCs w:val="18"/>
          <w:b w:val="1"/>
          <w:bCs w:val="1"/>
          <w:color w:val="auto"/>
        </w:rPr>
        <w: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5.11</w:t>
      </w:r>
    </w:p>
    <w:p>
      <w:pPr>
        <w:spacing w:after="0" w:line="11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 xml:space="preserve">Related Party Vendor Purchases - </w:t>
      </w:r>
      <w:r>
        <w:rPr>
          <w:rFonts w:ascii="Arial" w:cs="Arial" w:eastAsia="Arial" w:hAnsi="Arial"/>
          <w:sz w:val="18"/>
          <w:szCs w:val="18"/>
          <w:color w:val="auto"/>
        </w:rPr>
        <w:t>5.11 purchases inventory from a vendor who is a related party to 5.11 through one of the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officers of 5.11 via the executive's 40% ownership interest in the vendor. 5.11 purchased approximately $0.7 million and $2.3 million during the three and nine months ended September 30, 2020, respectively, and $1.1 million and $3.2 million, during the three and nine months ended September 30, 2019, respectively, in inventory from the vendor.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NOTE Q - SUBSEQUENT EVENT</w:t>
      </w:r>
    </w:p>
    <w:p>
      <w:pPr>
        <w:spacing w:after="0" w:line="19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September 20, 2020, the Company, through its newly formed acquisition subsidiaries, BOA Holdings Inc., a Delaware corporation (“BOA Holdings”) and BOA Parent Inc., a Delaware corporation (“Buyer”) and a wholly-owned subsidiary of BOA Holdings, entered into an Agreement and Plan of Merger (the “Merger Agreement”) with Reel Holding Corp., a Delaware corporation (“BOA”) and the sole stockholder of Boa Technology, Inc., BOA Merger Sub Inc., a Delaware corporation and a wholly-owned subsidiary of Buyer (“Merger Sub”), and Shareholder Representative Services LLC (in its capacity as the representative of the stockholders of BOA). Pursuant to the Merger Agreement, on October 16, 2020, Merger Sub was merged with and into BOA (the “Merger”) such that the separate existence of Merger Sub ceased, and BOA survived the Merger as a wholly-owned subsidiary of Buyer. BOA, creators of the award-winning BOA® Fit System featured in performance footwear, action sports, outdoor and medical products worldwide, was founded in 2001 and is headquartered in Denver, Colorado. The total purchase price for the acquisition of BOA was $454 million (excluding working capital and certain other adjustments upon closing, and transaction costs). The Company funded the acquisition with cash on hand and a $300 million draw on its 2018 Revolving Credit Facility. The Company's initial equity ownership in BOA is approximately 82%, as certain existing stockholders in BOA invested in the transaction alongside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45"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This Item 2 contains forward-looking statements. Forward-looking statements in this Quarterly Report on Form 10-Q are subject to a number of risks and uncertainties, some of which are beyond our control. Our actual results, performance, prospects or opportunities could differ materially from those expressed in or implied by the forward-looking statements. Additional risks of which we are not currently aware or which we currently deem immaterial could also cause our actual results to differ, including those discussed in the section entitled "Forward-Looking Statements" included elsewhere in this Quarterly Report on Form 10-Q as well as those risk factors discussed in the section entitled "Risk Factors" in our Annual Report on Form 10-K for the year ended December 31, 2019 and in the section entitled "Risk Factors" in Part II, Item 1A of this Quarterly Report on Form 10-Q.</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Compass Diversified Holdings ("Holdings") was incorporated in Delaware on November 18, 2005. Compass Group Diversified Holdings LLC (the "Company") was also formed on November 18, 2005. Holdings and the Company (collectively, "CODI") were formed to acquire and manage a group of small and middle-market businesses headquartered in North America. The Company is the operating entity and is a controlling owner of nine businesses, or operating segments, at September 30, 2020. The segments are as follows: 5.11 Acquisition Corp. ("5.11"), The Ergo Baby Carrier, Inc. ("Ergobaby"), Liberty Safe and Security Products, Inc. ("Liberty Safe" or "Liberty"), Marucci Sports, LLC ("Marucci" or Marucci Sports"), Velocity Outdoor, Inc. (formerly Crosman Corp.) ("Velocity Outdoor" or "Velocity"), Compass AC Holdings, Inc. ("ACI" or "Advanced Circuits"), AMT Acquisition Corporation ("Arnold"), FFI Compass, Inc. ("Foam Fabricators" or "Foam"), and The Sterno Group, LLC ("Sterno").</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We acquired our existing businesses (segments) that we own at September 30, 2020 as follows:</w:t>
      </w:r>
    </w:p>
    <w:p>
      <w:pPr>
        <w:spacing w:after="0" w:line="123" w:lineRule="exact"/>
        <w:rPr>
          <w:sz w:val="20"/>
          <w:szCs w:val="20"/>
          <w:color w:val="auto"/>
        </w:rPr>
      </w:pPr>
    </w:p>
    <w:tbl>
      <w:tblPr>
        <w:tblLayout w:type="fixed"/>
        <w:tblInd w:w="1520" w:type="dxa"/>
        <w:tblCellMar>
          <w:top w:w="0" w:type="dxa"/>
          <w:left w:w="0" w:type="dxa"/>
          <w:bottom w:w="0" w:type="dxa"/>
          <w:right w:w="0" w:type="dxa"/>
        </w:tblCellMar>
      </w:tblPr>
      <w:tr>
        <w:trPr>
          <w:trHeight w:val="204"/>
        </w:trPr>
        <w:tc>
          <w:tcPr>
            <w:tcW w:w="2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780" w:type="dxa"/>
            <w:vAlign w:val="bottom"/>
            <w:tcBorders>
              <w:bottom w:val="single" w:sz="8" w:color="auto"/>
            </w:tcBorders>
            <w:gridSpan w:val="3"/>
          </w:tcPr>
          <w:p>
            <w:pPr>
              <w:ind w:left="420"/>
              <w:spacing w:after="0"/>
              <w:rPr>
                <w:sz w:val="20"/>
                <w:szCs w:val="20"/>
                <w:color w:val="auto"/>
              </w:rPr>
            </w:pPr>
            <w:r>
              <w:rPr>
                <w:rFonts w:ascii="Arial" w:cs="Arial" w:eastAsia="Arial" w:hAnsi="Arial"/>
                <w:sz w:val="15"/>
                <w:szCs w:val="15"/>
                <w:b w:val="1"/>
                <w:bCs w:val="1"/>
                <w:color w:val="auto"/>
              </w:rPr>
              <w:t>Ownership Interest - September 30, 2020</w:t>
            </w:r>
          </w:p>
        </w:tc>
      </w:tr>
      <w:tr>
        <w:trPr>
          <w:trHeight w:val="202"/>
        </w:trPr>
        <w:tc>
          <w:tcPr>
            <w:tcW w:w="2260" w:type="dxa"/>
            <w:vAlign w:val="bottom"/>
            <w:tcBorders>
              <w:bottom w:val="single" w:sz="8" w:color="auto"/>
            </w:tcBorders>
          </w:tcPr>
          <w:p>
            <w:pPr>
              <w:ind w:left="780"/>
              <w:spacing w:after="0"/>
              <w:rPr>
                <w:sz w:val="20"/>
                <w:szCs w:val="20"/>
                <w:color w:val="auto"/>
              </w:rPr>
            </w:pPr>
            <w:r>
              <w:rPr>
                <w:rFonts w:ascii="Arial" w:cs="Arial" w:eastAsia="Arial" w:hAnsi="Arial"/>
                <w:sz w:val="15"/>
                <w:szCs w:val="15"/>
                <w:b w:val="1"/>
                <w:bCs w:val="1"/>
                <w:color w:val="auto"/>
              </w:rPr>
              <w:t>Business</w:t>
            </w:r>
          </w:p>
        </w:tc>
        <w:tc>
          <w:tcPr>
            <w:tcW w:w="100" w:type="dxa"/>
            <w:vAlign w:val="bottom"/>
            <w:tcBorders>
              <w:bottom w:val="single" w:sz="8" w:color="CCEEFF"/>
            </w:tcBorders>
          </w:tcPr>
          <w:p>
            <w:pPr>
              <w:spacing w:after="0"/>
              <w:rPr>
                <w:sz w:val="17"/>
                <w:szCs w:val="17"/>
                <w:color w:val="auto"/>
              </w:rPr>
            </w:pPr>
          </w:p>
        </w:tc>
        <w:tc>
          <w:tcPr>
            <w:tcW w:w="1980" w:type="dxa"/>
            <w:vAlign w:val="bottom"/>
            <w:tcBorders>
              <w:bottom w:val="single" w:sz="8" w:color="auto"/>
            </w:tcBorders>
          </w:tcPr>
          <w:p>
            <w:pPr>
              <w:jc w:val="right"/>
              <w:ind w:right="319"/>
              <w:spacing w:after="0"/>
              <w:rPr>
                <w:sz w:val="20"/>
                <w:szCs w:val="20"/>
                <w:color w:val="auto"/>
              </w:rPr>
            </w:pPr>
            <w:r>
              <w:rPr>
                <w:rFonts w:ascii="Arial" w:cs="Arial" w:eastAsia="Arial" w:hAnsi="Arial"/>
                <w:sz w:val="15"/>
                <w:szCs w:val="15"/>
                <w:b w:val="1"/>
                <w:bCs w:val="1"/>
                <w:color w:val="auto"/>
              </w:rPr>
              <w:t>Acquisition Date</w:t>
            </w:r>
          </w:p>
        </w:tc>
        <w:tc>
          <w:tcPr>
            <w:tcW w:w="100" w:type="dxa"/>
            <w:vAlign w:val="bottom"/>
            <w:tcBorders>
              <w:bottom w:val="single" w:sz="8" w:color="CCEEFF"/>
            </w:tcBorders>
          </w:tcPr>
          <w:p>
            <w:pPr>
              <w:spacing w:after="0"/>
              <w:rPr>
                <w:sz w:val="17"/>
                <w:szCs w:val="17"/>
                <w:color w:val="auto"/>
              </w:rPr>
            </w:pPr>
          </w:p>
        </w:tc>
        <w:tc>
          <w:tcPr>
            <w:tcW w:w="1840" w:type="dxa"/>
            <w:vAlign w:val="bottom"/>
            <w:tcBorders>
              <w:bottom w:val="single" w:sz="8" w:color="auto"/>
            </w:tcBorders>
          </w:tcPr>
          <w:p>
            <w:pPr>
              <w:ind w:left="620"/>
              <w:spacing w:after="0"/>
              <w:rPr>
                <w:sz w:val="20"/>
                <w:szCs w:val="20"/>
                <w:color w:val="auto"/>
              </w:rPr>
            </w:pPr>
            <w:r>
              <w:rPr>
                <w:rFonts w:ascii="Arial" w:cs="Arial" w:eastAsia="Arial" w:hAnsi="Arial"/>
                <w:sz w:val="15"/>
                <w:szCs w:val="15"/>
                <w:b w:val="1"/>
                <w:bCs w:val="1"/>
                <w:color w:val="auto"/>
              </w:rPr>
              <w:t>Primary</w:t>
            </w:r>
          </w:p>
        </w:tc>
        <w:tc>
          <w:tcPr>
            <w:tcW w:w="100" w:type="dxa"/>
            <w:vAlign w:val="bottom"/>
            <w:tcBorders>
              <w:bottom w:val="single" w:sz="8" w:color="CCEEFF"/>
            </w:tcBorders>
          </w:tcPr>
          <w:p>
            <w:pPr>
              <w:spacing w:after="0"/>
              <w:rPr>
                <w:sz w:val="17"/>
                <w:szCs w:val="17"/>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Diluted</w:t>
            </w:r>
          </w:p>
        </w:tc>
      </w:tr>
      <w:tr>
        <w:trPr>
          <w:trHeight w:val="210"/>
        </w:trPr>
        <w:tc>
          <w:tcPr>
            <w:tcW w:w="2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Advanced Circuits</w:t>
            </w:r>
          </w:p>
        </w:tc>
        <w:tc>
          <w:tcPr>
            <w:tcW w:w="2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May 16, 2006</w:t>
            </w:r>
          </w:p>
        </w:tc>
        <w:tc>
          <w:tcPr>
            <w:tcW w:w="18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69.3%</w:t>
            </w: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65.4%</w:t>
            </w:r>
          </w:p>
        </w:tc>
      </w:tr>
      <w:tr>
        <w:trPr>
          <w:trHeight w:val="213"/>
        </w:trPr>
        <w:tc>
          <w:tcPr>
            <w:tcW w:w="2360" w:type="dxa"/>
            <w:vAlign w:val="bottom"/>
            <w:gridSpan w:val="2"/>
          </w:tcPr>
          <w:p>
            <w:pPr>
              <w:ind w:left="20"/>
              <w:spacing w:after="0"/>
              <w:rPr>
                <w:sz w:val="20"/>
                <w:szCs w:val="20"/>
                <w:color w:val="auto"/>
              </w:rPr>
            </w:pPr>
            <w:r>
              <w:rPr>
                <w:rFonts w:ascii="Arial" w:cs="Arial" w:eastAsia="Arial" w:hAnsi="Arial"/>
                <w:sz w:val="16"/>
                <w:szCs w:val="16"/>
                <w:color w:val="auto"/>
              </w:rPr>
              <w:t>Liberty Safe</w:t>
            </w:r>
          </w:p>
        </w:tc>
        <w:tc>
          <w:tcPr>
            <w:tcW w:w="2080" w:type="dxa"/>
            <w:vAlign w:val="bottom"/>
            <w:gridSpan w:val="2"/>
          </w:tcPr>
          <w:p>
            <w:pPr>
              <w:jc w:val="right"/>
              <w:ind w:right="140"/>
              <w:spacing w:after="0"/>
              <w:rPr>
                <w:sz w:val="20"/>
                <w:szCs w:val="20"/>
                <w:color w:val="auto"/>
              </w:rPr>
            </w:pPr>
            <w:r>
              <w:rPr>
                <w:rFonts w:ascii="Arial" w:cs="Arial" w:eastAsia="Arial" w:hAnsi="Arial"/>
                <w:sz w:val="16"/>
                <w:szCs w:val="16"/>
                <w:color w:val="auto"/>
              </w:rPr>
              <w:t>March 31, 2010</w:t>
            </w:r>
          </w:p>
        </w:tc>
        <w:tc>
          <w:tcPr>
            <w:tcW w:w="1840" w:type="dxa"/>
            <w:vAlign w:val="bottom"/>
          </w:tcPr>
          <w:p>
            <w:pPr>
              <w:jc w:val="center"/>
              <w:spacing w:after="0"/>
              <w:rPr>
                <w:sz w:val="20"/>
                <w:szCs w:val="20"/>
                <w:color w:val="auto"/>
              </w:rPr>
            </w:pPr>
            <w:r>
              <w:rPr>
                <w:rFonts w:ascii="Arial" w:cs="Arial" w:eastAsia="Arial" w:hAnsi="Arial"/>
                <w:sz w:val="16"/>
                <w:szCs w:val="16"/>
                <w:color w:val="auto"/>
              </w:rPr>
              <w:t>91.2%</w:t>
            </w:r>
          </w:p>
        </w:tc>
        <w:tc>
          <w:tcPr>
            <w:tcW w:w="1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6"/>
                <w:szCs w:val="16"/>
                <w:color w:val="auto"/>
              </w:rPr>
              <w:t>86.0%</w:t>
            </w:r>
          </w:p>
        </w:tc>
      </w:tr>
      <w:tr>
        <w:trPr>
          <w:trHeight w:val="219"/>
        </w:trPr>
        <w:tc>
          <w:tcPr>
            <w:tcW w:w="2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Ergobaby</w:t>
            </w:r>
          </w:p>
        </w:tc>
        <w:tc>
          <w:tcPr>
            <w:tcW w:w="2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September 16, 2010</w:t>
            </w:r>
          </w:p>
        </w:tc>
        <w:tc>
          <w:tcPr>
            <w:tcW w:w="18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81.4%</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72.6%</w:t>
            </w:r>
          </w:p>
        </w:tc>
      </w:tr>
      <w:tr>
        <w:trPr>
          <w:trHeight w:val="213"/>
        </w:trPr>
        <w:tc>
          <w:tcPr>
            <w:tcW w:w="2360" w:type="dxa"/>
            <w:vAlign w:val="bottom"/>
            <w:gridSpan w:val="2"/>
          </w:tcPr>
          <w:p>
            <w:pPr>
              <w:ind w:left="20"/>
              <w:spacing w:after="0"/>
              <w:rPr>
                <w:sz w:val="20"/>
                <w:szCs w:val="20"/>
                <w:color w:val="auto"/>
              </w:rPr>
            </w:pPr>
            <w:r>
              <w:rPr>
                <w:rFonts w:ascii="Arial" w:cs="Arial" w:eastAsia="Arial" w:hAnsi="Arial"/>
                <w:sz w:val="16"/>
                <w:szCs w:val="16"/>
                <w:color w:val="auto"/>
              </w:rPr>
              <w:t>Arnold</w:t>
            </w:r>
          </w:p>
        </w:tc>
        <w:tc>
          <w:tcPr>
            <w:tcW w:w="2080" w:type="dxa"/>
            <w:vAlign w:val="bottom"/>
            <w:gridSpan w:val="2"/>
          </w:tcPr>
          <w:p>
            <w:pPr>
              <w:jc w:val="right"/>
              <w:ind w:right="140"/>
              <w:spacing w:after="0"/>
              <w:rPr>
                <w:sz w:val="20"/>
                <w:szCs w:val="20"/>
                <w:color w:val="auto"/>
              </w:rPr>
            </w:pPr>
            <w:r>
              <w:rPr>
                <w:rFonts w:ascii="Arial" w:cs="Arial" w:eastAsia="Arial" w:hAnsi="Arial"/>
                <w:sz w:val="16"/>
                <w:szCs w:val="16"/>
                <w:color w:val="auto"/>
              </w:rPr>
              <w:t>March 5, 2012</w:t>
            </w:r>
          </w:p>
        </w:tc>
        <w:tc>
          <w:tcPr>
            <w:tcW w:w="1840" w:type="dxa"/>
            <w:vAlign w:val="bottom"/>
          </w:tcPr>
          <w:p>
            <w:pPr>
              <w:jc w:val="center"/>
              <w:spacing w:after="0"/>
              <w:rPr>
                <w:sz w:val="20"/>
                <w:szCs w:val="20"/>
                <w:color w:val="auto"/>
              </w:rPr>
            </w:pPr>
            <w:r>
              <w:rPr>
                <w:rFonts w:ascii="Arial" w:cs="Arial" w:eastAsia="Arial" w:hAnsi="Arial"/>
                <w:sz w:val="16"/>
                <w:szCs w:val="16"/>
                <w:color w:val="auto"/>
              </w:rPr>
              <w:t>96.7%</w:t>
            </w:r>
          </w:p>
        </w:tc>
        <w:tc>
          <w:tcPr>
            <w:tcW w:w="1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6"/>
                <w:szCs w:val="16"/>
                <w:color w:val="auto"/>
              </w:rPr>
              <w:t>82.4%</w:t>
            </w:r>
          </w:p>
        </w:tc>
      </w:tr>
      <w:tr>
        <w:trPr>
          <w:trHeight w:val="219"/>
        </w:trPr>
        <w:tc>
          <w:tcPr>
            <w:tcW w:w="2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Sterno</w:t>
            </w:r>
          </w:p>
        </w:tc>
        <w:tc>
          <w:tcPr>
            <w:tcW w:w="2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October 10, 2014</w:t>
            </w:r>
          </w:p>
        </w:tc>
        <w:tc>
          <w:tcPr>
            <w:tcW w:w="18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100.0%</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88.5%</w:t>
            </w:r>
          </w:p>
        </w:tc>
      </w:tr>
      <w:tr>
        <w:trPr>
          <w:trHeight w:val="213"/>
        </w:trPr>
        <w:tc>
          <w:tcPr>
            <w:tcW w:w="2260" w:type="dxa"/>
            <w:vAlign w:val="bottom"/>
          </w:tcPr>
          <w:p>
            <w:pPr>
              <w:ind w:left="20"/>
              <w:spacing w:after="0"/>
              <w:rPr>
                <w:sz w:val="20"/>
                <w:szCs w:val="20"/>
                <w:color w:val="auto"/>
              </w:rPr>
            </w:pPr>
            <w:r>
              <w:rPr>
                <w:rFonts w:ascii="Arial" w:cs="Arial" w:eastAsia="Arial" w:hAnsi="Arial"/>
                <w:sz w:val="16"/>
                <w:szCs w:val="16"/>
                <w:color w:val="auto"/>
              </w:rPr>
              <w:t>5.11</w:t>
            </w:r>
          </w:p>
        </w:tc>
        <w:tc>
          <w:tcPr>
            <w:tcW w:w="100" w:type="dxa"/>
            <w:vAlign w:val="bottom"/>
          </w:tcPr>
          <w:p>
            <w:pPr>
              <w:spacing w:after="0"/>
              <w:rPr>
                <w:sz w:val="18"/>
                <w:szCs w:val="18"/>
                <w:color w:val="auto"/>
              </w:rPr>
            </w:pPr>
          </w:p>
        </w:tc>
        <w:tc>
          <w:tcPr>
            <w:tcW w:w="2080" w:type="dxa"/>
            <w:vAlign w:val="bottom"/>
            <w:gridSpan w:val="2"/>
          </w:tcPr>
          <w:p>
            <w:pPr>
              <w:jc w:val="right"/>
              <w:ind w:right="140"/>
              <w:spacing w:after="0"/>
              <w:rPr>
                <w:sz w:val="20"/>
                <w:szCs w:val="20"/>
                <w:color w:val="auto"/>
              </w:rPr>
            </w:pPr>
            <w:r>
              <w:rPr>
                <w:rFonts w:ascii="Arial" w:cs="Arial" w:eastAsia="Arial" w:hAnsi="Arial"/>
                <w:sz w:val="16"/>
                <w:szCs w:val="16"/>
                <w:color w:val="auto"/>
              </w:rPr>
              <w:t>August 31, 2016</w:t>
            </w:r>
          </w:p>
        </w:tc>
        <w:tc>
          <w:tcPr>
            <w:tcW w:w="1840" w:type="dxa"/>
            <w:vAlign w:val="bottom"/>
          </w:tcPr>
          <w:p>
            <w:pPr>
              <w:jc w:val="center"/>
              <w:spacing w:after="0"/>
              <w:rPr>
                <w:sz w:val="20"/>
                <w:szCs w:val="20"/>
                <w:color w:val="auto"/>
              </w:rPr>
            </w:pPr>
            <w:r>
              <w:rPr>
                <w:rFonts w:ascii="Arial" w:cs="Arial" w:eastAsia="Arial" w:hAnsi="Arial"/>
                <w:sz w:val="16"/>
                <w:szCs w:val="16"/>
                <w:color w:val="auto"/>
              </w:rPr>
              <w:t>97.6%</w:t>
            </w:r>
          </w:p>
        </w:tc>
        <w:tc>
          <w:tcPr>
            <w:tcW w:w="1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6"/>
                <w:szCs w:val="16"/>
                <w:color w:val="auto"/>
              </w:rPr>
              <w:t>88.1%</w:t>
            </w:r>
          </w:p>
        </w:tc>
      </w:tr>
      <w:tr>
        <w:trPr>
          <w:trHeight w:val="219"/>
        </w:trPr>
        <w:tc>
          <w:tcPr>
            <w:tcW w:w="2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Velocity Outdoor</w:t>
            </w:r>
          </w:p>
        </w:tc>
        <w:tc>
          <w:tcPr>
            <w:tcW w:w="2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June 2, 2017</w:t>
            </w:r>
          </w:p>
        </w:tc>
        <w:tc>
          <w:tcPr>
            <w:tcW w:w="18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99.3%</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88.0%</w:t>
            </w:r>
          </w:p>
        </w:tc>
      </w:tr>
      <w:tr>
        <w:trPr>
          <w:trHeight w:val="213"/>
        </w:trPr>
        <w:tc>
          <w:tcPr>
            <w:tcW w:w="2360" w:type="dxa"/>
            <w:vAlign w:val="bottom"/>
            <w:gridSpan w:val="2"/>
          </w:tcPr>
          <w:p>
            <w:pPr>
              <w:ind w:left="20"/>
              <w:spacing w:after="0"/>
              <w:rPr>
                <w:sz w:val="20"/>
                <w:szCs w:val="20"/>
                <w:color w:val="auto"/>
              </w:rPr>
            </w:pPr>
            <w:r>
              <w:rPr>
                <w:rFonts w:ascii="Arial" w:cs="Arial" w:eastAsia="Arial" w:hAnsi="Arial"/>
                <w:sz w:val="16"/>
                <w:szCs w:val="16"/>
                <w:color w:val="auto"/>
              </w:rPr>
              <w:t>Foam Fabricators</w:t>
            </w:r>
          </w:p>
        </w:tc>
        <w:tc>
          <w:tcPr>
            <w:tcW w:w="2080" w:type="dxa"/>
            <w:vAlign w:val="bottom"/>
            <w:gridSpan w:val="2"/>
          </w:tcPr>
          <w:p>
            <w:pPr>
              <w:jc w:val="right"/>
              <w:ind w:right="140"/>
              <w:spacing w:after="0"/>
              <w:rPr>
                <w:sz w:val="20"/>
                <w:szCs w:val="20"/>
                <w:color w:val="auto"/>
              </w:rPr>
            </w:pPr>
            <w:r>
              <w:rPr>
                <w:rFonts w:ascii="Arial" w:cs="Arial" w:eastAsia="Arial" w:hAnsi="Arial"/>
                <w:sz w:val="16"/>
                <w:szCs w:val="16"/>
                <w:color w:val="auto"/>
              </w:rPr>
              <w:t>February 15, 2018</w:t>
            </w:r>
          </w:p>
        </w:tc>
        <w:tc>
          <w:tcPr>
            <w:tcW w:w="1840" w:type="dxa"/>
            <w:vAlign w:val="bottom"/>
          </w:tcPr>
          <w:p>
            <w:pPr>
              <w:jc w:val="center"/>
              <w:spacing w:after="0"/>
              <w:rPr>
                <w:sz w:val="20"/>
                <w:szCs w:val="20"/>
                <w:color w:val="auto"/>
              </w:rPr>
            </w:pPr>
            <w:r>
              <w:rPr>
                <w:rFonts w:ascii="Arial" w:cs="Arial" w:eastAsia="Arial" w:hAnsi="Arial"/>
                <w:sz w:val="16"/>
                <w:szCs w:val="16"/>
                <w:color w:val="auto"/>
                <w:w w:val="99"/>
              </w:rPr>
              <w:t>100.0%</w:t>
            </w:r>
          </w:p>
        </w:tc>
        <w:tc>
          <w:tcPr>
            <w:tcW w:w="1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6"/>
                <w:szCs w:val="16"/>
                <w:color w:val="auto"/>
              </w:rPr>
              <w:t>91.5%</w:t>
            </w:r>
          </w:p>
        </w:tc>
      </w:tr>
      <w:tr>
        <w:trPr>
          <w:trHeight w:val="219"/>
        </w:trPr>
        <w:tc>
          <w:tcPr>
            <w:tcW w:w="2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Marucci Sports</w:t>
            </w:r>
          </w:p>
        </w:tc>
        <w:tc>
          <w:tcPr>
            <w:tcW w:w="2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April 20, 2020</w:t>
            </w:r>
          </w:p>
        </w:tc>
        <w:tc>
          <w:tcPr>
            <w:tcW w:w="18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92.2%</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83.8%</w:t>
            </w:r>
          </w:p>
        </w:tc>
      </w:tr>
    </w:tbl>
    <w:p>
      <w:pPr>
        <w:spacing w:after="0" w:line="21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categorize the businesses we own into two separate groups of businesses: (i) branded consumer businesses, and (ii) niche industrial businesses. Branded consumer businesses are characterized as those businesses that we believe capitalize on a valuable brand name in their respective market sector. We believe that our branded consumer businesses are leaders in their particular product category. Niche industrial businesses are characterized as those businesses that focus on manufacturing and selling particular products and industrial services within a specific market sector. We believe that our niche industrial businesses are leaders in their specific market sector. The following is an overview of each of our businesses: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Branded Consumer</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5.11 </w:t>
      </w:r>
      <w:r>
        <w:rPr>
          <w:rFonts w:ascii="Arial" w:cs="Arial" w:eastAsia="Arial" w:hAnsi="Arial"/>
          <w:sz w:val="18"/>
          <w:szCs w:val="18"/>
          <w:color w:val="auto"/>
        </w:rPr>
        <w:t>- 5.11 is a leading provider of purpose-built technical apparel and gear for law enforcement, firefighters, EMS, and military special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operations as well as outdoor and adventure enthusiasts. 5.11 is a brand known for innovation and authenticity, and works directly with end users to create purpose-built apparel and gear designed to enhance the safety, accuracy, speed and performance of tactical professionals and enthusiasts worldwide. Headquartered in Irvine, California, 5.11 operates sales offices and distribution centers globally, and 5.11 products are widely distributed in uniform stores, military exchanges, outdoor retail stores, its own retail stores and on 511tactical.com.</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37" w:name="page38"/>
    <w:bookmarkEnd w:id="37"/>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Ergobaby </w:t>
      </w:r>
      <w:r>
        <w:rPr>
          <w:rFonts w:ascii="Arial" w:cs="Arial" w:eastAsia="Arial" w:hAnsi="Arial"/>
          <w:sz w:val="18"/>
          <w:szCs w:val="18"/>
          <w:color w:val="auto"/>
        </w:rPr>
        <w:t>- Headquartered in Los Angeles, California, Ergobaby is dedicated to building a global community of confident parents with smart,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ergonomic solutions that enable and encourage bonding between parents and babies. Ergobaby offers a broad range of award-winning baby carriers, strollers, swaddlers, nursing pillows, and related products that fit into families’ daily lives seamlessly, comfortably and safely. Historically, Ergobaby derives more than 50% of its sales from outside of the United States.</w:t>
      </w:r>
    </w:p>
    <w:p>
      <w:pPr>
        <w:spacing w:after="0" w:line="12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 xml:space="preserve">Liberty </w:t>
      </w:r>
      <w:r>
        <w:rPr>
          <w:rFonts w:ascii="Arial" w:cs="Arial" w:eastAsia="Arial" w:hAnsi="Arial"/>
          <w:sz w:val="18"/>
          <w:szCs w:val="18"/>
          <w:color w:val="auto"/>
        </w:rPr>
        <w:t>- Founded in 1988, Liberty Safe is the premier designer, manufacturer and marketer of home and gun safes in North America.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its over 300,000 square foot manufacturing facility, Liberty Safe produces a wide range of home and gun safe models in a broad assortment of sizes, features and styles ranging from an entry level product to good, better and best products. Products are marketed under the Liberty brand, as well as a portfolio of licensed and private label brands, including Cabela’s, Case IH, Colt and John Deere. Liberty Safe’s products are the market share leader and are sold through an independent dealer network ("Dealer sales") in addition to various sporting goods, farm and fleet and home improvement retail outlets ("Non-Dealer sales"). Liberty has the largest independent dealer network in the industry. Liberty is headquartered in Payson, Utah.</w:t>
      </w:r>
    </w:p>
    <w:p>
      <w:pPr>
        <w:spacing w:after="0" w:line="12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Marucci Sports - </w:t>
      </w:r>
      <w:r>
        <w:rPr>
          <w:rFonts w:ascii="Arial" w:cs="Arial" w:eastAsia="Arial" w:hAnsi="Arial"/>
          <w:sz w:val="18"/>
          <w:szCs w:val="18"/>
          <w:color w:val="auto"/>
        </w:rPr>
        <w:t>Founded in 2009, Marucci is a leading designer, manufacturer, and marketer of premium wood and metal baseball bats,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fielding gloves, batting gloves, bags, protective gear, sunglasses, on and off-field apparel, and other baseball and softball equipment used by professional and amateur athletes. Marucci also develops and licenses franchises for sports training facilities. Marucci is headquartered in Baton Rouge, Louisiana.</w:t>
      </w:r>
    </w:p>
    <w:p>
      <w:pPr>
        <w:spacing w:after="0" w:line="12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Velocity Outdoor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leading designer, manufacturer, and marketer of airguns, archery products, laser aiming devices and related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accessories, Velocity Outdoor offers its products under the highly recognizable Crosman, Benjamin, LaserMax, Ravin and CenterPoint brands that are available through national retail chains, mass merchants, dealer and distributor networks. The airgun product category consists of air rifles, air pistols and a range of accessories including targets, holsters and cases. Velocity Outdoor's other primary product categories are archery, with products including CenterPoint crossbows and the Pioneer Airbow, consumables, which includes steel and plastic BBs, lead pellets and CO2 cartridges, lasers for firearms, and airsoft products. In September 2018, Velocity acquired Ravin Crossbows, LLC ("Ravin" or "Ravin Crossbows"), a manufacturer and innovator of crossbows and accessories. Ravin primarily focuses on the higher-end segment of the crossbow market and has developed significant intellectual property related to the advancement of crossbow technology. Velocity Outdoor is headquartered in Bloomfield, New York.</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Niche Industrial</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 xml:space="preserve">Advanced Circuits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Advanced Circuits is a provider of small-run, quick-turn and volume production printed circuit boards ("PCBs")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customers throughout the United States. Historically, small-run and quick-turn PCBs have represented approximately 50% - 55% of Advanced Circuits’ gross sales. Small-run and quick-turn PCBs typically command higher margins than volume production PCBs given that customers require high levels of responsiveness, technical support and timely delivery of small-run and quick-turn PCBs and are willing to pay a premium for them. Advanced Circuits is able to meet its customers’ demands by manufacturing custom PCBs in as little as 24 hours, while maintaining over 98.0% error-free production rates and real-time customer service and product tracking 24 hours per day. Advanced Circuits is headquartered in Aurora, Colorado.</w:t>
      </w:r>
    </w:p>
    <w:p>
      <w:pPr>
        <w:spacing w:after="0" w:line="12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 xml:space="preserve">Arnold </w:t>
      </w:r>
      <w:r>
        <w:rPr>
          <w:rFonts w:ascii="Arial" w:cs="Arial" w:eastAsia="Arial" w:hAnsi="Arial"/>
          <w:sz w:val="18"/>
          <w:szCs w:val="18"/>
          <w:color w:val="auto"/>
        </w:rPr>
        <w:t>- Arnold serves a variety of markets including aerospace and defense, general industrial, motorsport/ automotive, oil and gas,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medical, energy, reprographics and advertising specialties. Over the course of more than 100 years, Arnold has successfully evolved and adapted our products, technologies, and manufacturing presence to meet the demands of current and emerging markets. Arnold produces high performance permanent magnets (PMAG), precision foil products (Precision Thin Metals or "PTM"), and flexible magnets (Flexmag™) that are mission critical in motors, generators, sensors and other systems and components. Arnold has expanded globally and built strong relationships with our customers worldwide. Arnold is the largest and, we believe, the most technically advanced U.S. manufacturer of engineered magnetic systems. Arnold is headquartered in Rochester, New York.</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Foam Fabricators </w:t>
      </w:r>
      <w:r>
        <w:rPr>
          <w:rFonts w:ascii="Arial" w:cs="Arial" w:eastAsia="Arial" w:hAnsi="Arial"/>
          <w:sz w:val="18"/>
          <w:szCs w:val="18"/>
          <w:color w:val="auto"/>
        </w:rPr>
        <w:t>- Founded in 1957 and headquartered in Scottsdale, Arizona, Foam Fabricators is a designer and manufacturer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 molded protective foam solutions and original equipment manufacturer (OEM) components made from expanded polystyrene (EPS) and expanded polypropylene (EPP). Foam Fabricators operates 14 molding and fabricating facilities across North America and provides products to a variety of end-markets, including appliances and electronics, pharmaceuticals, health and wellness, automotive, building products and others. In July 2020, Foam Fabricators acquired the assets of Polyfoam, a Massachusetts-based manufacturer</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8"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t>of protective and temperature-sensitive packaging solutions for the medical, pharmaceutical, grocery and food industries, among others.</w:t>
      </w:r>
    </w:p>
    <w:p>
      <w:pPr>
        <w:spacing w:after="0" w:line="1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Sterno </w:t>
      </w:r>
      <w:r>
        <w:rPr>
          <w:rFonts w:ascii="Arial" w:cs="Arial" w:eastAsia="Arial" w:hAnsi="Arial"/>
          <w:sz w:val="18"/>
          <w:szCs w:val="18"/>
          <w:color w:val="auto"/>
        </w:rPr>
        <w:t>- Sterno, headquartered in Corona, California, is the parent company of Sterno LLC ("Sterno Products"), Sterno Home Inc. ("Sterno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Home"), and Rimports Inc. ("Rimports"). Sterno is a leading manufacturer and marketer of portable food warming systems, creative indoor and outdoor lighting, and home fragrance solutions for the foodservice industry and consumer markets. Sterno offers a broad range of wick and gel chafing systems, butane stoves and accessories, liquid and traditional wax candles, catering equipment and lamps through Sterno Products, flameless candles and outdoor lighting products through Sterno Home, and scented wax cubes and warmer products used for home decor and fragrance systems through Rimports.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Our management team’s strategy for our businesses involves:</w:t>
      </w:r>
    </w:p>
    <w:p>
      <w:pPr>
        <w:spacing w:after="0" w:line="117" w:lineRule="exact"/>
        <w:rPr>
          <w:sz w:val="20"/>
          <w:szCs w:val="20"/>
          <w:color w:val="auto"/>
        </w:rPr>
      </w:pPr>
    </w:p>
    <w:p>
      <w:pPr>
        <w:ind w:left="660" w:right="20" w:hanging="328"/>
        <w:spacing w:after="0" w:line="250"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utilizing structured incentive compensation programs tailored to each business to attract, recruit and retain talented managers to operate our businesses;</w:t>
      </w:r>
    </w:p>
    <w:p>
      <w:pPr>
        <w:ind w:left="660" w:right="20" w:hanging="328"/>
        <w:spacing w:after="0" w:line="250"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regularly monitoring financial and operational performance, instilling consistent financial discipline, and supporting management in the development and implementation of information systems to effectively achieve these goals;</w:t>
      </w: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assisting management in their analysis and pursuit of prudent organic cash flow growth strategies (both revenue and cost related);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identifying and working with management to execute attractive external growth and acquisition opportunities; and</w:t>
      </w:r>
    </w:p>
    <w:p>
      <w:pPr>
        <w:spacing w:after="0" w:line="9"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forming strong subsidiary level boards of directors to supplement management in their development and implementation of strategic goals and objectives.</w:t>
      </w:r>
    </w:p>
    <w:p>
      <w:pPr>
        <w:spacing w:after="0" w:line="9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While our businesses have different growth opportunities and potential rates of growth, we work with the management teams of each of our businesses to increase the value of, and cash generated by, each business through various initiatives, including making selective capital investments to expand geographic reach, increase capacity or reduce manufacturing costs of our businesses; improving and expanding existing sales and marketing programs; and assisting in the acquisition and integration of complementary businesses. We remain focused on marketing our Company's attractive ownership and management attributes to potential sellers of middle market businesses. In addition, we continue to pursue opportunities for add-on acquisitions by our existing subsidiary companies, which can be particularly attractive from a strategic perspective.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 on Our Operations, Financial Condition, Liquidity and Results of Operations</w:t>
      </w:r>
    </w:p>
    <w:p>
      <w:pPr>
        <w:spacing w:after="0" w:line="13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March 2020, the World Health Organization categorized COVID-19 as a pandemic and, during the third quarter of 2020, the COVID-19 pandemic continued to impact the Company. COVID-19 continues to spread throughout the United States and other countries across the world, and the duration, severity and ultimate impact on our business are currently unknown. The COVID-19 pandemic led to governments around the world implementing increasingly stringent measures to help control the spread of the virus, including quarantines, “shelter-in-place” and “stay-at-home” orders, travel restrictions, business curtailments, particularly retail operations and non-essential businesses, school closures, and other measures. In addition, governments and central banks in several parts of the world enacted fiscal and monetary stimulus measures to counteract the impacts of COVID-19. The public health situation, global response measures and corresponding impacts on various markets remain fluid and uncertain. We continue to closely monitor the impact of the COVID-19 pandemic on all aspects of our business, including how it is impacting our customers, employees, supply chains, and distribution networks. We experienced and expect to continue to experience reductions in customer demand in certain of our niche industrial end-markets. We expect that the government measures taken to address the spread of the virus, the reduced operational status of some of our suppliers, the reductions in production at certain facilities, and the decrease in foot traffic at many brick and mortar retail businesses may impact our operations for the remainder of 2020. The health of our team and various stakeholders is our highest priority, and we have taken multiple steps to provide support and a safe work environment.</w:t>
      </w:r>
    </w:p>
    <w:p>
      <w:pPr>
        <w:spacing w:after="0" w:line="15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Due to the unprecedented uncertainty as a result of the COVID-19 pandemic, in April 2020 CGM agreed to waive 50% of the second quarter management fee calculated at June 30, 2020 that was paid in July 2020. We continue to work with management at each of our businesses to reduce our controllable costs, including short-term actions to reduce labor costs, eliminating non-essential travel and reducing discretionary spending. Additionally, our businesses are proactively managing working capital and we have reduced our capital spending plan for the year, without deferring many key strategic ongoing initiatives.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2020 Outlook in Consideration of the COVID-19 Pandemic</w:t>
      </w:r>
    </w:p>
    <w:p>
      <w:pPr>
        <w:spacing w:after="0" w:line="19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anticipates that COVID-19 will continue to have an impact on its results of operations for the remainder of 2020, including a decrease in operating income and Adjusted EBITDA as compared to the prior year at certain of our niche industrial businesses. For example, the Company expects the Sterno Products division of Sterno to be negatively impacted by the pandemic due to that division's reliance on the food service industry. However, the diversification of our portfolio of businesses has allowed us to offset the decline in operating results from the COVID-19 pandemic experienced by some of our operating segments. Driven by the strong performance at our outdoor consumer brand products, 5.11, Liberty Safe and Velocity Outdoor, and our acquisition of Marucci Sports in April 2020, our consolidated operating income, net income, operating cash flows and Adjusted EBITDA increased in the nine months ended September 30, 2020 as compared to the nine months ended September 30, 2019.</w:t>
      </w:r>
    </w:p>
    <w:p>
      <w:pPr>
        <w:spacing w:after="0" w:line="15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During 2019, the Company received an aggregate total of $ 771.6 million in net cash proceeds as a result of the divestitures of Manitoba Harvest and Clean Earth, as well as $111.0 million from the issuance and sale of Series C Preferred Shares. In May 2020, the Company completed a share offering of five million Trust common shares resulting in net proceeds of $83.9 million and issued an additional $200 million in our 8% Senior Notes. The Company believes that it currently has adequate liquidity and capital resources to meet its existing obligations, and quarterly distributions to its shareholders, as, and if, approved by the Board of Directors, over the next twelve months. However, if the Company’s operations are impacted more than expected during the fourth quarter of 2020 as a result of continued declining COVID-19-related economic conditions and the potential for an extended economic recession, the Company’s results of operations could be impacted more dramatically than currently anticipated and as a result, the Company’s liquidity and capital resources could be even more constrained than expected.</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See Part II, Item 1A. "Risk Factors" for additional information.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Events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 of Trust Common Shares</w:t>
      </w:r>
    </w:p>
    <w:p>
      <w:pPr>
        <w:spacing w:after="0" w:line="13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May 2020, the Company completed an offering of 5,000,000 Trust common shares at a public offering price of $ 17.60 per share. The net proceeds to the Company, after deducting the underwriter's discount and offering costs, totaled approximately $83.9 million.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Issuance of Senior Notes</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May 7, 2020, the Company consummated the issuance and sale of $200 million aggregate principal amount of its 8.000% Senior Notes due 2026 (the "Additional Notes"). The proceeds from the Additional Notes were used to pay down the amount outstanding on the Company's 2018 Revolving Credit Facility.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Marucci Sports, LLC</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March 6, 2020, the Company, through a wholly-owned subsidiary, Wheelhouse Holdings Inc., a Delaware Corporation (“Buyer”), entered into an Agreement and Plan of Merger with Marucci Sports, LLC, a Delaware limited liability company (“Marucci”), Wheelhouse Holdings Merger Sub LLC, a Delaware limited liability company and a wholly owned Subsidiary of Buyer, and, Wheelhouse 2020 LLC, a Delaware limited liability company (in its capacity as the representative of the unit holders and option holders of Marucci), pursuant to which Wheelhouse Holdings Merger Sub LLC was to be merged with and into Marucci (the “Transaction”) such that the separate existence of Wheelhouse Holdings Merger Sub LLC would cease, and Marucci would survive the Transaction as a subsidiary of Buyer. Headquartered in Baton Rouge, Louisiana, Marucci is a leading manufacturer and distributor of baseball and softball equipment. Founded in 2009, Marucci has a product portfolio that includes wood and metal bats, apparel and accessories, batting and fielding gloves and bags and protective gear.</w:t>
      </w:r>
    </w:p>
    <w:p>
      <w:pPr>
        <w:spacing w:after="0" w:line="15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Buyer, via the Transaction, completed the acquisition of Marucci on April 20, 2020 for a total purchase price of approximately $ 200 million in cash, subject to certain adjustments based on matters such as the working capital and indebtedness balances at the time of the closing. The Company funded the purchase price using funds drawn on its 2018 Revolving Credit Facility in March 2020. The Company's initial equity ownership in Marucci is approximately 92%, as certain existing stakeholders in Marucci invested in the transaction alongside the Company.</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8"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i w:val="1"/>
          <w:iCs w:val="1"/>
          <w:color w:val="auto"/>
        </w:rPr>
        <w:t>Acquisition of Reel Holding Corp.</w:t>
      </w:r>
    </w:p>
    <w:p>
      <w:pPr>
        <w:spacing w:after="0" w:line="18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September 20, 2020, the Company, through its newly formed acquisition subsidiaries, BOA Holdings Inc., a Delaware corporation (“BOA Holdings”) and BOA Parent Inc., a Delaware corporation (“Buyer”) and a wholly-owned subsidiary of BOA Holdings, entered into an Agreement and Plan of Merger (the “Merger Agreement”) with Reel Holding Corp., a Delaware corporation (“BOA”) and the sole stockholder of Boa Technology, Inc., BOA Merger Sub Inc., a Delaware corporation and a wholly-owned subsidiary of Buyer (“Merger Sub”), and Shareholder Representative Services LLC (in its capacity as the representative of the stockholders of BOA). Pursuant to the Merger Agreement, on October 16, 2020, Merger Sub was merged with and into BOA (the “Merger”) such that the separate existence of Merger Sub ceased, and BOA survived the Merger as a wholly-owned subsidiary of Buyer. BOA, creators of the award-winning BOA® Fit System featured in performance footwear, action sports, outdoor and medical products worldwide, was founded in 2001 and is headquartered in Denver, Colorado. The total purchase price for the acquisition of BOA was $454 million (excluding working capital and certain other adjustments upon closing, and transaction costs). The Company funded the acquisition with cash on hand and a $300 million draw on its 2018 Revolving Credit Facility. The Company's initial equity ownership in BOA is approximately 82%, as certain existing stockholders in BOA invested in the transaction alongside the Company.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"U.S. GAAP" or "GAAP" refer to generally accepted accounting principles in the United States. A non-GAAP financial measure is a numerical measure of historical or future performance, financial position or cash flow that excludes amounts, or is subject to adjustments that effectively exclude amounts, included in the most directly comparable measure calculated and presented in accordance with GAAP in our financial statements, and vice versa for measures that include amounts, or are subject to adjustments that effectively include amounts, that are excluded from the most directly comparable measure as calculated and presented.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9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following discussion reflects a comparison of the historical results of operations of our consolidated business for the three and nine months ended September 30, 2020 and September 30, 2019, and components of the results of operations as well as those components presented as a percent of net revenues, for each of our businesses on a stand-alone basis. For the acquisition of Marucci in April 2020, the pro forma results of operations for the Marucci business segment have been prepared as if we purchased that business on January 1, 2019. Where appropriate, relevant pro forma adjustments are reflected as part of the historical operating results of Marucci. We believe this is the most meaningful comparison for the operating results of acquired business segments. The consolidated results of operations reflect the operating results of Marucci from the date of acquisition.</w:t>
      </w:r>
    </w:p>
    <w:p>
      <w:pPr>
        <w:spacing w:after="0" w:line="15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the first quarter of 2020, we began to see the impacts of COVID-19 on certain of our businesses, markets and operations, particularly those that were most affected by governmental “stay-at home” orders which led to reduced consumer traffic and either a closure of stores by some retailers or a focus on items that were deemed essential. The steps taken by governments to limit the spread of the virus had a negative impact on our operations in the second quarter; April and May saw a slowdown in revenue at several of our businesses, however, we experienced a rebound in June as localities began lifting restrictions. During the third quarter, some of our niche industrial businesses continued to be adversely impacted by the effect of the COVID-19 pandemic on the economy, while certain of our consumer businesses continued to experience solid demand.</w:t>
      </w:r>
    </w:p>
    <w:p>
      <w:pPr>
        <w:spacing w:after="0" w:line="9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COVID-19 pandemic has had, and may continue to have, negative impacts on certain of our niche industrial businesses, results of operations, financial condition and cash flows in the near and medium term. COVID-19 continues to spread throughout the United States and other countries across the world, and the duration, severity and ultimate impact on our business are currently unknown. The ultimate impact of COVID-19 on our business is dependent on future developments, including the duration of the pandemic and the related length of its impact on the global economy, which are highly uncertain and cannot be accurately predicted at this time. The following results of operations at each of our businesses are not necessarily indicative of the results to be expected for a full year.</w:t>
      </w:r>
    </w:p>
    <w:p>
      <w:pPr>
        <w:spacing w:after="0" w:line="15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All dollar amounts in the financial tables are presented in thousands. References in the financial tables to percentage changes that are not meaningful are denoted by "NM."</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Results of Operations - Consolidated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unaudited results of operations for the three and nine months ended September 30, 2020 and 2019:</w:t>
      </w:r>
    </w:p>
    <w:p>
      <w:pPr>
        <w:spacing w:after="0" w:line="231" w:lineRule="exact"/>
        <w:rPr>
          <w:sz w:val="20"/>
          <w:szCs w:val="20"/>
          <w:color w:val="auto"/>
        </w:rPr>
      </w:pPr>
    </w:p>
    <w:tbl>
      <w:tblPr>
        <w:tblLayout w:type="fixed"/>
        <w:tblInd w:w="40" w:type="dxa"/>
        <w:tblCellMar>
          <w:top w:w="0" w:type="dxa"/>
          <w:left w:w="0" w:type="dxa"/>
          <w:bottom w:w="0" w:type="dxa"/>
          <w:right w:w="0" w:type="dxa"/>
        </w:tblCellMar>
      </w:tblPr>
      <w:tr>
        <w:trPr>
          <w:trHeight w:val="206"/>
        </w:trPr>
        <w:tc>
          <w:tcPr>
            <w:tcW w:w="456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gridSpan w:val="3"/>
          </w:tcPr>
          <w:p>
            <w:pPr>
              <w:jc w:val="right"/>
              <w:ind w:right="44"/>
              <w:spacing w:after="0"/>
              <w:rPr>
                <w:sz w:val="20"/>
                <w:szCs w:val="20"/>
                <w:color w:val="auto"/>
              </w:rPr>
            </w:pPr>
            <w:r>
              <w:rPr>
                <w:rFonts w:ascii="Arial" w:cs="Arial" w:eastAsia="Arial" w:hAnsi="Arial"/>
                <w:sz w:val="15"/>
                <w:szCs w:val="15"/>
                <w:b w:val="1"/>
                <w:bCs w:val="1"/>
                <w:color w:val="auto"/>
              </w:rPr>
              <w:t>Three months ended</w:t>
            </w:r>
          </w:p>
        </w:tc>
        <w:tc>
          <w:tcPr>
            <w:tcW w:w="7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3"/>
          </w:tcPr>
          <w:p>
            <w:pPr>
              <w:jc w:val="right"/>
              <w:ind w:right="4"/>
              <w:spacing w:after="0"/>
              <w:rPr>
                <w:sz w:val="20"/>
                <w:szCs w:val="20"/>
                <w:color w:val="auto"/>
              </w:rPr>
            </w:pPr>
            <w:r>
              <w:rPr>
                <w:rFonts w:ascii="Arial" w:cs="Arial" w:eastAsia="Arial" w:hAnsi="Arial"/>
                <w:sz w:val="15"/>
                <w:szCs w:val="15"/>
                <w:b w:val="1"/>
                <w:bCs w:val="1"/>
                <w:color w:val="auto"/>
              </w:rPr>
              <w:t>Nine months ended</w:t>
            </w:r>
          </w:p>
        </w:tc>
        <w:tc>
          <w:tcPr>
            <w:tcW w:w="840" w:type="dxa"/>
            <w:vAlign w:val="bottom"/>
            <w:tcBorders>
              <w:bottom w:val="single" w:sz="8" w:color="auto"/>
            </w:tcBorders>
          </w:tcPr>
          <w:p>
            <w:pPr>
              <w:spacing w:after="0"/>
              <w:rPr>
                <w:sz w:val="17"/>
                <w:szCs w:val="17"/>
                <w:color w:val="auto"/>
              </w:rPr>
            </w:pPr>
          </w:p>
        </w:tc>
      </w:tr>
      <w:tr>
        <w:trPr>
          <w:trHeight w:val="200"/>
        </w:trPr>
        <w:tc>
          <w:tcPr>
            <w:tcW w:w="4560" w:type="dxa"/>
            <w:vAlign w:val="bottom"/>
          </w:tcPr>
          <w:p>
            <w:pPr>
              <w:spacing w:after="0"/>
              <w:rPr>
                <w:sz w:val="17"/>
                <w:szCs w:val="17"/>
                <w:color w:val="auto"/>
              </w:rPr>
            </w:pPr>
          </w:p>
        </w:tc>
        <w:tc>
          <w:tcPr>
            <w:tcW w:w="1680" w:type="dxa"/>
            <w:vAlign w:val="bottom"/>
            <w:gridSpan w:val="3"/>
          </w:tcPr>
          <w:p>
            <w:pPr>
              <w:ind w:left="60"/>
              <w:spacing w:after="0"/>
              <w:rPr>
                <w:sz w:val="20"/>
                <w:szCs w:val="20"/>
                <w:color w:val="auto"/>
              </w:rPr>
            </w:pPr>
            <w:r>
              <w:rPr>
                <w:rFonts w:ascii="Arial" w:cs="Arial" w:eastAsia="Arial" w:hAnsi="Arial"/>
                <w:sz w:val="15"/>
                <w:szCs w:val="15"/>
                <w:b w:val="1"/>
                <w:bCs w:val="1"/>
                <w:color w:val="auto"/>
              </w:rPr>
              <w:t>September 30, 2020</w:t>
            </w:r>
          </w:p>
        </w:tc>
        <w:tc>
          <w:tcPr>
            <w:tcW w:w="1580" w:type="dxa"/>
            <w:vAlign w:val="bottom"/>
            <w:gridSpan w:val="2"/>
          </w:tcPr>
          <w:p>
            <w:pPr>
              <w:jc w:val="right"/>
              <w:ind w:right="24"/>
              <w:spacing w:after="0"/>
              <w:rPr>
                <w:sz w:val="20"/>
                <w:szCs w:val="20"/>
                <w:color w:val="auto"/>
              </w:rPr>
            </w:pPr>
            <w:r>
              <w:rPr>
                <w:rFonts w:ascii="Arial" w:cs="Arial" w:eastAsia="Arial" w:hAnsi="Arial"/>
                <w:sz w:val="15"/>
                <w:szCs w:val="15"/>
                <w:b w:val="1"/>
                <w:bCs w:val="1"/>
                <w:color w:val="auto"/>
              </w:rPr>
              <w:t>September 30, 2019</w:t>
            </w:r>
          </w:p>
        </w:tc>
        <w:tc>
          <w:tcPr>
            <w:tcW w:w="100" w:type="dxa"/>
            <w:vAlign w:val="bottom"/>
          </w:tcPr>
          <w:p>
            <w:pPr>
              <w:spacing w:after="0"/>
              <w:rPr>
                <w:sz w:val="17"/>
                <w:szCs w:val="17"/>
                <w:color w:val="auto"/>
              </w:rPr>
            </w:pPr>
          </w:p>
        </w:tc>
        <w:tc>
          <w:tcPr>
            <w:tcW w:w="1680" w:type="dxa"/>
            <w:vAlign w:val="bottom"/>
            <w:gridSpan w:val="3"/>
          </w:tcPr>
          <w:p>
            <w:pPr>
              <w:ind w:left="60"/>
              <w:spacing w:after="0"/>
              <w:rPr>
                <w:sz w:val="20"/>
                <w:szCs w:val="20"/>
                <w:color w:val="auto"/>
              </w:rPr>
            </w:pPr>
            <w:r>
              <w:rPr>
                <w:rFonts w:ascii="Arial" w:cs="Arial" w:eastAsia="Arial" w:hAnsi="Arial"/>
                <w:sz w:val="15"/>
                <w:szCs w:val="15"/>
                <w:b w:val="1"/>
                <w:bCs w:val="1"/>
                <w:color w:val="auto"/>
              </w:rPr>
              <w:t>September 30, 2020</w:t>
            </w:r>
          </w:p>
        </w:tc>
        <w:tc>
          <w:tcPr>
            <w:tcW w:w="1580" w:type="dxa"/>
            <w:vAlign w:val="bottom"/>
            <w:gridSpan w:val="2"/>
          </w:tcPr>
          <w:p>
            <w:pPr>
              <w:jc w:val="right"/>
              <w:ind w:right="4"/>
              <w:spacing w:after="0"/>
              <w:rPr>
                <w:sz w:val="20"/>
                <w:szCs w:val="20"/>
                <w:color w:val="auto"/>
              </w:rPr>
            </w:pPr>
            <w:r>
              <w:rPr>
                <w:rFonts w:ascii="Arial" w:cs="Arial" w:eastAsia="Arial" w:hAnsi="Arial"/>
                <w:sz w:val="15"/>
                <w:szCs w:val="15"/>
                <w:b w:val="1"/>
                <w:bCs w:val="1"/>
                <w:color w:val="auto"/>
              </w:rPr>
              <w:t>September 30, 2019</w:t>
            </w:r>
          </w:p>
        </w:tc>
      </w:tr>
      <w:tr>
        <w:trPr>
          <w:trHeight w:val="196"/>
        </w:trPr>
        <w:tc>
          <w:tcPr>
            <w:tcW w:w="4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Net revenues</w:t>
            </w:r>
          </w:p>
        </w:tc>
        <w:tc>
          <w:tcPr>
            <w:tcW w:w="480" w:type="dxa"/>
            <w:vAlign w:val="bottom"/>
            <w:tcBorders>
              <w:top w:val="single" w:sz="8" w:color="auto"/>
            </w:tcBorders>
            <w:shd w:val="clear" w:color="auto" w:fill="CCEEFF"/>
          </w:tcPr>
          <w:p>
            <w:pPr>
              <w:jc w:val="right"/>
              <w:ind w:right="304"/>
              <w:spacing w:after="0"/>
              <w:rPr>
                <w:sz w:val="20"/>
                <w:szCs w:val="20"/>
                <w:color w:val="auto"/>
              </w:rPr>
            </w:pPr>
            <w:r>
              <w:rPr>
                <w:rFonts w:ascii="Arial" w:cs="Arial" w:eastAsia="Arial" w:hAnsi="Arial"/>
                <w:sz w:val="15"/>
                <w:szCs w:val="15"/>
                <w:color w:val="auto"/>
                <w:w w:val="95"/>
              </w:rPr>
              <w:t>$</w:t>
            </w:r>
          </w:p>
        </w:tc>
        <w:tc>
          <w:tcPr>
            <w:tcW w:w="10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418,903</w:t>
            </w:r>
          </w:p>
        </w:tc>
        <w:tc>
          <w:tcPr>
            <w:tcW w:w="1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ind w:right="664"/>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388,313</w:t>
            </w:r>
          </w:p>
        </w:tc>
        <w:tc>
          <w:tcPr>
            <w:tcW w:w="1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ind w:right="284"/>
              <w:spacing w:after="0"/>
              <w:rPr>
                <w:sz w:val="20"/>
                <w:szCs w:val="20"/>
                <w:color w:val="auto"/>
              </w:rPr>
            </w:pPr>
            <w:r>
              <w:rPr>
                <w:rFonts w:ascii="Arial" w:cs="Arial" w:eastAsia="Arial" w:hAnsi="Arial"/>
                <w:sz w:val="15"/>
                <w:szCs w:val="15"/>
                <w:color w:val="auto"/>
                <w:w w:val="95"/>
              </w:rPr>
              <w:t>$</w:t>
            </w:r>
          </w:p>
        </w:tc>
        <w:tc>
          <w:tcPr>
            <w:tcW w:w="11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1,085,979</w:t>
            </w:r>
          </w:p>
        </w:tc>
        <w:tc>
          <w:tcPr>
            <w:tcW w:w="1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ind w:right="564"/>
              <w:spacing w:after="0"/>
              <w:rPr>
                <w:sz w:val="20"/>
                <w:szCs w:val="20"/>
                <w:color w:val="auto"/>
              </w:rPr>
            </w:pPr>
            <w:r>
              <w:rPr>
                <w:rFonts w:ascii="Arial" w:cs="Arial" w:eastAsia="Arial" w:hAnsi="Arial"/>
                <w:sz w:val="15"/>
                <w:szCs w:val="15"/>
                <w:color w:val="auto"/>
                <w:w w:val="9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1,063,254</w:t>
            </w:r>
          </w:p>
        </w:tc>
      </w:tr>
      <w:tr>
        <w:trPr>
          <w:trHeight w:val="198"/>
        </w:trPr>
        <w:tc>
          <w:tcPr>
            <w:tcW w:w="456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Cost of revenues</w:t>
            </w:r>
          </w:p>
        </w:tc>
        <w:tc>
          <w:tcPr>
            <w:tcW w:w="4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265,119</w:t>
            </w:r>
          </w:p>
        </w:tc>
        <w:tc>
          <w:tcPr>
            <w:tcW w:w="12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251,778</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695,304</w:t>
            </w:r>
          </w:p>
        </w:tc>
        <w:tc>
          <w:tcPr>
            <w:tcW w:w="10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684,601</w:t>
            </w:r>
          </w:p>
        </w:tc>
      </w:tr>
      <w:tr>
        <w:trPr>
          <w:trHeight w:val="200"/>
        </w:trPr>
        <w:tc>
          <w:tcPr>
            <w:tcW w:w="4560" w:type="dxa"/>
            <w:vAlign w:val="bottom"/>
            <w:shd w:val="clear" w:color="auto" w:fill="CCEEFF"/>
          </w:tcPr>
          <w:p>
            <w:pPr>
              <w:ind w:left="200"/>
              <w:spacing w:after="0"/>
              <w:rPr>
                <w:sz w:val="20"/>
                <w:szCs w:val="20"/>
                <w:color w:val="auto"/>
              </w:rPr>
            </w:pPr>
            <w:r>
              <w:rPr>
                <w:rFonts w:ascii="Arial" w:cs="Arial" w:eastAsia="Arial" w:hAnsi="Arial"/>
                <w:sz w:val="15"/>
                <w:szCs w:val="15"/>
                <w:color w:val="auto"/>
              </w:rPr>
              <w:t>Gross profit</w:t>
            </w:r>
          </w:p>
        </w:tc>
        <w:tc>
          <w:tcPr>
            <w:tcW w:w="48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153,784</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136,535</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390,675</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378,653</w:t>
            </w:r>
          </w:p>
        </w:tc>
      </w:tr>
      <w:tr>
        <w:trPr>
          <w:trHeight w:val="198"/>
        </w:trPr>
        <w:tc>
          <w:tcPr>
            <w:tcW w:w="4560" w:type="dxa"/>
            <w:vAlign w:val="bottom"/>
          </w:tcPr>
          <w:p>
            <w:pPr>
              <w:spacing w:after="0"/>
              <w:rPr>
                <w:sz w:val="20"/>
                <w:szCs w:val="20"/>
                <w:color w:val="auto"/>
              </w:rPr>
            </w:pPr>
            <w:r>
              <w:rPr>
                <w:rFonts w:ascii="Arial" w:cs="Arial" w:eastAsia="Arial" w:hAnsi="Arial"/>
                <w:sz w:val="15"/>
                <w:szCs w:val="15"/>
                <w:color w:val="auto"/>
              </w:rPr>
              <w:t>Selling, general and administrative expense</w:t>
            </w:r>
          </w:p>
        </w:tc>
        <w:tc>
          <w:tcPr>
            <w:tcW w:w="480" w:type="dxa"/>
            <w:vAlign w:val="bottom"/>
          </w:tcPr>
          <w:p>
            <w:pPr>
              <w:spacing w:after="0"/>
              <w:rPr>
                <w:sz w:val="17"/>
                <w:szCs w:val="17"/>
                <w:color w:val="auto"/>
              </w:rPr>
            </w:pPr>
          </w:p>
        </w:tc>
        <w:tc>
          <w:tcPr>
            <w:tcW w:w="1080" w:type="dxa"/>
            <w:vAlign w:val="bottom"/>
          </w:tcPr>
          <w:p>
            <w:pPr>
              <w:jc w:val="right"/>
              <w:ind w:right="4"/>
              <w:spacing w:after="0"/>
              <w:rPr>
                <w:sz w:val="20"/>
                <w:szCs w:val="20"/>
                <w:color w:val="auto"/>
              </w:rPr>
            </w:pPr>
            <w:r>
              <w:rPr>
                <w:rFonts w:ascii="Arial" w:cs="Arial" w:eastAsia="Arial" w:hAnsi="Arial"/>
                <w:sz w:val="15"/>
                <w:szCs w:val="15"/>
                <w:color w:val="auto"/>
              </w:rPr>
              <w:t>93,036</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60" w:type="dxa"/>
            <w:vAlign w:val="bottom"/>
          </w:tcPr>
          <w:p>
            <w:pPr>
              <w:jc w:val="right"/>
              <w:ind w:right="4"/>
              <w:spacing w:after="0"/>
              <w:rPr>
                <w:sz w:val="20"/>
                <w:szCs w:val="20"/>
                <w:color w:val="auto"/>
              </w:rPr>
            </w:pPr>
            <w:r>
              <w:rPr>
                <w:rFonts w:ascii="Arial" w:cs="Arial" w:eastAsia="Arial" w:hAnsi="Arial"/>
                <w:sz w:val="15"/>
                <w:szCs w:val="15"/>
                <w:color w:val="auto"/>
              </w:rPr>
              <w:t>82,027</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260,850</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243,736</w:t>
            </w:r>
          </w:p>
        </w:tc>
      </w:tr>
      <w:tr>
        <w:trPr>
          <w:trHeight w:val="207"/>
        </w:trPr>
        <w:tc>
          <w:tcPr>
            <w:tcW w:w="4560" w:type="dxa"/>
            <w:vAlign w:val="bottom"/>
            <w:shd w:val="clear" w:color="auto" w:fill="CCEEFF"/>
          </w:tcPr>
          <w:p>
            <w:pPr>
              <w:spacing w:after="0"/>
              <w:rPr>
                <w:sz w:val="20"/>
                <w:szCs w:val="20"/>
                <w:color w:val="auto"/>
              </w:rPr>
            </w:pPr>
            <w:r>
              <w:rPr>
                <w:rFonts w:ascii="Arial" w:cs="Arial" w:eastAsia="Arial" w:hAnsi="Arial"/>
                <w:sz w:val="15"/>
                <w:szCs w:val="15"/>
                <w:color w:val="auto"/>
              </w:rPr>
              <w:t>Fees to manager</w:t>
            </w:r>
          </w:p>
        </w:tc>
        <w:tc>
          <w:tcPr>
            <w:tcW w:w="48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9,659</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8,874</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23,436</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28,352</w:t>
            </w:r>
          </w:p>
        </w:tc>
      </w:tr>
      <w:tr>
        <w:trPr>
          <w:trHeight w:val="198"/>
        </w:trPr>
        <w:tc>
          <w:tcPr>
            <w:tcW w:w="4560" w:type="dxa"/>
            <w:vAlign w:val="bottom"/>
          </w:tcPr>
          <w:p>
            <w:pPr>
              <w:spacing w:after="0"/>
              <w:rPr>
                <w:sz w:val="20"/>
                <w:szCs w:val="20"/>
                <w:color w:val="auto"/>
              </w:rPr>
            </w:pPr>
            <w:r>
              <w:rPr>
                <w:rFonts w:ascii="Arial" w:cs="Arial" w:eastAsia="Arial" w:hAnsi="Arial"/>
                <w:sz w:val="15"/>
                <w:szCs w:val="15"/>
                <w:color w:val="auto"/>
              </w:rPr>
              <w:t>Amortization of intangibles</w:t>
            </w:r>
          </w:p>
        </w:tc>
        <w:tc>
          <w:tcPr>
            <w:tcW w:w="480" w:type="dxa"/>
            <w:vAlign w:val="bottom"/>
          </w:tcPr>
          <w:p>
            <w:pPr>
              <w:spacing w:after="0"/>
              <w:rPr>
                <w:sz w:val="17"/>
                <w:szCs w:val="17"/>
                <w:color w:val="auto"/>
              </w:rPr>
            </w:pPr>
          </w:p>
        </w:tc>
        <w:tc>
          <w:tcPr>
            <w:tcW w:w="1080" w:type="dxa"/>
            <w:vAlign w:val="bottom"/>
          </w:tcPr>
          <w:p>
            <w:pPr>
              <w:jc w:val="right"/>
              <w:ind w:right="4"/>
              <w:spacing w:after="0"/>
              <w:rPr>
                <w:sz w:val="20"/>
                <w:szCs w:val="20"/>
                <w:color w:val="auto"/>
              </w:rPr>
            </w:pPr>
            <w:r>
              <w:rPr>
                <w:rFonts w:ascii="Arial" w:cs="Arial" w:eastAsia="Arial" w:hAnsi="Arial"/>
                <w:sz w:val="15"/>
                <w:szCs w:val="15"/>
                <w:color w:val="auto"/>
              </w:rPr>
              <w:t>15,222</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60" w:type="dxa"/>
            <w:vAlign w:val="bottom"/>
          </w:tcPr>
          <w:p>
            <w:pPr>
              <w:jc w:val="right"/>
              <w:ind w:right="4"/>
              <w:spacing w:after="0"/>
              <w:rPr>
                <w:sz w:val="20"/>
                <w:szCs w:val="20"/>
                <w:color w:val="auto"/>
              </w:rPr>
            </w:pPr>
            <w:r>
              <w:rPr>
                <w:rFonts w:ascii="Arial" w:cs="Arial" w:eastAsia="Arial" w:hAnsi="Arial"/>
                <w:sz w:val="15"/>
                <w:szCs w:val="15"/>
                <w:color w:val="auto"/>
              </w:rPr>
              <w:t>13,520</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43,506</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40,632</w:t>
            </w:r>
          </w:p>
        </w:tc>
      </w:tr>
      <w:tr>
        <w:trPr>
          <w:trHeight w:val="207"/>
        </w:trPr>
        <w:tc>
          <w:tcPr>
            <w:tcW w:w="4560" w:type="dxa"/>
            <w:vAlign w:val="bottom"/>
            <w:shd w:val="clear" w:color="auto" w:fill="CCEEFF"/>
          </w:tcPr>
          <w:p>
            <w:pPr>
              <w:spacing w:after="0"/>
              <w:rPr>
                <w:sz w:val="20"/>
                <w:szCs w:val="20"/>
                <w:color w:val="auto"/>
              </w:rPr>
            </w:pPr>
            <w:r>
              <w:rPr>
                <w:rFonts w:ascii="Arial" w:cs="Arial" w:eastAsia="Arial" w:hAnsi="Arial"/>
                <w:sz w:val="15"/>
                <w:szCs w:val="15"/>
                <w:color w:val="auto"/>
              </w:rPr>
              <w:t>Impairment expense</w:t>
            </w:r>
          </w:p>
        </w:tc>
        <w:tc>
          <w:tcPr>
            <w:tcW w:w="4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33,381</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33,381</w:t>
            </w:r>
          </w:p>
        </w:tc>
      </w:tr>
      <w:tr>
        <w:trPr>
          <w:trHeight w:val="192"/>
        </w:trPr>
        <w:tc>
          <w:tcPr>
            <w:tcW w:w="4560" w:type="dxa"/>
            <w:vAlign w:val="bottom"/>
          </w:tcPr>
          <w:p>
            <w:pPr>
              <w:ind w:left="200"/>
              <w:spacing w:after="0"/>
              <w:rPr>
                <w:sz w:val="20"/>
                <w:szCs w:val="20"/>
                <w:color w:val="auto"/>
              </w:rPr>
            </w:pPr>
            <w:r>
              <w:rPr>
                <w:rFonts w:ascii="Arial" w:cs="Arial" w:eastAsia="Arial" w:hAnsi="Arial"/>
                <w:sz w:val="15"/>
                <w:szCs w:val="15"/>
                <w:color w:val="auto"/>
              </w:rPr>
              <w:t>Operating income (loss)</w:t>
            </w:r>
          </w:p>
        </w:tc>
        <w:tc>
          <w:tcPr>
            <w:tcW w:w="4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4"/>
              <w:spacing w:after="0"/>
              <w:rPr>
                <w:sz w:val="20"/>
                <w:szCs w:val="20"/>
                <w:color w:val="auto"/>
              </w:rPr>
            </w:pPr>
            <w:r>
              <w:rPr>
                <w:rFonts w:ascii="Arial" w:cs="Arial" w:eastAsia="Arial" w:hAnsi="Arial"/>
                <w:sz w:val="15"/>
                <w:szCs w:val="15"/>
                <w:color w:val="auto"/>
              </w:rPr>
              <w:t>35,867</w:t>
            </w:r>
          </w:p>
        </w:tc>
        <w:tc>
          <w:tcPr>
            <w:tcW w:w="120" w:type="dxa"/>
            <w:vAlign w:val="bottom"/>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(1,267)</w:t>
            </w:r>
          </w:p>
        </w:tc>
        <w:tc>
          <w:tcPr>
            <w:tcW w:w="100" w:type="dxa"/>
            <w:vAlign w:val="bottom"/>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4"/>
              <w:spacing w:after="0"/>
              <w:rPr>
                <w:sz w:val="20"/>
                <w:szCs w:val="20"/>
                <w:color w:val="auto"/>
              </w:rPr>
            </w:pPr>
            <w:r>
              <w:rPr>
                <w:rFonts w:ascii="Arial" w:cs="Arial" w:eastAsia="Arial" w:hAnsi="Arial"/>
                <w:sz w:val="15"/>
                <w:szCs w:val="15"/>
                <w:color w:val="auto"/>
              </w:rPr>
              <w:t>62,883</w:t>
            </w:r>
          </w:p>
        </w:tc>
        <w:tc>
          <w:tcPr>
            <w:tcW w:w="100" w:type="dxa"/>
            <w:vAlign w:val="bottom"/>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32,552</w:t>
            </w:r>
          </w:p>
        </w:tc>
      </w:tr>
      <w:tr>
        <w:trPr>
          <w:trHeight w:val="207"/>
        </w:trPr>
        <w:tc>
          <w:tcPr>
            <w:tcW w:w="4560" w:type="dxa"/>
            <w:vAlign w:val="bottom"/>
            <w:shd w:val="clear" w:color="auto" w:fill="CCEEFF"/>
          </w:tcPr>
          <w:p>
            <w:pPr>
              <w:spacing w:after="0"/>
              <w:rPr>
                <w:sz w:val="20"/>
                <w:szCs w:val="20"/>
                <w:color w:val="auto"/>
              </w:rPr>
            </w:pPr>
            <w:r>
              <w:rPr>
                <w:rFonts w:ascii="Arial" w:cs="Arial" w:eastAsia="Arial" w:hAnsi="Arial"/>
                <w:sz w:val="15"/>
                <w:szCs w:val="15"/>
                <w:color w:val="auto"/>
              </w:rPr>
              <w:t>Interest expense</w:t>
            </w:r>
          </w:p>
        </w:tc>
        <w:tc>
          <w:tcPr>
            <w:tcW w:w="4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(12,351)</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(11,525)</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(32,122)</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(48,424)</w:t>
            </w:r>
          </w:p>
        </w:tc>
      </w:tr>
      <w:tr>
        <w:trPr>
          <w:trHeight w:val="198"/>
        </w:trPr>
        <w:tc>
          <w:tcPr>
            <w:tcW w:w="4560" w:type="dxa"/>
            <w:vAlign w:val="bottom"/>
          </w:tcPr>
          <w:p>
            <w:pPr>
              <w:spacing w:after="0"/>
              <w:rPr>
                <w:sz w:val="20"/>
                <w:szCs w:val="20"/>
                <w:color w:val="auto"/>
              </w:rPr>
            </w:pPr>
            <w:r>
              <w:rPr>
                <w:rFonts w:ascii="Arial" w:cs="Arial" w:eastAsia="Arial" w:hAnsi="Arial"/>
                <w:sz w:val="15"/>
                <w:szCs w:val="15"/>
                <w:color w:val="auto"/>
              </w:rPr>
              <w:t>Amortization of debt issuance costs</w:t>
            </w:r>
          </w:p>
        </w:tc>
        <w:tc>
          <w:tcPr>
            <w:tcW w:w="4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(660)</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(770)</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(1,795)</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(2,625)</w:t>
            </w:r>
          </w:p>
        </w:tc>
      </w:tr>
      <w:tr>
        <w:trPr>
          <w:trHeight w:val="207"/>
        </w:trPr>
        <w:tc>
          <w:tcPr>
            <w:tcW w:w="4560" w:type="dxa"/>
            <w:vAlign w:val="bottom"/>
            <w:shd w:val="clear" w:color="auto" w:fill="CCEEFF"/>
          </w:tcPr>
          <w:p>
            <w:pPr>
              <w:spacing w:after="0"/>
              <w:rPr>
                <w:sz w:val="20"/>
                <w:szCs w:val="20"/>
                <w:color w:val="auto"/>
              </w:rPr>
            </w:pPr>
            <w:r>
              <w:rPr>
                <w:rFonts w:ascii="Arial" w:cs="Arial" w:eastAsia="Arial" w:hAnsi="Arial"/>
                <w:sz w:val="15"/>
                <w:szCs w:val="15"/>
                <w:color w:val="auto"/>
              </w:rPr>
              <w:t>Loss on sale of securities</w:t>
            </w:r>
          </w:p>
        </w:tc>
        <w:tc>
          <w:tcPr>
            <w:tcW w:w="4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(4,893)</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(10,193)</w:t>
            </w:r>
          </w:p>
        </w:tc>
      </w:tr>
      <w:tr>
        <w:trPr>
          <w:trHeight w:val="198"/>
        </w:trPr>
        <w:tc>
          <w:tcPr>
            <w:tcW w:w="456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Other income (expense)</w:t>
            </w:r>
          </w:p>
        </w:tc>
        <w:tc>
          <w:tcPr>
            <w:tcW w:w="4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(447)</w:t>
            </w:r>
          </w:p>
        </w:tc>
        <w:tc>
          <w:tcPr>
            <w:tcW w:w="12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(5,727)</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(2,172)</w:t>
            </w:r>
          </w:p>
        </w:tc>
        <w:tc>
          <w:tcPr>
            <w:tcW w:w="10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(6,251)</w:t>
            </w:r>
          </w:p>
        </w:tc>
      </w:tr>
      <w:tr>
        <w:trPr>
          <w:trHeight w:val="200"/>
        </w:trPr>
        <w:tc>
          <w:tcPr>
            <w:tcW w:w="4560" w:type="dxa"/>
            <w:vAlign w:val="bottom"/>
            <w:shd w:val="clear" w:color="auto" w:fill="CCEEFF"/>
          </w:tcPr>
          <w:p>
            <w:pPr>
              <w:ind w:left="200"/>
              <w:spacing w:after="0"/>
              <w:rPr>
                <w:sz w:val="20"/>
                <w:szCs w:val="20"/>
                <w:color w:val="auto"/>
              </w:rPr>
            </w:pPr>
            <w:r>
              <w:rPr>
                <w:rFonts w:ascii="Arial" w:cs="Arial" w:eastAsia="Arial" w:hAnsi="Arial"/>
                <w:sz w:val="15"/>
                <w:szCs w:val="15"/>
                <w:color w:val="auto"/>
              </w:rPr>
              <w:t>Income (loss) from continuing operations before income taxes</w:t>
            </w:r>
          </w:p>
        </w:tc>
        <w:tc>
          <w:tcPr>
            <w:tcW w:w="4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22,409</w:t>
            </w:r>
          </w:p>
        </w:tc>
        <w:tc>
          <w:tcPr>
            <w:tcW w:w="120" w:type="dxa"/>
            <w:vAlign w:val="bottom"/>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(24,182)</w:t>
            </w:r>
          </w:p>
        </w:tc>
        <w:tc>
          <w:tcPr>
            <w:tcW w:w="10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26,794</w:t>
            </w:r>
          </w:p>
        </w:tc>
        <w:tc>
          <w:tcPr>
            <w:tcW w:w="100" w:type="dxa"/>
            <w:vAlign w:val="bottom"/>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(34,941)</w:t>
            </w:r>
          </w:p>
        </w:tc>
      </w:tr>
      <w:tr>
        <w:trPr>
          <w:trHeight w:val="192"/>
        </w:trPr>
        <w:tc>
          <w:tcPr>
            <w:tcW w:w="456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Provision for income taxes</w:t>
            </w:r>
          </w:p>
        </w:tc>
        <w:tc>
          <w:tcPr>
            <w:tcW w:w="4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1,606</w:t>
            </w:r>
          </w:p>
        </w:tc>
        <w:tc>
          <w:tcPr>
            <w:tcW w:w="12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4,400</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8,477</w:t>
            </w:r>
          </w:p>
        </w:tc>
        <w:tc>
          <w:tcPr>
            <w:tcW w:w="10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10,375</w:t>
            </w:r>
          </w:p>
        </w:tc>
      </w:tr>
      <w:tr>
        <w:trPr>
          <w:trHeight w:val="221"/>
        </w:trPr>
        <w:tc>
          <w:tcPr>
            <w:tcW w:w="45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5"/>
                <w:szCs w:val="15"/>
                <w:color w:val="auto"/>
              </w:rPr>
              <w:t>Income (loss) from continuing operations</w:t>
            </w:r>
          </w:p>
        </w:tc>
        <w:tc>
          <w:tcPr>
            <w:tcW w:w="480" w:type="dxa"/>
            <w:vAlign w:val="bottom"/>
            <w:tcBorders>
              <w:bottom w:val="single" w:sz="8" w:color="auto"/>
            </w:tcBorders>
            <w:shd w:val="clear" w:color="auto" w:fill="CCEEFF"/>
          </w:tcPr>
          <w:p>
            <w:pPr>
              <w:jc w:val="right"/>
              <w:ind w:right="304"/>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20,803</w:t>
            </w:r>
          </w:p>
        </w:tc>
        <w:tc>
          <w:tcPr>
            <w:tcW w:w="1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664"/>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(28,582)</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84"/>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18,317</w:t>
            </w:r>
          </w:p>
        </w:tc>
        <w:tc>
          <w:tcPr>
            <w:tcW w:w="1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564"/>
              <w:spacing w:after="0"/>
              <w:rPr>
                <w:sz w:val="20"/>
                <w:szCs w:val="20"/>
                <w:color w:val="auto"/>
              </w:rPr>
            </w:pPr>
            <w:r>
              <w:rPr>
                <w:rFonts w:ascii="Arial" w:cs="Arial" w:eastAsia="Arial" w:hAnsi="Arial"/>
                <w:sz w:val="15"/>
                <w:szCs w:val="15"/>
                <w:color w:val="auto"/>
                <w:w w:val="9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(45,316)</w:t>
            </w: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Three months ended September 30, 2020 compared to three months ended September 30, 2019</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revenues</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a consolidated basis, net revenues for the three months ended September 30, 2020 increased by approximately $30.6 million, or 7.9%, compared to the corresponding period in 2019. During the three months ended September 30, 2020 compared to 2019, we saw significant increases in net sales at Liberty ($6.5 million increase), Velocity Outdoor ($24.0 million increase), and Foam Fabricators ($5.2 million increase), while several of our other businesses saw a decrease in net sales resulting from the effects of the COVID-19 pandemic, notably Arnold ($8.3 million decrease), and Sterno ($ 13.7 million decrease). Our Marucci business, which we acquired in April 2020, contributed $19.6 million in net revenue during the third quarter, while the increase in Foam Fabricator's net revenue for the quarter was primarily attributable to their acquisition of Polyfoam in July 2020. Refer to "Results of Operations - Business Segments" for a more detailed analysis of net revenues by business segment.</w:t>
      </w:r>
    </w:p>
    <w:p>
      <w:pPr>
        <w:spacing w:after="0" w:line="15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do not generate any revenues apart from those generated by the businesses we own. We may generate interest income on the investment of available funds, but we expect such earnings to be minimal. Our investment in our businesses is typically in the form of loans from the Company to such businesses, as well as equity interests in those companies. Cash flows coming to the Trust and the Company are the result of interest payments on those loans, amortization of those loans and dividends on our equity ownership. However, on a consolidated basis, these items will be eliminated.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Cost of revenues</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a consolidated basis, cost of revenues increased approximately $13.3 million during the three months ended September 30, 2020 compared to the corresponding period in 2019. Gross profit as a percentage of net revenues was approximately 36.7% in the three months ended September 30, 2020 compared to 35.2% in the three months ended September 30, 2019. We recognized $1.3 million in expense related to the amortization of the inventory step-up resulting from our purchase price allocation of Marucci Sports during the quarter. Excluding the effect of the Marucci adjustment, gross profit as a percentage of net revenues was 37.0%. The increase in gross profit as a percentage of net sales in the quarter ended September 30, 2020 as compared to the quarter ended September 30, 2019 primarily related to the increase in net revenue at our branded consumer businesses, which have higher gross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8" w:right="339" w:bottom="1440" w:gutter="0" w:footer="0" w:header="0"/>
        </w:sectPr>
      </w:pPr>
    </w:p>
    <w:bookmarkStart w:id="42" w:name="page43"/>
    <w:bookmarkEnd w:id="42"/>
    <w:p>
      <w:pPr>
        <w:jc w:val="both"/>
        <w:spacing w:after="0" w:line="261" w:lineRule="auto"/>
        <w:rPr>
          <w:sz w:val="20"/>
          <w:szCs w:val="20"/>
          <w:color w:val="auto"/>
        </w:rPr>
      </w:pPr>
      <w:r>
        <w:rPr>
          <w:rFonts w:ascii="Arial" w:cs="Arial" w:eastAsia="Arial" w:hAnsi="Arial"/>
          <w:sz w:val="18"/>
          <w:szCs w:val="18"/>
          <w:color w:val="auto"/>
        </w:rPr>
        <w:t>margins than our niche industrial businesses. Refer to "Results of Operations - Business Segments" for a more detailed analysis of gross profit by business segment.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general and administrative expense</w:t>
      </w:r>
    </w:p>
    <w:p>
      <w:pPr>
        <w:spacing w:after="0" w:line="1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Consolidated selling, general and administrative expense increased approximately $11.0 million during the three months ended September 30, 2020, compared to the corresponding period in 2019. $7.6 million of the increase is attributable to our Marucci business, which was acquired in the current year. Refer to "Results of Operations - Business Segments" for a more detailed analysis of selling, general and administrative expense by business segment. At the corporate level, general and administrative expense was $3.0 million in the third quarter of 2020 and $3.3 million in the third quarter of 2019.</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Fees to manager</w:t>
      </w:r>
    </w:p>
    <w:p>
      <w:pPr>
        <w:spacing w:after="0" w:line="1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Pursuant to the Management Services Agreement ("MSA"), we pay CGM a quarterly management fee equal to 0.5% (2.0% annually) of our consolidated adjusted net assets. We accrue for the management fee on a quarterly basis. For the three months ended September 30, 2020, we incurred approximately $9.7 million in management fees as compared to $8.9 million in fees in the three months ended September 30, 2019. The increase in Management fees is attributable to our acquisition of Marucci in April 2020, partially offset by CGM waiving the portion of the management fee attributable to the cash balances held at the Company as of September 30, 2020.</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Amortization expense</w:t>
      </w:r>
    </w:p>
    <w:p>
      <w:pPr>
        <w:spacing w:after="0" w:line="135"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Amortization expense for the three months ended September 30, 2020 increased $1.7 million as compared to the three months ended September 30, 2019 as a result of the amortization expense associated with the intangibles that were recognized in conjunction with the preliminary purchase price allocation for Marucci.</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Impairment expense</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the third quarter of 2019, we performed interim impairment testing at our Velocity business as a result of operating results below forecasts as well as a re-forecast of the Velocity business in which planned earnings and revenue fell below the forecasts of prior periods. We recognized $33.4 million in impairment expense in the quarter ended September 30, 2019 related to the Velocity interim impairment testing.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Interest expense</w:t>
      </w:r>
    </w:p>
    <w:p>
      <w:pPr>
        <w:spacing w:after="0" w:line="1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recorded interest expense totaling $12.4 million for the three months ended September 30, 2020 compared to $11.5 million for the comparable period in 2019, an increase of $0.8 million. The increase in interest expense for the quarter reflects the repayment of our 2018 Term Loan during 2019 using a portion of the proceeds from the sale of Clean Earth and proceeds from the issuance of preferred shares, offset by an increase in interest expense during the current quarter related to our issuance of an additional $200 million in our 8.000% Senior Notes in May 2020.</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income (expense)</w:t>
      </w:r>
    </w:p>
    <w:p>
      <w:pPr>
        <w:spacing w:after="0" w:line="1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For the quarter ended September 30, 2020, we recorded $ 0.4 million in other expense as compared to $5.7 million in other expense in the quarter ended September 30, 2019, a decrease in expense of $5.3 million. In the prior year, we recognized $5.0 million of expense related to the write-off of debt issuance costs due to the repayment of our 2018 Term Loan. Other income (expense) in the current quarter primarily reflects the movement in foreign currency at our businesses with international operations, and gains or (losses) realized on the sale of property, plant and equipment.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had an income tax provision of $1.6 million from continuing operations during the three months ended September 30, 2020 compared to an income tax provision of $4.4 million from continuing operations during the same period in 2019. While our income from continuing operations before taxes for the quarter ended September 30, 2020 increased by approximately $ 46.6 million as compared to the prior year quarter ended September 30, 2019, our tax provision decreased $2.8 million as the tax provision reflects an annual effective tax rate at our subsidiaries, the effect of state and local taxes and the related allocation of income, and the losses at our parent company, which is taxed as a partnership.</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i w:val="1"/>
          <w:iCs w:val="1"/>
          <w:color w:val="auto"/>
        </w:rPr>
        <w:t>Nine months ended September 30, 2020 compared to nine months ended September 30, 2019</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revenues</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a consolidated basis, net revenues for the nine months ended September 30, 2020 increased by approximately $22.7 million, or 2.1%, compared to the corresponding period in 2019. During the nine months ended September 30, 2020 compared to 2019, we saw increases in net sales at 5.11 ($2.8 million increase), Liberty ($ 13.0 million increase), and Velocity ($40.8 million increase), while our other businesses saw a decrease in net sales resulting primarily from the effects of the COVID-19 pandemic, notably Ergobaby ($ 9.6 million decrease), (Arnold ($14.0 million decrease), Foam Fabricators ($4.3 million decrease) and Sterno ($31.0 million decrease). Our Marucci business, which we acquired in April 2020, had net revenues of $24.8 million since the date of acquisition. Refer to "Results of Operations - Business Segments" for a more detailed analysis of net revenues by business segment.</w:t>
      </w:r>
    </w:p>
    <w:p>
      <w:pPr>
        <w:spacing w:after="0" w:line="15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do not generate any revenues apart from those generated by the businesses we own. We may generate interest income on the investment of available funds, but we expect such earnings to be minimal. Our investment in our businesses is typically in the form of loans from the Company to such businesses, as well as equity interests in those companies. Cash flows coming to the Trust and the Company are the result of interest payments on those loans, amortization of those loans and dividends on our equity ownership. However, on a consolidated basis, these items will be eliminated.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Cost of revenues</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a consolidated basis, cost of revenues increased approximately $10.7 million during the nine months ended September 30, 2020 compared to the corresponding period in 2019. Gross profit as a percentage of net revenues was approximately 36.0% in the nine months ended September 30, 2020 compared to 35.6% in the nine months ended September 30, 2019. We recognized $4.4 million in expense related to the amortization of the inventory step-up resulting from our purchase price allocation of Marucci Sports and Foam Fabricators' acquisition of Polyfoam during the nine months ended September 30, 2020. Excluding the effect of the amortization of inventory step-up, gross profit as a percentage of net revenues was 36.4%. Refer to "Results of Operations - Business Segments" for a more detailed analysis of gross profit by business segment.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general and administrative expense</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Consolidated selling, general and administrative expense increased approximately $17.1 million during the nine months ended September 30, 2020, compared to the corresponding period in 2019. The increase in selling, general and administrative expense primarily relates to our acquisition of Marucci Sports during the second quarter. We incurred $2.0 million in acquisition related expenses and Marucci incurred approximately $11.7 million in selling, general and administrative expense during the period from acquisition through September 30, 2020, which includes $0.5 million in integration service fees paid to CGM. Refer to "Results of Operations - Business Segments" for a more detailed analysis of selling, general and administrative expense by business segment. At the corporate level, general and administrative expense was $10.0 million in the first nine months of 2020 and $9.7 million in the first nine months of 2019.</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Fees to manager</w:t>
      </w:r>
    </w:p>
    <w:p>
      <w:pPr>
        <w:spacing w:after="0" w:line="13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Pursuant to the Management Services Agreement ("MSA"), we pay CGM a quarterly management fee equal to 0.5% (2.0% annually) of our consolidated adjusted net assets. We accrue for the management fee on a quarterly basis. For the nine months ended September 30, 2020, we incurred approximately $23.4 million in management fees as compared to $ 28.4 million in fees in the nine months ended September 30, 2019. Concurrent with the September 2019 sale of Clean Earth, CGM agreed to waive the management fee on cash balances held at the Company, commencing with the quarter ended September 30, 2019 and continuing until the quarter during which the Company next borrowed under the 2018 Revolving Credit Facility. In March 2020, as a proactive measure to provide the Company with additional cash liquidity in light of the COVID-19 pandemic, the Company elected to draw down $200 million on our 2018 Revolving Credit Facility. The Company and CGM entered into a waiver agreement whereby CGM agreed to waive the portion of the management fee attributable to the cash balances held at the Company as of March 31, 2020. Additionally, as a result of an expected decline in earnings and cash flows in the second quarter of 2020, CGM agreed to waive 50% of the management fee calculated at June 30, 2020 that was paid in July 2020. Further, for the third quarter of 2020, the Company and CGM entered into a waiver agreement whereby CGM agreed to waive the portion of the management fee attributable to the cash balances held at the Company as of September 30, 2020. The result of these waivers was a decrease in the management fee during the</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6" w:right="339" w:bottom="1440" w:gutter="0" w:footer="0" w:header="0"/>
        </w:sectPr>
      </w:pPr>
    </w:p>
    <w:bookmarkStart w:id="44" w:name="page45"/>
    <w:bookmarkEnd w:id="44"/>
    <w:p>
      <w:pPr>
        <w:jc w:val="both"/>
        <w:ind w:right="20"/>
        <w:spacing w:after="0" w:line="261" w:lineRule="auto"/>
        <w:rPr>
          <w:sz w:val="20"/>
          <w:szCs w:val="20"/>
          <w:color w:val="auto"/>
        </w:rPr>
      </w:pPr>
      <w:r>
        <w:rPr>
          <w:rFonts w:ascii="Arial" w:cs="Arial" w:eastAsia="Arial" w:hAnsi="Arial"/>
          <w:sz w:val="18"/>
          <w:szCs w:val="18"/>
          <w:color w:val="auto"/>
        </w:rPr>
        <w:t>nine months ended September 30, 2020 as compared to the same period in the prior year, despite the addition of the Marucci business in April 2020.</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Amortization expense</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Amortization expense for the nine months ended September 30, 2020 increased $2.9 million as compared to the nine months ended September 30, 2019 as a result of the amortization expense associated with the intangibles that were recognized in conjunction with the preliminary purchase price allocation for Marucci.</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Impairment expense</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the third quarter of 2019, we performed interim impairment testing at our Velocity business as a result of operating results below forecasts as well as a re-forecast of the Velocity business in which planned earnings and revenue fell below the forecasts of prior periods. We recognized $33.4 million in impairment expense in the quarter ended September 30, 2019 related to the Velocity interim impairment testing.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Interest expense</w:t>
      </w:r>
    </w:p>
    <w:p>
      <w:pPr>
        <w:spacing w:after="0" w:line="1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recorded interest expense totaling $32.1 million for the nine months ended September 30, 2020 compared to $48.4 million for the comparable period in 2019, a decrease of $16.3 million. The decrease in interest expense for the nine months ended September 30, 2020 reflects the repayment of our 2018 Term Loan during 2019 using a portion of the proceeds from the sale of Clean Earth and proceeds from the issuance of preferred shares, offset by an increase in interest expense related to our issuance of an additional $200 million of our 8.000% Senior Notes in May 2020.</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income (expense)</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the nine months ended September 30, 2020, we recorded $2.2 million in other expense as compared to $6.3 million in other expense in the nine months ended September 30, 2019, an increase in income of $ 4.1 million. In the prior year, we recognized $5.0 million of expense related to the write-off of debt issuance costs due to the repayment of our 2018 Term Loan. Other income (expense) in the current year primarily reflects the movement in foreign currency at our businesses with international operations.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had an income tax provision of $8.5 million from continuing operations during the nine months ended September 30, 2020 compared to an income tax provision of $10.4 million from continuing operations during the same period in 2019. While our income from continuing operations before taxes for the nine months ended September 30, 2020 increased by approximately $61.7 million as compared to the nine months ended September 30, 2019, our tax provision decreased $1.9 million as the tax provision reflects an annual effective tax rate at our subsidiaries, the effect of state and local taxes and the related allocation of income, and the losses at our parent company, which is taxed as a partnership. Our effective tax rate for the nine months ended September 30, 2020 was 31.6% as compared to and effective tax rate of 29.7% for the nine months ended September 30, 2019.</w:t>
      </w:r>
    </w:p>
    <w:p>
      <w:pPr>
        <w:spacing w:after="0" w:line="9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March 27, 2020, the Coronavirus Aid, Relief, and Economic Security (“CARES”) Act was signed into law. The CARES Act includes many measures to assist companies, including temporary changes to income and non-income-based tax laws, some of which were enacted under the Tax Cuts and Jobs Act (TCJA) in 2017. Some of the key income tax related provisions of the CARES Act were allowing net operating losses ("NOLs") arising in 2018, 2019 or 2020 to be carried back five years, suspending the 80% taxable income limit until 2021, and increasing the taxable income threshold for the limit on the interest deduction from 30% to 50% for tax years beginning in 2019 and 2020 and allowing taxpayers to use 2019 taxable income to calculate the 2020 limit. While several of our subsidiaries were able to take advantage of the income tax related provisions of the CARES ACT in the current year 2020, the CARES Act did not have a material impact on our consolidated financial statements. We continue to monitor any effects that may result from the CARES Act.</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Results of Operations - Business Segments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Branded Consumer Businesses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5.11</w:t>
      </w:r>
    </w:p>
    <w:p>
      <w:pPr>
        <w:spacing w:after="0" w:line="311" w:lineRule="exact"/>
        <w:rPr>
          <w:sz w:val="20"/>
          <w:szCs w:val="20"/>
          <w:color w:val="auto"/>
        </w:rPr>
      </w:pPr>
    </w:p>
    <w:tbl>
      <w:tblPr>
        <w:tblLayout w:type="fixed"/>
        <w:tblInd w:w="1020" w:type="dxa"/>
        <w:tblCellMar>
          <w:top w:w="0" w:type="dxa"/>
          <w:left w:w="0" w:type="dxa"/>
          <w:bottom w:w="0" w:type="dxa"/>
          <w:right w:w="0" w:type="dxa"/>
        </w:tblCellMar>
      </w:tblPr>
      <w:tr>
        <w:trPr>
          <w:trHeight w:val="218"/>
        </w:trPr>
        <w:tc>
          <w:tcPr>
            <w:tcW w:w="13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4"/>
          </w:tcPr>
          <w:p>
            <w:pPr>
              <w:jc w:val="right"/>
              <w:ind w:right="199"/>
              <w:spacing w:after="0"/>
              <w:rPr>
                <w:sz w:val="20"/>
                <w:szCs w:val="20"/>
                <w:color w:val="auto"/>
              </w:rPr>
            </w:pPr>
            <w:r>
              <w:rPr>
                <w:rFonts w:ascii="Arial" w:cs="Arial" w:eastAsia="Arial" w:hAnsi="Arial"/>
                <w:sz w:val="16"/>
                <w:szCs w:val="16"/>
                <w:b w:val="1"/>
                <w:bCs w:val="1"/>
                <w:color w:val="auto"/>
              </w:rPr>
              <w:t>Three months ended</w:t>
            </w:r>
          </w:p>
        </w:tc>
        <w:tc>
          <w:tcPr>
            <w:tcW w:w="8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4"/>
          </w:tcPr>
          <w:p>
            <w:pPr>
              <w:jc w:val="right"/>
              <w:ind w:right="319"/>
              <w:spacing w:after="0"/>
              <w:rPr>
                <w:sz w:val="20"/>
                <w:szCs w:val="20"/>
                <w:color w:val="auto"/>
              </w:rPr>
            </w:pPr>
            <w:r>
              <w:rPr>
                <w:rFonts w:ascii="Arial" w:cs="Arial" w:eastAsia="Arial" w:hAnsi="Arial"/>
                <w:sz w:val="16"/>
                <w:szCs w:val="16"/>
                <w:b w:val="1"/>
                <w:bCs w:val="1"/>
                <w:color w:val="auto"/>
              </w:rPr>
              <w:t>Nine months ended</w:t>
            </w:r>
          </w:p>
        </w:tc>
        <w:tc>
          <w:tcPr>
            <w:tcW w:w="820" w:type="dxa"/>
            <w:vAlign w:val="bottom"/>
            <w:tcBorders>
              <w:bottom w:val="single" w:sz="8" w:color="auto"/>
            </w:tcBorders>
          </w:tcPr>
          <w:p>
            <w:pPr>
              <w:spacing w:after="0"/>
              <w:rPr>
                <w:sz w:val="18"/>
                <w:szCs w:val="18"/>
                <w:color w:val="auto"/>
              </w:rPr>
            </w:pPr>
          </w:p>
        </w:tc>
      </w:tr>
      <w:tr>
        <w:trPr>
          <w:trHeight w:val="250"/>
        </w:trPr>
        <w:tc>
          <w:tcPr>
            <w:tcW w:w="1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20" w:type="dxa"/>
            <w:vAlign w:val="bottom"/>
            <w:gridSpan w:val="3"/>
          </w:tcPr>
          <w:p>
            <w:pPr>
              <w:ind w:left="20"/>
              <w:spacing w:after="0"/>
              <w:rPr>
                <w:sz w:val="20"/>
                <w:szCs w:val="20"/>
                <w:color w:val="auto"/>
              </w:rPr>
            </w:pPr>
            <w:r>
              <w:rPr>
                <w:rFonts w:ascii="Arial" w:cs="Arial" w:eastAsia="Arial" w:hAnsi="Arial"/>
                <w:sz w:val="16"/>
                <w:szCs w:val="16"/>
                <w:b w:val="1"/>
                <w:bCs w:val="1"/>
                <w:color w:val="auto"/>
              </w:rPr>
              <w:t>September 30, 2020</w:t>
            </w:r>
          </w:p>
        </w:tc>
        <w:tc>
          <w:tcPr>
            <w:tcW w:w="140" w:type="dxa"/>
            <w:vAlign w:val="bottom"/>
          </w:tcPr>
          <w:p>
            <w:pPr>
              <w:spacing w:after="0"/>
              <w:rPr>
                <w:sz w:val="21"/>
                <w:szCs w:val="21"/>
                <w:color w:val="auto"/>
              </w:rPr>
            </w:pPr>
          </w:p>
        </w:tc>
        <w:tc>
          <w:tcPr>
            <w:tcW w:w="1840" w:type="dxa"/>
            <w:vAlign w:val="bottom"/>
            <w:gridSpan w:val="3"/>
          </w:tcPr>
          <w:p>
            <w:pPr>
              <w:ind w:left="20"/>
              <w:spacing w:after="0"/>
              <w:rPr>
                <w:sz w:val="20"/>
                <w:szCs w:val="20"/>
                <w:color w:val="auto"/>
              </w:rPr>
            </w:pPr>
            <w:r>
              <w:rPr>
                <w:rFonts w:ascii="Arial" w:cs="Arial" w:eastAsia="Arial" w:hAnsi="Arial"/>
                <w:sz w:val="16"/>
                <w:szCs w:val="16"/>
                <w:b w:val="1"/>
                <w:bCs w:val="1"/>
                <w:color w:val="auto"/>
              </w:rPr>
              <w:t>September 30, 2019</w:t>
            </w:r>
          </w:p>
        </w:tc>
        <w:tc>
          <w:tcPr>
            <w:tcW w:w="140" w:type="dxa"/>
            <w:vAlign w:val="bottom"/>
          </w:tcPr>
          <w:p>
            <w:pPr>
              <w:spacing w:after="0"/>
              <w:rPr>
                <w:sz w:val="21"/>
                <w:szCs w:val="21"/>
                <w:color w:val="auto"/>
              </w:rPr>
            </w:pPr>
          </w:p>
        </w:tc>
        <w:tc>
          <w:tcPr>
            <w:tcW w:w="1920" w:type="dxa"/>
            <w:vAlign w:val="bottom"/>
            <w:gridSpan w:val="3"/>
          </w:tcPr>
          <w:p>
            <w:pPr>
              <w:ind w:left="40"/>
              <w:spacing w:after="0"/>
              <w:rPr>
                <w:sz w:val="20"/>
                <w:szCs w:val="20"/>
                <w:color w:val="auto"/>
              </w:rPr>
            </w:pPr>
            <w:r>
              <w:rPr>
                <w:rFonts w:ascii="Arial" w:cs="Arial" w:eastAsia="Arial" w:hAnsi="Arial"/>
                <w:sz w:val="16"/>
                <w:szCs w:val="16"/>
                <w:b w:val="1"/>
                <w:bCs w:val="1"/>
                <w:color w:val="auto"/>
              </w:rPr>
              <w:t>September 30, 2020</w:t>
            </w:r>
          </w:p>
        </w:tc>
        <w:tc>
          <w:tcPr>
            <w:tcW w:w="160" w:type="dxa"/>
            <w:vAlign w:val="bottom"/>
          </w:tcPr>
          <w:p>
            <w:pPr>
              <w:spacing w:after="0"/>
              <w:rPr>
                <w:sz w:val="21"/>
                <w:szCs w:val="21"/>
                <w:color w:val="auto"/>
              </w:rPr>
            </w:pPr>
          </w:p>
        </w:tc>
        <w:tc>
          <w:tcPr>
            <w:tcW w:w="1740" w:type="dxa"/>
            <w:vAlign w:val="bottom"/>
            <w:gridSpan w:val="2"/>
          </w:tcPr>
          <w:p>
            <w:pPr>
              <w:jc w:val="right"/>
              <w:ind w:right="99"/>
              <w:spacing w:after="0"/>
              <w:rPr>
                <w:sz w:val="20"/>
                <w:szCs w:val="20"/>
                <w:color w:val="auto"/>
              </w:rPr>
            </w:pPr>
            <w:r>
              <w:rPr>
                <w:rFonts w:ascii="Arial" w:cs="Arial" w:eastAsia="Arial" w:hAnsi="Arial"/>
                <w:sz w:val="16"/>
                <w:szCs w:val="16"/>
                <w:b w:val="1"/>
                <w:bCs w:val="1"/>
                <w:color w:val="auto"/>
              </w:rPr>
              <w:t>September 30, 2019</w:t>
            </w:r>
          </w:p>
        </w:tc>
      </w:tr>
      <w:tr>
        <w:trPr>
          <w:trHeight w:val="253"/>
        </w:trPr>
        <w:tc>
          <w:tcPr>
            <w:tcW w:w="1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98,406</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6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98,053</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6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281,822</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8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278,978</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67"/>
        </w:trPr>
        <w:tc>
          <w:tcPr>
            <w:tcW w:w="130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51,264</w:t>
            </w:r>
          </w:p>
        </w:tc>
        <w:tc>
          <w:tcPr>
            <w:tcW w:w="840" w:type="dxa"/>
            <w:vAlign w:val="bottom"/>
          </w:tcPr>
          <w:p>
            <w:pPr>
              <w:jc w:val="right"/>
              <w:spacing w:after="0"/>
              <w:rPr>
                <w:sz w:val="20"/>
                <w:szCs w:val="20"/>
                <w:color w:val="auto"/>
              </w:rPr>
            </w:pPr>
            <w:r>
              <w:rPr>
                <w:rFonts w:ascii="Arial" w:cs="Arial" w:eastAsia="Arial" w:hAnsi="Arial"/>
                <w:sz w:val="16"/>
                <w:szCs w:val="16"/>
                <w:color w:val="auto"/>
              </w:rPr>
              <w:t>52.1 %</w:t>
            </w:r>
          </w:p>
        </w:tc>
        <w:tc>
          <w:tcPr>
            <w:tcW w:w="16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48,204</w:t>
            </w:r>
          </w:p>
        </w:tc>
        <w:tc>
          <w:tcPr>
            <w:tcW w:w="800" w:type="dxa"/>
            <w:vAlign w:val="bottom"/>
          </w:tcPr>
          <w:p>
            <w:pPr>
              <w:jc w:val="right"/>
              <w:spacing w:after="0"/>
              <w:rPr>
                <w:sz w:val="20"/>
                <w:szCs w:val="20"/>
                <w:color w:val="auto"/>
              </w:rPr>
            </w:pPr>
            <w:r>
              <w:rPr>
                <w:rFonts w:ascii="Arial" w:cs="Arial" w:eastAsia="Arial" w:hAnsi="Arial"/>
                <w:sz w:val="16"/>
                <w:szCs w:val="16"/>
                <w:color w:val="auto"/>
              </w:rPr>
              <w:t>49.2 %</w:t>
            </w:r>
          </w:p>
        </w:tc>
        <w:tc>
          <w:tcPr>
            <w:tcW w:w="16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142,842</w:t>
            </w:r>
          </w:p>
        </w:tc>
        <w:tc>
          <w:tcPr>
            <w:tcW w:w="840" w:type="dxa"/>
            <w:vAlign w:val="bottom"/>
          </w:tcPr>
          <w:p>
            <w:pPr>
              <w:jc w:val="right"/>
              <w:spacing w:after="0"/>
              <w:rPr>
                <w:sz w:val="20"/>
                <w:szCs w:val="20"/>
                <w:color w:val="auto"/>
              </w:rPr>
            </w:pPr>
            <w:r>
              <w:rPr>
                <w:rFonts w:ascii="Arial" w:cs="Arial" w:eastAsia="Arial" w:hAnsi="Arial"/>
                <w:sz w:val="16"/>
                <w:szCs w:val="16"/>
                <w:color w:val="auto"/>
              </w:rPr>
              <w:t>50.7 %</w:t>
            </w:r>
          </w:p>
        </w:tc>
        <w:tc>
          <w:tcPr>
            <w:tcW w:w="18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136,624</w:t>
            </w:r>
          </w:p>
        </w:tc>
        <w:tc>
          <w:tcPr>
            <w:tcW w:w="820" w:type="dxa"/>
            <w:vAlign w:val="bottom"/>
          </w:tcPr>
          <w:p>
            <w:pPr>
              <w:jc w:val="right"/>
              <w:spacing w:after="0"/>
              <w:rPr>
                <w:sz w:val="20"/>
                <w:szCs w:val="20"/>
                <w:color w:val="auto"/>
              </w:rPr>
            </w:pPr>
            <w:r>
              <w:rPr>
                <w:rFonts w:ascii="Arial" w:cs="Arial" w:eastAsia="Arial" w:hAnsi="Arial"/>
                <w:sz w:val="16"/>
                <w:szCs w:val="16"/>
                <w:color w:val="auto"/>
              </w:rPr>
              <w:t>49.0 %</w:t>
            </w:r>
          </w:p>
        </w:tc>
      </w:tr>
      <w:tr>
        <w:trPr>
          <w:trHeight w:val="273"/>
        </w:trPr>
        <w:tc>
          <w:tcPr>
            <w:tcW w:w="1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SG&amp;A</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40,147</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40.8 %</w:t>
            </w:r>
          </w:p>
        </w:tc>
        <w:tc>
          <w:tcPr>
            <w:tcW w:w="16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39,791</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40.6 %</w:t>
            </w:r>
          </w:p>
        </w:tc>
        <w:tc>
          <w:tcPr>
            <w:tcW w:w="16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117,564</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41.7 %</w:t>
            </w:r>
          </w:p>
        </w:tc>
        <w:tc>
          <w:tcPr>
            <w:tcW w:w="18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115,927</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41.6 %</w:t>
            </w:r>
          </w:p>
        </w:tc>
      </w:tr>
      <w:tr>
        <w:trPr>
          <w:trHeight w:val="177"/>
        </w:trPr>
        <w:tc>
          <w:tcPr>
            <w:tcW w:w="1300" w:type="dxa"/>
            <w:vAlign w:val="bottom"/>
          </w:tcPr>
          <w:p>
            <w:pPr>
              <w:ind w:left="20"/>
              <w:spacing w:after="0" w:line="178" w:lineRule="exact"/>
              <w:rPr>
                <w:sz w:val="20"/>
                <w:szCs w:val="20"/>
                <w:color w:val="auto"/>
              </w:rPr>
            </w:pPr>
            <w:r>
              <w:rPr>
                <w:rFonts w:ascii="Arial" w:cs="Arial" w:eastAsia="Arial" w:hAnsi="Arial"/>
                <w:sz w:val="16"/>
                <w:szCs w:val="16"/>
                <w:color w:val="auto"/>
              </w:rPr>
              <w:t>Operating</w:t>
            </w: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95"/>
        </w:trPr>
        <w:tc>
          <w:tcPr>
            <w:tcW w:w="1300" w:type="dxa"/>
            <w:vAlign w:val="bottom"/>
          </w:tcPr>
          <w:p>
            <w:pPr>
              <w:ind w:left="20"/>
              <w:spacing w:after="0"/>
              <w:rPr>
                <w:sz w:val="20"/>
                <w:szCs w:val="20"/>
                <w:color w:val="auto"/>
              </w:rPr>
            </w:pPr>
            <w:r>
              <w:rPr>
                <w:rFonts w:ascii="Arial" w:cs="Arial" w:eastAsia="Arial" w:hAnsi="Arial"/>
                <w:sz w:val="16"/>
                <w:szCs w:val="16"/>
                <w:color w:val="auto"/>
              </w:rPr>
              <w:t>income</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8,681</w:t>
            </w:r>
          </w:p>
        </w:tc>
        <w:tc>
          <w:tcPr>
            <w:tcW w:w="840" w:type="dxa"/>
            <w:vAlign w:val="bottom"/>
          </w:tcPr>
          <w:p>
            <w:pPr>
              <w:jc w:val="right"/>
              <w:spacing w:after="0"/>
              <w:rPr>
                <w:sz w:val="20"/>
                <w:szCs w:val="20"/>
                <w:color w:val="auto"/>
              </w:rPr>
            </w:pPr>
            <w:r>
              <w:rPr>
                <w:rFonts w:ascii="Arial" w:cs="Arial" w:eastAsia="Arial" w:hAnsi="Arial"/>
                <w:sz w:val="16"/>
                <w:szCs w:val="16"/>
                <w:color w:val="auto"/>
              </w:rPr>
              <w:t>8.8 %</w:t>
            </w:r>
          </w:p>
        </w:tc>
        <w:tc>
          <w:tcPr>
            <w:tcW w:w="16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5,977</w:t>
            </w:r>
          </w:p>
        </w:tc>
        <w:tc>
          <w:tcPr>
            <w:tcW w:w="800" w:type="dxa"/>
            <w:vAlign w:val="bottom"/>
          </w:tcPr>
          <w:p>
            <w:pPr>
              <w:jc w:val="right"/>
              <w:spacing w:after="0"/>
              <w:rPr>
                <w:sz w:val="20"/>
                <w:szCs w:val="20"/>
                <w:color w:val="auto"/>
              </w:rPr>
            </w:pPr>
            <w:r>
              <w:rPr>
                <w:rFonts w:ascii="Arial" w:cs="Arial" w:eastAsia="Arial" w:hAnsi="Arial"/>
                <w:sz w:val="16"/>
                <w:szCs w:val="16"/>
                <w:color w:val="auto"/>
              </w:rPr>
              <w:t>6.1 %</w:t>
            </w:r>
          </w:p>
        </w:tc>
        <w:tc>
          <w:tcPr>
            <w:tcW w:w="16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17,969</w:t>
            </w:r>
          </w:p>
        </w:tc>
        <w:tc>
          <w:tcPr>
            <w:tcW w:w="840" w:type="dxa"/>
            <w:vAlign w:val="bottom"/>
          </w:tcPr>
          <w:p>
            <w:pPr>
              <w:jc w:val="right"/>
              <w:spacing w:after="0"/>
              <w:rPr>
                <w:sz w:val="20"/>
                <w:szCs w:val="20"/>
                <w:color w:val="auto"/>
              </w:rPr>
            </w:pPr>
            <w:r>
              <w:rPr>
                <w:rFonts w:ascii="Arial" w:cs="Arial" w:eastAsia="Arial" w:hAnsi="Arial"/>
                <w:sz w:val="16"/>
                <w:szCs w:val="16"/>
                <w:color w:val="auto"/>
              </w:rPr>
              <w:t>6.4 %</w:t>
            </w:r>
          </w:p>
        </w:tc>
        <w:tc>
          <w:tcPr>
            <w:tcW w:w="1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13,388</w:t>
            </w:r>
          </w:p>
        </w:tc>
        <w:tc>
          <w:tcPr>
            <w:tcW w:w="820" w:type="dxa"/>
            <w:vAlign w:val="bottom"/>
          </w:tcPr>
          <w:p>
            <w:pPr>
              <w:jc w:val="right"/>
              <w:spacing w:after="0"/>
              <w:rPr>
                <w:sz w:val="20"/>
                <w:szCs w:val="20"/>
                <w:color w:val="auto"/>
              </w:rPr>
            </w:pPr>
            <w:r>
              <w:rPr>
                <w:rFonts w:ascii="Arial" w:cs="Arial" w:eastAsia="Arial" w:hAnsi="Arial"/>
                <w:sz w:val="16"/>
                <w:szCs w:val="16"/>
                <w:color w:val="auto"/>
              </w:rPr>
              <w:t>4.8 %</w:t>
            </w: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Three months ended September 30, 2020 compared to three months ended September 30, 2019</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sales</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Net sales for the three months ended September 30, 2020 were $98.4 million as compared to net sales of $98.1 million for the three months ended September 30, 2019, an increase of $0.4 million, or 0.4%. This increase is due to growth in e-commerce sales and new stores sales offset by the effects of the COVID-19 pandemic on store traffic in our wholesale channels and our own retail stores.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Gross profit</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Gross profit as a percentage of net sales was 52.1% in the three months ended September 30, 2020 as compared to 49.2% for the three months ended September 30, 2019. Growth in gross profit was driven by channel mix as direct to consumer sales, which realize higher gross profit than wholesale sales, grew versus the prior period.</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Selling, general and administrative expense</w:t>
      </w:r>
    </w:p>
    <w:p>
      <w:pPr>
        <w:spacing w:after="0" w:line="11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Selling, general and administrative expense for the three months ended September 30, 2020 was $40.1 million, or 40.8% of net sales compared to $39.8 million, or 40.6% of net sales for the comparable period in 2019. The increase in selling, general and administrative expense for the three months ended September 30, 2020 as compared to the prior year comparable period was driven by the costs associated with additional retail stores (seventy-one open in 2020 versus fifty-four open in 2019 during the comparable period), as well as additional sales and marketing spend to drive digital sales. This increase in expense was offset by management’s decision to reduce variable expenses, including payroll, travel and entertainment, and sales and marketing, a response to potential decreased sales from the effects of the COVID-19 pandemic.</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from operations</w:t>
      </w:r>
    </w:p>
    <w:p>
      <w:pPr>
        <w:spacing w:after="0" w:line="6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Income from operations for the three months ended September 30, 2020 was $8.7 million, an increase of $2.7 million when compared to income from operations of $6.0 million for the same period in 2019, based on the factors described above.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Nine months ended September 30, 2020 compared to nine months ended September 30, 2019</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sales</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Net sales for the nine months ended September 30, 2020 were $ 281.8 million as compared to net sales of $279.0 million for the nine months ended September 30, 2019, an increase of $2.8 million, or 1.0%. This increase is due primarily to e-commerce sales growth of $18.3 million, offset by the effect of COVID-19 pandemic on store traffic in both our wholesale channel and our own retail stores.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Gross profit</w:t>
      </w:r>
    </w:p>
    <w:p>
      <w:pPr>
        <w:spacing w:after="0" w:line="1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Gross profit as a percentage of net sales was 50.7% in the nine months ended September 30, 2020 as compared to 49.0% for the nine months ended September 30, 2019. Growth in gross margin was driven by channel mix as direct to consumer sales, which realize a higher gross margin than wholesale sales, grew versus the prior period. The growth in gross profit for the nine months ended September 30, 2020 as compared to the nine months ended September 30, 2019 was partially offset by additional inventory reserves and duty drawback accrual (increase in cost of goods sold) for audited duty drawback claims.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auto"/>
        </w:rPr>
        <w:t>Selling, general and administrative expense</w:t>
      </w:r>
    </w:p>
    <w:p>
      <w:pPr>
        <w:spacing w:after="0" w:line="1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Selling, general and administrative expense for the nine months ended September 30, 2020 was $117.6 million, or 41.7% of net sales compared to $115.9 million, or 41.6% of net sales for the comparable period in 2019. The increase in selling, general and administrative expense for the nine months ended September 30, 2020 as compared to the prior year comparable period was driven by the costs associated with additional retail stores (seventy-one open in 2020 versus fifty-four open in 2019 during the comparable period), as well as additional sales and marketing spend to drive digital sales.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from operations</w:t>
      </w:r>
    </w:p>
    <w:p>
      <w:pPr>
        <w:spacing w:after="0" w:line="6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Income from operations for the nine months ended September 30, 2020 was $18.0 million, an increase of $4.6 million when compared to income from operations of $13.4 million for the same period in 2019, based on the factors described above.</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Ergobaby</w:t>
      </w:r>
    </w:p>
    <w:p>
      <w:pPr>
        <w:sectPr>
          <w:pgSz w:w="11900" w:h="16838" w:orient="portrait"/>
          <w:cols w:equalWidth="0" w:num="1">
            <w:col w:w="11240"/>
          </w:cols>
          <w:pgMar w:left="320" w:top="1070" w:right="339" w:bottom="1440" w:gutter="0" w:footer="0" w:header="0"/>
        </w:sectPr>
      </w:pPr>
    </w:p>
    <w:p>
      <w:pPr>
        <w:spacing w:after="0" w:line="311" w:lineRule="exact"/>
        <w:rPr>
          <w:sz w:val="20"/>
          <w:szCs w:val="20"/>
          <w:color w:val="auto"/>
        </w:rPr>
      </w:pPr>
    </w:p>
    <w:p>
      <w:pPr>
        <w:jc w:val="center"/>
        <w:ind w:left="2480"/>
        <w:spacing w:after="0"/>
        <w:rPr>
          <w:sz w:val="20"/>
          <w:szCs w:val="20"/>
          <w:color w:val="auto"/>
        </w:rPr>
      </w:pPr>
      <w:r>
        <w:rPr>
          <w:rFonts w:ascii="Arial" w:cs="Arial" w:eastAsia="Arial" w:hAnsi="Arial"/>
          <w:sz w:val="16"/>
          <w:szCs w:val="16"/>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1479550</wp:posOffset>
            </wp:positionH>
            <wp:positionV relativeFrom="paragraph">
              <wp:posOffset>23495</wp:posOffset>
            </wp:positionV>
            <wp:extent cx="241744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53" w:lineRule="exact"/>
        <w:rPr>
          <w:sz w:val="20"/>
          <w:szCs w:val="20"/>
          <w:color w:val="auto"/>
        </w:rPr>
      </w:pPr>
    </w:p>
    <w:p>
      <w:pPr>
        <w:ind w:left="2480"/>
        <w:spacing w:after="0"/>
        <w:tabs>
          <w:tab w:leader="none" w:pos="4440" w:val="left"/>
        </w:tabs>
        <w:rPr>
          <w:sz w:val="20"/>
          <w:szCs w:val="20"/>
          <w:color w:val="auto"/>
        </w:rPr>
      </w:pPr>
      <w:r>
        <w:rPr>
          <w:rFonts w:ascii="Arial" w:cs="Arial" w:eastAsia="Arial" w:hAnsi="Arial"/>
          <w:sz w:val="16"/>
          <w:szCs w:val="16"/>
          <w:b w:val="1"/>
          <w:bCs w:val="1"/>
          <w:color w:val="auto"/>
        </w:rPr>
        <w:t>September 30, 2020</w:t>
      </w:r>
      <w:r>
        <w:rPr>
          <w:sz w:val="20"/>
          <w:szCs w:val="20"/>
          <w:color w:val="auto"/>
        </w:rPr>
        <w:tab/>
      </w:r>
      <w:r>
        <w:rPr>
          <w:rFonts w:ascii="Arial" w:cs="Arial" w:eastAsia="Arial" w:hAnsi="Arial"/>
          <w:sz w:val="16"/>
          <w:szCs w:val="16"/>
          <w:b w:val="1"/>
          <w:bCs w:val="1"/>
          <w:color w:val="auto"/>
        </w:rPr>
        <w:t>September 30, 2019</w:t>
      </w:r>
    </w:p>
    <w:p>
      <w:pPr>
        <w:spacing w:after="0" w:line="20" w:lineRule="exact"/>
        <w:rPr>
          <w:sz w:val="20"/>
          <w:szCs w:val="20"/>
          <w:color w:val="auto"/>
        </w:rPr>
      </w:pPr>
      <w:r>
        <w:rPr>
          <w:sz w:val="20"/>
          <w:szCs w:val="20"/>
          <w:color w:val="auto"/>
        </w:rPr>
        <w:br w:type="column"/>
      </w:r>
    </w:p>
    <w:p>
      <w:pPr>
        <w:spacing w:after="0" w:line="291"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-101600</wp:posOffset>
            </wp:positionH>
            <wp:positionV relativeFrom="paragraph">
              <wp:posOffset>23495</wp:posOffset>
            </wp:positionV>
            <wp:extent cx="248602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53" w:lineRule="exact"/>
        <w:rPr>
          <w:sz w:val="20"/>
          <w:szCs w:val="20"/>
          <w:color w:val="auto"/>
        </w:rPr>
      </w:pPr>
    </w:p>
    <w:p>
      <w:pPr>
        <w:spacing w:after="0"/>
        <w:tabs>
          <w:tab w:leader="none" w:pos="2040" w:val="left"/>
        </w:tabs>
        <w:rPr>
          <w:sz w:val="20"/>
          <w:szCs w:val="20"/>
          <w:color w:val="auto"/>
        </w:rPr>
      </w:pPr>
      <w:r>
        <w:rPr>
          <w:rFonts w:ascii="Arial" w:cs="Arial" w:eastAsia="Arial" w:hAnsi="Arial"/>
          <w:sz w:val="16"/>
          <w:szCs w:val="16"/>
          <w:b w:val="1"/>
          <w:bCs w:val="1"/>
          <w:color w:val="auto"/>
        </w:rPr>
        <w:t>September 30, 2020</w:t>
      </w:r>
      <w:r>
        <w:rPr>
          <w:sz w:val="20"/>
          <w:szCs w:val="20"/>
          <w:color w:val="auto"/>
        </w:rPr>
        <w:tab/>
      </w:r>
      <w:r>
        <w:rPr>
          <w:rFonts w:ascii="Arial" w:cs="Arial" w:eastAsia="Arial" w:hAnsi="Arial"/>
          <w:sz w:val="16"/>
          <w:szCs w:val="16"/>
          <w:b w:val="1"/>
          <w:bCs w:val="1"/>
          <w:color w:val="auto"/>
        </w:rPr>
        <w:t>September 30, 2019</w:t>
      </w:r>
    </w:p>
    <w:p>
      <w:pPr>
        <w:spacing w:after="0" w:line="31" w:lineRule="exact"/>
        <w:rPr>
          <w:sz w:val="20"/>
          <w:szCs w:val="20"/>
          <w:color w:val="auto"/>
        </w:rPr>
      </w:pPr>
    </w:p>
    <w:p>
      <w:pPr>
        <w:sectPr>
          <w:pgSz w:w="11900" w:h="16838" w:orient="portrait"/>
          <w:cols w:equalWidth="0" w:num="2">
            <w:col w:w="5960" w:space="500"/>
            <w:col w:w="4780"/>
          </w:cols>
          <w:pgMar w:left="320" w:top="1070" w:right="339" w:bottom="1440" w:gutter="0" w:footer="0" w:header="0"/>
          <w:type w:val="continuous"/>
        </w:sectPr>
      </w:pPr>
    </w:p>
    <w:tbl>
      <w:tblPr>
        <w:tblLayout w:type="fixed"/>
        <w:tblInd w:w="1040" w:type="dxa"/>
        <w:tblCellMar>
          <w:top w:w="0" w:type="dxa"/>
          <w:left w:w="0" w:type="dxa"/>
          <w:bottom w:w="0" w:type="dxa"/>
          <w:right w:w="0" w:type="dxa"/>
        </w:tblCellMar>
      </w:tblPr>
      <w:tr>
        <w:trPr>
          <w:trHeight w:val="256"/>
        </w:trPr>
        <w:tc>
          <w:tcPr>
            <w:tcW w:w="1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19,478</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6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23,318</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6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59,171</w:t>
            </w:r>
          </w:p>
        </w:tc>
        <w:tc>
          <w:tcPr>
            <w:tcW w:w="9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100.0 %</w:t>
            </w:r>
          </w:p>
        </w:tc>
        <w:tc>
          <w:tcPr>
            <w:tcW w:w="3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68,741</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67"/>
        </w:trPr>
        <w:tc>
          <w:tcPr>
            <w:tcW w:w="128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19"/>
              <w:spacing w:after="0"/>
              <w:rPr>
                <w:sz w:val="20"/>
                <w:szCs w:val="20"/>
                <w:color w:val="auto"/>
              </w:rPr>
            </w:pPr>
            <w:r>
              <w:rPr>
                <w:rFonts w:ascii="Arial" w:cs="Arial" w:eastAsia="Arial" w:hAnsi="Arial"/>
                <w:sz w:val="16"/>
                <w:szCs w:val="16"/>
                <w:color w:val="auto"/>
              </w:rPr>
              <w:t>12,766</w:t>
            </w:r>
          </w:p>
        </w:tc>
        <w:tc>
          <w:tcPr>
            <w:tcW w:w="820" w:type="dxa"/>
            <w:vAlign w:val="bottom"/>
          </w:tcPr>
          <w:p>
            <w:pPr>
              <w:jc w:val="right"/>
              <w:spacing w:after="0"/>
              <w:rPr>
                <w:sz w:val="20"/>
                <w:szCs w:val="20"/>
                <w:color w:val="auto"/>
              </w:rPr>
            </w:pPr>
            <w:r>
              <w:rPr>
                <w:rFonts w:ascii="Arial" w:cs="Arial" w:eastAsia="Arial" w:hAnsi="Arial"/>
                <w:sz w:val="16"/>
                <w:szCs w:val="16"/>
                <w:color w:val="auto"/>
              </w:rPr>
              <w:t>65.5 %</w:t>
            </w:r>
          </w:p>
        </w:tc>
        <w:tc>
          <w:tcPr>
            <w:tcW w:w="160" w:type="dxa"/>
            <w:vAlign w:val="bottom"/>
          </w:tcPr>
          <w:p>
            <w:pPr>
              <w:spacing w:after="0"/>
              <w:rPr>
                <w:sz w:val="23"/>
                <w:szCs w:val="23"/>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119"/>
              <w:spacing w:after="0"/>
              <w:rPr>
                <w:sz w:val="20"/>
                <w:szCs w:val="20"/>
                <w:color w:val="auto"/>
              </w:rPr>
            </w:pPr>
            <w:r>
              <w:rPr>
                <w:rFonts w:ascii="Arial" w:cs="Arial" w:eastAsia="Arial" w:hAnsi="Arial"/>
                <w:sz w:val="16"/>
                <w:szCs w:val="16"/>
                <w:color w:val="auto"/>
              </w:rPr>
              <w:t>14,808</w:t>
            </w:r>
          </w:p>
        </w:tc>
        <w:tc>
          <w:tcPr>
            <w:tcW w:w="820" w:type="dxa"/>
            <w:vAlign w:val="bottom"/>
          </w:tcPr>
          <w:p>
            <w:pPr>
              <w:jc w:val="right"/>
              <w:spacing w:after="0"/>
              <w:rPr>
                <w:sz w:val="20"/>
                <w:szCs w:val="20"/>
                <w:color w:val="auto"/>
              </w:rPr>
            </w:pPr>
            <w:r>
              <w:rPr>
                <w:rFonts w:ascii="Arial" w:cs="Arial" w:eastAsia="Arial" w:hAnsi="Arial"/>
                <w:sz w:val="16"/>
                <w:szCs w:val="16"/>
                <w:color w:val="auto"/>
              </w:rPr>
              <w:t>63.5 %</w:t>
            </w:r>
          </w:p>
        </w:tc>
        <w:tc>
          <w:tcPr>
            <w:tcW w:w="160" w:type="dxa"/>
            <w:vAlign w:val="bottom"/>
          </w:tcPr>
          <w:p>
            <w:pPr>
              <w:spacing w:after="0"/>
              <w:rPr>
                <w:sz w:val="23"/>
                <w:szCs w:val="23"/>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38,708</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65.4 %</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43,599</w:t>
            </w:r>
          </w:p>
        </w:tc>
        <w:tc>
          <w:tcPr>
            <w:tcW w:w="840" w:type="dxa"/>
            <w:vAlign w:val="bottom"/>
          </w:tcPr>
          <w:p>
            <w:pPr>
              <w:jc w:val="right"/>
              <w:spacing w:after="0"/>
              <w:rPr>
                <w:sz w:val="20"/>
                <w:szCs w:val="20"/>
                <w:color w:val="auto"/>
              </w:rPr>
            </w:pPr>
            <w:r>
              <w:rPr>
                <w:rFonts w:ascii="Arial" w:cs="Arial" w:eastAsia="Arial" w:hAnsi="Arial"/>
                <w:sz w:val="16"/>
                <w:szCs w:val="16"/>
                <w:color w:val="auto"/>
              </w:rPr>
              <w:t>63.4 %</w:t>
            </w:r>
          </w:p>
        </w:tc>
      </w:tr>
      <w:tr>
        <w:trPr>
          <w:trHeight w:val="273"/>
        </w:trPr>
        <w:tc>
          <w:tcPr>
            <w:tcW w:w="1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SG&amp;A</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8,447</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43.4 %</w:t>
            </w:r>
          </w:p>
        </w:tc>
        <w:tc>
          <w:tcPr>
            <w:tcW w:w="16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9,634</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41.3 %</w:t>
            </w:r>
          </w:p>
        </w:tc>
        <w:tc>
          <w:tcPr>
            <w:tcW w:w="16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26,897</w:t>
            </w: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45.5 %</w:t>
            </w:r>
          </w:p>
        </w:tc>
        <w:tc>
          <w:tcPr>
            <w:tcW w:w="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28,593</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41.6 %</w:t>
            </w:r>
          </w:p>
        </w:tc>
      </w:tr>
      <w:tr>
        <w:trPr>
          <w:trHeight w:val="177"/>
        </w:trPr>
        <w:tc>
          <w:tcPr>
            <w:tcW w:w="1280" w:type="dxa"/>
            <w:vAlign w:val="bottom"/>
          </w:tcPr>
          <w:p>
            <w:pPr>
              <w:ind w:left="20"/>
              <w:spacing w:after="0" w:line="178" w:lineRule="exact"/>
              <w:rPr>
                <w:sz w:val="20"/>
                <w:szCs w:val="20"/>
                <w:color w:val="auto"/>
              </w:rPr>
            </w:pPr>
            <w:r>
              <w:rPr>
                <w:rFonts w:ascii="Arial" w:cs="Arial" w:eastAsia="Arial" w:hAnsi="Arial"/>
                <w:sz w:val="16"/>
                <w:szCs w:val="16"/>
                <w:color w:val="auto"/>
              </w:rPr>
              <w:t>Operating</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95"/>
        </w:trPr>
        <w:tc>
          <w:tcPr>
            <w:tcW w:w="1280" w:type="dxa"/>
            <w:vAlign w:val="bottom"/>
          </w:tcPr>
          <w:p>
            <w:pPr>
              <w:ind w:left="20"/>
              <w:spacing w:after="0"/>
              <w:rPr>
                <w:sz w:val="20"/>
                <w:szCs w:val="20"/>
                <w:color w:val="auto"/>
              </w:rPr>
            </w:pPr>
            <w:r>
              <w:rPr>
                <w:rFonts w:ascii="Arial" w:cs="Arial" w:eastAsia="Arial" w:hAnsi="Arial"/>
                <w:sz w:val="16"/>
                <w:szCs w:val="16"/>
                <w:color w:val="auto"/>
              </w:rPr>
              <w:t>income</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19"/>
              <w:spacing w:after="0"/>
              <w:rPr>
                <w:sz w:val="20"/>
                <w:szCs w:val="20"/>
                <w:color w:val="auto"/>
              </w:rPr>
            </w:pPr>
            <w:r>
              <w:rPr>
                <w:rFonts w:ascii="Arial" w:cs="Arial" w:eastAsia="Arial" w:hAnsi="Arial"/>
                <w:sz w:val="16"/>
                <w:szCs w:val="16"/>
                <w:color w:val="auto"/>
              </w:rPr>
              <w:t>2,363</w:t>
            </w:r>
          </w:p>
        </w:tc>
        <w:tc>
          <w:tcPr>
            <w:tcW w:w="820" w:type="dxa"/>
            <w:vAlign w:val="bottom"/>
          </w:tcPr>
          <w:p>
            <w:pPr>
              <w:jc w:val="right"/>
              <w:spacing w:after="0"/>
              <w:rPr>
                <w:sz w:val="20"/>
                <w:szCs w:val="20"/>
                <w:color w:val="auto"/>
              </w:rPr>
            </w:pPr>
            <w:r>
              <w:rPr>
                <w:rFonts w:ascii="Arial" w:cs="Arial" w:eastAsia="Arial" w:hAnsi="Arial"/>
                <w:sz w:val="16"/>
                <w:szCs w:val="16"/>
                <w:color w:val="auto"/>
              </w:rPr>
              <w:t>12.1 %</w:t>
            </w:r>
          </w:p>
        </w:tc>
        <w:tc>
          <w:tcPr>
            <w:tcW w:w="160" w:type="dxa"/>
            <w:vAlign w:val="bottom"/>
          </w:tcPr>
          <w:p>
            <w:pPr>
              <w:spacing w:after="0"/>
              <w:rPr>
                <w:sz w:val="16"/>
                <w:szCs w:val="16"/>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119"/>
              <w:spacing w:after="0"/>
              <w:rPr>
                <w:sz w:val="20"/>
                <w:szCs w:val="20"/>
                <w:color w:val="auto"/>
              </w:rPr>
            </w:pPr>
            <w:r>
              <w:rPr>
                <w:rFonts w:ascii="Arial" w:cs="Arial" w:eastAsia="Arial" w:hAnsi="Arial"/>
                <w:sz w:val="16"/>
                <w:szCs w:val="16"/>
                <w:color w:val="auto"/>
              </w:rPr>
              <w:t>3,220</w:t>
            </w:r>
          </w:p>
        </w:tc>
        <w:tc>
          <w:tcPr>
            <w:tcW w:w="820" w:type="dxa"/>
            <w:vAlign w:val="bottom"/>
          </w:tcPr>
          <w:p>
            <w:pPr>
              <w:jc w:val="right"/>
              <w:spacing w:after="0"/>
              <w:rPr>
                <w:sz w:val="20"/>
                <w:szCs w:val="20"/>
                <w:color w:val="auto"/>
              </w:rPr>
            </w:pPr>
            <w:r>
              <w:rPr>
                <w:rFonts w:ascii="Arial" w:cs="Arial" w:eastAsia="Arial" w:hAnsi="Arial"/>
                <w:sz w:val="16"/>
                <w:szCs w:val="16"/>
                <w:color w:val="auto"/>
              </w:rPr>
              <w:t>13.8 %</w:t>
            </w:r>
          </w:p>
        </w:tc>
        <w:tc>
          <w:tcPr>
            <w:tcW w:w="160" w:type="dxa"/>
            <w:vAlign w:val="bottom"/>
          </w:tcPr>
          <w:p>
            <w:pPr>
              <w:spacing w:after="0"/>
              <w:rPr>
                <w:sz w:val="16"/>
                <w:szCs w:val="16"/>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5,943</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10.0 %</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9,151</w:t>
            </w:r>
          </w:p>
        </w:tc>
        <w:tc>
          <w:tcPr>
            <w:tcW w:w="840" w:type="dxa"/>
            <w:vAlign w:val="bottom"/>
          </w:tcPr>
          <w:p>
            <w:pPr>
              <w:jc w:val="right"/>
              <w:spacing w:after="0"/>
              <w:rPr>
                <w:sz w:val="20"/>
                <w:szCs w:val="20"/>
                <w:color w:val="auto"/>
              </w:rPr>
            </w:pPr>
            <w:r>
              <w:rPr>
                <w:rFonts w:ascii="Arial" w:cs="Arial" w:eastAsia="Arial" w:hAnsi="Arial"/>
                <w:sz w:val="16"/>
                <w:szCs w:val="16"/>
                <w:color w:val="auto"/>
              </w:rPr>
              <w:t>13.3 %</w:t>
            </w: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Three months ended September 30, 2020 compared to three months ended September 30, 2019</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sales</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Net sales for the three months ended September 30, 2020 were $19.5 million, a decrease of $3.8 million, or 16.5%, compared to the same period in 2019. During the three months ended September 30, 2020, international sales were approximately $13.1 million, representing a decrease of $3.7 million over the corresponding period in 2019, primarily as a result of reduced sales volume at Ergobaby's Asia-Pacific as a result of the COVID-19 pandemic. Domestic sales were $6.4 million in the third quarter of 2020, reflecting a decrease of $0.1 million compared to the corresponding period in 2019. The decrease in domestic sales was due to reduced sales through our retail and specialty account customers' stores as a result of COVID-19.</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Gross profit</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Gross profit as a percentage of net sales was 65.5% for the quarter ended September 30, 2020, as compared to 63.5% for the three months ended September 30, 2019. The increase in gross profit as a percentage of sales was due to the mix of products sold, reduced freight costs and the mix of sales channels.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general and administrative expense</w:t>
      </w:r>
    </w:p>
    <w:p>
      <w:pPr>
        <w:spacing w:after="0" w:line="1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Selling, general and administrative expense decreased $1.2 million quarter over quarter, with expense of $8.4 million, or 43.4% of net sales for the three months ended September 30, 2020 as compared to $ 9.6 million or 41.3% of net sales for the same period of 2019. The decrease in selling, general and administrative expense in the three months ended September 30, 2020 as compared to the comparable period in the prior year is due to reduced travel costs, favorable foreign exchange rates in the current quarter and non-recurring expenses in the third quarter of 2019.</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from operations</w:t>
      </w:r>
    </w:p>
    <w:p>
      <w:pPr>
        <w:spacing w:after="0" w:line="13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Income from operations for the three months ended September 30, 2020 decreased $0.9 million, compared to the same period of 2019, based on the factors noted above.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type w:val="continuous"/>
        </w:sectPr>
      </w:pPr>
    </w:p>
    <w:bookmarkStart w:id="47" w:name="page48"/>
    <w:bookmarkEnd w:id="47"/>
    <w:p>
      <w:pPr>
        <w:jc w:val="center"/>
        <w:spacing w:after="0"/>
        <w:rPr>
          <w:sz w:val="20"/>
          <w:szCs w:val="20"/>
          <w:color w:val="auto"/>
        </w:rPr>
      </w:pPr>
      <w:r>
        <w:rPr>
          <w:rFonts w:ascii="Arial" w:cs="Arial" w:eastAsia="Arial" w:hAnsi="Arial"/>
          <w:sz w:val="18"/>
          <w:szCs w:val="18"/>
          <w:b w:val="1"/>
          <w:bCs w:val="1"/>
          <w:i w:val="1"/>
          <w:iCs w:val="1"/>
          <w:color w:val="auto"/>
        </w:rPr>
        <w:t>Nine months ended September 30, 2020 compared to nine months ended September 30, 2019</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sales</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Net sales for the nine months ended September 30, 2020 were $59.2 million, a decrease of $9.6 million, or 13.9%, compared to the same period in 2019. During the nine months ended September 30, 2020, international sales were approximately $39.4 million, representing a decrease of $8.6 million over the corresponding period in 2019, primarily as a result of reduced sales volume at Ergobaby's Asia-Pacific and EMEA distributors as a result of the COVID-19 pandemic. Domestic sales were $19.7 million in the first nine months of 2020, reflecting a decrease of $1.0 million compared to the corresponding period in 2019. The decrease in domestic sales was driven by the Tula brand, primarily in the specialty account channel.</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Gross profit</w:t>
      </w:r>
    </w:p>
    <w:p>
      <w:pPr>
        <w:spacing w:after="0" w:line="135"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Gross profit as a percentage of net sales was 65.4% for the nine months ended September 30, 2020, as compared to 63.4% for the nine months ended September 30, 2019. The increase in gross profit as a percentage of sales was due to the mix of products sold, reduced freight costs and the mix of sales channels during the nine months ended September 30, 2020.</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general and administrative expense</w:t>
      </w:r>
    </w:p>
    <w:p>
      <w:pPr>
        <w:spacing w:after="0" w:line="1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Selling, general and administrative expense decreased $1.7 million in the first nine months of 2020 as compared to the first nine months of 2019, with expense of $26.9 million, or 45.5% of net sales for the nine months ended September 30, 2020 as compared to $28.6 million or 41.6% of net sales for the same period of 2019. The decrease in selling, general and administrative expense in the nine months ended September 30, 2020 as compared to the comparable period in the prior year is a result of decreases in selling expenses, a reduction in variable expenses in response to the COVID-19 pandemic and non-recurring expenses in the nine months ended September 30, 2019.</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from operations</w:t>
      </w:r>
    </w:p>
    <w:p>
      <w:pPr>
        <w:spacing w:after="0" w:line="13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Income from operations for the nine months ended September 30, 2020 decreased $3.2 million, compared to the same period of 2019, based on the factors noted above.</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Liberty Safe</w:t>
      </w:r>
    </w:p>
    <w:p>
      <w:pPr>
        <w:spacing w:after="0" w:line="311" w:lineRule="exact"/>
        <w:rPr>
          <w:sz w:val="20"/>
          <w:szCs w:val="20"/>
          <w:color w:val="auto"/>
        </w:rPr>
      </w:pPr>
    </w:p>
    <w:tbl>
      <w:tblPr>
        <w:tblLayout w:type="fixed"/>
        <w:tblInd w:w="1060" w:type="dxa"/>
        <w:tblCellMar>
          <w:top w:w="0" w:type="dxa"/>
          <w:left w:w="0" w:type="dxa"/>
          <w:bottom w:w="0" w:type="dxa"/>
          <w:right w:w="0" w:type="dxa"/>
        </w:tblCellMar>
      </w:tblPr>
      <w:tr>
        <w:trPr>
          <w:trHeight w:val="218"/>
        </w:trPr>
        <w:tc>
          <w:tcPr>
            <w:tcW w:w="1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4"/>
          </w:tcPr>
          <w:p>
            <w:pPr>
              <w:jc w:val="right"/>
              <w:ind w:right="199"/>
              <w:spacing w:after="0"/>
              <w:rPr>
                <w:sz w:val="20"/>
                <w:szCs w:val="20"/>
                <w:color w:val="auto"/>
              </w:rPr>
            </w:pPr>
            <w:r>
              <w:rPr>
                <w:rFonts w:ascii="Arial" w:cs="Arial" w:eastAsia="Arial" w:hAnsi="Arial"/>
                <w:sz w:val="16"/>
                <w:szCs w:val="16"/>
                <w:b w:val="1"/>
                <w:bCs w:val="1"/>
                <w:color w:val="auto"/>
              </w:rPr>
              <w:t>Three months ended</w:t>
            </w:r>
          </w:p>
        </w:tc>
        <w:tc>
          <w:tcPr>
            <w:tcW w:w="8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4"/>
          </w:tcPr>
          <w:p>
            <w:pPr>
              <w:jc w:val="right"/>
              <w:ind w:right="279"/>
              <w:spacing w:after="0"/>
              <w:rPr>
                <w:sz w:val="20"/>
                <w:szCs w:val="20"/>
                <w:color w:val="auto"/>
              </w:rPr>
            </w:pPr>
            <w:r>
              <w:rPr>
                <w:rFonts w:ascii="Arial" w:cs="Arial" w:eastAsia="Arial" w:hAnsi="Arial"/>
                <w:sz w:val="16"/>
                <w:szCs w:val="16"/>
                <w:b w:val="1"/>
                <w:bCs w:val="1"/>
                <w:color w:val="auto"/>
              </w:rPr>
              <w:t>Nine months ended</w:t>
            </w:r>
          </w:p>
        </w:tc>
        <w:tc>
          <w:tcPr>
            <w:tcW w:w="840" w:type="dxa"/>
            <w:vAlign w:val="bottom"/>
            <w:tcBorders>
              <w:bottom w:val="single" w:sz="8" w:color="auto"/>
            </w:tcBorders>
          </w:tcPr>
          <w:p>
            <w:pPr>
              <w:spacing w:after="0"/>
              <w:rPr>
                <w:sz w:val="18"/>
                <w:szCs w:val="18"/>
                <w:color w:val="auto"/>
              </w:rPr>
            </w:pPr>
          </w:p>
        </w:tc>
      </w:tr>
      <w:tr>
        <w:trPr>
          <w:trHeight w:val="237"/>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60" w:type="dxa"/>
            <w:vAlign w:val="bottom"/>
            <w:gridSpan w:val="3"/>
          </w:tcPr>
          <w:p>
            <w:pPr>
              <w:ind w:left="20"/>
              <w:spacing w:after="0"/>
              <w:rPr>
                <w:sz w:val="20"/>
                <w:szCs w:val="20"/>
                <w:color w:val="auto"/>
              </w:rPr>
            </w:pPr>
            <w:r>
              <w:rPr>
                <w:rFonts w:ascii="Arial" w:cs="Arial" w:eastAsia="Arial" w:hAnsi="Arial"/>
                <w:sz w:val="16"/>
                <w:szCs w:val="16"/>
                <w:b w:val="1"/>
                <w:bCs w:val="1"/>
                <w:color w:val="auto"/>
              </w:rPr>
              <w:t>September 30, 2020</w:t>
            </w:r>
          </w:p>
        </w:tc>
        <w:tc>
          <w:tcPr>
            <w:tcW w:w="120" w:type="dxa"/>
            <w:vAlign w:val="bottom"/>
          </w:tcPr>
          <w:p>
            <w:pPr>
              <w:spacing w:after="0"/>
              <w:rPr>
                <w:sz w:val="20"/>
                <w:szCs w:val="20"/>
                <w:color w:val="auto"/>
              </w:rPr>
            </w:pPr>
          </w:p>
        </w:tc>
        <w:tc>
          <w:tcPr>
            <w:tcW w:w="1860" w:type="dxa"/>
            <w:vAlign w:val="bottom"/>
            <w:gridSpan w:val="3"/>
          </w:tcPr>
          <w:p>
            <w:pPr>
              <w:ind w:left="20"/>
              <w:spacing w:after="0"/>
              <w:rPr>
                <w:sz w:val="20"/>
                <w:szCs w:val="20"/>
                <w:color w:val="auto"/>
              </w:rPr>
            </w:pPr>
            <w:r>
              <w:rPr>
                <w:rFonts w:ascii="Arial" w:cs="Arial" w:eastAsia="Arial" w:hAnsi="Arial"/>
                <w:sz w:val="16"/>
                <w:szCs w:val="16"/>
                <w:b w:val="1"/>
                <w:bCs w:val="1"/>
                <w:color w:val="auto"/>
              </w:rPr>
              <w:t>September 30, 2019</w:t>
            </w:r>
          </w:p>
        </w:tc>
        <w:tc>
          <w:tcPr>
            <w:tcW w:w="140" w:type="dxa"/>
            <w:vAlign w:val="bottom"/>
          </w:tcPr>
          <w:p>
            <w:pPr>
              <w:spacing w:after="0"/>
              <w:rPr>
                <w:sz w:val="20"/>
                <w:szCs w:val="20"/>
                <w:color w:val="auto"/>
              </w:rPr>
            </w:pPr>
          </w:p>
        </w:tc>
        <w:tc>
          <w:tcPr>
            <w:tcW w:w="1880" w:type="dxa"/>
            <w:vAlign w:val="bottom"/>
            <w:gridSpan w:val="3"/>
          </w:tcPr>
          <w:p>
            <w:pPr>
              <w:ind w:left="20"/>
              <w:spacing w:after="0"/>
              <w:rPr>
                <w:sz w:val="20"/>
                <w:szCs w:val="20"/>
                <w:color w:val="auto"/>
              </w:rPr>
            </w:pPr>
            <w:r>
              <w:rPr>
                <w:rFonts w:ascii="Arial" w:cs="Arial" w:eastAsia="Arial" w:hAnsi="Arial"/>
                <w:sz w:val="16"/>
                <w:szCs w:val="16"/>
                <w:b w:val="1"/>
                <w:bCs w:val="1"/>
                <w:color w:val="auto"/>
              </w:rPr>
              <w:t>September 30, 2020</w:t>
            </w:r>
          </w:p>
        </w:tc>
        <w:tc>
          <w:tcPr>
            <w:tcW w:w="140" w:type="dxa"/>
            <w:vAlign w:val="bottom"/>
          </w:tcPr>
          <w:p>
            <w:pPr>
              <w:spacing w:after="0"/>
              <w:rPr>
                <w:sz w:val="20"/>
                <w:szCs w:val="20"/>
                <w:color w:val="auto"/>
              </w:rPr>
            </w:pPr>
          </w:p>
        </w:tc>
        <w:tc>
          <w:tcPr>
            <w:tcW w:w="1740" w:type="dxa"/>
            <w:vAlign w:val="bottom"/>
            <w:gridSpan w:val="2"/>
          </w:tcPr>
          <w:p>
            <w:pPr>
              <w:jc w:val="right"/>
              <w:ind w:right="99"/>
              <w:spacing w:after="0"/>
              <w:rPr>
                <w:sz w:val="20"/>
                <w:szCs w:val="20"/>
                <w:color w:val="auto"/>
              </w:rPr>
            </w:pPr>
            <w:r>
              <w:rPr>
                <w:rFonts w:ascii="Arial" w:cs="Arial" w:eastAsia="Arial" w:hAnsi="Arial"/>
                <w:sz w:val="16"/>
                <w:szCs w:val="16"/>
                <w:b w:val="1"/>
                <w:bCs w:val="1"/>
                <w:color w:val="auto"/>
              </w:rPr>
              <w:t>September 30, 2019</w:t>
            </w:r>
          </w:p>
        </w:tc>
      </w:tr>
      <w:tr>
        <w:trPr>
          <w:trHeight w:val="253"/>
        </w:trPr>
        <w:tc>
          <w:tcPr>
            <w:tcW w:w="1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31,186</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6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24,729</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4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80,599</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8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67,566</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67"/>
        </w:trPr>
        <w:tc>
          <w:tcPr>
            <w:tcW w:w="128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8,111</w:t>
            </w:r>
          </w:p>
        </w:tc>
        <w:tc>
          <w:tcPr>
            <w:tcW w:w="860" w:type="dxa"/>
            <w:vAlign w:val="bottom"/>
          </w:tcPr>
          <w:p>
            <w:pPr>
              <w:jc w:val="right"/>
              <w:spacing w:after="0"/>
              <w:rPr>
                <w:sz w:val="20"/>
                <w:szCs w:val="20"/>
                <w:color w:val="auto"/>
              </w:rPr>
            </w:pPr>
            <w:r>
              <w:rPr>
                <w:rFonts w:ascii="Arial" w:cs="Arial" w:eastAsia="Arial" w:hAnsi="Arial"/>
                <w:sz w:val="16"/>
                <w:szCs w:val="16"/>
                <w:color w:val="auto"/>
              </w:rPr>
              <w:t>26.0 %</w:t>
            </w:r>
          </w:p>
        </w:tc>
        <w:tc>
          <w:tcPr>
            <w:tcW w:w="16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5,701</w:t>
            </w:r>
          </w:p>
        </w:tc>
        <w:tc>
          <w:tcPr>
            <w:tcW w:w="840" w:type="dxa"/>
            <w:vAlign w:val="bottom"/>
          </w:tcPr>
          <w:p>
            <w:pPr>
              <w:jc w:val="right"/>
              <w:spacing w:after="0"/>
              <w:rPr>
                <w:sz w:val="20"/>
                <w:szCs w:val="20"/>
                <w:color w:val="auto"/>
              </w:rPr>
            </w:pPr>
            <w:r>
              <w:rPr>
                <w:rFonts w:ascii="Arial" w:cs="Arial" w:eastAsia="Arial" w:hAnsi="Arial"/>
                <w:sz w:val="16"/>
                <w:szCs w:val="16"/>
                <w:color w:val="auto"/>
              </w:rPr>
              <w:t>23.1 %</w:t>
            </w:r>
          </w:p>
        </w:tc>
        <w:tc>
          <w:tcPr>
            <w:tcW w:w="14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99"/>
              <w:spacing w:after="0"/>
              <w:rPr>
                <w:sz w:val="20"/>
                <w:szCs w:val="20"/>
                <w:color w:val="auto"/>
              </w:rPr>
            </w:pPr>
            <w:r>
              <w:rPr>
                <w:rFonts w:ascii="Arial" w:cs="Arial" w:eastAsia="Arial" w:hAnsi="Arial"/>
                <w:sz w:val="16"/>
                <w:szCs w:val="16"/>
                <w:color w:val="auto"/>
              </w:rPr>
              <w:t>21,058</w:t>
            </w:r>
          </w:p>
        </w:tc>
        <w:tc>
          <w:tcPr>
            <w:tcW w:w="840" w:type="dxa"/>
            <w:vAlign w:val="bottom"/>
          </w:tcPr>
          <w:p>
            <w:pPr>
              <w:jc w:val="right"/>
              <w:spacing w:after="0"/>
              <w:rPr>
                <w:sz w:val="20"/>
                <w:szCs w:val="20"/>
                <w:color w:val="auto"/>
              </w:rPr>
            </w:pPr>
            <w:r>
              <w:rPr>
                <w:rFonts w:ascii="Arial" w:cs="Arial" w:eastAsia="Arial" w:hAnsi="Arial"/>
                <w:sz w:val="16"/>
                <w:szCs w:val="16"/>
                <w:color w:val="auto"/>
              </w:rPr>
              <w:t>26.1 %</w:t>
            </w:r>
          </w:p>
        </w:tc>
        <w:tc>
          <w:tcPr>
            <w:tcW w:w="18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14,771</w:t>
            </w:r>
          </w:p>
        </w:tc>
        <w:tc>
          <w:tcPr>
            <w:tcW w:w="840" w:type="dxa"/>
            <w:vAlign w:val="bottom"/>
          </w:tcPr>
          <w:p>
            <w:pPr>
              <w:jc w:val="right"/>
              <w:spacing w:after="0"/>
              <w:rPr>
                <w:sz w:val="20"/>
                <w:szCs w:val="20"/>
                <w:color w:val="auto"/>
              </w:rPr>
            </w:pPr>
            <w:r>
              <w:rPr>
                <w:rFonts w:ascii="Arial" w:cs="Arial" w:eastAsia="Arial" w:hAnsi="Arial"/>
                <w:sz w:val="16"/>
                <w:szCs w:val="16"/>
                <w:color w:val="auto"/>
              </w:rPr>
              <w:t>21.9 %</w:t>
            </w:r>
          </w:p>
        </w:tc>
      </w:tr>
      <w:tr>
        <w:trPr>
          <w:trHeight w:val="273"/>
        </w:trPr>
        <w:tc>
          <w:tcPr>
            <w:tcW w:w="1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SG&amp;A</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2,250</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7.2 %</w:t>
            </w: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2,850</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11.5 %</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8,402</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10.4 %</w:t>
            </w:r>
          </w:p>
        </w:tc>
        <w:tc>
          <w:tcPr>
            <w:tcW w:w="18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8,560</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12.7 %</w:t>
            </w:r>
          </w:p>
        </w:tc>
      </w:tr>
      <w:tr>
        <w:trPr>
          <w:trHeight w:val="177"/>
        </w:trPr>
        <w:tc>
          <w:tcPr>
            <w:tcW w:w="1280" w:type="dxa"/>
            <w:vAlign w:val="bottom"/>
          </w:tcPr>
          <w:p>
            <w:pPr>
              <w:ind w:left="20"/>
              <w:spacing w:after="0" w:line="178" w:lineRule="exact"/>
              <w:rPr>
                <w:sz w:val="20"/>
                <w:szCs w:val="20"/>
                <w:color w:val="auto"/>
              </w:rPr>
            </w:pPr>
            <w:r>
              <w:rPr>
                <w:rFonts w:ascii="Arial" w:cs="Arial" w:eastAsia="Arial" w:hAnsi="Arial"/>
                <w:sz w:val="16"/>
                <w:szCs w:val="16"/>
                <w:color w:val="auto"/>
              </w:rPr>
              <w:t>Operating</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95"/>
        </w:trPr>
        <w:tc>
          <w:tcPr>
            <w:tcW w:w="1280" w:type="dxa"/>
            <w:vAlign w:val="bottom"/>
          </w:tcPr>
          <w:p>
            <w:pPr>
              <w:ind w:left="20"/>
              <w:spacing w:after="0"/>
              <w:rPr>
                <w:sz w:val="20"/>
                <w:szCs w:val="20"/>
                <w:color w:val="auto"/>
              </w:rPr>
            </w:pPr>
            <w:r>
              <w:rPr>
                <w:rFonts w:ascii="Arial" w:cs="Arial" w:eastAsia="Arial" w:hAnsi="Arial"/>
                <w:sz w:val="16"/>
                <w:szCs w:val="16"/>
                <w:color w:val="auto"/>
              </w:rPr>
              <w:t>income</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5,736</w:t>
            </w:r>
          </w:p>
        </w:tc>
        <w:tc>
          <w:tcPr>
            <w:tcW w:w="860" w:type="dxa"/>
            <w:vAlign w:val="bottom"/>
          </w:tcPr>
          <w:p>
            <w:pPr>
              <w:jc w:val="right"/>
              <w:spacing w:after="0"/>
              <w:rPr>
                <w:sz w:val="20"/>
                <w:szCs w:val="20"/>
                <w:color w:val="auto"/>
              </w:rPr>
            </w:pPr>
            <w:r>
              <w:rPr>
                <w:rFonts w:ascii="Arial" w:cs="Arial" w:eastAsia="Arial" w:hAnsi="Arial"/>
                <w:sz w:val="16"/>
                <w:szCs w:val="16"/>
                <w:color w:val="auto"/>
              </w:rPr>
              <w:t>18.4 %</w:t>
            </w:r>
          </w:p>
        </w:tc>
        <w:tc>
          <w:tcPr>
            <w:tcW w:w="16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2,726</w:t>
            </w:r>
          </w:p>
        </w:tc>
        <w:tc>
          <w:tcPr>
            <w:tcW w:w="840" w:type="dxa"/>
            <w:vAlign w:val="bottom"/>
          </w:tcPr>
          <w:p>
            <w:pPr>
              <w:jc w:val="right"/>
              <w:spacing w:after="0"/>
              <w:rPr>
                <w:sz w:val="20"/>
                <w:szCs w:val="20"/>
                <w:color w:val="auto"/>
              </w:rPr>
            </w:pPr>
            <w:r>
              <w:rPr>
                <w:rFonts w:ascii="Arial" w:cs="Arial" w:eastAsia="Arial" w:hAnsi="Arial"/>
                <w:sz w:val="16"/>
                <w:szCs w:val="16"/>
                <w:color w:val="auto"/>
              </w:rPr>
              <w:t>11.0 %</w:t>
            </w:r>
          </w:p>
        </w:tc>
        <w:tc>
          <w:tcPr>
            <w:tcW w:w="14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99"/>
              <w:spacing w:after="0"/>
              <w:rPr>
                <w:sz w:val="20"/>
                <w:szCs w:val="20"/>
                <w:color w:val="auto"/>
              </w:rPr>
            </w:pPr>
            <w:r>
              <w:rPr>
                <w:rFonts w:ascii="Arial" w:cs="Arial" w:eastAsia="Arial" w:hAnsi="Arial"/>
                <w:sz w:val="16"/>
                <w:szCs w:val="16"/>
                <w:color w:val="auto"/>
              </w:rPr>
              <w:t>12,281</w:t>
            </w:r>
          </w:p>
        </w:tc>
        <w:tc>
          <w:tcPr>
            <w:tcW w:w="840" w:type="dxa"/>
            <w:vAlign w:val="bottom"/>
          </w:tcPr>
          <w:p>
            <w:pPr>
              <w:jc w:val="right"/>
              <w:spacing w:after="0"/>
              <w:rPr>
                <w:sz w:val="20"/>
                <w:szCs w:val="20"/>
                <w:color w:val="auto"/>
              </w:rPr>
            </w:pPr>
            <w:r>
              <w:rPr>
                <w:rFonts w:ascii="Arial" w:cs="Arial" w:eastAsia="Arial" w:hAnsi="Arial"/>
                <w:sz w:val="16"/>
                <w:szCs w:val="16"/>
                <w:color w:val="auto"/>
              </w:rPr>
              <w:t>15.2 %</w:t>
            </w:r>
          </w:p>
        </w:tc>
        <w:tc>
          <w:tcPr>
            <w:tcW w:w="1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5,812</w:t>
            </w:r>
          </w:p>
        </w:tc>
        <w:tc>
          <w:tcPr>
            <w:tcW w:w="840" w:type="dxa"/>
            <w:vAlign w:val="bottom"/>
          </w:tcPr>
          <w:p>
            <w:pPr>
              <w:jc w:val="right"/>
              <w:spacing w:after="0"/>
              <w:rPr>
                <w:sz w:val="20"/>
                <w:szCs w:val="20"/>
                <w:color w:val="auto"/>
              </w:rPr>
            </w:pPr>
            <w:r>
              <w:rPr>
                <w:rFonts w:ascii="Arial" w:cs="Arial" w:eastAsia="Arial" w:hAnsi="Arial"/>
                <w:sz w:val="16"/>
                <w:szCs w:val="16"/>
                <w:color w:val="auto"/>
              </w:rPr>
              <w:t>8.6 %</w:t>
            </w: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Three months ended September 30, 2020 compared to three months ended September 30, 2019</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sales</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Net sales for the quarter ended September 30, 2020 increased approximately $6.5 million, or 26.1%, to $ 31.2 million, compared to the corresponding quarter ended September 30, 2019. Non-Dealer sales were approximately $15.4 million in the three months ended September 30, 2020 as compared to $15.2 million in the quarter ended September 30, 2019. The increase in Non-Dealer sales of $0.2 million or 1.3% is attributable to the continued strong performance at sporting goods retailers, which more than offset a decline in net sales in the Farm and Fleet account category during the quarter as a result of sell in of product to a new large Farm and Fleet customer in the third quarter of 2019. Dealer sales totaled approximately $15.8 million in the three months ended September 30, 2020 compared to $ 9.5 million in the same period in 2019, representing an increase of $6.3 million or 66.3%. The increase in Dealer sales reflects the higher demand for safes that we believe correlate to a large increase in firearm purchases over the prior year.</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i w:val="1"/>
          <w:iCs w:val="1"/>
          <w:u w:val="single" w:color="auto"/>
          <w:color w:val="auto"/>
        </w:rPr>
        <w:t>Gross profit</w:t>
      </w:r>
    </w:p>
    <w:p>
      <w:pPr>
        <w:spacing w:after="0" w:line="1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Gross profit as a percentage of net sales totaled approximately 26.0% and 23.1% for the quarters ended September 30, 2020 and September 30, 2019, respectively. The increase in gross profit as a percentage of net sales during the three months ended September 30, 2020 compared to the same period in 2019 is primarily attributable to favorable manufacturing variances as a result of increased production volume, and a decrease in material costs in the third quarter of 2020 as compared to the third quarter of 2019 when domestic steel prices were trending higher as a result of steel tariffs.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general and administrative expense</w:t>
      </w:r>
    </w:p>
    <w:p>
      <w:pPr>
        <w:spacing w:after="0" w:line="8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Selling, general and administrative expense was $2.3 million for the three months ended September 30, 2020 as compared to $2.9 million in selling, general and administrative expense in the three months ended September 30, 2019. The decrease in selling, general and administrative expense in the third quarter of 2020 is due to spending reductions in advertising and promotion in an effort to manage demand for safes. Selling, general and administrative expense represented 7.2% of net sales in the three months ended September 30, 2020 and 11.5% of net sales for the same period of 2019.</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from operations</w:t>
      </w:r>
    </w:p>
    <w:p>
      <w:pPr>
        <w:spacing w:after="0" w:line="13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Income from operations increased during the three months ended September 30, 2020 to $5.7 million, as compared to $2.7 million in the corresponding period in 2019. This increase was a result of the factors noted above.</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Nine months ended September 30, 2020 compared to nine months ended September 30, 2019</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sales</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Net sales for the nine months ended September 30, 2020 increased approximately $13.0 million, or 19.3%, to $80.6 million, compared to the nine months ended September 30, 2019. Non-Dealer sales were approximately $36.6 million in the nine months ended September 30, 2020 as compared to $31.0 million in the nine months ended September 30, 2019. The increase in Non-Dealer sales of $5.6 million or 18.1% is attributable to a new customer in the Farm and Fleet channel as well as increased sales at sporting goods retailers during 2020, despite the shutdown of retail stores resulting from stay at home orders issued by local governments. Dealer sales totaled approximately $44.0 million in the nine months ended September 30, 2020 compared to $36.6 million in the same period in 2019, representing an increase of $7.4 million or 20.2%. The increase in Dealer sales reflects the higher demand for safes that we believe correlate to a large increase in firearm purchases over the prior year.</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Gross profit</w:t>
      </w:r>
    </w:p>
    <w:p>
      <w:pPr>
        <w:spacing w:after="0" w:line="1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Gross profit as a percentage of net sales totaled approximately 26.1% and 21.9% for the nine months ended September 30, 2020 and September 30, 2019, respectively. The increase in gross profit as a percentage of net sales during the nine months ended September 30, 2020 compared to the same period in 2019 is primarily attributable to favorable manufacturing variances as a result of increased production volume, and a decrease in material costs in the first nine months of 2020 as compared to the first nine months of 2019 when domestic steel prices were trending higher as a result of steel tariffs.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general and administrative expense</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Selling, general and administrative expense was $8.4 million for the nine months ended September 30, 2020 compared to $ 8.6 million for the nine months ended September 30, 2019. Selling, general and administrative expense represented 10.4% of net sales in the nine months ended September 30, 2020 and 12.7% of net sales for the nine months ended September 30, 2019.</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from operations</w:t>
      </w:r>
    </w:p>
    <w:p>
      <w:pPr>
        <w:spacing w:after="0" w:line="135"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Income from operations increased during the nine months ended September 30, 2020 to $12.3 million, as compared to $5.8 million in the corresponding period in 2019. This increase was a result of the factors noted above.</w:t>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Marucci Sports</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the following results of operations, we provide comparative pro forma results of operations for Marucci for the three and nine months ended September 30, 2020 and 2019 as if we had acquired the business on January 1, 2019. The results of operations that follows include relevant pro-forma adjustments for pre-acquisition periods and</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49" w:name="page50"/>
    <w:bookmarkEnd w:id="49"/>
    <w:p>
      <w:pPr>
        <w:ind w:right="20"/>
        <w:spacing w:after="0" w:line="261" w:lineRule="auto"/>
        <w:rPr>
          <w:sz w:val="20"/>
          <w:szCs w:val="20"/>
          <w:color w:val="auto"/>
        </w:rPr>
      </w:pPr>
      <w:r>
        <w:rPr>
          <w:rFonts w:ascii="Arial" w:cs="Arial" w:eastAsia="Arial" w:hAnsi="Arial"/>
          <w:sz w:val="18"/>
          <w:szCs w:val="18"/>
          <w:color w:val="auto"/>
        </w:rPr>
        <w:t>explanations where applicable. The operating results for Marucci have been included in the consolidated results of operation from the date of acquisition through September 30, 2020.</w:t>
      </w:r>
    </w:p>
    <w:p>
      <w:pPr>
        <w:spacing w:after="0" w:line="262" w:lineRule="exact"/>
        <w:rPr>
          <w:sz w:val="20"/>
          <w:szCs w:val="20"/>
          <w:color w:val="auto"/>
        </w:rPr>
      </w:pPr>
    </w:p>
    <w:tbl>
      <w:tblPr>
        <w:tblLayout w:type="fixed"/>
        <w:tblInd w:w="1020" w:type="dxa"/>
        <w:tblCellMar>
          <w:top w:w="0" w:type="dxa"/>
          <w:left w:w="0" w:type="dxa"/>
          <w:bottom w:w="0" w:type="dxa"/>
          <w:right w:w="0" w:type="dxa"/>
        </w:tblCellMar>
      </w:tblPr>
      <w:tr>
        <w:trPr>
          <w:trHeight w:val="218"/>
        </w:trPr>
        <w:tc>
          <w:tcPr>
            <w:tcW w:w="14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4"/>
          </w:tcPr>
          <w:p>
            <w:pPr>
              <w:jc w:val="right"/>
              <w:ind w:right="79"/>
              <w:spacing w:after="0"/>
              <w:rPr>
                <w:sz w:val="20"/>
                <w:szCs w:val="20"/>
                <w:color w:val="auto"/>
              </w:rPr>
            </w:pPr>
            <w:r>
              <w:rPr>
                <w:rFonts w:ascii="Arial" w:cs="Arial" w:eastAsia="Arial" w:hAnsi="Arial"/>
                <w:sz w:val="16"/>
                <w:szCs w:val="16"/>
                <w:b w:val="1"/>
                <w:bCs w:val="1"/>
                <w:color w:val="auto"/>
              </w:rPr>
              <w:t>Three months ended</w:t>
            </w:r>
          </w:p>
        </w:tc>
        <w:tc>
          <w:tcPr>
            <w:tcW w:w="9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4"/>
          </w:tcPr>
          <w:p>
            <w:pPr>
              <w:jc w:val="right"/>
              <w:ind w:right="159"/>
              <w:spacing w:after="0"/>
              <w:rPr>
                <w:sz w:val="20"/>
                <w:szCs w:val="20"/>
                <w:color w:val="auto"/>
              </w:rPr>
            </w:pPr>
            <w:r>
              <w:rPr>
                <w:rFonts w:ascii="Arial" w:cs="Arial" w:eastAsia="Arial" w:hAnsi="Arial"/>
                <w:sz w:val="16"/>
                <w:szCs w:val="16"/>
                <w:b w:val="1"/>
                <w:bCs w:val="1"/>
                <w:color w:val="auto"/>
              </w:rPr>
              <w:t>Nine months ended</w:t>
            </w:r>
          </w:p>
        </w:tc>
        <w:tc>
          <w:tcPr>
            <w:tcW w:w="940" w:type="dxa"/>
            <w:vAlign w:val="bottom"/>
            <w:tcBorders>
              <w:bottom w:val="single" w:sz="8" w:color="auto"/>
            </w:tcBorders>
          </w:tcPr>
          <w:p>
            <w:pPr>
              <w:spacing w:after="0"/>
              <w:rPr>
                <w:sz w:val="18"/>
                <w:szCs w:val="18"/>
                <w:color w:val="auto"/>
              </w:rPr>
            </w:pPr>
          </w:p>
        </w:tc>
      </w:tr>
      <w:tr>
        <w:trPr>
          <w:trHeight w:val="237"/>
        </w:trPr>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gridSpan w:val="3"/>
          </w:tcPr>
          <w:p>
            <w:pPr>
              <w:ind w:left="20"/>
              <w:spacing w:after="0"/>
              <w:rPr>
                <w:sz w:val="20"/>
                <w:szCs w:val="20"/>
                <w:color w:val="auto"/>
              </w:rPr>
            </w:pPr>
            <w:r>
              <w:rPr>
                <w:rFonts w:ascii="Arial" w:cs="Arial" w:eastAsia="Arial" w:hAnsi="Arial"/>
                <w:sz w:val="16"/>
                <w:szCs w:val="16"/>
                <w:b w:val="1"/>
                <w:bCs w:val="1"/>
                <w:color w:val="auto"/>
              </w:rPr>
              <w:t>September 30, 2020</w:t>
            </w:r>
          </w:p>
        </w:tc>
        <w:tc>
          <w:tcPr>
            <w:tcW w:w="140" w:type="dxa"/>
            <w:vAlign w:val="bottom"/>
          </w:tcPr>
          <w:p>
            <w:pPr>
              <w:spacing w:after="0"/>
              <w:rPr>
                <w:sz w:val="20"/>
                <w:szCs w:val="20"/>
                <w:color w:val="auto"/>
              </w:rPr>
            </w:pPr>
          </w:p>
        </w:tc>
        <w:tc>
          <w:tcPr>
            <w:tcW w:w="1820" w:type="dxa"/>
            <w:vAlign w:val="bottom"/>
            <w:gridSpan w:val="3"/>
          </w:tcPr>
          <w:p>
            <w:pPr>
              <w:ind w:left="20"/>
              <w:spacing w:after="0"/>
              <w:rPr>
                <w:sz w:val="20"/>
                <w:szCs w:val="20"/>
                <w:color w:val="auto"/>
              </w:rPr>
            </w:pPr>
            <w:r>
              <w:rPr>
                <w:rFonts w:ascii="Arial" w:cs="Arial" w:eastAsia="Arial" w:hAnsi="Arial"/>
                <w:sz w:val="16"/>
                <w:szCs w:val="16"/>
                <w:b w:val="1"/>
                <w:bCs w:val="1"/>
                <w:color w:val="auto"/>
              </w:rPr>
              <w:t>September 30, 2019</w:t>
            </w:r>
          </w:p>
        </w:tc>
        <w:tc>
          <w:tcPr>
            <w:tcW w:w="140" w:type="dxa"/>
            <w:vAlign w:val="bottom"/>
          </w:tcPr>
          <w:p>
            <w:pPr>
              <w:spacing w:after="0"/>
              <w:rPr>
                <w:sz w:val="20"/>
                <w:szCs w:val="20"/>
                <w:color w:val="auto"/>
              </w:rPr>
            </w:pPr>
          </w:p>
        </w:tc>
        <w:tc>
          <w:tcPr>
            <w:tcW w:w="1880" w:type="dxa"/>
            <w:vAlign w:val="bottom"/>
            <w:gridSpan w:val="3"/>
          </w:tcPr>
          <w:p>
            <w:pPr>
              <w:ind w:left="20"/>
              <w:spacing w:after="0"/>
              <w:rPr>
                <w:sz w:val="20"/>
                <w:szCs w:val="20"/>
                <w:color w:val="auto"/>
              </w:rPr>
            </w:pPr>
            <w:r>
              <w:rPr>
                <w:rFonts w:ascii="Arial" w:cs="Arial" w:eastAsia="Arial" w:hAnsi="Arial"/>
                <w:sz w:val="16"/>
                <w:szCs w:val="16"/>
                <w:b w:val="1"/>
                <w:bCs w:val="1"/>
                <w:color w:val="auto"/>
              </w:rPr>
              <w:t>September 30, 2020</w:t>
            </w:r>
          </w:p>
        </w:tc>
        <w:tc>
          <w:tcPr>
            <w:tcW w:w="140" w:type="dxa"/>
            <w:vAlign w:val="bottom"/>
          </w:tcPr>
          <w:p>
            <w:pPr>
              <w:spacing w:after="0"/>
              <w:rPr>
                <w:sz w:val="20"/>
                <w:szCs w:val="20"/>
                <w:color w:val="auto"/>
              </w:rPr>
            </w:pPr>
          </w:p>
        </w:tc>
        <w:tc>
          <w:tcPr>
            <w:tcW w:w="1700" w:type="dxa"/>
            <w:vAlign w:val="bottom"/>
            <w:gridSpan w:val="2"/>
          </w:tcPr>
          <w:p>
            <w:pPr>
              <w:jc w:val="right"/>
              <w:ind w:right="79"/>
              <w:spacing w:after="0"/>
              <w:rPr>
                <w:sz w:val="20"/>
                <w:szCs w:val="20"/>
                <w:color w:val="auto"/>
              </w:rPr>
            </w:pPr>
            <w:r>
              <w:rPr>
                <w:rFonts w:ascii="Arial" w:cs="Arial" w:eastAsia="Arial" w:hAnsi="Arial"/>
                <w:sz w:val="16"/>
                <w:szCs w:val="16"/>
                <w:b w:val="1"/>
                <w:bCs w:val="1"/>
                <w:color w:val="auto"/>
              </w:rPr>
              <w:t>September 30, 2019</w:t>
            </w:r>
          </w:p>
        </w:tc>
      </w:tr>
      <w:tr>
        <w:trPr>
          <w:trHeight w:val="250"/>
        </w:trPr>
        <w:tc>
          <w:tcPr>
            <w:tcW w:w="144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spacing w:after="0"/>
              <w:rPr>
                <w:sz w:val="21"/>
                <w:szCs w:val="21"/>
                <w:color w:val="auto"/>
              </w:rPr>
            </w:pPr>
          </w:p>
        </w:tc>
        <w:tc>
          <w:tcPr>
            <w:tcW w:w="840" w:type="dxa"/>
            <w:vAlign w:val="bottom"/>
            <w:tcBorders>
              <w:top w:val="single" w:sz="8" w:color="auto"/>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Pro forma</w:t>
            </w:r>
          </w:p>
        </w:tc>
        <w:tc>
          <w:tcPr>
            <w:tcW w:w="92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Pro forma</w:t>
            </w:r>
          </w:p>
        </w:tc>
        <w:tc>
          <w:tcPr>
            <w:tcW w:w="940" w:type="dxa"/>
            <w:vAlign w:val="bottom"/>
            <w:tcBorders>
              <w:top w:val="single" w:sz="8" w:color="auto"/>
            </w:tcBorders>
            <w:shd w:val="clear" w:color="auto" w:fill="CCEEFF"/>
          </w:tcPr>
          <w:p>
            <w:pPr>
              <w:spacing w:after="0"/>
              <w:rPr>
                <w:sz w:val="21"/>
                <w:szCs w:val="21"/>
                <w:color w:val="auto"/>
              </w:rPr>
            </w:pPr>
          </w:p>
        </w:tc>
        <w:tc>
          <w:tcPr>
            <w:tcW w:w="180" w:type="dxa"/>
            <w:vAlign w:val="bottom"/>
            <w:tcBorders>
              <w:top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Pro forma</w:t>
            </w:r>
          </w:p>
        </w:tc>
        <w:tc>
          <w:tcPr>
            <w:tcW w:w="940" w:type="dxa"/>
            <w:vAlign w:val="bottom"/>
            <w:tcBorders>
              <w:top w:val="single" w:sz="8" w:color="auto"/>
            </w:tcBorders>
            <w:shd w:val="clear" w:color="auto" w:fill="CCEEFF"/>
          </w:tcPr>
          <w:p>
            <w:pPr>
              <w:spacing w:after="0"/>
              <w:rPr>
                <w:sz w:val="21"/>
                <w:szCs w:val="21"/>
                <w:color w:val="auto"/>
              </w:rPr>
            </w:pPr>
          </w:p>
        </w:tc>
      </w:tr>
      <w:tr>
        <w:trPr>
          <w:trHeight w:val="250"/>
        </w:trPr>
        <w:tc>
          <w:tcPr>
            <w:tcW w:w="1440" w:type="dxa"/>
            <w:vAlign w:val="bottom"/>
          </w:tcPr>
          <w:p>
            <w:pPr>
              <w:ind w:left="20"/>
              <w:spacing w:after="0"/>
              <w:rPr>
                <w:sz w:val="20"/>
                <w:szCs w:val="20"/>
                <w:color w:val="auto"/>
              </w:rPr>
            </w:pPr>
            <w:r>
              <w:rPr>
                <w:rFonts w:ascii="Arial" w:cs="Arial" w:eastAsia="Arial" w:hAnsi="Arial"/>
                <w:sz w:val="16"/>
                <w:szCs w:val="16"/>
                <w:color w:val="auto"/>
              </w:rPr>
              <w:t>Net sales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19,551</w:t>
            </w:r>
          </w:p>
        </w:tc>
        <w:tc>
          <w:tcPr>
            <w:tcW w:w="840" w:type="dxa"/>
            <w:vAlign w:val="bottom"/>
          </w:tcPr>
          <w:p>
            <w:pPr>
              <w:jc w:val="right"/>
              <w:spacing w:after="0"/>
              <w:rPr>
                <w:sz w:val="20"/>
                <w:szCs w:val="20"/>
                <w:color w:val="auto"/>
              </w:rPr>
            </w:pPr>
            <w:r>
              <w:rPr>
                <w:rFonts w:ascii="Arial" w:cs="Arial" w:eastAsia="Arial" w:hAnsi="Arial"/>
                <w:sz w:val="16"/>
                <w:szCs w:val="16"/>
                <w:color w:val="auto"/>
              </w:rPr>
              <w:t>100.0 %</w:t>
            </w:r>
          </w:p>
        </w:tc>
        <w:tc>
          <w:tcPr>
            <w:tcW w:w="16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14,946</w:t>
            </w:r>
          </w:p>
        </w:tc>
        <w:tc>
          <w:tcPr>
            <w:tcW w:w="920" w:type="dxa"/>
            <w:vAlign w:val="bottom"/>
          </w:tcPr>
          <w:p>
            <w:pPr>
              <w:jc w:val="right"/>
              <w:spacing w:after="0"/>
              <w:rPr>
                <w:sz w:val="20"/>
                <w:szCs w:val="20"/>
                <w:color w:val="auto"/>
              </w:rPr>
            </w:pPr>
            <w:r>
              <w:rPr>
                <w:rFonts w:ascii="Arial" w:cs="Arial" w:eastAsia="Arial" w:hAnsi="Arial"/>
                <w:sz w:val="16"/>
                <w:szCs w:val="16"/>
                <w:color w:val="auto"/>
              </w:rPr>
              <w:t>100.0 %</w:t>
            </w:r>
          </w:p>
        </w:tc>
        <w:tc>
          <w:tcPr>
            <w:tcW w:w="1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47,308</w:t>
            </w:r>
          </w:p>
        </w:tc>
        <w:tc>
          <w:tcPr>
            <w:tcW w:w="940" w:type="dxa"/>
            <w:vAlign w:val="bottom"/>
          </w:tcPr>
          <w:p>
            <w:pPr>
              <w:jc w:val="right"/>
              <w:spacing w:after="0"/>
              <w:rPr>
                <w:sz w:val="20"/>
                <w:szCs w:val="20"/>
                <w:color w:val="auto"/>
              </w:rPr>
            </w:pPr>
            <w:r>
              <w:rPr>
                <w:rFonts w:ascii="Arial" w:cs="Arial" w:eastAsia="Arial" w:hAnsi="Arial"/>
                <w:sz w:val="16"/>
                <w:szCs w:val="16"/>
                <w:color w:val="auto"/>
              </w:rPr>
              <w:t>100.0 %</w:t>
            </w:r>
          </w:p>
        </w:tc>
        <w:tc>
          <w:tcPr>
            <w:tcW w:w="1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49,987</w:t>
            </w:r>
          </w:p>
        </w:tc>
        <w:tc>
          <w:tcPr>
            <w:tcW w:w="940" w:type="dxa"/>
            <w:vAlign w:val="bottom"/>
          </w:tcPr>
          <w:p>
            <w:pPr>
              <w:jc w:val="right"/>
              <w:spacing w:after="0"/>
              <w:rPr>
                <w:sz w:val="20"/>
                <w:szCs w:val="20"/>
                <w:color w:val="auto"/>
              </w:rPr>
            </w:pPr>
            <w:r>
              <w:rPr>
                <w:rFonts w:ascii="Arial" w:cs="Arial" w:eastAsia="Arial" w:hAnsi="Arial"/>
                <w:sz w:val="16"/>
                <w:szCs w:val="16"/>
                <w:color w:val="auto"/>
              </w:rPr>
              <w:t>105.7 %</w:t>
            </w:r>
          </w:p>
        </w:tc>
      </w:tr>
      <w:tr>
        <w:trPr>
          <w:trHeight w:val="273"/>
        </w:trPr>
        <w:tc>
          <w:tcPr>
            <w:tcW w:w="1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10,688</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54.7 %</w:t>
            </w:r>
          </w:p>
        </w:tc>
        <w:tc>
          <w:tcPr>
            <w:tcW w:w="16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8,417</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56.3 %</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22,843</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48.3 %</w:t>
            </w:r>
          </w:p>
        </w:tc>
        <w:tc>
          <w:tcPr>
            <w:tcW w:w="18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26,823</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53.7 %</w:t>
            </w:r>
          </w:p>
        </w:tc>
      </w:tr>
      <w:tr>
        <w:trPr>
          <w:trHeight w:val="267"/>
        </w:trPr>
        <w:tc>
          <w:tcPr>
            <w:tcW w:w="1440" w:type="dxa"/>
            <w:vAlign w:val="bottom"/>
          </w:tcPr>
          <w:p>
            <w:pPr>
              <w:ind w:left="20"/>
              <w:spacing w:after="0"/>
              <w:rPr>
                <w:sz w:val="20"/>
                <w:szCs w:val="20"/>
                <w:color w:val="auto"/>
              </w:rPr>
            </w:pPr>
            <w:r>
              <w:rPr>
                <w:rFonts w:ascii="Arial" w:cs="Arial" w:eastAsia="Arial" w:hAnsi="Arial"/>
                <w:sz w:val="16"/>
                <w:szCs w:val="16"/>
                <w:color w:val="auto"/>
              </w:rPr>
              <w:t>SG&amp;A</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7,612</w:t>
            </w:r>
          </w:p>
        </w:tc>
        <w:tc>
          <w:tcPr>
            <w:tcW w:w="840" w:type="dxa"/>
            <w:vAlign w:val="bottom"/>
          </w:tcPr>
          <w:p>
            <w:pPr>
              <w:jc w:val="right"/>
              <w:spacing w:after="0"/>
              <w:rPr>
                <w:sz w:val="20"/>
                <w:szCs w:val="20"/>
                <w:color w:val="auto"/>
              </w:rPr>
            </w:pPr>
            <w:r>
              <w:rPr>
                <w:rFonts w:ascii="Arial" w:cs="Arial" w:eastAsia="Arial" w:hAnsi="Arial"/>
                <w:sz w:val="16"/>
                <w:szCs w:val="16"/>
                <w:color w:val="auto"/>
              </w:rPr>
              <w:t>38.9 %</w:t>
            </w:r>
          </w:p>
        </w:tc>
        <w:tc>
          <w:tcPr>
            <w:tcW w:w="16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6,180</w:t>
            </w:r>
          </w:p>
        </w:tc>
        <w:tc>
          <w:tcPr>
            <w:tcW w:w="920" w:type="dxa"/>
            <w:vAlign w:val="bottom"/>
          </w:tcPr>
          <w:p>
            <w:pPr>
              <w:jc w:val="right"/>
              <w:spacing w:after="0"/>
              <w:rPr>
                <w:sz w:val="20"/>
                <w:szCs w:val="20"/>
                <w:color w:val="auto"/>
              </w:rPr>
            </w:pPr>
            <w:r>
              <w:rPr>
                <w:rFonts w:ascii="Arial" w:cs="Arial" w:eastAsia="Arial" w:hAnsi="Arial"/>
                <w:sz w:val="16"/>
                <w:szCs w:val="16"/>
                <w:color w:val="auto"/>
              </w:rPr>
              <w:t>41.3 %</w:t>
            </w:r>
          </w:p>
        </w:tc>
        <w:tc>
          <w:tcPr>
            <w:tcW w:w="14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23,607</w:t>
            </w:r>
          </w:p>
        </w:tc>
        <w:tc>
          <w:tcPr>
            <w:tcW w:w="940" w:type="dxa"/>
            <w:vAlign w:val="bottom"/>
          </w:tcPr>
          <w:p>
            <w:pPr>
              <w:jc w:val="right"/>
              <w:spacing w:after="0"/>
              <w:rPr>
                <w:sz w:val="20"/>
                <w:szCs w:val="20"/>
                <w:color w:val="auto"/>
              </w:rPr>
            </w:pPr>
            <w:r>
              <w:rPr>
                <w:rFonts w:ascii="Arial" w:cs="Arial" w:eastAsia="Arial" w:hAnsi="Arial"/>
                <w:sz w:val="16"/>
                <w:szCs w:val="16"/>
                <w:color w:val="auto"/>
              </w:rPr>
              <w:t>49.9 %</w:t>
            </w:r>
          </w:p>
        </w:tc>
        <w:tc>
          <w:tcPr>
            <w:tcW w:w="18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21,171</w:t>
            </w:r>
          </w:p>
        </w:tc>
        <w:tc>
          <w:tcPr>
            <w:tcW w:w="940" w:type="dxa"/>
            <w:vAlign w:val="bottom"/>
          </w:tcPr>
          <w:p>
            <w:pPr>
              <w:jc w:val="right"/>
              <w:spacing w:after="0"/>
              <w:rPr>
                <w:sz w:val="20"/>
                <w:szCs w:val="20"/>
                <w:color w:val="auto"/>
              </w:rPr>
            </w:pPr>
            <w:r>
              <w:rPr>
                <w:rFonts w:ascii="Arial" w:cs="Arial" w:eastAsia="Arial" w:hAnsi="Arial"/>
                <w:sz w:val="16"/>
                <w:szCs w:val="16"/>
                <w:color w:val="auto"/>
              </w:rPr>
              <w:t>42.4 %</w:t>
            </w:r>
          </w:p>
        </w:tc>
      </w:tr>
      <w:tr>
        <w:trPr>
          <w:trHeight w:val="180"/>
        </w:trPr>
        <w:tc>
          <w:tcPr>
            <w:tcW w:w="144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Amortization</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01"/>
        </w:trPr>
        <w:tc>
          <w:tcPr>
            <w:tcW w:w="1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expense</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1,686</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8.6 %</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1,654</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11.1 %</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4,996</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10.6 %</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4,962</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9.9 %</w:t>
            </w:r>
          </w:p>
        </w:tc>
      </w:tr>
      <w:tr>
        <w:trPr>
          <w:trHeight w:val="177"/>
        </w:trPr>
        <w:tc>
          <w:tcPr>
            <w:tcW w:w="1440" w:type="dxa"/>
            <w:vAlign w:val="bottom"/>
          </w:tcPr>
          <w:p>
            <w:pPr>
              <w:ind w:left="20"/>
              <w:spacing w:after="0" w:line="178" w:lineRule="exact"/>
              <w:rPr>
                <w:sz w:val="20"/>
                <w:szCs w:val="20"/>
                <w:color w:val="auto"/>
              </w:rPr>
            </w:pPr>
            <w:r>
              <w:rPr>
                <w:rFonts w:ascii="Arial" w:cs="Arial" w:eastAsia="Arial" w:hAnsi="Arial"/>
                <w:sz w:val="16"/>
                <w:szCs w:val="16"/>
                <w:color w:val="auto"/>
              </w:rPr>
              <w:t>Operating</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95"/>
        </w:trPr>
        <w:tc>
          <w:tcPr>
            <w:tcW w:w="1440" w:type="dxa"/>
            <w:vAlign w:val="bottom"/>
          </w:tcPr>
          <w:p>
            <w:pPr>
              <w:ind w:left="20"/>
              <w:spacing w:after="0"/>
              <w:rPr>
                <w:sz w:val="20"/>
                <w:szCs w:val="20"/>
                <w:color w:val="auto"/>
              </w:rPr>
            </w:pPr>
            <w:r>
              <w:rPr>
                <w:rFonts w:ascii="Arial" w:cs="Arial" w:eastAsia="Arial" w:hAnsi="Arial"/>
                <w:sz w:val="16"/>
                <w:szCs w:val="16"/>
                <w:color w:val="auto"/>
              </w:rPr>
              <w:t>income (loss)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1,265</w:t>
            </w:r>
          </w:p>
        </w:tc>
        <w:tc>
          <w:tcPr>
            <w:tcW w:w="840" w:type="dxa"/>
            <w:vAlign w:val="bottom"/>
          </w:tcPr>
          <w:p>
            <w:pPr>
              <w:jc w:val="right"/>
              <w:spacing w:after="0"/>
              <w:rPr>
                <w:sz w:val="20"/>
                <w:szCs w:val="20"/>
                <w:color w:val="auto"/>
              </w:rPr>
            </w:pPr>
            <w:r>
              <w:rPr>
                <w:rFonts w:ascii="Arial" w:cs="Arial" w:eastAsia="Arial" w:hAnsi="Arial"/>
                <w:sz w:val="16"/>
                <w:szCs w:val="16"/>
                <w:color w:val="auto"/>
              </w:rPr>
              <w:t>6.5 %</w:t>
            </w:r>
          </w:p>
        </w:tc>
        <w:tc>
          <w:tcPr>
            <w:tcW w:w="16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458</w:t>
            </w:r>
          </w:p>
        </w:tc>
        <w:tc>
          <w:tcPr>
            <w:tcW w:w="920" w:type="dxa"/>
            <w:vAlign w:val="bottom"/>
          </w:tcPr>
          <w:p>
            <w:pPr>
              <w:jc w:val="right"/>
              <w:spacing w:after="0"/>
              <w:rPr>
                <w:sz w:val="20"/>
                <w:szCs w:val="20"/>
                <w:color w:val="auto"/>
              </w:rPr>
            </w:pPr>
            <w:r>
              <w:rPr>
                <w:rFonts w:ascii="Arial" w:cs="Arial" w:eastAsia="Arial" w:hAnsi="Arial"/>
                <w:sz w:val="16"/>
                <w:szCs w:val="16"/>
                <w:color w:val="auto"/>
              </w:rPr>
              <w:t>3.1 %</w:t>
            </w:r>
          </w:p>
        </w:tc>
        <w:tc>
          <w:tcPr>
            <w:tcW w:w="14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(6,135)</w:t>
            </w:r>
          </w:p>
        </w:tc>
        <w:tc>
          <w:tcPr>
            <w:tcW w:w="940" w:type="dxa"/>
            <w:vAlign w:val="bottom"/>
          </w:tcPr>
          <w:p>
            <w:pPr>
              <w:jc w:val="right"/>
              <w:spacing w:after="0"/>
              <w:rPr>
                <w:sz w:val="20"/>
                <w:szCs w:val="20"/>
                <w:color w:val="auto"/>
              </w:rPr>
            </w:pPr>
            <w:r>
              <w:rPr>
                <w:rFonts w:ascii="Arial" w:cs="Arial" w:eastAsia="Arial" w:hAnsi="Arial"/>
                <w:sz w:val="16"/>
                <w:szCs w:val="16"/>
                <w:color w:val="auto"/>
              </w:rPr>
              <w:t>(13.0)%</w:t>
            </w:r>
          </w:p>
        </w:tc>
        <w:tc>
          <w:tcPr>
            <w:tcW w:w="1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315</w:t>
            </w:r>
          </w:p>
        </w:tc>
        <w:tc>
          <w:tcPr>
            <w:tcW w:w="940" w:type="dxa"/>
            <w:vAlign w:val="bottom"/>
          </w:tcPr>
          <w:p>
            <w:pPr>
              <w:jc w:val="right"/>
              <w:spacing w:after="0"/>
              <w:rPr>
                <w:sz w:val="20"/>
                <w:szCs w:val="20"/>
                <w:color w:val="auto"/>
              </w:rPr>
            </w:pPr>
            <w:r>
              <w:rPr>
                <w:rFonts w:ascii="Arial" w:cs="Arial" w:eastAsia="Arial" w:hAnsi="Arial"/>
                <w:sz w:val="16"/>
                <w:szCs w:val="16"/>
                <w:color w:val="auto"/>
              </w:rPr>
              <w:t>0.6 %</w:t>
            </w:r>
          </w:p>
        </w:tc>
      </w:tr>
    </w:tbl>
    <w:p>
      <w:pPr>
        <w:spacing w:after="0" w:line="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 forma results of operations include the following pro form adjustments as if we had acquired Marucci January 1, 2019:</w:t>
      </w:r>
    </w:p>
    <w:p>
      <w:pPr>
        <w:spacing w:after="0" w:line="101" w:lineRule="exact"/>
        <w:rPr>
          <w:sz w:val="20"/>
          <w:szCs w:val="20"/>
          <w:color w:val="auto"/>
        </w:rPr>
      </w:pPr>
    </w:p>
    <w:p>
      <w:pPr>
        <w:ind w:left="660" w:right="100" w:hanging="328"/>
        <w:spacing w:after="0" w:line="239"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6"/>
          <w:szCs w:val="16"/>
          <w:color w:val="auto"/>
        </w:rPr>
        <w:t>Depreciation expense associated with the increase in depreciable lives of capital assets of $0.2 million for the nine months ended September 30, 2020, and $0.2 million and $0.7 million, respectively, for the three and nine months ended September 30, 2019.</w:t>
      </w:r>
    </w:p>
    <w:p>
      <w:pPr>
        <w:spacing w:after="0" w:line="56" w:lineRule="exact"/>
        <w:rPr>
          <w:rFonts w:ascii="Arial" w:cs="Arial" w:eastAsia="Arial" w:hAnsi="Arial"/>
          <w:sz w:val="18"/>
          <w:szCs w:val="18"/>
          <w:color w:val="auto"/>
        </w:rPr>
      </w:pPr>
    </w:p>
    <w:p>
      <w:pPr>
        <w:ind w:left="660" w:right="160" w:hanging="328"/>
        <w:spacing w:after="0" w:line="285" w:lineRule="auto"/>
        <w:tabs>
          <w:tab w:leader="none" w:pos="648" w:val="left"/>
        </w:tabs>
        <w:numPr>
          <w:ilvl w:val="0"/>
          <w:numId w:val="25"/>
        </w:numPr>
        <w:rPr>
          <w:rFonts w:ascii="Arial" w:cs="Arial" w:eastAsia="Arial" w:hAnsi="Arial"/>
          <w:sz w:val="15"/>
          <w:szCs w:val="15"/>
          <w:color w:val="auto"/>
        </w:rPr>
      </w:pPr>
      <w:r>
        <w:rPr>
          <w:rFonts w:ascii="Arial" w:cs="Arial" w:eastAsia="Arial" w:hAnsi="Arial"/>
          <w:sz w:val="15"/>
          <w:szCs w:val="15"/>
          <w:color w:val="auto"/>
        </w:rPr>
        <w:t>Amortization expense associated with the intangible assets recorded in connection with the purchase price allocation for Marucci of $1.2 million for the nine months ended September 30, 2020, and $1.5 million and $4.6 million, respectively, for the three and nine months ended September 30, 2019.</w:t>
      </w:r>
    </w:p>
    <w:p>
      <w:pPr>
        <w:spacing w:after="0" w:line="22" w:lineRule="exact"/>
        <w:rPr>
          <w:rFonts w:ascii="Arial" w:cs="Arial" w:eastAsia="Arial" w:hAnsi="Arial"/>
          <w:sz w:val="15"/>
          <w:szCs w:val="15"/>
          <w:color w:val="auto"/>
        </w:rPr>
      </w:pPr>
    </w:p>
    <w:p>
      <w:pPr>
        <w:ind w:left="640" w:hanging="308"/>
        <w:spacing w:after="0"/>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Management fees that would have been payable to the Manager during each period.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Three months ended September 30, 2020 compared to pro forma three months ended September 30, 2019</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sales</w:t>
      </w:r>
    </w:p>
    <w:p>
      <w:pPr>
        <w:spacing w:after="0" w:line="11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Net sales for the three months ended September 30, 2020 were $19.6 million, an increase of $4.6 million as compared to net sales of $ 14.9 million for the three months ended September 30, 2019. The increase in net sales during the three months ended September 30, 2020 was</w:t>
      </w:r>
    </w:p>
    <w:p>
      <w:pPr>
        <w:spacing w:after="0" w:line="2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primarily due to Marucci’s launch of its CAT9 line of aluminum and composite bats during the third quarter of 2020. Following the economic slowdown resulting from COVID-19 pandemic, baseball participation returned sooner than expected, which also contributed to the increase in sales period over period.</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Gross profit</w:t>
      </w:r>
    </w:p>
    <w:p>
      <w:pPr>
        <w:spacing w:after="0" w:line="1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Gross profit for the quarter ended September 30, 2020 increased $ 2.3 million as compared to the three months ended September 30, 2019. The cost of sales for the three months ended September 30, 2020 includes $1.3 million related to the amortization of the inventory step-up resulting from the acquisition purchase price allocation. Excluding the effect of the inventory step -up, the gross profit as a percentage of net sales for the three months ended September 30, 2020 was 61.1%, as compared to gross profit as a percentage of sales of 56.3% for the three months ended September 30, 2019.</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Selling, general and administrative expense</w:t>
      </w:r>
    </w:p>
    <w:p>
      <w:pPr>
        <w:spacing w:after="0" w:line="1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Selling, general and administrative expense for the three months ended September 30, 2020 was $7.6 million, or 38.9% of net sales compared to $6.2 million, or 41.3% of net sales for the three months ended September 30, 2019. Selling, general and administrative expense for the three months ended September 30, 2020 includes $0.5 million in in integration service fees paid to CGM. The remainder of the increase in selling, general and administrative expense for the three months ended September 30, 2020 correlates to the increase in net sales, with increases in credit card expenses, royalties, commissions, business development fees, and other variable expenses.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from operations</w:t>
      </w:r>
    </w:p>
    <w:p>
      <w:pPr>
        <w:spacing w:after="0" w:line="11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Income from operations for the three months ended September 30, 2020 was $1.3 million, an increase of $0.8 million when compared to income from operations of $0.5 million for the same period in 2019, primarily as a result of the factors noted above.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i w:val="1"/>
          <w:iCs w:val="1"/>
          <w:color w:val="auto"/>
        </w:rPr>
        <w:t>Pro forma nine months ended September 30, 2020 compared to pro forma nine months ended September 30, 2019</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sales</w:t>
      </w:r>
    </w:p>
    <w:p>
      <w:pPr>
        <w:spacing w:after="0" w:line="11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Net sales for the nine months ended September 30, 2020 were $47.3 million, a decrease of $2.7 million as compared to net sales of $50.0 million for the nine months ended September 30, 2019. During 2020, Marucci was affected by the economic slowdown resulting from the COVID-19 pandemic with baseball and softball seasons postponed in the spring and early summer throughout much of the United States. Marucci's “brick and mortar” retail partners were forced to close as a result of the pandemic thus Marucci did not receive fill-in orders during this period. As a result, sales of aluminum and wood bats were significantly less in the first and second quarter of 2020 when compared to the same period last year. Additionally, Major League Baseball postponed their season eliminating the need for wood bats to be purchased for the professional season. During June 2020, Marucci began to see demand pick up as the baseball and softball seasons began and in</w:t>
      </w:r>
    </w:p>
    <w:p>
      <w:pPr>
        <w:spacing w:after="0" w:line="3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August 2020, the Company launched its CAT9 line of aluminum and composite bats. With the success of this launch, the demand pickup continued during the third quarter of 2020.</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Gross profit</w:t>
      </w:r>
    </w:p>
    <w:p>
      <w:pPr>
        <w:spacing w:after="0" w:line="1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Gross profit for the nine months ended September 30, 2020 decreased $4.0 million as compared to the nine months ended September 30, 2019. Gross profit as a percentage of sales was 48.3% for the nine months ended September 30, 2020 as compared to 53.7% for the nine months ended September 30, 2019. The cost of sales for the nine months ended September 30, 2020 includes $4.3 million related to the amortization of inventory step-up resulting from the acquisition purchase price allocation. Excluding the effect of the inventory step-up, the gross profit as a percentage of net sales for the nine months ended September 30, 2020 was 57.3%.</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Selling, general and administrative expense</w:t>
      </w:r>
    </w:p>
    <w:p>
      <w:pPr>
        <w:spacing w:after="0" w:line="11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Selling, general and administrative expense for the nine months ended September 30, 2020 was $ 23.6 million, or 49.9% of net sales compared to $21.2 million, or 42.4% of net sales for the nine months ended September 30, 2019. Selling, general and administrative expense for the nine months ended September 30, 2020 includes $2.0 million in acquisition related costs that were expensed at the close of the Marucci acquisition, and $ 0.5 million in integration service fees paid to CGM. Excluding the effect of the acquisition costs and integration service fees, selling, general and administrative expense for the nine months ended September 30, 2020 was $21.1 million, which is consistent with the expense in the nine months ended September 30, 2019.</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Loss (income) from operations</w:t>
      </w:r>
    </w:p>
    <w:p>
      <w:pPr>
        <w:spacing w:after="0" w:line="11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Loss from operations for the nine months ended September 30, 2020 was $6.1 million, a decrease of $6.5 million when compared to income from operations of $0.3 million for the same period in 2019, primarily as a result of the factors noted above.</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Velocity Outdoor</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0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4"/>
          </w:tcPr>
          <w:p>
            <w:pPr>
              <w:jc w:val="right"/>
              <w:ind w:right="219"/>
              <w:spacing w:after="0"/>
              <w:rPr>
                <w:sz w:val="20"/>
                <w:szCs w:val="20"/>
                <w:color w:val="auto"/>
              </w:rPr>
            </w:pPr>
            <w:r>
              <w:rPr>
                <w:rFonts w:ascii="Arial" w:cs="Arial" w:eastAsia="Arial" w:hAnsi="Arial"/>
                <w:sz w:val="16"/>
                <w:szCs w:val="16"/>
                <w:b w:val="1"/>
                <w:bCs w:val="1"/>
                <w:color w:val="auto"/>
              </w:rPr>
              <w:t>Three months ended</w:t>
            </w:r>
          </w:p>
        </w:tc>
        <w:tc>
          <w:tcPr>
            <w:tcW w:w="8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4"/>
          </w:tcPr>
          <w:p>
            <w:pPr>
              <w:jc w:val="right"/>
              <w:ind w:right="339"/>
              <w:spacing w:after="0"/>
              <w:rPr>
                <w:sz w:val="20"/>
                <w:szCs w:val="20"/>
                <w:color w:val="auto"/>
              </w:rPr>
            </w:pPr>
            <w:r>
              <w:rPr>
                <w:rFonts w:ascii="Arial" w:cs="Arial" w:eastAsia="Arial" w:hAnsi="Arial"/>
                <w:sz w:val="16"/>
                <w:szCs w:val="16"/>
                <w:b w:val="1"/>
                <w:bCs w:val="1"/>
                <w:color w:val="auto"/>
              </w:rPr>
              <w:t>Nine months ended</w:t>
            </w:r>
          </w:p>
        </w:tc>
        <w:tc>
          <w:tcPr>
            <w:tcW w:w="800" w:type="dxa"/>
            <w:vAlign w:val="bottom"/>
            <w:tcBorders>
              <w:bottom w:val="single" w:sz="8" w:color="auto"/>
            </w:tcBorders>
          </w:tcPr>
          <w:p>
            <w:pPr>
              <w:spacing w:after="0"/>
              <w:rPr>
                <w:sz w:val="18"/>
                <w:szCs w:val="18"/>
                <w:color w:val="auto"/>
              </w:rPr>
            </w:pPr>
          </w:p>
        </w:tc>
        <w:tc>
          <w:tcPr>
            <w:tcW w:w="1040" w:type="dxa"/>
            <w:vAlign w:val="bottom"/>
          </w:tcPr>
          <w:p>
            <w:pPr>
              <w:spacing w:after="0"/>
              <w:rPr>
                <w:sz w:val="18"/>
                <w:szCs w:val="18"/>
                <w:color w:val="auto"/>
              </w:rPr>
            </w:pPr>
          </w:p>
        </w:tc>
      </w:tr>
      <w:tr>
        <w:trPr>
          <w:trHeight w:val="236"/>
        </w:trPr>
        <w:tc>
          <w:tcPr>
            <w:tcW w:w="10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gridSpan w:val="3"/>
          </w:tcPr>
          <w:p>
            <w:pPr>
              <w:ind w:left="20"/>
              <w:spacing w:after="0"/>
              <w:rPr>
                <w:sz w:val="20"/>
                <w:szCs w:val="20"/>
                <w:color w:val="auto"/>
              </w:rPr>
            </w:pPr>
            <w:r>
              <w:rPr>
                <w:rFonts w:ascii="Arial" w:cs="Arial" w:eastAsia="Arial" w:hAnsi="Arial"/>
                <w:sz w:val="16"/>
                <w:szCs w:val="16"/>
                <w:b w:val="1"/>
                <w:bCs w:val="1"/>
                <w:color w:val="auto"/>
              </w:rPr>
              <w:t>September 30, 2020</w:t>
            </w:r>
          </w:p>
        </w:tc>
        <w:tc>
          <w:tcPr>
            <w:tcW w:w="120" w:type="dxa"/>
            <w:vAlign w:val="bottom"/>
          </w:tcPr>
          <w:p>
            <w:pPr>
              <w:spacing w:after="0"/>
              <w:rPr>
                <w:sz w:val="20"/>
                <w:szCs w:val="20"/>
                <w:color w:val="auto"/>
              </w:rPr>
            </w:pPr>
          </w:p>
        </w:tc>
        <w:tc>
          <w:tcPr>
            <w:tcW w:w="1840" w:type="dxa"/>
            <w:vAlign w:val="bottom"/>
            <w:gridSpan w:val="3"/>
          </w:tcPr>
          <w:p>
            <w:pPr>
              <w:ind w:left="20"/>
              <w:spacing w:after="0"/>
              <w:rPr>
                <w:sz w:val="20"/>
                <w:szCs w:val="20"/>
                <w:color w:val="auto"/>
              </w:rPr>
            </w:pPr>
            <w:r>
              <w:rPr>
                <w:rFonts w:ascii="Arial" w:cs="Arial" w:eastAsia="Arial" w:hAnsi="Arial"/>
                <w:sz w:val="16"/>
                <w:szCs w:val="16"/>
                <w:b w:val="1"/>
                <w:bCs w:val="1"/>
                <w:color w:val="auto"/>
              </w:rPr>
              <w:t>September 30, 2019</w:t>
            </w:r>
          </w:p>
        </w:tc>
        <w:tc>
          <w:tcPr>
            <w:tcW w:w="140" w:type="dxa"/>
            <w:vAlign w:val="bottom"/>
          </w:tcPr>
          <w:p>
            <w:pPr>
              <w:spacing w:after="0"/>
              <w:rPr>
                <w:sz w:val="20"/>
                <w:szCs w:val="20"/>
                <w:color w:val="auto"/>
              </w:rPr>
            </w:pPr>
          </w:p>
        </w:tc>
        <w:tc>
          <w:tcPr>
            <w:tcW w:w="1900" w:type="dxa"/>
            <w:vAlign w:val="bottom"/>
            <w:gridSpan w:val="3"/>
          </w:tcPr>
          <w:p>
            <w:pPr>
              <w:ind w:left="40"/>
              <w:spacing w:after="0"/>
              <w:rPr>
                <w:sz w:val="20"/>
                <w:szCs w:val="20"/>
                <w:color w:val="auto"/>
              </w:rPr>
            </w:pPr>
            <w:r>
              <w:rPr>
                <w:rFonts w:ascii="Arial" w:cs="Arial" w:eastAsia="Arial" w:hAnsi="Arial"/>
                <w:sz w:val="16"/>
                <w:szCs w:val="16"/>
                <w:b w:val="1"/>
                <w:bCs w:val="1"/>
                <w:color w:val="auto"/>
              </w:rPr>
              <w:t>September 30, 2020</w:t>
            </w:r>
          </w:p>
        </w:tc>
        <w:tc>
          <w:tcPr>
            <w:tcW w:w="140" w:type="dxa"/>
            <w:vAlign w:val="bottom"/>
          </w:tcPr>
          <w:p>
            <w:pPr>
              <w:spacing w:after="0"/>
              <w:rPr>
                <w:sz w:val="20"/>
                <w:szCs w:val="20"/>
                <w:color w:val="auto"/>
              </w:rPr>
            </w:pPr>
          </w:p>
        </w:tc>
        <w:tc>
          <w:tcPr>
            <w:tcW w:w="2780" w:type="dxa"/>
            <w:vAlign w:val="bottom"/>
            <w:gridSpan w:val="3"/>
          </w:tcPr>
          <w:p>
            <w:pPr>
              <w:ind w:left="40"/>
              <w:spacing w:after="0"/>
              <w:rPr>
                <w:sz w:val="20"/>
                <w:szCs w:val="20"/>
                <w:color w:val="auto"/>
              </w:rPr>
            </w:pPr>
            <w:r>
              <w:rPr>
                <w:rFonts w:ascii="Arial" w:cs="Arial" w:eastAsia="Arial" w:hAnsi="Arial"/>
                <w:sz w:val="16"/>
                <w:szCs w:val="16"/>
                <w:b w:val="1"/>
                <w:bCs w:val="1"/>
                <w:color w:val="auto"/>
              </w:rPr>
              <w:t>September 30, 2019</w:t>
            </w:r>
          </w:p>
        </w:tc>
      </w:tr>
      <w:tr>
        <w:trPr>
          <w:trHeight w:val="240"/>
        </w:trPr>
        <w:tc>
          <w:tcPr>
            <w:tcW w:w="1060" w:type="dxa"/>
            <w:vAlign w:val="bottom"/>
          </w:tcPr>
          <w:p>
            <w:pPr>
              <w:spacing w:after="0"/>
              <w:rPr>
                <w:sz w:val="20"/>
                <w:szCs w:val="20"/>
                <w:color w:val="auto"/>
              </w:rPr>
            </w:pPr>
          </w:p>
        </w:tc>
        <w:tc>
          <w:tcPr>
            <w:tcW w:w="1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70,629</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6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46,647</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148,240</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8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107,395</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40" w:type="dxa"/>
            <w:vAlign w:val="bottom"/>
          </w:tcPr>
          <w:p>
            <w:pPr>
              <w:spacing w:after="0"/>
              <w:rPr>
                <w:sz w:val="20"/>
                <w:szCs w:val="20"/>
                <w:color w:val="auto"/>
              </w:rPr>
            </w:pPr>
          </w:p>
        </w:tc>
      </w:tr>
      <w:tr>
        <w:trPr>
          <w:trHeight w:val="254"/>
        </w:trPr>
        <w:tc>
          <w:tcPr>
            <w:tcW w:w="1060" w:type="dxa"/>
            <w:vAlign w:val="bottom"/>
          </w:tcPr>
          <w:p>
            <w:pPr>
              <w:spacing w:after="0"/>
              <w:rPr>
                <w:sz w:val="22"/>
                <w:szCs w:val="22"/>
                <w:color w:val="auto"/>
              </w:rPr>
            </w:pPr>
          </w:p>
        </w:tc>
        <w:tc>
          <w:tcPr>
            <w:tcW w:w="132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23,680</w:t>
            </w:r>
          </w:p>
        </w:tc>
        <w:tc>
          <w:tcPr>
            <w:tcW w:w="860" w:type="dxa"/>
            <w:vAlign w:val="bottom"/>
          </w:tcPr>
          <w:p>
            <w:pPr>
              <w:jc w:val="right"/>
              <w:spacing w:after="0"/>
              <w:rPr>
                <w:sz w:val="20"/>
                <w:szCs w:val="20"/>
                <w:color w:val="auto"/>
              </w:rPr>
            </w:pPr>
            <w:r>
              <w:rPr>
                <w:rFonts w:ascii="Arial" w:cs="Arial" w:eastAsia="Arial" w:hAnsi="Arial"/>
                <w:sz w:val="16"/>
                <w:szCs w:val="16"/>
                <w:color w:val="auto"/>
              </w:rPr>
              <w:t>33.5 %</w:t>
            </w:r>
          </w:p>
        </w:tc>
        <w:tc>
          <w:tcPr>
            <w:tcW w:w="16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13,633</w:t>
            </w:r>
          </w:p>
        </w:tc>
        <w:tc>
          <w:tcPr>
            <w:tcW w:w="800" w:type="dxa"/>
            <w:vAlign w:val="bottom"/>
          </w:tcPr>
          <w:p>
            <w:pPr>
              <w:jc w:val="right"/>
              <w:spacing w:after="0"/>
              <w:rPr>
                <w:sz w:val="20"/>
                <w:szCs w:val="20"/>
                <w:color w:val="auto"/>
              </w:rPr>
            </w:pPr>
            <w:r>
              <w:rPr>
                <w:rFonts w:ascii="Arial" w:cs="Arial" w:eastAsia="Arial" w:hAnsi="Arial"/>
                <w:sz w:val="16"/>
                <w:szCs w:val="16"/>
                <w:color w:val="auto"/>
              </w:rPr>
              <w:t>29.2 %</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44,433</w:t>
            </w:r>
          </w:p>
        </w:tc>
        <w:tc>
          <w:tcPr>
            <w:tcW w:w="820" w:type="dxa"/>
            <w:vAlign w:val="bottom"/>
          </w:tcPr>
          <w:p>
            <w:pPr>
              <w:jc w:val="right"/>
              <w:spacing w:after="0"/>
              <w:rPr>
                <w:sz w:val="20"/>
                <w:szCs w:val="20"/>
                <w:color w:val="auto"/>
              </w:rPr>
            </w:pPr>
            <w:r>
              <w:rPr>
                <w:rFonts w:ascii="Arial" w:cs="Arial" w:eastAsia="Arial" w:hAnsi="Arial"/>
                <w:sz w:val="16"/>
                <w:szCs w:val="16"/>
                <w:color w:val="auto"/>
              </w:rPr>
              <w:t>30.0 %</w:t>
            </w:r>
          </w:p>
        </w:tc>
        <w:tc>
          <w:tcPr>
            <w:tcW w:w="18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30,451</w:t>
            </w:r>
          </w:p>
        </w:tc>
        <w:tc>
          <w:tcPr>
            <w:tcW w:w="800" w:type="dxa"/>
            <w:vAlign w:val="bottom"/>
          </w:tcPr>
          <w:p>
            <w:pPr>
              <w:jc w:val="right"/>
              <w:spacing w:after="0"/>
              <w:rPr>
                <w:sz w:val="20"/>
                <w:szCs w:val="20"/>
                <w:color w:val="auto"/>
              </w:rPr>
            </w:pPr>
            <w:r>
              <w:rPr>
                <w:rFonts w:ascii="Arial" w:cs="Arial" w:eastAsia="Arial" w:hAnsi="Arial"/>
                <w:sz w:val="16"/>
                <w:szCs w:val="16"/>
                <w:color w:val="auto"/>
              </w:rPr>
              <w:t>28.4 %</w:t>
            </w:r>
          </w:p>
        </w:tc>
        <w:tc>
          <w:tcPr>
            <w:tcW w:w="1040" w:type="dxa"/>
            <w:vAlign w:val="bottom"/>
          </w:tcPr>
          <w:p>
            <w:pPr>
              <w:spacing w:after="0"/>
              <w:rPr>
                <w:sz w:val="22"/>
                <w:szCs w:val="22"/>
                <w:color w:val="auto"/>
              </w:rPr>
            </w:pPr>
          </w:p>
        </w:tc>
      </w:tr>
      <w:tr>
        <w:trPr>
          <w:trHeight w:val="259"/>
        </w:trPr>
        <w:tc>
          <w:tcPr>
            <w:tcW w:w="1060" w:type="dxa"/>
            <w:vAlign w:val="bottom"/>
          </w:tcPr>
          <w:p>
            <w:pPr>
              <w:spacing w:after="0"/>
              <w:rPr>
                <w:sz w:val="22"/>
                <w:szCs w:val="22"/>
                <w:color w:val="auto"/>
              </w:rPr>
            </w:pPr>
          </w:p>
        </w:tc>
        <w:tc>
          <w:tcPr>
            <w:tcW w:w="1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SG&amp;A</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10,210</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14.5 %</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5,747</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12.3 %</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23,313</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15.7 %</w:t>
            </w:r>
          </w:p>
        </w:tc>
        <w:tc>
          <w:tcPr>
            <w:tcW w:w="18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17,491</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16.3 %</w:t>
            </w:r>
          </w:p>
        </w:tc>
        <w:tc>
          <w:tcPr>
            <w:tcW w:w="1040" w:type="dxa"/>
            <w:vAlign w:val="bottom"/>
          </w:tcPr>
          <w:p>
            <w:pPr>
              <w:spacing w:after="0"/>
              <w:rPr>
                <w:sz w:val="22"/>
                <w:szCs w:val="22"/>
                <w:color w:val="auto"/>
              </w:rPr>
            </w:pPr>
          </w:p>
        </w:tc>
      </w:tr>
      <w:tr>
        <w:trPr>
          <w:trHeight w:val="177"/>
        </w:trPr>
        <w:tc>
          <w:tcPr>
            <w:tcW w:w="1060" w:type="dxa"/>
            <w:vAlign w:val="bottom"/>
          </w:tcPr>
          <w:p>
            <w:pPr>
              <w:spacing w:after="0"/>
              <w:rPr>
                <w:sz w:val="15"/>
                <w:szCs w:val="15"/>
                <w:color w:val="auto"/>
              </w:rPr>
            </w:pPr>
          </w:p>
        </w:tc>
        <w:tc>
          <w:tcPr>
            <w:tcW w:w="1320" w:type="dxa"/>
            <w:vAlign w:val="bottom"/>
          </w:tcPr>
          <w:p>
            <w:pPr>
              <w:ind w:left="20"/>
              <w:spacing w:after="0" w:line="178" w:lineRule="exact"/>
              <w:rPr>
                <w:sz w:val="20"/>
                <w:szCs w:val="20"/>
                <w:color w:val="auto"/>
              </w:rPr>
            </w:pPr>
            <w:r>
              <w:rPr>
                <w:rFonts w:ascii="Arial" w:cs="Arial" w:eastAsia="Arial" w:hAnsi="Arial"/>
                <w:sz w:val="16"/>
                <w:szCs w:val="16"/>
                <w:color w:val="auto"/>
              </w:rPr>
              <w:t>Impairment</w:t>
            </w: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98"/>
        </w:trPr>
        <w:tc>
          <w:tcPr>
            <w:tcW w:w="1060" w:type="dxa"/>
            <w:vAlign w:val="bottom"/>
          </w:tcPr>
          <w:p>
            <w:pPr>
              <w:spacing w:after="0"/>
              <w:rPr>
                <w:sz w:val="17"/>
                <w:szCs w:val="17"/>
                <w:color w:val="auto"/>
              </w:rPr>
            </w:pPr>
          </w:p>
        </w:tc>
        <w:tc>
          <w:tcPr>
            <w:tcW w:w="1320" w:type="dxa"/>
            <w:vAlign w:val="bottom"/>
          </w:tcPr>
          <w:p>
            <w:pPr>
              <w:ind w:left="20"/>
              <w:spacing w:after="0"/>
              <w:rPr>
                <w:sz w:val="20"/>
                <w:szCs w:val="20"/>
                <w:color w:val="auto"/>
              </w:rPr>
            </w:pPr>
            <w:r>
              <w:rPr>
                <w:rFonts w:ascii="Arial" w:cs="Arial" w:eastAsia="Arial" w:hAnsi="Arial"/>
                <w:sz w:val="16"/>
                <w:szCs w:val="16"/>
                <w:color w:val="auto"/>
              </w:rPr>
              <w:t>expense</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 %</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33,381</w:t>
            </w:r>
          </w:p>
        </w:tc>
        <w:tc>
          <w:tcPr>
            <w:tcW w:w="800" w:type="dxa"/>
            <w:vAlign w:val="bottom"/>
          </w:tcPr>
          <w:p>
            <w:pPr>
              <w:jc w:val="right"/>
              <w:spacing w:after="0"/>
              <w:rPr>
                <w:sz w:val="20"/>
                <w:szCs w:val="20"/>
                <w:color w:val="auto"/>
              </w:rPr>
            </w:pPr>
            <w:r>
              <w:rPr>
                <w:rFonts w:ascii="Arial" w:cs="Arial" w:eastAsia="Arial" w:hAnsi="Arial"/>
                <w:sz w:val="16"/>
                <w:szCs w:val="16"/>
                <w:color w:val="auto"/>
              </w:rPr>
              <w:t>71.6 %</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 %</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33,381</w:t>
            </w:r>
          </w:p>
        </w:tc>
        <w:tc>
          <w:tcPr>
            <w:tcW w:w="800" w:type="dxa"/>
            <w:vAlign w:val="bottom"/>
          </w:tcPr>
          <w:p>
            <w:pPr>
              <w:jc w:val="right"/>
              <w:spacing w:after="0"/>
              <w:rPr>
                <w:sz w:val="20"/>
                <w:szCs w:val="20"/>
                <w:color w:val="auto"/>
              </w:rPr>
            </w:pPr>
            <w:r>
              <w:rPr>
                <w:rFonts w:ascii="Arial" w:cs="Arial" w:eastAsia="Arial" w:hAnsi="Arial"/>
                <w:sz w:val="16"/>
                <w:szCs w:val="16"/>
                <w:color w:val="auto"/>
              </w:rPr>
              <w:t>31.1 %</w:t>
            </w:r>
          </w:p>
        </w:tc>
        <w:tc>
          <w:tcPr>
            <w:tcW w:w="1040" w:type="dxa"/>
            <w:vAlign w:val="bottom"/>
          </w:tcPr>
          <w:p>
            <w:pPr>
              <w:spacing w:after="0"/>
              <w:rPr>
                <w:sz w:val="17"/>
                <w:szCs w:val="17"/>
                <w:color w:val="auto"/>
              </w:rPr>
            </w:pPr>
          </w:p>
        </w:tc>
      </w:tr>
      <w:tr>
        <w:trPr>
          <w:trHeight w:val="221"/>
        </w:trPr>
        <w:tc>
          <w:tcPr>
            <w:tcW w:w="1060" w:type="dxa"/>
            <w:vAlign w:val="bottom"/>
          </w:tcPr>
          <w:p>
            <w:pPr>
              <w:spacing w:after="0"/>
              <w:rPr>
                <w:sz w:val="19"/>
                <w:szCs w:val="19"/>
                <w:color w:val="auto"/>
              </w:rPr>
            </w:pPr>
          </w:p>
        </w:tc>
        <w:tc>
          <w:tcPr>
            <w:tcW w:w="1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40" w:type="dxa"/>
            <w:vAlign w:val="bottom"/>
          </w:tcPr>
          <w:p>
            <w:pPr>
              <w:spacing w:after="0"/>
              <w:rPr>
                <w:sz w:val="19"/>
                <w:szCs w:val="19"/>
                <w:color w:val="auto"/>
              </w:rPr>
            </w:pPr>
          </w:p>
        </w:tc>
      </w:tr>
      <w:tr>
        <w:trPr>
          <w:trHeight w:val="201"/>
        </w:trPr>
        <w:tc>
          <w:tcPr>
            <w:tcW w:w="1060" w:type="dxa"/>
            <w:vAlign w:val="bottom"/>
          </w:tcPr>
          <w:p>
            <w:pPr>
              <w:spacing w:after="0"/>
              <w:rPr>
                <w:sz w:val="17"/>
                <w:szCs w:val="17"/>
                <w:color w:val="auto"/>
              </w:rPr>
            </w:pPr>
          </w:p>
        </w:tc>
        <w:tc>
          <w:tcPr>
            <w:tcW w:w="1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11,062</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15.7 %</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(27,902)</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13,896</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9.4 %</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(27,635)</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w:t>
            </w:r>
          </w:p>
        </w:tc>
        <w:tc>
          <w:tcPr>
            <w:tcW w:w="1040" w:type="dxa"/>
            <w:vAlign w:val="bottom"/>
          </w:tcPr>
          <w:p>
            <w:pPr>
              <w:spacing w:after="0"/>
              <w:rPr>
                <w:sz w:val="17"/>
                <w:szCs w:val="17"/>
                <w:color w:val="auto"/>
              </w:rPr>
            </w:pPr>
          </w:p>
        </w:tc>
      </w:tr>
      <w:tr>
        <w:trPr>
          <w:trHeight w:val="777"/>
        </w:trPr>
        <w:tc>
          <w:tcPr>
            <w:tcW w:w="10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0" w:type="dxa"/>
            <w:vAlign w:val="bottom"/>
          </w:tcPr>
          <w:p>
            <w:pPr>
              <w:jc w:val="right"/>
              <w:ind w:right="359"/>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08"/>
        </w:trPr>
        <w:tc>
          <w:tcPr>
            <w:tcW w:w="106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i w:val="1"/>
          <w:iCs w:val="1"/>
          <w:color w:val="auto"/>
        </w:rPr>
        <w:t>Three months ended September 30, 2020 compared to three months ended September 30, 2019</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sales</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Net sales for the three months ended September 30, 2020 were $70.6 million, an increase of $24.0 million or 51.4%, compared to the same period in 2019. The increase in net sales for the three months ended September 30, 2020 is primarily due to significant increase in consumer demand for our Crosman products along with new crossbows being launched by our Ravin product line.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Gross profit</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Gross profit for the quarter ended September 30, 2020 increased $10.0 million as compared to the quarter ended September 30, 2019. Gross profit as a percentage of net sales was 33.5% for the three months ended September 30, 2020 as compared to 29.2% in the three months ended September 30, 2019. The increase in gross profit as a percentage of net sales was primarily attributable to favorable sales product mix of airguns, archery equipment and consumables.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general and administrative expense</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Selling, general and administrative expense for the three months ended September 30, 2020 was $10.2 million, or 14.5% of net sales compared to $5.7 million, or 12.3% of net sales for the three months ended September 30, 2019. The increase in selling, general and administrative expense for the three months ended September 30, 2020 is primarily related to volume driven expenses that correlate to the increase in sales, as well as additional investments in marketing.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(loss) from operations</w:t>
      </w:r>
    </w:p>
    <w:p>
      <w:pPr>
        <w:spacing w:after="0" w:line="8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Income from operations for the three months ended September 30, 2020 was $11.1 million, an increase of $39.0 million when compared to loss from operations of $27.9 million for the same period in 2019. Velocity recognized impairment expense of $33.4 million in the third quarter of 2019 after determining that interim impairment testing was necessary in the prior year. The increase in operating income in the three months ended September 30, 2020 reflects the factors noted above, and the effect of the impairment expense on the operating income for the three months ended September 30, 2019.</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Nine months ended September 30, 2020 compared to nine months ended September 30, 2019</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sales</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Net sales for the nine months ended September 30, 2020 were $148.2 million, an increase of $ 40.8 million or 38.0%, compared to the same period in 2019. The increase in net sales for the nine months ended September 30, 2020 is due to a significant increase in customer demand that we have experienced in the current year reflecting consumer focus on outdoor branded products, as well as the introduction of several new products during 2020.</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Gross profit</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Gross profit for the nine months ended September 30, 2020 increased $14.0 million as compared to the nine months ended September 30, 2019. Gross profit as a percentage of net sales was 30.0% for the nine months ended September 30, 2020 as compared to 28.4% in the nine months ended September 30, 2019. The increase in gross profit as a percentage of net sales was primarily attributable to product and customer mix.</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general and administrative expense</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Selling, general and administrative expense for the nine months ended September 30, 2020 was $23.3 million, or 15.7% of net sales compared to $17.5 million, or 16.3% of net sales for the nine months ended September 30, 2019. The increase in selling, general and administrative expense for the nine months ended September 30, 2020 is primarily related to volume driven expenses that correlate to the increase in sales, as well as additional investments in marketing.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from operations</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Income from operations for the nine months ended September 30, 2020 was $13.9 million, an increase of $41.5 million when compared to loss from operations of $27.6 million for the same period in 2019. Velocity recognized impairment expense of $ 33.4 million in the third quarter of 2019 after determining that interim impairment testing was necessary in the prior year. The increase in operating income in the nine months ended September 30, 2020</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52" w:name="page53"/>
    <w:bookmarkEnd w:id="52"/>
    <w:p>
      <w:pPr>
        <w:jc w:val="both"/>
        <w:ind w:right="20"/>
        <w:spacing w:after="0" w:line="261" w:lineRule="auto"/>
        <w:rPr>
          <w:sz w:val="20"/>
          <w:szCs w:val="20"/>
          <w:color w:val="auto"/>
        </w:rPr>
      </w:pPr>
      <w:r>
        <w:rPr>
          <w:rFonts w:ascii="Arial" w:cs="Arial" w:eastAsia="Arial" w:hAnsi="Arial"/>
          <w:sz w:val="18"/>
          <w:szCs w:val="18"/>
          <w:color w:val="auto"/>
        </w:rPr>
        <w:t>reflects the factors noted above, and the effect of the impairment expense on the operating income for the nine months ended September 30, 2019.</w:t>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Niche Industrial Businesses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Advanced Circuits</w:t>
      </w:r>
    </w:p>
    <w:p>
      <w:pPr>
        <w:spacing w:after="0" w:line="297" w:lineRule="exact"/>
        <w:rPr>
          <w:sz w:val="20"/>
          <w:szCs w:val="20"/>
          <w:color w:val="auto"/>
        </w:rPr>
      </w:pPr>
    </w:p>
    <w:tbl>
      <w:tblPr>
        <w:tblLayout w:type="fixed"/>
        <w:tblInd w:w="1060" w:type="dxa"/>
        <w:tblCellMar>
          <w:top w:w="0" w:type="dxa"/>
          <w:left w:w="0" w:type="dxa"/>
          <w:bottom w:w="0" w:type="dxa"/>
          <w:right w:w="0" w:type="dxa"/>
        </w:tblCellMar>
      </w:tblPr>
      <w:tr>
        <w:trPr>
          <w:trHeight w:val="218"/>
        </w:trPr>
        <w:tc>
          <w:tcPr>
            <w:tcW w:w="1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4"/>
          </w:tcPr>
          <w:p>
            <w:pPr>
              <w:jc w:val="right"/>
              <w:ind w:right="199"/>
              <w:spacing w:after="0"/>
              <w:rPr>
                <w:sz w:val="20"/>
                <w:szCs w:val="20"/>
                <w:color w:val="auto"/>
              </w:rPr>
            </w:pPr>
            <w:r>
              <w:rPr>
                <w:rFonts w:ascii="Arial" w:cs="Arial" w:eastAsia="Arial" w:hAnsi="Arial"/>
                <w:sz w:val="16"/>
                <w:szCs w:val="16"/>
                <w:b w:val="1"/>
                <w:bCs w:val="1"/>
                <w:color w:val="auto"/>
              </w:rPr>
              <w:t>Three months ended</w:t>
            </w:r>
          </w:p>
        </w:tc>
        <w:tc>
          <w:tcPr>
            <w:tcW w:w="8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4"/>
          </w:tcPr>
          <w:p>
            <w:pPr>
              <w:jc w:val="right"/>
              <w:ind w:right="279"/>
              <w:spacing w:after="0"/>
              <w:rPr>
                <w:sz w:val="20"/>
                <w:szCs w:val="20"/>
                <w:color w:val="auto"/>
              </w:rPr>
            </w:pPr>
            <w:r>
              <w:rPr>
                <w:rFonts w:ascii="Arial" w:cs="Arial" w:eastAsia="Arial" w:hAnsi="Arial"/>
                <w:sz w:val="16"/>
                <w:szCs w:val="16"/>
                <w:b w:val="1"/>
                <w:bCs w:val="1"/>
                <w:color w:val="auto"/>
              </w:rPr>
              <w:t>Nine months ended</w:t>
            </w:r>
          </w:p>
        </w:tc>
        <w:tc>
          <w:tcPr>
            <w:tcW w:w="840" w:type="dxa"/>
            <w:vAlign w:val="bottom"/>
            <w:tcBorders>
              <w:bottom w:val="single" w:sz="8" w:color="auto"/>
            </w:tcBorders>
          </w:tcPr>
          <w:p>
            <w:pPr>
              <w:spacing w:after="0"/>
              <w:rPr>
                <w:sz w:val="18"/>
                <w:szCs w:val="18"/>
                <w:color w:val="auto"/>
              </w:rPr>
            </w:pPr>
          </w:p>
        </w:tc>
      </w:tr>
      <w:tr>
        <w:trPr>
          <w:trHeight w:val="236"/>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60" w:type="dxa"/>
            <w:vAlign w:val="bottom"/>
            <w:gridSpan w:val="3"/>
          </w:tcPr>
          <w:p>
            <w:pPr>
              <w:ind w:left="20"/>
              <w:spacing w:after="0"/>
              <w:rPr>
                <w:sz w:val="20"/>
                <w:szCs w:val="20"/>
                <w:color w:val="auto"/>
              </w:rPr>
            </w:pPr>
            <w:r>
              <w:rPr>
                <w:rFonts w:ascii="Arial" w:cs="Arial" w:eastAsia="Arial" w:hAnsi="Arial"/>
                <w:sz w:val="16"/>
                <w:szCs w:val="16"/>
                <w:b w:val="1"/>
                <w:bCs w:val="1"/>
                <w:color w:val="auto"/>
              </w:rPr>
              <w:t>September 30, 2020</w:t>
            </w:r>
          </w:p>
        </w:tc>
        <w:tc>
          <w:tcPr>
            <w:tcW w:w="120" w:type="dxa"/>
            <w:vAlign w:val="bottom"/>
          </w:tcPr>
          <w:p>
            <w:pPr>
              <w:spacing w:after="0"/>
              <w:rPr>
                <w:sz w:val="20"/>
                <w:szCs w:val="20"/>
                <w:color w:val="auto"/>
              </w:rPr>
            </w:pPr>
          </w:p>
        </w:tc>
        <w:tc>
          <w:tcPr>
            <w:tcW w:w="1860" w:type="dxa"/>
            <w:vAlign w:val="bottom"/>
            <w:gridSpan w:val="3"/>
          </w:tcPr>
          <w:p>
            <w:pPr>
              <w:ind w:left="20"/>
              <w:spacing w:after="0"/>
              <w:rPr>
                <w:sz w:val="20"/>
                <w:szCs w:val="20"/>
                <w:color w:val="auto"/>
              </w:rPr>
            </w:pPr>
            <w:r>
              <w:rPr>
                <w:rFonts w:ascii="Arial" w:cs="Arial" w:eastAsia="Arial" w:hAnsi="Arial"/>
                <w:sz w:val="16"/>
                <w:szCs w:val="16"/>
                <w:b w:val="1"/>
                <w:bCs w:val="1"/>
                <w:color w:val="auto"/>
              </w:rPr>
              <w:t>September 30, 2019</w:t>
            </w:r>
          </w:p>
        </w:tc>
        <w:tc>
          <w:tcPr>
            <w:tcW w:w="140" w:type="dxa"/>
            <w:vAlign w:val="bottom"/>
          </w:tcPr>
          <w:p>
            <w:pPr>
              <w:spacing w:after="0"/>
              <w:rPr>
                <w:sz w:val="20"/>
                <w:szCs w:val="20"/>
                <w:color w:val="auto"/>
              </w:rPr>
            </w:pPr>
          </w:p>
        </w:tc>
        <w:tc>
          <w:tcPr>
            <w:tcW w:w="1880" w:type="dxa"/>
            <w:vAlign w:val="bottom"/>
            <w:gridSpan w:val="3"/>
          </w:tcPr>
          <w:p>
            <w:pPr>
              <w:ind w:left="20"/>
              <w:spacing w:after="0"/>
              <w:rPr>
                <w:sz w:val="20"/>
                <w:szCs w:val="20"/>
                <w:color w:val="auto"/>
              </w:rPr>
            </w:pPr>
            <w:r>
              <w:rPr>
                <w:rFonts w:ascii="Arial" w:cs="Arial" w:eastAsia="Arial" w:hAnsi="Arial"/>
                <w:sz w:val="16"/>
                <w:szCs w:val="16"/>
                <w:b w:val="1"/>
                <w:bCs w:val="1"/>
                <w:color w:val="auto"/>
              </w:rPr>
              <w:t>September 30, 2020</w:t>
            </w:r>
          </w:p>
        </w:tc>
        <w:tc>
          <w:tcPr>
            <w:tcW w:w="140" w:type="dxa"/>
            <w:vAlign w:val="bottom"/>
          </w:tcPr>
          <w:p>
            <w:pPr>
              <w:spacing w:after="0"/>
              <w:rPr>
                <w:sz w:val="20"/>
                <w:szCs w:val="20"/>
                <w:color w:val="auto"/>
              </w:rPr>
            </w:pPr>
          </w:p>
        </w:tc>
        <w:tc>
          <w:tcPr>
            <w:tcW w:w="1740" w:type="dxa"/>
            <w:vAlign w:val="bottom"/>
            <w:gridSpan w:val="2"/>
          </w:tcPr>
          <w:p>
            <w:pPr>
              <w:jc w:val="right"/>
              <w:ind w:right="99"/>
              <w:spacing w:after="0"/>
              <w:rPr>
                <w:sz w:val="20"/>
                <w:szCs w:val="20"/>
                <w:color w:val="auto"/>
              </w:rPr>
            </w:pPr>
            <w:r>
              <w:rPr>
                <w:rFonts w:ascii="Arial" w:cs="Arial" w:eastAsia="Arial" w:hAnsi="Arial"/>
                <w:sz w:val="16"/>
                <w:szCs w:val="16"/>
                <w:b w:val="1"/>
                <w:bCs w:val="1"/>
                <w:color w:val="auto"/>
              </w:rPr>
              <w:t>September 30, 2019</w:t>
            </w:r>
          </w:p>
        </w:tc>
      </w:tr>
      <w:tr>
        <w:trPr>
          <w:trHeight w:val="240"/>
        </w:trPr>
        <w:tc>
          <w:tcPr>
            <w:tcW w:w="1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22,771</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6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21,897</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4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67,423</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8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67,405</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53"/>
        </w:trPr>
        <w:tc>
          <w:tcPr>
            <w:tcW w:w="128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10,252</w:t>
            </w:r>
          </w:p>
        </w:tc>
        <w:tc>
          <w:tcPr>
            <w:tcW w:w="860" w:type="dxa"/>
            <w:vAlign w:val="bottom"/>
          </w:tcPr>
          <w:p>
            <w:pPr>
              <w:jc w:val="right"/>
              <w:spacing w:after="0"/>
              <w:rPr>
                <w:sz w:val="20"/>
                <w:szCs w:val="20"/>
                <w:color w:val="auto"/>
              </w:rPr>
            </w:pPr>
            <w:r>
              <w:rPr>
                <w:rFonts w:ascii="Arial" w:cs="Arial" w:eastAsia="Arial" w:hAnsi="Arial"/>
                <w:sz w:val="16"/>
                <w:szCs w:val="16"/>
                <w:color w:val="auto"/>
              </w:rPr>
              <w:t>45.0 %</w:t>
            </w:r>
          </w:p>
        </w:tc>
        <w:tc>
          <w:tcPr>
            <w:tcW w:w="16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9,964</w:t>
            </w:r>
          </w:p>
        </w:tc>
        <w:tc>
          <w:tcPr>
            <w:tcW w:w="840" w:type="dxa"/>
            <w:vAlign w:val="bottom"/>
          </w:tcPr>
          <w:p>
            <w:pPr>
              <w:jc w:val="right"/>
              <w:spacing w:after="0"/>
              <w:rPr>
                <w:sz w:val="20"/>
                <w:szCs w:val="20"/>
                <w:color w:val="auto"/>
              </w:rPr>
            </w:pPr>
            <w:r>
              <w:rPr>
                <w:rFonts w:ascii="Arial" w:cs="Arial" w:eastAsia="Arial" w:hAnsi="Arial"/>
                <w:sz w:val="16"/>
                <w:szCs w:val="16"/>
                <w:color w:val="auto"/>
              </w:rPr>
              <w:t>45.5 %</w:t>
            </w:r>
          </w:p>
        </w:tc>
        <w:tc>
          <w:tcPr>
            <w:tcW w:w="14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99"/>
              <w:spacing w:after="0"/>
              <w:rPr>
                <w:sz w:val="20"/>
                <w:szCs w:val="20"/>
                <w:color w:val="auto"/>
              </w:rPr>
            </w:pPr>
            <w:r>
              <w:rPr>
                <w:rFonts w:ascii="Arial" w:cs="Arial" w:eastAsia="Arial" w:hAnsi="Arial"/>
                <w:sz w:val="16"/>
                <w:szCs w:val="16"/>
                <w:color w:val="auto"/>
              </w:rPr>
              <w:t>30,360</w:t>
            </w:r>
          </w:p>
        </w:tc>
        <w:tc>
          <w:tcPr>
            <w:tcW w:w="840" w:type="dxa"/>
            <w:vAlign w:val="bottom"/>
          </w:tcPr>
          <w:p>
            <w:pPr>
              <w:jc w:val="right"/>
              <w:spacing w:after="0"/>
              <w:rPr>
                <w:sz w:val="20"/>
                <w:szCs w:val="20"/>
                <w:color w:val="auto"/>
              </w:rPr>
            </w:pPr>
            <w:r>
              <w:rPr>
                <w:rFonts w:ascii="Arial" w:cs="Arial" w:eastAsia="Arial" w:hAnsi="Arial"/>
                <w:sz w:val="16"/>
                <w:szCs w:val="16"/>
                <w:color w:val="auto"/>
              </w:rPr>
              <w:t>45.0 %</w:t>
            </w:r>
          </w:p>
        </w:tc>
        <w:tc>
          <w:tcPr>
            <w:tcW w:w="18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31,029</w:t>
            </w:r>
          </w:p>
        </w:tc>
        <w:tc>
          <w:tcPr>
            <w:tcW w:w="840" w:type="dxa"/>
            <w:vAlign w:val="bottom"/>
          </w:tcPr>
          <w:p>
            <w:pPr>
              <w:jc w:val="right"/>
              <w:spacing w:after="0"/>
              <w:rPr>
                <w:sz w:val="20"/>
                <w:szCs w:val="20"/>
                <w:color w:val="auto"/>
              </w:rPr>
            </w:pPr>
            <w:r>
              <w:rPr>
                <w:rFonts w:ascii="Arial" w:cs="Arial" w:eastAsia="Arial" w:hAnsi="Arial"/>
                <w:sz w:val="16"/>
                <w:szCs w:val="16"/>
                <w:color w:val="auto"/>
              </w:rPr>
              <w:t>46.0 %</w:t>
            </w:r>
          </w:p>
        </w:tc>
      </w:tr>
      <w:tr>
        <w:trPr>
          <w:trHeight w:val="260"/>
        </w:trPr>
        <w:tc>
          <w:tcPr>
            <w:tcW w:w="1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SG&amp;A</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3,853</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16.9 %</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3,627</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16.6 %</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11,490</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17.0 %</w:t>
            </w:r>
          </w:p>
        </w:tc>
        <w:tc>
          <w:tcPr>
            <w:tcW w:w="18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11,155</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16.5 %</w:t>
            </w:r>
          </w:p>
        </w:tc>
      </w:tr>
      <w:tr>
        <w:trPr>
          <w:trHeight w:val="177"/>
        </w:trPr>
        <w:tc>
          <w:tcPr>
            <w:tcW w:w="1280" w:type="dxa"/>
            <w:vAlign w:val="bottom"/>
          </w:tcPr>
          <w:p>
            <w:pPr>
              <w:ind w:left="20"/>
              <w:spacing w:after="0" w:line="178" w:lineRule="exact"/>
              <w:rPr>
                <w:sz w:val="20"/>
                <w:szCs w:val="20"/>
                <w:color w:val="auto"/>
              </w:rPr>
            </w:pPr>
            <w:r>
              <w:rPr>
                <w:rFonts w:ascii="Arial" w:cs="Arial" w:eastAsia="Arial" w:hAnsi="Arial"/>
                <w:sz w:val="16"/>
                <w:szCs w:val="16"/>
                <w:color w:val="auto"/>
              </w:rPr>
              <w:t>Operating</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95"/>
        </w:trPr>
        <w:tc>
          <w:tcPr>
            <w:tcW w:w="1280" w:type="dxa"/>
            <w:vAlign w:val="bottom"/>
          </w:tcPr>
          <w:p>
            <w:pPr>
              <w:ind w:left="20"/>
              <w:spacing w:after="0"/>
              <w:rPr>
                <w:sz w:val="20"/>
                <w:szCs w:val="20"/>
                <w:color w:val="auto"/>
              </w:rPr>
            </w:pPr>
            <w:r>
              <w:rPr>
                <w:rFonts w:ascii="Arial" w:cs="Arial" w:eastAsia="Arial" w:hAnsi="Arial"/>
                <w:sz w:val="16"/>
                <w:szCs w:val="16"/>
                <w:color w:val="auto"/>
              </w:rPr>
              <w:t>income</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6,205</w:t>
            </w:r>
          </w:p>
        </w:tc>
        <w:tc>
          <w:tcPr>
            <w:tcW w:w="860" w:type="dxa"/>
            <w:vAlign w:val="bottom"/>
          </w:tcPr>
          <w:p>
            <w:pPr>
              <w:jc w:val="right"/>
              <w:spacing w:after="0"/>
              <w:rPr>
                <w:sz w:val="20"/>
                <w:szCs w:val="20"/>
                <w:color w:val="auto"/>
              </w:rPr>
            </w:pPr>
            <w:r>
              <w:rPr>
                <w:rFonts w:ascii="Arial" w:cs="Arial" w:eastAsia="Arial" w:hAnsi="Arial"/>
                <w:sz w:val="16"/>
                <w:szCs w:val="16"/>
                <w:color w:val="auto"/>
              </w:rPr>
              <w:t>27.2 %</w:t>
            </w:r>
          </w:p>
        </w:tc>
        <w:tc>
          <w:tcPr>
            <w:tcW w:w="16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6,122</w:t>
            </w:r>
          </w:p>
        </w:tc>
        <w:tc>
          <w:tcPr>
            <w:tcW w:w="840" w:type="dxa"/>
            <w:vAlign w:val="bottom"/>
          </w:tcPr>
          <w:p>
            <w:pPr>
              <w:jc w:val="right"/>
              <w:spacing w:after="0"/>
              <w:rPr>
                <w:sz w:val="20"/>
                <w:szCs w:val="20"/>
                <w:color w:val="auto"/>
              </w:rPr>
            </w:pPr>
            <w:r>
              <w:rPr>
                <w:rFonts w:ascii="Arial" w:cs="Arial" w:eastAsia="Arial" w:hAnsi="Arial"/>
                <w:sz w:val="16"/>
                <w:szCs w:val="16"/>
                <w:color w:val="auto"/>
              </w:rPr>
              <w:t>28.0 %</w:t>
            </w:r>
          </w:p>
        </w:tc>
        <w:tc>
          <w:tcPr>
            <w:tcW w:w="14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99"/>
              <w:spacing w:after="0"/>
              <w:rPr>
                <w:sz w:val="20"/>
                <w:szCs w:val="20"/>
                <w:color w:val="auto"/>
              </w:rPr>
            </w:pPr>
            <w:r>
              <w:rPr>
                <w:rFonts w:ascii="Arial" w:cs="Arial" w:eastAsia="Arial" w:hAnsi="Arial"/>
                <w:sz w:val="16"/>
                <w:szCs w:val="16"/>
                <w:color w:val="auto"/>
              </w:rPr>
              <w:t>18,272</w:t>
            </w:r>
          </w:p>
        </w:tc>
        <w:tc>
          <w:tcPr>
            <w:tcW w:w="840" w:type="dxa"/>
            <w:vAlign w:val="bottom"/>
          </w:tcPr>
          <w:p>
            <w:pPr>
              <w:jc w:val="right"/>
              <w:spacing w:after="0"/>
              <w:rPr>
                <w:sz w:val="20"/>
                <w:szCs w:val="20"/>
                <w:color w:val="auto"/>
              </w:rPr>
            </w:pPr>
            <w:r>
              <w:rPr>
                <w:rFonts w:ascii="Arial" w:cs="Arial" w:eastAsia="Arial" w:hAnsi="Arial"/>
                <w:sz w:val="16"/>
                <w:szCs w:val="16"/>
                <w:color w:val="auto"/>
              </w:rPr>
              <w:t>27.1 %</w:t>
            </w:r>
          </w:p>
        </w:tc>
        <w:tc>
          <w:tcPr>
            <w:tcW w:w="1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19,087</w:t>
            </w:r>
          </w:p>
        </w:tc>
        <w:tc>
          <w:tcPr>
            <w:tcW w:w="840" w:type="dxa"/>
            <w:vAlign w:val="bottom"/>
          </w:tcPr>
          <w:p>
            <w:pPr>
              <w:jc w:val="right"/>
              <w:spacing w:after="0"/>
              <w:rPr>
                <w:sz w:val="20"/>
                <w:szCs w:val="20"/>
                <w:color w:val="auto"/>
              </w:rPr>
            </w:pPr>
            <w:r>
              <w:rPr>
                <w:rFonts w:ascii="Arial" w:cs="Arial" w:eastAsia="Arial" w:hAnsi="Arial"/>
                <w:sz w:val="16"/>
                <w:szCs w:val="16"/>
                <w:color w:val="auto"/>
              </w:rPr>
              <w:t>28.3 %</w:t>
            </w:r>
          </w:p>
        </w:tc>
      </w:tr>
    </w:tbl>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Three months ended September 30, 2020 compared to three months ended September 30, 2019</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sales</w:t>
      </w:r>
    </w:p>
    <w:p>
      <w:pPr>
        <w:spacing w:after="0" w:line="2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Net sales for the three months ended September 30, 2020 were $22.8 million, an increase of approximately $0.9 million or 4.0% compared to the three months ended September 30, 2019. The increase in net sales in the quarter ended September 30, 2020 as compared to the quarter ended September 30, 2019 was primarily attributable to increased sales in Quick-Turn Production by approximately $0.9 million, Quick-Turn Small-Run by approximately $0.3 million, Subcontract by approximately $0.5 million, and decreased promotional allowances of approximately $0.1 million, partially offset by decreases in Assembly of approximately $0.7 million, and Long-Lead Time PCBs by approximately $0.3 million.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Gross profit</w:t>
      </w:r>
    </w:p>
    <w:p>
      <w:pPr>
        <w:spacing w:after="0" w:line="13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Gross profit as a percentage of net sales decreased 50 basis points during the three months ended September 30, 2020 compared to the corresponding period in 2019 (45.0% at September 30, 2020 compared to 45.5% at September 30, 2019) primarily as a result of sales mix.</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general and administrative expense</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Selling, general and administrative expense was approximately $3.9 million in the three months ended September 30, 2020 as compared to $3.6 million for the three months ended September 30, 2019. Selling, general and administrative expense represented 16.9% of net sales for the three months ended September 30, 2020 and 16.6% of net sales in the corresponding period in 2019.</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from operations</w:t>
      </w:r>
    </w:p>
    <w:p>
      <w:pPr>
        <w:spacing w:after="0" w:line="13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Income from operations for the three months ended September 30, 2020 was approximately $6.2 million compared to $6.1 million in the same period in 2019, an increase of approximately $0.1 million, principally as a result of the factors described above.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Nine months ended September 30, 2020 compared to nine months ended September 30, 2019</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sales</w:t>
      </w:r>
    </w:p>
    <w:p>
      <w:pPr>
        <w:spacing w:after="0" w:line="13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Net sales for the both the nine months ended September 30, 2020 and the nine months ended September 30, 2019 were $67.4 million. For the nine months ended September 30, 2020 as compared to the nine months ended September 30, 2019, Quick-Turn Production increased by approximately $1.4 million, Subcontract increased by approximately $0.1 million, and promotional allowances decreased by approximately $0.6 million. This was offset by decreases in Assembly of approximately $1.3 million, Long-Lead Time of approximately $0.6 million, and Quick-Turn Small-Run by approximately $0.1 million.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Gross profit</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Gross profit as a percentage of net sales decreased 100 basis points during the nine months ended September 30, 2020 compared to the corresponding period in 2019 (45.0% for the nine months ended September 30, 2020 compared to 46.0% for the nine months September 30, 2019) primarily as a result of sales mix.</w:t>
      </w: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i w:val="1"/>
          <w:iCs w:val="1"/>
          <w:u w:val="single" w:color="auto"/>
          <w:color w:val="auto"/>
        </w:rPr>
        <w:t>Selling, general and administrative expense</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Selling, general and administrative expense was approximately $11.5 million in the nine months ended September 30, 2020 as compared to $11.2 million and the nine months ended September 30, 2019. Selling, general and administrative expense represented 17.0% of net sales for the nine months ended September 30, 2020 compared to 16.5% of net sales in the corresponding period in 2019.</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from operations</w:t>
      </w:r>
    </w:p>
    <w:p>
      <w:pPr>
        <w:spacing w:after="0" w:line="13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Income from operations for the nine months ended September 30, 2020 was approximately $18.3 million compared to $19.1 million in the same period in 2019, a decrease of approximately $0.8 million, principally as a result of the factors described above.</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Arnold</w:t>
      </w:r>
    </w:p>
    <w:p>
      <w:pPr>
        <w:spacing w:after="0" w:line="203" w:lineRule="exact"/>
        <w:rPr>
          <w:sz w:val="20"/>
          <w:szCs w:val="20"/>
          <w:color w:val="auto"/>
        </w:rPr>
      </w:pPr>
    </w:p>
    <w:tbl>
      <w:tblPr>
        <w:tblLayout w:type="fixed"/>
        <w:tblInd w:w="1000" w:type="dxa"/>
        <w:tblCellMar>
          <w:top w:w="0" w:type="dxa"/>
          <w:left w:w="0" w:type="dxa"/>
          <w:bottom w:w="0" w:type="dxa"/>
          <w:right w:w="0" w:type="dxa"/>
        </w:tblCellMar>
      </w:tblPr>
      <w:tr>
        <w:trPr>
          <w:trHeight w:val="218"/>
        </w:trPr>
        <w:tc>
          <w:tcPr>
            <w:tcW w:w="13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4"/>
          </w:tcPr>
          <w:p>
            <w:pPr>
              <w:jc w:val="right"/>
              <w:ind w:right="199"/>
              <w:spacing w:after="0"/>
              <w:rPr>
                <w:sz w:val="20"/>
                <w:szCs w:val="20"/>
                <w:color w:val="auto"/>
              </w:rPr>
            </w:pPr>
            <w:r>
              <w:rPr>
                <w:rFonts w:ascii="Arial" w:cs="Arial" w:eastAsia="Arial" w:hAnsi="Arial"/>
                <w:sz w:val="16"/>
                <w:szCs w:val="16"/>
                <w:b w:val="1"/>
                <w:bCs w:val="1"/>
                <w:color w:val="auto"/>
              </w:rPr>
              <w:t>Three months ended</w:t>
            </w:r>
          </w:p>
        </w:tc>
        <w:tc>
          <w:tcPr>
            <w:tcW w:w="8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4"/>
          </w:tcPr>
          <w:p>
            <w:pPr>
              <w:jc w:val="right"/>
              <w:ind w:right="299"/>
              <w:spacing w:after="0"/>
              <w:rPr>
                <w:sz w:val="20"/>
                <w:szCs w:val="20"/>
                <w:color w:val="auto"/>
              </w:rPr>
            </w:pPr>
            <w:r>
              <w:rPr>
                <w:rFonts w:ascii="Arial" w:cs="Arial" w:eastAsia="Arial" w:hAnsi="Arial"/>
                <w:sz w:val="16"/>
                <w:szCs w:val="16"/>
                <w:b w:val="1"/>
                <w:bCs w:val="1"/>
                <w:color w:val="auto"/>
              </w:rPr>
              <w:t>Nine months ended</w:t>
            </w:r>
          </w:p>
        </w:tc>
        <w:tc>
          <w:tcPr>
            <w:tcW w:w="820" w:type="dxa"/>
            <w:vAlign w:val="bottom"/>
            <w:tcBorders>
              <w:bottom w:val="single" w:sz="8" w:color="auto"/>
            </w:tcBorders>
          </w:tcPr>
          <w:p>
            <w:pPr>
              <w:spacing w:after="0"/>
              <w:rPr>
                <w:sz w:val="18"/>
                <w:szCs w:val="18"/>
                <w:color w:val="auto"/>
              </w:rPr>
            </w:pPr>
          </w:p>
        </w:tc>
      </w:tr>
      <w:tr>
        <w:trPr>
          <w:trHeight w:val="212"/>
        </w:trPr>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gridSpan w:val="3"/>
          </w:tcPr>
          <w:p>
            <w:pPr>
              <w:ind w:left="20"/>
              <w:spacing w:after="0"/>
              <w:rPr>
                <w:sz w:val="20"/>
                <w:szCs w:val="20"/>
                <w:color w:val="auto"/>
              </w:rPr>
            </w:pPr>
            <w:r>
              <w:rPr>
                <w:rFonts w:ascii="Arial" w:cs="Arial" w:eastAsia="Arial" w:hAnsi="Arial"/>
                <w:sz w:val="16"/>
                <w:szCs w:val="16"/>
                <w:b w:val="1"/>
                <w:bCs w:val="1"/>
                <w:color w:val="auto"/>
              </w:rPr>
              <w:t>September 30, 2020</w:t>
            </w:r>
          </w:p>
        </w:tc>
        <w:tc>
          <w:tcPr>
            <w:tcW w:w="140" w:type="dxa"/>
            <w:vAlign w:val="bottom"/>
          </w:tcPr>
          <w:p>
            <w:pPr>
              <w:spacing w:after="0"/>
              <w:rPr>
                <w:sz w:val="18"/>
                <w:szCs w:val="18"/>
                <w:color w:val="auto"/>
              </w:rPr>
            </w:pPr>
          </w:p>
        </w:tc>
        <w:tc>
          <w:tcPr>
            <w:tcW w:w="1700" w:type="dxa"/>
            <w:vAlign w:val="bottom"/>
            <w:gridSpan w:val="2"/>
          </w:tcPr>
          <w:p>
            <w:pPr>
              <w:jc w:val="right"/>
              <w:ind w:right="79"/>
              <w:spacing w:after="0"/>
              <w:rPr>
                <w:sz w:val="20"/>
                <w:szCs w:val="20"/>
                <w:color w:val="auto"/>
              </w:rPr>
            </w:pPr>
            <w:r>
              <w:rPr>
                <w:rFonts w:ascii="Arial" w:cs="Arial" w:eastAsia="Arial" w:hAnsi="Arial"/>
                <w:sz w:val="16"/>
                <w:szCs w:val="16"/>
                <w:b w:val="1"/>
                <w:bCs w:val="1"/>
                <w:color w:val="auto"/>
              </w:rPr>
              <w:t>September 30, 2019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80" w:type="dxa"/>
            <w:vAlign w:val="bottom"/>
            <w:gridSpan w:val="3"/>
          </w:tcPr>
          <w:p>
            <w:pPr>
              <w:ind w:left="20"/>
              <w:spacing w:after="0"/>
              <w:rPr>
                <w:sz w:val="20"/>
                <w:szCs w:val="20"/>
                <w:color w:val="auto"/>
              </w:rPr>
            </w:pPr>
            <w:r>
              <w:rPr>
                <w:rFonts w:ascii="Arial" w:cs="Arial" w:eastAsia="Arial" w:hAnsi="Arial"/>
                <w:sz w:val="16"/>
                <w:szCs w:val="16"/>
                <w:b w:val="1"/>
                <w:bCs w:val="1"/>
                <w:color w:val="auto"/>
              </w:rPr>
              <w:t>September 30, 2020</w:t>
            </w:r>
          </w:p>
        </w:tc>
        <w:tc>
          <w:tcPr>
            <w:tcW w:w="140" w:type="dxa"/>
            <w:vAlign w:val="bottom"/>
          </w:tcPr>
          <w:p>
            <w:pPr>
              <w:spacing w:after="0"/>
              <w:rPr>
                <w:sz w:val="18"/>
                <w:szCs w:val="18"/>
                <w:color w:val="auto"/>
              </w:rPr>
            </w:pPr>
          </w:p>
        </w:tc>
        <w:tc>
          <w:tcPr>
            <w:tcW w:w="1720" w:type="dxa"/>
            <w:vAlign w:val="bottom"/>
            <w:gridSpan w:val="2"/>
          </w:tcPr>
          <w:p>
            <w:pPr>
              <w:jc w:val="right"/>
              <w:ind w:right="99"/>
              <w:spacing w:after="0"/>
              <w:rPr>
                <w:sz w:val="20"/>
                <w:szCs w:val="20"/>
                <w:color w:val="auto"/>
              </w:rPr>
            </w:pPr>
            <w:r>
              <w:rPr>
                <w:rFonts w:ascii="Arial" w:cs="Arial" w:eastAsia="Arial" w:hAnsi="Arial"/>
                <w:sz w:val="16"/>
                <w:szCs w:val="16"/>
                <w:b w:val="1"/>
                <w:bCs w:val="1"/>
                <w:color w:val="auto"/>
              </w:rPr>
              <w:t>September 30, 2019</w:t>
            </w:r>
          </w:p>
        </w:tc>
      </w:tr>
      <w:tr>
        <w:trPr>
          <w:trHeight w:val="210"/>
        </w:trPr>
        <w:tc>
          <w:tcPr>
            <w:tcW w:w="1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22,619</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30,895</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76,447</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90,404</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13"/>
        </w:trPr>
        <w:tc>
          <w:tcPr>
            <w:tcW w:w="138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99"/>
              <w:spacing w:after="0"/>
              <w:rPr>
                <w:sz w:val="20"/>
                <w:szCs w:val="20"/>
                <w:color w:val="auto"/>
              </w:rPr>
            </w:pPr>
            <w:r>
              <w:rPr>
                <w:rFonts w:ascii="Arial" w:cs="Arial" w:eastAsia="Arial" w:hAnsi="Arial"/>
                <w:sz w:val="16"/>
                <w:szCs w:val="16"/>
                <w:color w:val="auto"/>
              </w:rPr>
              <w:t>4,989</w:t>
            </w:r>
          </w:p>
        </w:tc>
        <w:tc>
          <w:tcPr>
            <w:tcW w:w="840" w:type="dxa"/>
            <w:vAlign w:val="bottom"/>
          </w:tcPr>
          <w:p>
            <w:pPr>
              <w:jc w:val="right"/>
              <w:spacing w:after="0"/>
              <w:rPr>
                <w:sz w:val="20"/>
                <w:szCs w:val="20"/>
                <w:color w:val="auto"/>
              </w:rPr>
            </w:pPr>
            <w:r>
              <w:rPr>
                <w:rFonts w:ascii="Arial" w:cs="Arial" w:eastAsia="Arial" w:hAnsi="Arial"/>
                <w:sz w:val="16"/>
                <w:szCs w:val="16"/>
                <w:color w:val="auto"/>
              </w:rPr>
              <w:t>22.1 %</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8,334</w:t>
            </w:r>
          </w:p>
        </w:tc>
        <w:tc>
          <w:tcPr>
            <w:tcW w:w="820" w:type="dxa"/>
            <w:vAlign w:val="bottom"/>
          </w:tcPr>
          <w:p>
            <w:pPr>
              <w:jc w:val="right"/>
              <w:spacing w:after="0"/>
              <w:rPr>
                <w:sz w:val="20"/>
                <w:szCs w:val="20"/>
                <w:color w:val="auto"/>
              </w:rPr>
            </w:pPr>
            <w:r>
              <w:rPr>
                <w:rFonts w:ascii="Arial" w:cs="Arial" w:eastAsia="Arial" w:hAnsi="Arial"/>
                <w:sz w:val="16"/>
                <w:szCs w:val="16"/>
                <w:color w:val="auto"/>
              </w:rPr>
              <w:t>27.0 %</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99"/>
              <w:spacing w:after="0"/>
              <w:rPr>
                <w:sz w:val="20"/>
                <w:szCs w:val="20"/>
                <w:color w:val="auto"/>
              </w:rPr>
            </w:pPr>
            <w:r>
              <w:rPr>
                <w:rFonts w:ascii="Arial" w:cs="Arial" w:eastAsia="Arial" w:hAnsi="Arial"/>
                <w:sz w:val="16"/>
                <w:szCs w:val="16"/>
                <w:color w:val="auto"/>
              </w:rPr>
              <w:t>19,051</w:t>
            </w:r>
          </w:p>
        </w:tc>
        <w:tc>
          <w:tcPr>
            <w:tcW w:w="840" w:type="dxa"/>
            <w:vAlign w:val="bottom"/>
          </w:tcPr>
          <w:p>
            <w:pPr>
              <w:jc w:val="right"/>
              <w:spacing w:after="0"/>
              <w:rPr>
                <w:sz w:val="20"/>
                <w:szCs w:val="20"/>
                <w:color w:val="auto"/>
              </w:rPr>
            </w:pPr>
            <w:r>
              <w:rPr>
                <w:rFonts w:ascii="Arial" w:cs="Arial" w:eastAsia="Arial" w:hAnsi="Arial"/>
                <w:sz w:val="16"/>
                <w:szCs w:val="16"/>
                <w:color w:val="auto"/>
              </w:rPr>
              <w:t>24.9 %</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23,425</w:t>
            </w:r>
          </w:p>
        </w:tc>
        <w:tc>
          <w:tcPr>
            <w:tcW w:w="820" w:type="dxa"/>
            <w:vAlign w:val="bottom"/>
          </w:tcPr>
          <w:p>
            <w:pPr>
              <w:jc w:val="right"/>
              <w:spacing w:after="0"/>
              <w:rPr>
                <w:sz w:val="20"/>
                <w:szCs w:val="20"/>
                <w:color w:val="auto"/>
              </w:rPr>
            </w:pPr>
            <w:r>
              <w:rPr>
                <w:rFonts w:ascii="Arial" w:cs="Arial" w:eastAsia="Arial" w:hAnsi="Arial"/>
                <w:sz w:val="16"/>
                <w:szCs w:val="16"/>
                <w:color w:val="auto"/>
              </w:rPr>
              <w:t>25.9 %</w:t>
            </w:r>
          </w:p>
        </w:tc>
      </w:tr>
      <w:tr>
        <w:trPr>
          <w:trHeight w:val="219"/>
        </w:trPr>
        <w:tc>
          <w:tcPr>
            <w:tcW w:w="1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SG&amp;A</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4,549</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20.1 %</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4,718</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15.3 %</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13,645</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17.8 %</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14,205</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15.7 %</w:t>
            </w:r>
          </w:p>
        </w:tc>
      </w:tr>
      <w:tr>
        <w:trPr>
          <w:trHeight w:val="177"/>
        </w:trPr>
        <w:tc>
          <w:tcPr>
            <w:tcW w:w="1380" w:type="dxa"/>
            <w:vAlign w:val="bottom"/>
          </w:tcPr>
          <w:p>
            <w:pPr>
              <w:ind w:left="20"/>
              <w:spacing w:after="0" w:line="178" w:lineRule="exact"/>
              <w:rPr>
                <w:sz w:val="20"/>
                <w:szCs w:val="20"/>
                <w:color w:val="auto"/>
              </w:rPr>
            </w:pPr>
            <w:r>
              <w:rPr>
                <w:rFonts w:ascii="Arial" w:cs="Arial" w:eastAsia="Arial" w:hAnsi="Arial"/>
                <w:sz w:val="16"/>
                <w:szCs w:val="16"/>
                <w:color w:val="auto"/>
              </w:rPr>
              <w:t>Operating</w:t>
            </w: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95"/>
        </w:trPr>
        <w:tc>
          <w:tcPr>
            <w:tcW w:w="1380" w:type="dxa"/>
            <w:vAlign w:val="bottom"/>
          </w:tcPr>
          <w:p>
            <w:pPr>
              <w:ind w:left="20"/>
              <w:spacing w:after="0"/>
              <w:rPr>
                <w:sz w:val="20"/>
                <w:szCs w:val="20"/>
                <w:color w:val="auto"/>
              </w:rPr>
            </w:pPr>
            <w:r>
              <w:rPr>
                <w:rFonts w:ascii="Arial" w:cs="Arial" w:eastAsia="Arial" w:hAnsi="Arial"/>
                <w:sz w:val="16"/>
                <w:szCs w:val="16"/>
                <w:color w:val="auto"/>
              </w:rPr>
              <w:t>income (loss)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(495)</w:t>
            </w:r>
          </w:p>
        </w:tc>
        <w:tc>
          <w:tcPr>
            <w:tcW w:w="840" w:type="dxa"/>
            <w:vAlign w:val="bottom"/>
          </w:tcPr>
          <w:p>
            <w:pPr>
              <w:jc w:val="right"/>
              <w:spacing w:after="0"/>
              <w:rPr>
                <w:sz w:val="20"/>
                <w:szCs w:val="20"/>
                <w:color w:val="auto"/>
              </w:rPr>
            </w:pPr>
            <w:r>
              <w:rPr>
                <w:rFonts w:ascii="Arial" w:cs="Arial" w:eastAsia="Arial" w:hAnsi="Arial"/>
                <w:sz w:val="16"/>
                <w:szCs w:val="16"/>
                <w:color w:val="auto"/>
              </w:rPr>
              <w:t>(2.2)%</w:t>
            </w:r>
          </w:p>
        </w:tc>
        <w:tc>
          <w:tcPr>
            <w:tcW w:w="16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2,681</w:t>
            </w:r>
          </w:p>
        </w:tc>
        <w:tc>
          <w:tcPr>
            <w:tcW w:w="820" w:type="dxa"/>
            <w:vAlign w:val="bottom"/>
          </w:tcPr>
          <w:p>
            <w:pPr>
              <w:jc w:val="right"/>
              <w:spacing w:after="0"/>
              <w:rPr>
                <w:sz w:val="20"/>
                <w:szCs w:val="20"/>
                <w:color w:val="auto"/>
              </w:rPr>
            </w:pPr>
            <w:r>
              <w:rPr>
                <w:rFonts w:ascii="Arial" w:cs="Arial" w:eastAsia="Arial" w:hAnsi="Arial"/>
                <w:sz w:val="16"/>
                <w:szCs w:val="16"/>
                <w:color w:val="auto"/>
              </w:rPr>
              <w:t>8.7 %</w:t>
            </w:r>
          </w:p>
        </w:tc>
        <w:tc>
          <w:tcPr>
            <w:tcW w:w="16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99"/>
              <w:spacing w:after="0"/>
              <w:rPr>
                <w:sz w:val="20"/>
                <w:szCs w:val="20"/>
                <w:color w:val="auto"/>
              </w:rPr>
            </w:pPr>
            <w:r>
              <w:rPr>
                <w:rFonts w:ascii="Arial" w:cs="Arial" w:eastAsia="Arial" w:hAnsi="Arial"/>
                <w:sz w:val="16"/>
                <w:szCs w:val="16"/>
                <w:color w:val="auto"/>
              </w:rPr>
              <w:t>2,601</w:t>
            </w:r>
          </w:p>
        </w:tc>
        <w:tc>
          <w:tcPr>
            <w:tcW w:w="840" w:type="dxa"/>
            <w:vAlign w:val="bottom"/>
          </w:tcPr>
          <w:p>
            <w:pPr>
              <w:jc w:val="right"/>
              <w:spacing w:after="0"/>
              <w:rPr>
                <w:sz w:val="20"/>
                <w:szCs w:val="20"/>
                <w:color w:val="auto"/>
              </w:rPr>
            </w:pPr>
            <w:r>
              <w:rPr>
                <w:rFonts w:ascii="Arial" w:cs="Arial" w:eastAsia="Arial" w:hAnsi="Arial"/>
                <w:sz w:val="16"/>
                <w:szCs w:val="16"/>
                <w:color w:val="auto"/>
              </w:rPr>
              <w:t>3.4 %</w:t>
            </w:r>
          </w:p>
        </w:tc>
        <w:tc>
          <w:tcPr>
            <w:tcW w:w="1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6,385</w:t>
            </w:r>
          </w:p>
        </w:tc>
        <w:tc>
          <w:tcPr>
            <w:tcW w:w="820" w:type="dxa"/>
            <w:vAlign w:val="bottom"/>
          </w:tcPr>
          <w:p>
            <w:pPr>
              <w:jc w:val="right"/>
              <w:spacing w:after="0"/>
              <w:rPr>
                <w:sz w:val="20"/>
                <w:szCs w:val="20"/>
                <w:color w:val="auto"/>
              </w:rPr>
            </w:pPr>
            <w:r>
              <w:rPr>
                <w:rFonts w:ascii="Arial" w:cs="Arial" w:eastAsia="Arial" w:hAnsi="Arial"/>
                <w:sz w:val="16"/>
                <w:szCs w:val="16"/>
                <w:color w:val="auto"/>
              </w:rPr>
              <w:t>7.1 %</w:t>
            </w: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Three months ended September 30, 2020 compared to three months ended September 30, 2019</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sales</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Net sales for the three months ended September 30, 2020 were approximately $22.6 million, a decrease of $8.3 million compared to the same period in 2019. International sales were $8.7 million in the three months ended September 30, 2020 and $12.7 million in the three months ended September 30, 2019. The decrease in net sales is primarily a result of softness in the commercial aerospace, oil and gas and advertising specialty markets caused by the global COVID-19 pandemic.</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Gross profit</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Gross profit for the three months ended September 30, 2020 was approximately $ 5.0 million compared to approximately $8.3 million in the same period of 2019. Gross profit as a percentage of net sales decreased to 22.1% for the quarter ended September 30, 2020 from 27.0% in the quarter ended September 30, 2019 principally due to the lower volume in the markets as noted above, partially offset by improved operating efficiencies.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general and administrative expense</w:t>
      </w:r>
    </w:p>
    <w:p>
      <w:pPr>
        <w:spacing w:after="0" w:line="8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Selling, general and administrative expense in the three month period ended September 30, 2020 was $4.5 million, a decrease in expense of approximately $0.2 million compared to $4.7 million for the three months ended September 30, 2019. The decrease in selling, general and administrative expense was due to lower staffing related costs and lower travel and meeting expense partially offset by increased redundancy costs and pension costs as well as increased legal expenses. Selling, general and administrative expense was 20.1% of net sales in the three months ended September 30, 2020 and 15.3% in the three months ended September 30, 2019 due to the lower sales volume.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(loss) from operations</w:t>
      </w:r>
    </w:p>
    <w:p>
      <w:pPr>
        <w:spacing w:after="0" w:line="13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Loss from operations for the three months ended September 30, 2020 was approximately $0.5 million, a decrease of $3.2 million when compared to the same period in 2019, as a result of the factors noted above.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Nine months ended September 30, 2020 compared to nine months ended September 30, 2019</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sales</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Net sales for the nine months ended September 30, 2020 were approximately $76.4 million, a decrease of $14.0 million compared to the same period in 2019. International sales were $28.7 million in the nine months ended September 30, 2020 and $36.6 million in the nine months ended September 30, 2019. The decrease in net sales is</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54" w:name="page55"/>
    <w:bookmarkEnd w:id="54"/>
    <w:p>
      <w:pPr>
        <w:jc w:val="both"/>
        <w:spacing w:after="0" w:line="261" w:lineRule="auto"/>
        <w:rPr>
          <w:sz w:val="20"/>
          <w:szCs w:val="20"/>
          <w:color w:val="auto"/>
        </w:rPr>
      </w:pPr>
      <w:r>
        <w:rPr>
          <w:rFonts w:ascii="Arial" w:cs="Arial" w:eastAsia="Arial" w:hAnsi="Arial"/>
          <w:sz w:val="18"/>
          <w:szCs w:val="18"/>
          <w:color w:val="auto"/>
        </w:rPr>
        <w:t>primarily a result of softness in the commercial aerospace, oil and gas and advertising specialty markets caused by the global COVID-19 pandemic.</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Gross profit</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Gross profit for the nine months ended September 30, 2020 was approximately $19.1 million compared to approximately $23.4 million in the same period of 2019. Gross profit as a percentage of net sales decreased to 24.9% for the nine months ended September 30, 2020 from 25.9% in the nine months ended September 30, 2019 principally due to product mix, partially offset by improved operating efficiencies.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general and administrative expense</w:t>
      </w:r>
    </w:p>
    <w:p>
      <w:pPr>
        <w:spacing w:after="0" w:line="8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Selling, general and administrative expense in the nine month period ended September 30, 2020 was $13.6 million, a decrease in expense of approximately $0.6 million compared to $14.2 million for the nine months ended September 30, 2019. The decrease in selling, general and administrative expense was due to lower staffing related costs and lower travel and meeting expense partially offset by increased redundancy costs, bad debt reserves due to the adoption of the new credit loss accounting standard and increased legal expenses. Selling, general and administrative expense was 17.8% of net sales in the nine months ended September 30, 2020 and 15.7% in the nine months ended September 30, 2019 due to the lower sales volume.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from operations</w:t>
      </w:r>
    </w:p>
    <w:p>
      <w:pPr>
        <w:spacing w:after="0" w:line="135"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Income from operations for the nine months ended September 30, 2020 was approximately $2.6 million, a decrease of $3.8 million when compared to the same period in 2019, as a result of the factors noted above.</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Foam Fabricators</w:t>
      </w:r>
    </w:p>
    <w:p>
      <w:pPr>
        <w:spacing w:after="0" w:line="243" w:lineRule="exact"/>
        <w:rPr>
          <w:sz w:val="20"/>
          <w:szCs w:val="20"/>
          <w:color w:val="auto"/>
        </w:rPr>
      </w:pPr>
    </w:p>
    <w:tbl>
      <w:tblPr>
        <w:tblLayout w:type="fixed"/>
        <w:tblInd w:w="1080" w:type="dxa"/>
        <w:tblCellMar>
          <w:top w:w="0" w:type="dxa"/>
          <w:left w:w="0" w:type="dxa"/>
          <w:bottom w:w="0" w:type="dxa"/>
          <w:right w:w="0" w:type="dxa"/>
        </w:tblCellMar>
      </w:tblPr>
      <w:tr>
        <w:trPr>
          <w:trHeight w:val="218"/>
        </w:trPr>
        <w:tc>
          <w:tcPr>
            <w:tcW w:w="1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4"/>
          </w:tcPr>
          <w:p>
            <w:pPr>
              <w:jc w:val="right"/>
              <w:ind w:right="199"/>
              <w:spacing w:after="0"/>
              <w:rPr>
                <w:sz w:val="20"/>
                <w:szCs w:val="20"/>
                <w:color w:val="auto"/>
              </w:rPr>
            </w:pPr>
            <w:r>
              <w:rPr>
                <w:rFonts w:ascii="Arial" w:cs="Arial" w:eastAsia="Arial" w:hAnsi="Arial"/>
                <w:sz w:val="16"/>
                <w:szCs w:val="16"/>
                <w:b w:val="1"/>
                <w:bCs w:val="1"/>
                <w:color w:val="auto"/>
              </w:rPr>
              <w:t>Three months ended</w:t>
            </w:r>
          </w:p>
        </w:tc>
        <w:tc>
          <w:tcPr>
            <w:tcW w:w="8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4"/>
          </w:tcPr>
          <w:p>
            <w:pPr>
              <w:jc w:val="right"/>
              <w:ind w:right="299"/>
              <w:spacing w:after="0"/>
              <w:rPr>
                <w:sz w:val="20"/>
                <w:szCs w:val="20"/>
                <w:color w:val="auto"/>
              </w:rPr>
            </w:pPr>
            <w:r>
              <w:rPr>
                <w:rFonts w:ascii="Arial" w:cs="Arial" w:eastAsia="Arial" w:hAnsi="Arial"/>
                <w:sz w:val="16"/>
                <w:szCs w:val="16"/>
                <w:b w:val="1"/>
                <w:bCs w:val="1"/>
                <w:color w:val="auto"/>
              </w:rPr>
              <w:t>Nine months ended</w:t>
            </w:r>
          </w:p>
        </w:tc>
        <w:tc>
          <w:tcPr>
            <w:tcW w:w="820" w:type="dxa"/>
            <w:vAlign w:val="bottom"/>
            <w:tcBorders>
              <w:bottom w:val="single" w:sz="8" w:color="auto"/>
            </w:tcBorders>
          </w:tcPr>
          <w:p>
            <w:pPr>
              <w:spacing w:after="0"/>
              <w:rPr>
                <w:sz w:val="18"/>
                <w:szCs w:val="18"/>
                <w:color w:val="auto"/>
              </w:rPr>
            </w:pPr>
          </w:p>
        </w:tc>
      </w:tr>
      <w:tr>
        <w:trPr>
          <w:trHeight w:val="237"/>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gridSpan w:val="3"/>
          </w:tcPr>
          <w:p>
            <w:pPr>
              <w:ind w:left="20"/>
              <w:spacing w:after="0"/>
              <w:rPr>
                <w:sz w:val="20"/>
                <w:szCs w:val="20"/>
                <w:color w:val="auto"/>
              </w:rPr>
            </w:pPr>
            <w:r>
              <w:rPr>
                <w:rFonts w:ascii="Arial" w:cs="Arial" w:eastAsia="Arial" w:hAnsi="Arial"/>
                <w:sz w:val="16"/>
                <w:szCs w:val="16"/>
                <w:b w:val="1"/>
                <w:bCs w:val="1"/>
                <w:color w:val="auto"/>
              </w:rPr>
              <w:t>September 30, 2020</w:t>
            </w:r>
          </w:p>
        </w:tc>
        <w:tc>
          <w:tcPr>
            <w:tcW w:w="120" w:type="dxa"/>
            <w:vAlign w:val="bottom"/>
          </w:tcPr>
          <w:p>
            <w:pPr>
              <w:spacing w:after="0"/>
              <w:rPr>
                <w:sz w:val="20"/>
                <w:szCs w:val="20"/>
                <w:color w:val="auto"/>
              </w:rPr>
            </w:pPr>
          </w:p>
        </w:tc>
        <w:tc>
          <w:tcPr>
            <w:tcW w:w="1840" w:type="dxa"/>
            <w:vAlign w:val="bottom"/>
            <w:gridSpan w:val="3"/>
          </w:tcPr>
          <w:p>
            <w:pPr>
              <w:ind w:left="20"/>
              <w:spacing w:after="0"/>
              <w:rPr>
                <w:sz w:val="20"/>
                <w:szCs w:val="20"/>
                <w:color w:val="auto"/>
              </w:rPr>
            </w:pPr>
            <w:r>
              <w:rPr>
                <w:rFonts w:ascii="Arial" w:cs="Arial" w:eastAsia="Arial" w:hAnsi="Arial"/>
                <w:sz w:val="16"/>
                <w:szCs w:val="16"/>
                <w:b w:val="1"/>
                <w:bCs w:val="1"/>
                <w:color w:val="auto"/>
              </w:rPr>
              <w:t>September 30, 2019</w:t>
            </w:r>
          </w:p>
        </w:tc>
        <w:tc>
          <w:tcPr>
            <w:tcW w:w="140" w:type="dxa"/>
            <w:vAlign w:val="bottom"/>
          </w:tcPr>
          <w:p>
            <w:pPr>
              <w:spacing w:after="0"/>
              <w:rPr>
                <w:sz w:val="20"/>
                <w:szCs w:val="20"/>
                <w:color w:val="auto"/>
              </w:rPr>
            </w:pPr>
          </w:p>
        </w:tc>
        <w:tc>
          <w:tcPr>
            <w:tcW w:w="1900" w:type="dxa"/>
            <w:vAlign w:val="bottom"/>
            <w:gridSpan w:val="3"/>
          </w:tcPr>
          <w:p>
            <w:pPr>
              <w:ind w:left="40"/>
              <w:spacing w:after="0"/>
              <w:rPr>
                <w:sz w:val="20"/>
                <w:szCs w:val="20"/>
                <w:color w:val="auto"/>
              </w:rPr>
            </w:pPr>
            <w:r>
              <w:rPr>
                <w:rFonts w:ascii="Arial" w:cs="Arial" w:eastAsia="Arial" w:hAnsi="Arial"/>
                <w:sz w:val="16"/>
                <w:szCs w:val="16"/>
                <w:b w:val="1"/>
                <w:bCs w:val="1"/>
                <w:color w:val="auto"/>
              </w:rPr>
              <w:t>September 30, 2020</w:t>
            </w:r>
          </w:p>
        </w:tc>
        <w:tc>
          <w:tcPr>
            <w:tcW w:w="140" w:type="dxa"/>
            <w:vAlign w:val="bottom"/>
          </w:tcPr>
          <w:p>
            <w:pPr>
              <w:spacing w:after="0"/>
              <w:rPr>
                <w:sz w:val="20"/>
                <w:szCs w:val="20"/>
                <w:color w:val="auto"/>
              </w:rPr>
            </w:pPr>
          </w:p>
        </w:tc>
        <w:tc>
          <w:tcPr>
            <w:tcW w:w="1720" w:type="dxa"/>
            <w:vAlign w:val="bottom"/>
            <w:gridSpan w:val="2"/>
          </w:tcPr>
          <w:p>
            <w:pPr>
              <w:jc w:val="right"/>
              <w:ind w:right="99"/>
              <w:spacing w:after="0"/>
              <w:rPr>
                <w:sz w:val="20"/>
                <w:szCs w:val="20"/>
                <w:color w:val="auto"/>
              </w:rPr>
            </w:pPr>
            <w:r>
              <w:rPr>
                <w:rFonts w:ascii="Arial" w:cs="Arial" w:eastAsia="Arial" w:hAnsi="Arial"/>
                <w:sz w:val="16"/>
                <w:szCs w:val="16"/>
                <w:b w:val="1"/>
                <w:bCs w:val="1"/>
                <w:color w:val="auto"/>
              </w:rPr>
              <w:t>September 30, 2019</w:t>
            </w:r>
          </w:p>
        </w:tc>
      </w:tr>
      <w:tr>
        <w:trPr>
          <w:trHeight w:val="253"/>
        </w:trPr>
        <w:tc>
          <w:tcPr>
            <w:tcW w:w="1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36,526</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6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31,304</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4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89,338</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8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93,634</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53"/>
        </w:trPr>
        <w:tc>
          <w:tcPr>
            <w:tcW w:w="128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11,184</w:t>
            </w:r>
          </w:p>
        </w:tc>
        <w:tc>
          <w:tcPr>
            <w:tcW w:w="860" w:type="dxa"/>
            <w:vAlign w:val="bottom"/>
          </w:tcPr>
          <w:p>
            <w:pPr>
              <w:jc w:val="right"/>
              <w:spacing w:after="0"/>
              <w:rPr>
                <w:sz w:val="20"/>
                <w:szCs w:val="20"/>
                <w:color w:val="auto"/>
              </w:rPr>
            </w:pPr>
            <w:r>
              <w:rPr>
                <w:rFonts w:ascii="Arial" w:cs="Arial" w:eastAsia="Arial" w:hAnsi="Arial"/>
                <w:sz w:val="16"/>
                <w:szCs w:val="16"/>
                <w:color w:val="auto"/>
              </w:rPr>
              <w:t>30.6 %</w:t>
            </w:r>
          </w:p>
        </w:tc>
        <w:tc>
          <w:tcPr>
            <w:tcW w:w="16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99"/>
              <w:spacing w:after="0"/>
              <w:rPr>
                <w:sz w:val="20"/>
                <w:szCs w:val="20"/>
                <w:color w:val="auto"/>
              </w:rPr>
            </w:pPr>
            <w:r>
              <w:rPr>
                <w:rFonts w:ascii="Arial" w:cs="Arial" w:eastAsia="Arial" w:hAnsi="Arial"/>
                <w:sz w:val="16"/>
                <w:szCs w:val="16"/>
                <w:color w:val="auto"/>
              </w:rPr>
              <w:t>8,928</w:t>
            </w:r>
          </w:p>
        </w:tc>
        <w:tc>
          <w:tcPr>
            <w:tcW w:w="820" w:type="dxa"/>
            <w:vAlign w:val="bottom"/>
          </w:tcPr>
          <w:p>
            <w:pPr>
              <w:jc w:val="right"/>
              <w:spacing w:after="0"/>
              <w:rPr>
                <w:sz w:val="20"/>
                <w:szCs w:val="20"/>
                <w:color w:val="auto"/>
              </w:rPr>
            </w:pPr>
            <w:r>
              <w:rPr>
                <w:rFonts w:ascii="Arial" w:cs="Arial" w:eastAsia="Arial" w:hAnsi="Arial"/>
                <w:sz w:val="16"/>
                <w:szCs w:val="16"/>
                <w:color w:val="auto"/>
              </w:rPr>
              <w:t>28.5 %</w:t>
            </w:r>
          </w:p>
        </w:tc>
        <w:tc>
          <w:tcPr>
            <w:tcW w:w="14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27,165</w:t>
            </w:r>
          </w:p>
        </w:tc>
        <w:tc>
          <w:tcPr>
            <w:tcW w:w="840" w:type="dxa"/>
            <w:vAlign w:val="bottom"/>
          </w:tcPr>
          <w:p>
            <w:pPr>
              <w:jc w:val="right"/>
              <w:spacing w:after="0"/>
              <w:rPr>
                <w:sz w:val="20"/>
                <w:szCs w:val="20"/>
                <w:color w:val="auto"/>
              </w:rPr>
            </w:pPr>
            <w:r>
              <w:rPr>
                <w:rFonts w:ascii="Arial" w:cs="Arial" w:eastAsia="Arial" w:hAnsi="Arial"/>
                <w:sz w:val="16"/>
                <w:szCs w:val="16"/>
                <w:color w:val="auto"/>
              </w:rPr>
              <w:t>30.4 %</w:t>
            </w:r>
          </w:p>
        </w:tc>
        <w:tc>
          <w:tcPr>
            <w:tcW w:w="18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26,772</w:t>
            </w:r>
          </w:p>
        </w:tc>
        <w:tc>
          <w:tcPr>
            <w:tcW w:w="820" w:type="dxa"/>
            <w:vAlign w:val="bottom"/>
          </w:tcPr>
          <w:p>
            <w:pPr>
              <w:jc w:val="right"/>
              <w:spacing w:after="0"/>
              <w:rPr>
                <w:sz w:val="20"/>
                <w:szCs w:val="20"/>
                <w:color w:val="auto"/>
              </w:rPr>
            </w:pPr>
            <w:r>
              <w:rPr>
                <w:rFonts w:ascii="Arial" w:cs="Arial" w:eastAsia="Arial" w:hAnsi="Arial"/>
                <w:sz w:val="16"/>
                <w:szCs w:val="16"/>
                <w:color w:val="auto"/>
              </w:rPr>
              <w:t>28.6 %</w:t>
            </w:r>
          </w:p>
        </w:tc>
      </w:tr>
      <w:tr>
        <w:trPr>
          <w:trHeight w:val="260"/>
        </w:trPr>
        <w:tc>
          <w:tcPr>
            <w:tcW w:w="1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SG&amp;A</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4,134</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11.3 %</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2,541</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8.1 %</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9,264</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10.4 %</w:t>
            </w:r>
          </w:p>
        </w:tc>
        <w:tc>
          <w:tcPr>
            <w:tcW w:w="18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8,023</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8.6 %</w:t>
            </w:r>
          </w:p>
        </w:tc>
      </w:tr>
      <w:tr>
        <w:trPr>
          <w:trHeight w:val="177"/>
        </w:trPr>
        <w:tc>
          <w:tcPr>
            <w:tcW w:w="1280" w:type="dxa"/>
            <w:vAlign w:val="bottom"/>
          </w:tcPr>
          <w:p>
            <w:pPr>
              <w:ind w:left="20"/>
              <w:spacing w:after="0" w:line="178" w:lineRule="exact"/>
              <w:rPr>
                <w:sz w:val="20"/>
                <w:szCs w:val="20"/>
                <w:color w:val="auto"/>
              </w:rPr>
            </w:pPr>
            <w:r>
              <w:rPr>
                <w:rFonts w:ascii="Arial" w:cs="Arial" w:eastAsia="Arial" w:hAnsi="Arial"/>
                <w:sz w:val="16"/>
                <w:szCs w:val="16"/>
                <w:color w:val="auto"/>
              </w:rPr>
              <w:t>Operating</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95"/>
        </w:trPr>
        <w:tc>
          <w:tcPr>
            <w:tcW w:w="1280" w:type="dxa"/>
            <w:vAlign w:val="bottom"/>
          </w:tcPr>
          <w:p>
            <w:pPr>
              <w:ind w:left="20"/>
              <w:spacing w:after="0"/>
              <w:rPr>
                <w:sz w:val="20"/>
                <w:szCs w:val="20"/>
                <w:color w:val="auto"/>
              </w:rPr>
            </w:pPr>
            <w:r>
              <w:rPr>
                <w:rFonts w:ascii="Arial" w:cs="Arial" w:eastAsia="Arial" w:hAnsi="Arial"/>
                <w:sz w:val="16"/>
                <w:szCs w:val="16"/>
                <w:color w:val="auto"/>
              </w:rPr>
              <w:t>income</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4,759</w:t>
            </w:r>
          </w:p>
        </w:tc>
        <w:tc>
          <w:tcPr>
            <w:tcW w:w="860" w:type="dxa"/>
            <w:vAlign w:val="bottom"/>
          </w:tcPr>
          <w:p>
            <w:pPr>
              <w:jc w:val="right"/>
              <w:spacing w:after="0"/>
              <w:rPr>
                <w:sz w:val="20"/>
                <w:szCs w:val="20"/>
                <w:color w:val="auto"/>
              </w:rPr>
            </w:pPr>
            <w:r>
              <w:rPr>
                <w:rFonts w:ascii="Arial" w:cs="Arial" w:eastAsia="Arial" w:hAnsi="Arial"/>
                <w:sz w:val="16"/>
                <w:szCs w:val="16"/>
                <w:color w:val="auto"/>
              </w:rPr>
              <w:t>13.0 %</w:t>
            </w:r>
          </w:p>
        </w:tc>
        <w:tc>
          <w:tcPr>
            <w:tcW w:w="16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99"/>
              <w:spacing w:after="0"/>
              <w:rPr>
                <w:sz w:val="20"/>
                <w:szCs w:val="20"/>
                <w:color w:val="auto"/>
              </w:rPr>
            </w:pPr>
            <w:r>
              <w:rPr>
                <w:rFonts w:ascii="Arial" w:cs="Arial" w:eastAsia="Arial" w:hAnsi="Arial"/>
                <w:sz w:val="16"/>
                <w:szCs w:val="16"/>
                <w:color w:val="auto"/>
              </w:rPr>
              <w:t>4,141</w:t>
            </w:r>
          </w:p>
        </w:tc>
        <w:tc>
          <w:tcPr>
            <w:tcW w:w="820" w:type="dxa"/>
            <w:vAlign w:val="bottom"/>
          </w:tcPr>
          <w:p>
            <w:pPr>
              <w:jc w:val="right"/>
              <w:spacing w:after="0"/>
              <w:rPr>
                <w:sz w:val="20"/>
                <w:szCs w:val="20"/>
                <w:color w:val="auto"/>
              </w:rPr>
            </w:pPr>
            <w:r>
              <w:rPr>
                <w:rFonts w:ascii="Arial" w:cs="Arial" w:eastAsia="Arial" w:hAnsi="Arial"/>
                <w:sz w:val="16"/>
                <w:szCs w:val="16"/>
                <w:color w:val="auto"/>
              </w:rPr>
              <w:t>13.2 %</w:t>
            </w:r>
          </w:p>
        </w:tc>
        <w:tc>
          <w:tcPr>
            <w:tcW w:w="14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11,118</w:t>
            </w:r>
          </w:p>
        </w:tc>
        <w:tc>
          <w:tcPr>
            <w:tcW w:w="840" w:type="dxa"/>
            <w:vAlign w:val="bottom"/>
          </w:tcPr>
          <w:p>
            <w:pPr>
              <w:jc w:val="right"/>
              <w:spacing w:after="0"/>
              <w:rPr>
                <w:sz w:val="20"/>
                <w:szCs w:val="20"/>
                <w:color w:val="auto"/>
              </w:rPr>
            </w:pPr>
            <w:r>
              <w:rPr>
                <w:rFonts w:ascii="Arial" w:cs="Arial" w:eastAsia="Arial" w:hAnsi="Arial"/>
                <w:sz w:val="16"/>
                <w:szCs w:val="16"/>
                <w:color w:val="auto"/>
              </w:rPr>
              <w:t>12.4 %</w:t>
            </w:r>
          </w:p>
        </w:tc>
        <w:tc>
          <w:tcPr>
            <w:tcW w:w="1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12,011</w:t>
            </w:r>
          </w:p>
        </w:tc>
        <w:tc>
          <w:tcPr>
            <w:tcW w:w="820" w:type="dxa"/>
            <w:vAlign w:val="bottom"/>
          </w:tcPr>
          <w:p>
            <w:pPr>
              <w:jc w:val="right"/>
              <w:spacing w:after="0"/>
              <w:rPr>
                <w:sz w:val="20"/>
                <w:szCs w:val="20"/>
                <w:color w:val="auto"/>
              </w:rPr>
            </w:pPr>
            <w:r>
              <w:rPr>
                <w:rFonts w:ascii="Arial" w:cs="Arial" w:eastAsia="Arial" w:hAnsi="Arial"/>
                <w:sz w:val="16"/>
                <w:szCs w:val="16"/>
                <w:color w:val="auto"/>
              </w:rPr>
              <w:t>12.8 %</w:t>
            </w: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Three months ended September 30, 2020 compared to three months ended September 30, 2019</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sales</w:t>
      </w:r>
    </w:p>
    <w:p>
      <w:pPr>
        <w:spacing w:after="0" w:line="13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Net sales for the quarter ended September 30, 2020 were $36.5 million, an increase of $ 5.2 million, or 16.7%, compared to the quarter ended September 30, 2019. The increase in net sales during the quarter was primarily due to the acquisition of Polyfoam in July 2020.</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Gross profit</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Gross profit as a percentage of net sales was 30.6% and 28.5% for the three months ended September 30, 2020 and 2019, respectively. The increase in gross profit as a percentage of net sales in the quarter ended September 30, 2020 was primarily due to the decreasing price of expanded polystyrene ("EPS") resin. A majority of Foam Fabricator's products are made with EPS resin, an oil and natural gas derived polymer with an added expansion agent, therefore raw material costs will fluctuate based on the price of oil and natural gas.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general and administrative expense</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Selling, general and administrative expense for the three months ended September 30, 2020 was $4.1 million as compared to $2.5 million for the three months ended September 30, 2019, an increase of $1.6 million. The selling, general and administrative expense in the third quarter of 2020 includes $0.3 million in transaction costs related to Foam Fabricators' acquisition of Polyfoam in the third quarter. The remainder of the increase in selling, general and administrative expense was primarily due to the acquisition of Polyfoam.</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from operations</w:t>
      </w:r>
    </w:p>
    <w:p>
      <w:pPr>
        <w:spacing w:after="0" w:line="13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Income from operations was $4.8 million in the three months ended September 30, 2020, an increase of $0.6 million as compared to the three months ended September 30, 2019, based on the factors noted above.</w:t>
      </w:r>
    </w:p>
    <w:p>
      <w:pPr>
        <w:sectPr>
          <w:pgSz w:w="11900" w:h="16838" w:orient="portrait"/>
          <w:cols w:equalWidth="0" w:num="1">
            <w:col w:w="11240"/>
          </w:cols>
          <w:pgMar w:left="320" w:top="101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type w:val="continuous"/>
        </w:sectPr>
      </w:pPr>
    </w:p>
    <w:bookmarkStart w:id="55" w:name="page56"/>
    <w:bookmarkEnd w:id="55"/>
    <w:p>
      <w:pPr>
        <w:jc w:val="center"/>
        <w:spacing w:after="0"/>
        <w:rPr>
          <w:sz w:val="20"/>
          <w:szCs w:val="20"/>
          <w:color w:val="auto"/>
        </w:rPr>
      </w:pPr>
      <w:r>
        <w:rPr>
          <w:rFonts w:ascii="Arial" w:cs="Arial" w:eastAsia="Arial" w:hAnsi="Arial"/>
          <w:sz w:val="18"/>
          <w:szCs w:val="18"/>
          <w:b w:val="1"/>
          <w:bCs w:val="1"/>
          <w:i w:val="1"/>
          <w:iCs w:val="1"/>
          <w:color w:val="auto"/>
        </w:rPr>
        <w:t>Nine months ended September 30, 2020 compared to nine months ended September 30, 2019</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sales</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Net sales for the nine months ended September 30, 2020 were $89.3 million, a decrease of $4.3 million, or 4.6%, compared to the nine months ended September 30, 2019. The decrease in net sales during the first nine months of 2020 was due to a slow-down in the appliance and automotive customer sectors, as well as a general slow-down across other customer segments in April and May, as a result of the effect of the COVID-19 pandemic on our customers' operations. While most of our customer sectors saw improved performance beginning in June, the appliance and automotive sectors continued to see a slowdown in sales through the end of the second quarter. During the third quarter of 2020, appliance sales continued to trend lower versus the prior year due to lower demand and supply chain and labor constraints resulting from the COVID-19 pandemic.</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Gross profit</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Gross profit as a percentage of net sales was 30.4% and 28.6% for the nine months ended September 30, 2020 and 2019, respectively. The increase in gross profit as a percentage of net sales in the nine months ended September 30, 2020 was primarily due to the decreasing price of expanded polystyrene ("EPS") resin. A majority of Foam Fabricator's products are made with EPS resin, an oil and natural gas derived polymer with an added expansion agent, therefore raw material costs will fluctuate based on the price of oil and natural gas.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general and administrative expense</w:t>
      </w:r>
    </w:p>
    <w:p>
      <w:pPr>
        <w:spacing w:after="0" w:line="1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Selling, general and administrative expense for the nine months ended September 30, 2020 was $9.3 million as compared to $8.0 million for the nine months ended September 30, 2019, an increase of $1.2 million. Selling, general and administrative expense for the nine months ended September 30, 2019 included $0.3 million in integration service fees paid to CGM, while the nine months ended September 30, 2020 included $0.2 million in transaction costs related to Foam Fabricators' acquisition of Polyfoam in July 2020. The remainder of the increase in selling, general and administrative expense was primarily due to the acquisition of Polyfoam during the third quarter.</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from operations</w:t>
      </w:r>
    </w:p>
    <w:p>
      <w:pPr>
        <w:spacing w:after="0" w:line="13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Income from operations was $11.1 million in the nine months ended September 30, 2020 as compared to $12.0 million in the nine months ended September 30, 2019, a decrease of $0.9 million based on the factors noted above.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Sterno</w:t>
      </w:r>
    </w:p>
    <w:p>
      <w:pPr>
        <w:spacing w:after="0" w:line="216" w:lineRule="exact"/>
        <w:rPr>
          <w:sz w:val="20"/>
          <w:szCs w:val="20"/>
          <w:color w:val="auto"/>
        </w:rPr>
      </w:pPr>
    </w:p>
    <w:tbl>
      <w:tblPr>
        <w:tblLayout w:type="fixed"/>
        <w:tblInd w:w="1060" w:type="dxa"/>
        <w:tblCellMar>
          <w:top w:w="0" w:type="dxa"/>
          <w:left w:w="0" w:type="dxa"/>
          <w:bottom w:w="0" w:type="dxa"/>
          <w:right w:w="0" w:type="dxa"/>
        </w:tblCellMar>
      </w:tblPr>
      <w:tr>
        <w:trPr>
          <w:trHeight w:val="218"/>
        </w:trPr>
        <w:tc>
          <w:tcPr>
            <w:tcW w:w="1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4"/>
          </w:tcPr>
          <w:p>
            <w:pPr>
              <w:jc w:val="right"/>
              <w:ind w:right="199"/>
              <w:spacing w:after="0"/>
              <w:rPr>
                <w:sz w:val="20"/>
                <w:szCs w:val="20"/>
                <w:color w:val="auto"/>
              </w:rPr>
            </w:pPr>
            <w:r>
              <w:rPr>
                <w:rFonts w:ascii="Arial" w:cs="Arial" w:eastAsia="Arial" w:hAnsi="Arial"/>
                <w:sz w:val="16"/>
                <w:szCs w:val="16"/>
                <w:b w:val="1"/>
                <w:bCs w:val="1"/>
                <w:color w:val="auto"/>
              </w:rPr>
              <w:t>Three months ended</w:t>
            </w:r>
          </w:p>
        </w:tc>
        <w:tc>
          <w:tcPr>
            <w:tcW w:w="8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4"/>
          </w:tcPr>
          <w:p>
            <w:pPr>
              <w:jc w:val="right"/>
              <w:ind w:right="319"/>
              <w:spacing w:after="0"/>
              <w:rPr>
                <w:sz w:val="20"/>
                <w:szCs w:val="20"/>
                <w:color w:val="auto"/>
              </w:rPr>
            </w:pPr>
            <w:r>
              <w:rPr>
                <w:rFonts w:ascii="Arial" w:cs="Arial" w:eastAsia="Arial" w:hAnsi="Arial"/>
                <w:sz w:val="16"/>
                <w:szCs w:val="16"/>
                <w:b w:val="1"/>
                <w:bCs w:val="1"/>
                <w:color w:val="auto"/>
              </w:rPr>
              <w:t>Nine months ended</w:t>
            </w:r>
          </w:p>
        </w:tc>
        <w:tc>
          <w:tcPr>
            <w:tcW w:w="820" w:type="dxa"/>
            <w:vAlign w:val="bottom"/>
            <w:tcBorders>
              <w:bottom w:val="single" w:sz="8" w:color="auto"/>
            </w:tcBorders>
          </w:tcPr>
          <w:p>
            <w:pPr>
              <w:spacing w:after="0"/>
              <w:rPr>
                <w:sz w:val="18"/>
                <w:szCs w:val="18"/>
                <w:color w:val="auto"/>
              </w:rPr>
            </w:pPr>
          </w:p>
        </w:tc>
      </w:tr>
      <w:tr>
        <w:trPr>
          <w:trHeight w:val="236"/>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gridSpan w:val="3"/>
          </w:tcPr>
          <w:p>
            <w:pPr>
              <w:ind w:left="20"/>
              <w:spacing w:after="0"/>
              <w:rPr>
                <w:sz w:val="20"/>
                <w:szCs w:val="20"/>
                <w:color w:val="auto"/>
              </w:rPr>
            </w:pPr>
            <w:r>
              <w:rPr>
                <w:rFonts w:ascii="Arial" w:cs="Arial" w:eastAsia="Arial" w:hAnsi="Arial"/>
                <w:sz w:val="16"/>
                <w:szCs w:val="16"/>
                <w:b w:val="1"/>
                <w:bCs w:val="1"/>
                <w:color w:val="auto"/>
              </w:rPr>
              <w:t>September 30, 2020</w:t>
            </w:r>
          </w:p>
        </w:tc>
        <w:tc>
          <w:tcPr>
            <w:tcW w:w="120" w:type="dxa"/>
            <w:vAlign w:val="bottom"/>
          </w:tcPr>
          <w:p>
            <w:pPr>
              <w:spacing w:after="0"/>
              <w:rPr>
                <w:sz w:val="20"/>
                <w:szCs w:val="20"/>
                <w:color w:val="auto"/>
              </w:rPr>
            </w:pPr>
          </w:p>
        </w:tc>
        <w:tc>
          <w:tcPr>
            <w:tcW w:w="1860" w:type="dxa"/>
            <w:vAlign w:val="bottom"/>
            <w:gridSpan w:val="3"/>
          </w:tcPr>
          <w:p>
            <w:pPr>
              <w:ind w:left="40"/>
              <w:spacing w:after="0"/>
              <w:rPr>
                <w:sz w:val="20"/>
                <w:szCs w:val="20"/>
                <w:color w:val="auto"/>
              </w:rPr>
            </w:pPr>
            <w:r>
              <w:rPr>
                <w:rFonts w:ascii="Arial" w:cs="Arial" w:eastAsia="Arial" w:hAnsi="Arial"/>
                <w:sz w:val="16"/>
                <w:szCs w:val="16"/>
                <w:b w:val="1"/>
                <w:bCs w:val="1"/>
                <w:color w:val="auto"/>
              </w:rPr>
              <w:t>September 30, 2019</w:t>
            </w:r>
          </w:p>
        </w:tc>
        <w:tc>
          <w:tcPr>
            <w:tcW w:w="140" w:type="dxa"/>
            <w:vAlign w:val="bottom"/>
          </w:tcPr>
          <w:p>
            <w:pPr>
              <w:spacing w:after="0"/>
              <w:rPr>
                <w:sz w:val="20"/>
                <w:szCs w:val="20"/>
                <w:color w:val="auto"/>
              </w:rPr>
            </w:pPr>
          </w:p>
        </w:tc>
        <w:tc>
          <w:tcPr>
            <w:tcW w:w="1920" w:type="dxa"/>
            <w:vAlign w:val="bottom"/>
            <w:gridSpan w:val="3"/>
          </w:tcPr>
          <w:p>
            <w:pPr>
              <w:ind w:left="40"/>
              <w:spacing w:after="0"/>
              <w:rPr>
                <w:sz w:val="20"/>
                <w:szCs w:val="20"/>
                <w:color w:val="auto"/>
              </w:rPr>
            </w:pPr>
            <w:r>
              <w:rPr>
                <w:rFonts w:ascii="Arial" w:cs="Arial" w:eastAsia="Arial" w:hAnsi="Arial"/>
                <w:sz w:val="16"/>
                <w:szCs w:val="16"/>
                <w:b w:val="1"/>
                <w:bCs w:val="1"/>
                <w:color w:val="auto"/>
              </w:rPr>
              <w:t>September 30, 2020</w:t>
            </w:r>
          </w:p>
        </w:tc>
        <w:tc>
          <w:tcPr>
            <w:tcW w:w="140" w:type="dxa"/>
            <w:vAlign w:val="bottom"/>
          </w:tcPr>
          <w:p>
            <w:pPr>
              <w:spacing w:after="0"/>
              <w:rPr>
                <w:sz w:val="20"/>
                <w:szCs w:val="20"/>
                <w:color w:val="auto"/>
              </w:rPr>
            </w:pPr>
          </w:p>
        </w:tc>
        <w:tc>
          <w:tcPr>
            <w:tcW w:w="1740" w:type="dxa"/>
            <w:vAlign w:val="bottom"/>
            <w:gridSpan w:val="2"/>
          </w:tcPr>
          <w:p>
            <w:pPr>
              <w:jc w:val="right"/>
              <w:ind w:right="119"/>
              <w:spacing w:after="0"/>
              <w:rPr>
                <w:sz w:val="20"/>
                <w:szCs w:val="20"/>
                <w:color w:val="auto"/>
              </w:rPr>
            </w:pPr>
            <w:r>
              <w:rPr>
                <w:rFonts w:ascii="Arial" w:cs="Arial" w:eastAsia="Arial" w:hAnsi="Arial"/>
                <w:sz w:val="16"/>
                <w:szCs w:val="16"/>
                <w:b w:val="1"/>
                <w:bCs w:val="1"/>
                <w:color w:val="auto"/>
              </w:rPr>
              <w:t>September 30, 2019</w:t>
            </w:r>
          </w:p>
        </w:tc>
      </w:tr>
      <w:tr>
        <w:trPr>
          <w:trHeight w:val="253"/>
        </w:trPr>
        <w:tc>
          <w:tcPr>
            <w:tcW w:w="1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97,737</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6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111,470</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4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258,132</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8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289,131</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67"/>
        </w:trPr>
        <w:tc>
          <w:tcPr>
            <w:tcW w:w="126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20,849</w:t>
            </w:r>
          </w:p>
        </w:tc>
        <w:tc>
          <w:tcPr>
            <w:tcW w:w="860" w:type="dxa"/>
            <w:vAlign w:val="bottom"/>
          </w:tcPr>
          <w:p>
            <w:pPr>
              <w:jc w:val="right"/>
              <w:spacing w:after="0"/>
              <w:rPr>
                <w:sz w:val="20"/>
                <w:szCs w:val="20"/>
                <w:color w:val="auto"/>
              </w:rPr>
            </w:pPr>
            <w:r>
              <w:rPr>
                <w:rFonts w:ascii="Arial" w:cs="Arial" w:eastAsia="Arial" w:hAnsi="Arial"/>
                <w:sz w:val="16"/>
                <w:szCs w:val="16"/>
                <w:color w:val="auto"/>
              </w:rPr>
              <w:t>21.3 %</w:t>
            </w:r>
          </w:p>
        </w:tc>
        <w:tc>
          <w:tcPr>
            <w:tcW w:w="16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26,969</w:t>
            </w:r>
          </w:p>
        </w:tc>
        <w:tc>
          <w:tcPr>
            <w:tcW w:w="820" w:type="dxa"/>
            <w:vAlign w:val="bottom"/>
          </w:tcPr>
          <w:p>
            <w:pPr>
              <w:jc w:val="right"/>
              <w:spacing w:after="0"/>
              <w:rPr>
                <w:sz w:val="20"/>
                <w:szCs w:val="20"/>
                <w:color w:val="auto"/>
              </w:rPr>
            </w:pPr>
            <w:r>
              <w:rPr>
                <w:rFonts w:ascii="Arial" w:cs="Arial" w:eastAsia="Arial" w:hAnsi="Arial"/>
                <w:sz w:val="16"/>
                <w:szCs w:val="16"/>
                <w:color w:val="auto"/>
              </w:rPr>
              <w:t>24.2 %</w:t>
            </w:r>
          </w:p>
        </w:tc>
        <w:tc>
          <w:tcPr>
            <w:tcW w:w="14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56,645</w:t>
            </w:r>
          </w:p>
        </w:tc>
        <w:tc>
          <w:tcPr>
            <w:tcW w:w="840" w:type="dxa"/>
            <w:vAlign w:val="bottom"/>
          </w:tcPr>
          <w:p>
            <w:pPr>
              <w:jc w:val="right"/>
              <w:spacing w:after="0"/>
              <w:rPr>
                <w:sz w:val="20"/>
                <w:szCs w:val="20"/>
                <w:color w:val="auto"/>
              </w:rPr>
            </w:pPr>
            <w:r>
              <w:rPr>
                <w:rFonts w:ascii="Arial" w:cs="Arial" w:eastAsia="Arial" w:hAnsi="Arial"/>
                <w:sz w:val="16"/>
                <w:szCs w:val="16"/>
                <w:color w:val="auto"/>
              </w:rPr>
              <w:t>21.9 %</w:t>
            </w:r>
          </w:p>
        </w:tc>
        <w:tc>
          <w:tcPr>
            <w:tcW w:w="18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71,989</w:t>
            </w:r>
          </w:p>
        </w:tc>
        <w:tc>
          <w:tcPr>
            <w:tcW w:w="820" w:type="dxa"/>
            <w:vAlign w:val="bottom"/>
          </w:tcPr>
          <w:p>
            <w:pPr>
              <w:jc w:val="right"/>
              <w:spacing w:after="0"/>
              <w:rPr>
                <w:sz w:val="20"/>
                <w:szCs w:val="20"/>
                <w:color w:val="auto"/>
              </w:rPr>
            </w:pPr>
            <w:r>
              <w:rPr>
                <w:rFonts w:ascii="Arial" w:cs="Arial" w:eastAsia="Arial" w:hAnsi="Arial"/>
                <w:sz w:val="16"/>
                <w:szCs w:val="16"/>
                <w:color w:val="auto"/>
              </w:rPr>
              <w:t>24.9 %</w:t>
            </w:r>
          </w:p>
        </w:tc>
      </w:tr>
      <w:tr>
        <w:trPr>
          <w:trHeight w:val="273"/>
        </w:trPr>
        <w:tc>
          <w:tcPr>
            <w:tcW w:w="1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SG&amp;A</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8,797</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9.0 %</w:t>
            </w: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9,855</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8.8 %</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26,605</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10.3 %</w:t>
            </w:r>
          </w:p>
        </w:tc>
        <w:tc>
          <w:tcPr>
            <w:tcW w:w="18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30,109</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10.4 %</w:t>
            </w:r>
          </w:p>
        </w:tc>
      </w:tr>
      <w:tr>
        <w:trPr>
          <w:trHeight w:val="177"/>
        </w:trPr>
        <w:tc>
          <w:tcPr>
            <w:tcW w:w="1260" w:type="dxa"/>
            <w:vAlign w:val="bottom"/>
          </w:tcPr>
          <w:p>
            <w:pPr>
              <w:ind w:left="20"/>
              <w:spacing w:after="0" w:line="178" w:lineRule="exact"/>
              <w:rPr>
                <w:sz w:val="20"/>
                <w:szCs w:val="20"/>
                <w:color w:val="auto"/>
              </w:rPr>
            </w:pPr>
            <w:r>
              <w:rPr>
                <w:rFonts w:ascii="Arial" w:cs="Arial" w:eastAsia="Arial" w:hAnsi="Arial"/>
                <w:sz w:val="16"/>
                <w:szCs w:val="16"/>
                <w:color w:val="auto"/>
              </w:rPr>
              <w:t>Operating</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95"/>
        </w:trPr>
        <w:tc>
          <w:tcPr>
            <w:tcW w:w="1260" w:type="dxa"/>
            <w:vAlign w:val="bottom"/>
          </w:tcPr>
          <w:p>
            <w:pPr>
              <w:ind w:left="20"/>
              <w:spacing w:after="0"/>
              <w:rPr>
                <w:sz w:val="20"/>
                <w:szCs w:val="20"/>
                <w:color w:val="auto"/>
              </w:rPr>
            </w:pPr>
            <w:r>
              <w:rPr>
                <w:rFonts w:ascii="Arial" w:cs="Arial" w:eastAsia="Arial" w:hAnsi="Arial"/>
                <w:sz w:val="16"/>
                <w:szCs w:val="16"/>
                <w:color w:val="auto"/>
              </w:rPr>
              <w:t>income</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7,674</w:t>
            </w:r>
          </w:p>
        </w:tc>
        <w:tc>
          <w:tcPr>
            <w:tcW w:w="860" w:type="dxa"/>
            <w:vAlign w:val="bottom"/>
          </w:tcPr>
          <w:p>
            <w:pPr>
              <w:jc w:val="right"/>
              <w:spacing w:after="0"/>
              <w:rPr>
                <w:sz w:val="20"/>
                <w:szCs w:val="20"/>
                <w:color w:val="auto"/>
              </w:rPr>
            </w:pPr>
            <w:r>
              <w:rPr>
                <w:rFonts w:ascii="Arial" w:cs="Arial" w:eastAsia="Arial" w:hAnsi="Arial"/>
                <w:sz w:val="16"/>
                <w:szCs w:val="16"/>
                <w:color w:val="auto"/>
              </w:rPr>
              <w:t>7.9 %</w:t>
            </w:r>
          </w:p>
        </w:tc>
        <w:tc>
          <w:tcPr>
            <w:tcW w:w="16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12,724</w:t>
            </w:r>
          </w:p>
        </w:tc>
        <w:tc>
          <w:tcPr>
            <w:tcW w:w="820" w:type="dxa"/>
            <w:vAlign w:val="bottom"/>
          </w:tcPr>
          <w:p>
            <w:pPr>
              <w:jc w:val="right"/>
              <w:spacing w:after="0"/>
              <w:rPr>
                <w:sz w:val="20"/>
                <w:szCs w:val="20"/>
                <w:color w:val="auto"/>
              </w:rPr>
            </w:pPr>
            <w:r>
              <w:rPr>
                <w:rFonts w:ascii="Arial" w:cs="Arial" w:eastAsia="Arial" w:hAnsi="Arial"/>
                <w:sz w:val="16"/>
                <w:szCs w:val="16"/>
                <w:color w:val="auto"/>
              </w:rPr>
              <w:t>11.4 %</w:t>
            </w:r>
          </w:p>
        </w:tc>
        <w:tc>
          <w:tcPr>
            <w:tcW w:w="14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16,906</w:t>
            </w:r>
          </w:p>
        </w:tc>
        <w:tc>
          <w:tcPr>
            <w:tcW w:w="840" w:type="dxa"/>
            <w:vAlign w:val="bottom"/>
          </w:tcPr>
          <w:p>
            <w:pPr>
              <w:jc w:val="right"/>
              <w:spacing w:after="0"/>
              <w:rPr>
                <w:sz w:val="20"/>
                <w:szCs w:val="20"/>
                <w:color w:val="auto"/>
              </w:rPr>
            </w:pPr>
            <w:r>
              <w:rPr>
                <w:rFonts w:ascii="Arial" w:cs="Arial" w:eastAsia="Arial" w:hAnsi="Arial"/>
                <w:sz w:val="16"/>
                <w:szCs w:val="16"/>
                <w:color w:val="auto"/>
              </w:rPr>
              <w:t>6.5 %</w:t>
            </w:r>
          </w:p>
        </w:tc>
        <w:tc>
          <w:tcPr>
            <w:tcW w:w="1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28,821</w:t>
            </w:r>
          </w:p>
        </w:tc>
        <w:tc>
          <w:tcPr>
            <w:tcW w:w="820" w:type="dxa"/>
            <w:vAlign w:val="bottom"/>
          </w:tcPr>
          <w:p>
            <w:pPr>
              <w:jc w:val="right"/>
              <w:spacing w:after="0"/>
              <w:rPr>
                <w:sz w:val="20"/>
                <w:szCs w:val="20"/>
                <w:color w:val="auto"/>
              </w:rPr>
            </w:pPr>
            <w:r>
              <w:rPr>
                <w:rFonts w:ascii="Arial" w:cs="Arial" w:eastAsia="Arial" w:hAnsi="Arial"/>
                <w:sz w:val="16"/>
                <w:szCs w:val="16"/>
                <w:color w:val="auto"/>
              </w:rPr>
              <w:t>10.0 %</w:t>
            </w:r>
          </w:p>
        </w:tc>
      </w:tr>
    </w:tbl>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Three months ended September 30, 2020 compared to three months ended September 30, 2019</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sales</w:t>
      </w:r>
    </w:p>
    <w:p>
      <w:pPr>
        <w:spacing w:after="0" w:line="1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Net sales for the three months ended September 30, 2020 were approximately $97.7 million, a decrease of $13.7 million, or 12.3%, compared to the same period in 2019. The net sales variance reflects a decrease in sales at Sterno Products and Sterno Home as a result of the effect of COVID-19 on the food service and retail industries during 2020, partially offset by favorable sales volume at Rimports of wax and essential oils in the third quarter of 2020. We expect the food service industry to continue to be negatively impacted for the remainder of 2020 by COVID-19.</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Gross profit</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Gross profit as a percentage of net sales decreased from 24.2% for the three months ended September 30, 2019 to 21.3% for the same period ended September 30, 2020. The decrease in gross profit in the third quarter of 2020 as compared to the third quarter of 2019 was attributable to product mix, with lower margin sales in the third quarter of 2020, higher freight and tariff costs.</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i w:val="1"/>
          <w:iCs w:val="1"/>
          <w:u w:val="single" w:color="auto"/>
          <w:color w:val="auto"/>
        </w:rPr>
        <w:t>Selling, general and administrative expense</w:t>
      </w:r>
    </w:p>
    <w:p>
      <w:pPr>
        <w:spacing w:after="0" w:line="1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Selling, general and administrative expense for the three months ended September 30, 2020 was approximately $ 8.8 million as compared to $9.9 million for the three months ended September 30, 2019, a decrease of $1.1 million, reflecting lower salaries, commissions, and various cost savings initiatives implemented to address the effects of decreased demand from COVID-19. Selling, general and administrative expense represented 9.0% of net sales for the three months ended September 30, 2020 and 8.8% for the three months ended September 30, 2019.</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from operations</w:t>
      </w:r>
    </w:p>
    <w:p>
      <w:pPr>
        <w:spacing w:after="0" w:line="13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Income from operations for the three months ended September 30, 2020 was approximately $7.7 million, a decrease of $5.1 million compared to the three months ended September 30, 2019 based on the factors noted above.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Nine months ended September 30, 2020 compared to nine months ended September 30, 2019</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sales</w:t>
      </w:r>
    </w:p>
    <w:p>
      <w:pPr>
        <w:spacing w:after="0" w:line="1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Net sales for the nine months ended September 30, 2020 were approximately $258.1 million, a decrease of $31.0 million, or 10.7%, compared to the same period in 2019. The net sales variance reflects a decrease in sales at Sterno Products and Sterno Home as a result of the effect of COVID-19 on the food service and retail industries beginning in the latter half of March, partially offset by favorable sales volume at Rimports of wax and essential oils during 2020. We expect the food service industry to continue to be negatively impacted for the remainder of 2020 by COVID-19.</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Gross profit</w:t>
      </w:r>
    </w:p>
    <w:p>
      <w:pPr>
        <w:spacing w:after="0" w:line="12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Gross profit as a percentage of net sales was 21.9% for the nine months ended September 30, 2020 as compared to 24.9% for the nine months ended September 30, 2019. The decrease in gross profit during 2020 as compared to 2019 was attributable to product mix, with lower margin sales in 2020, higher freight and tariff costs.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general and administrative expense</w:t>
      </w:r>
    </w:p>
    <w:p>
      <w:pPr>
        <w:spacing w:after="0" w:line="1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Selling, general and administrative expense for the nine months ended September 30, 2020 was approximately $26.6 million as compared to $30.1 million for the nine months ended September 30, 2019, a decrease of $3.5 million, reflecting lower salaries, commissions, and various cost savings initiatives implemented to address the effects of decreased demand from COVID-19. Selling, general and administrative expense represented 10.3% of net sales for the nine months ended September 30, 2020 and 10.4% for the nine months ended September 30, 2019.</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from operations</w:t>
      </w:r>
    </w:p>
    <w:p>
      <w:pPr>
        <w:spacing w:after="0" w:line="13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Income from operations for the nine months ended September 30, 2020 was approximately $16.9 million, a decrease of $11.9 million compared to the nine months ended September 30, 2019 based on the factors noted above.</w:t>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13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At September 30, 2020, we had approximately $176.8 million of cash and cash equivalents on hand, an increase of $ 76.5 million as compared to the year ended December 31, 2019. In May 2020, we completed an offering of 5,000,000 Trust common shares for net proceeds, after deducting the underwriter's discount and offering costs, of approximately $ 83.9 million. Also in May 2020, we issued $200 million in additional Senior Notes. We used $200 million of the proceeds from the common share offering and issuance of additional Senior Notes to pay down the outstanding amount on our 2018 Revolving Credit Facility. Subsequent to the end of the quarter, we completed the acquisition of BOA for a total purchase price of $454 million (excluding working capital and certain other adjustments upon closing, and transaction costs). The Company funded the acquisition of BOA with cash on hand and a $ 300 million draw on its 2018 Revolving Credit Facility. The majority of our cash is in non-interest bearing checking accounts or invested in short-term money market accounts and is maintained in accordance with the Company’s investment policy, which identifies allowable investments and specifies credit quality standards. The change in cash and cash equivalents is as follows: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i w:val="1"/>
          <w:iCs w:val="1"/>
          <w:color w:val="auto"/>
        </w:rPr>
        <w:t>Operating Activities:</w:t>
      </w:r>
    </w:p>
    <w:p>
      <w:pPr>
        <w:spacing w:after="0" w:line="249" w:lineRule="exact"/>
        <w:rPr>
          <w:sz w:val="20"/>
          <w:szCs w:val="20"/>
          <w:color w:val="auto"/>
        </w:rPr>
      </w:pPr>
    </w:p>
    <w:tbl>
      <w:tblPr>
        <w:tblLayout w:type="fixed"/>
        <w:tblInd w:w="1060" w:type="dxa"/>
        <w:tblCellMar>
          <w:top w:w="0" w:type="dxa"/>
          <w:left w:w="0" w:type="dxa"/>
          <w:bottom w:w="0" w:type="dxa"/>
          <w:right w:w="0" w:type="dxa"/>
        </w:tblCellMar>
      </w:tblPr>
      <w:tr>
        <w:trPr>
          <w:trHeight w:val="206"/>
        </w:trPr>
        <w:tc>
          <w:tcPr>
            <w:tcW w:w="50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940" w:type="dxa"/>
            <w:vAlign w:val="bottom"/>
            <w:tcBorders>
              <w:bottom w:val="single" w:sz="8" w:color="auto"/>
            </w:tcBorders>
            <w:gridSpan w:val="4"/>
          </w:tcPr>
          <w:p>
            <w:pPr>
              <w:ind w:left="1180"/>
              <w:spacing w:after="0"/>
              <w:rPr>
                <w:sz w:val="20"/>
                <w:szCs w:val="20"/>
                <w:color w:val="auto"/>
              </w:rPr>
            </w:pPr>
            <w:r>
              <w:rPr>
                <w:rFonts w:ascii="Arial" w:cs="Arial" w:eastAsia="Arial" w:hAnsi="Arial"/>
                <w:sz w:val="15"/>
                <w:szCs w:val="15"/>
                <w:b w:val="1"/>
                <w:bCs w:val="1"/>
                <w:color w:val="auto"/>
              </w:rPr>
              <w:t>Nine months ended</w:t>
            </w:r>
          </w:p>
        </w:tc>
      </w:tr>
      <w:tr>
        <w:trPr>
          <w:trHeight w:val="200"/>
        </w:trPr>
        <w:tc>
          <w:tcPr>
            <w:tcW w:w="5000" w:type="dxa"/>
            <w:vAlign w:val="bottom"/>
          </w:tcPr>
          <w:p>
            <w:pPr>
              <w:ind w:left="20"/>
              <w:spacing w:after="0"/>
              <w:rPr>
                <w:sz w:val="20"/>
                <w:szCs w:val="20"/>
                <w:color w:val="auto"/>
              </w:rPr>
            </w:pPr>
            <w:r>
              <w:rPr>
                <w:rFonts w:ascii="Arial" w:cs="Arial" w:eastAsia="Arial" w:hAnsi="Arial"/>
                <w:sz w:val="13"/>
                <w:szCs w:val="13"/>
                <w:i w:val="1"/>
                <w:iCs w:val="1"/>
                <w:color w:val="auto"/>
              </w:rPr>
              <w:t>(in thousands)</w:t>
            </w:r>
          </w:p>
        </w:tc>
        <w:tc>
          <w:tcPr>
            <w:tcW w:w="180" w:type="dxa"/>
            <w:vAlign w:val="bottom"/>
          </w:tcPr>
          <w:p>
            <w:pPr>
              <w:spacing w:after="0"/>
              <w:rPr>
                <w:sz w:val="17"/>
                <w:szCs w:val="17"/>
                <w:color w:val="auto"/>
              </w:rPr>
            </w:pPr>
          </w:p>
        </w:tc>
        <w:tc>
          <w:tcPr>
            <w:tcW w:w="1960" w:type="dxa"/>
            <w:vAlign w:val="bottom"/>
            <w:gridSpan w:val="2"/>
          </w:tcPr>
          <w:p>
            <w:pPr>
              <w:ind w:left="100"/>
              <w:spacing w:after="0"/>
              <w:rPr>
                <w:sz w:val="20"/>
                <w:szCs w:val="20"/>
                <w:color w:val="auto"/>
              </w:rPr>
            </w:pPr>
            <w:r>
              <w:rPr>
                <w:rFonts w:ascii="Arial" w:cs="Arial" w:eastAsia="Arial" w:hAnsi="Arial"/>
                <w:sz w:val="15"/>
                <w:szCs w:val="15"/>
                <w:b w:val="1"/>
                <w:bCs w:val="1"/>
                <w:color w:val="auto"/>
              </w:rPr>
              <w:t>September 30, 2020</w:t>
            </w:r>
          </w:p>
        </w:tc>
        <w:tc>
          <w:tcPr>
            <w:tcW w:w="200" w:type="dxa"/>
            <w:vAlign w:val="bottom"/>
          </w:tcPr>
          <w:p>
            <w:pPr>
              <w:spacing w:after="0"/>
              <w:rPr>
                <w:sz w:val="17"/>
                <w:szCs w:val="17"/>
                <w:color w:val="auto"/>
              </w:rPr>
            </w:pPr>
          </w:p>
        </w:tc>
        <w:tc>
          <w:tcPr>
            <w:tcW w:w="1780" w:type="dxa"/>
            <w:vAlign w:val="bottom"/>
          </w:tcPr>
          <w:p>
            <w:pPr>
              <w:jc w:val="right"/>
              <w:ind w:right="204"/>
              <w:spacing w:after="0"/>
              <w:rPr>
                <w:sz w:val="20"/>
                <w:szCs w:val="20"/>
                <w:color w:val="auto"/>
              </w:rPr>
            </w:pPr>
            <w:r>
              <w:rPr>
                <w:rFonts w:ascii="Arial" w:cs="Arial" w:eastAsia="Arial" w:hAnsi="Arial"/>
                <w:sz w:val="15"/>
                <w:szCs w:val="15"/>
                <w:b w:val="1"/>
                <w:bCs w:val="1"/>
                <w:color w:val="auto"/>
              </w:rPr>
              <w:t>September 30, 2019</w:t>
            </w:r>
          </w:p>
        </w:tc>
      </w:tr>
      <w:tr>
        <w:trPr>
          <w:trHeight w:val="196"/>
        </w:trPr>
        <w:tc>
          <w:tcPr>
            <w:tcW w:w="5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Cash provided by operating activities</w:t>
            </w:r>
          </w:p>
        </w:tc>
        <w:tc>
          <w:tcPr>
            <w:tcW w:w="1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800" w:type="dxa"/>
            <w:vAlign w:val="bottom"/>
            <w:tcBorders>
              <w:top w:val="single" w:sz="8" w:color="auto"/>
            </w:tcBorders>
            <w:shd w:val="clear" w:color="auto" w:fill="CCEEFF"/>
          </w:tcPr>
          <w:p>
            <w:pPr>
              <w:ind w:left="1180"/>
              <w:spacing w:after="0"/>
              <w:rPr>
                <w:sz w:val="20"/>
                <w:szCs w:val="20"/>
                <w:color w:val="auto"/>
              </w:rPr>
            </w:pPr>
            <w:r>
              <w:rPr>
                <w:rFonts w:ascii="Arial" w:cs="Arial" w:eastAsia="Arial" w:hAnsi="Arial"/>
                <w:sz w:val="15"/>
                <w:szCs w:val="15"/>
                <w:color w:val="auto"/>
              </w:rPr>
              <w:t>112,872</w:t>
            </w: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31,584</w:t>
            </w:r>
          </w:p>
        </w:tc>
      </w:tr>
    </w:tbl>
    <w:p>
      <w:pPr>
        <w:spacing w:after="0" w:line="31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For the nine months ended September 30, 2020, cash flows provided by operating activities totaled approximately $112.9 million, which represents a $81.3 million increase compared to cash provided by operating activities of $31.6 million during the nine-month period ended September 30, 2019. The increase in cash flows in 2020 is attributable to an increase in income from continuing operations in the nine months ended September 30, 2020, driven by strong performance at our 5.11, Liberty and Velocity businesses, and a significant increase in cash provided by working capital. In the prior year, the Company incurred interest expense related to the 2018 Term Loan, which we paid off in the third and fourth quarter of 2019 using the proceeds from the sale of Clean Earth and our Series C Preferred Share Offering. The payoff of the 2018 Term Loan, partially offset by the increase in interest expense related to $200 million in our 8% Senior Notes issued in May 2020, resulted in a decrease in our interest expense in the first nine months of 2020 as compared to the first nine months of 2019 by approximately $16.3 million. In the prior year, we also recognized a loss of $10.2 million related to the sale of common shares received as part of the consideration for the sale of Manitoba Harvest. Cash provided by operating activities for working capital for the nine months ended September 30, 2020 was $10.4 million, as compared to cash used in operating activities for working capital of $28.6 million for the nine months ended September 30, 2019. The increase in cash provided by working capital in the current year primarily reflects steps our businesses have taken to conserve cash in the current economy.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36" w:lineRule="exact"/>
        <w:rPr>
          <w:sz w:val="20"/>
          <w:szCs w:val="20"/>
          <w:color w:val="auto"/>
        </w:rPr>
      </w:pPr>
    </w:p>
    <w:tbl>
      <w:tblPr>
        <w:tblLayout w:type="fixed"/>
        <w:tblInd w:w="1060" w:type="dxa"/>
        <w:tblCellMar>
          <w:top w:w="0" w:type="dxa"/>
          <w:left w:w="0" w:type="dxa"/>
          <w:bottom w:w="0" w:type="dxa"/>
          <w:right w:w="0" w:type="dxa"/>
        </w:tblCellMar>
      </w:tblPr>
      <w:tr>
        <w:trPr>
          <w:trHeight w:val="206"/>
        </w:trPr>
        <w:tc>
          <w:tcPr>
            <w:tcW w:w="50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940" w:type="dxa"/>
            <w:vAlign w:val="bottom"/>
            <w:tcBorders>
              <w:bottom w:val="single" w:sz="8" w:color="auto"/>
            </w:tcBorders>
            <w:gridSpan w:val="4"/>
          </w:tcPr>
          <w:p>
            <w:pPr>
              <w:jc w:val="right"/>
              <w:ind w:right="1264"/>
              <w:spacing w:after="0"/>
              <w:rPr>
                <w:sz w:val="20"/>
                <w:szCs w:val="20"/>
                <w:color w:val="auto"/>
              </w:rPr>
            </w:pPr>
            <w:r>
              <w:rPr>
                <w:rFonts w:ascii="Arial" w:cs="Arial" w:eastAsia="Arial" w:hAnsi="Arial"/>
                <w:sz w:val="15"/>
                <w:szCs w:val="15"/>
                <w:b w:val="1"/>
                <w:bCs w:val="1"/>
                <w:color w:val="auto"/>
              </w:rPr>
              <w:t>Nine months ended</w:t>
            </w:r>
          </w:p>
        </w:tc>
      </w:tr>
      <w:tr>
        <w:trPr>
          <w:trHeight w:val="200"/>
        </w:trPr>
        <w:tc>
          <w:tcPr>
            <w:tcW w:w="5000" w:type="dxa"/>
            <w:vAlign w:val="bottom"/>
          </w:tcPr>
          <w:p>
            <w:pPr>
              <w:ind w:left="20"/>
              <w:spacing w:after="0"/>
              <w:rPr>
                <w:sz w:val="20"/>
                <w:szCs w:val="20"/>
                <w:color w:val="auto"/>
              </w:rPr>
            </w:pPr>
            <w:r>
              <w:rPr>
                <w:rFonts w:ascii="Arial" w:cs="Arial" w:eastAsia="Arial" w:hAnsi="Arial"/>
                <w:sz w:val="13"/>
                <w:szCs w:val="13"/>
                <w:i w:val="1"/>
                <w:iCs w:val="1"/>
                <w:color w:val="auto"/>
              </w:rPr>
              <w:t>(in thousands)</w:t>
            </w:r>
          </w:p>
        </w:tc>
        <w:tc>
          <w:tcPr>
            <w:tcW w:w="180" w:type="dxa"/>
            <w:vAlign w:val="bottom"/>
          </w:tcPr>
          <w:p>
            <w:pPr>
              <w:spacing w:after="0"/>
              <w:rPr>
                <w:sz w:val="17"/>
                <w:szCs w:val="17"/>
                <w:color w:val="auto"/>
              </w:rPr>
            </w:pPr>
          </w:p>
        </w:tc>
        <w:tc>
          <w:tcPr>
            <w:tcW w:w="1960" w:type="dxa"/>
            <w:vAlign w:val="bottom"/>
            <w:gridSpan w:val="2"/>
          </w:tcPr>
          <w:p>
            <w:pPr>
              <w:ind w:left="100"/>
              <w:spacing w:after="0"/>
              <w:rPr>
                <w:sz w:val="20"/>
                <w:szCs w:val="20"/>
                <w:color w:val="auto"/>
              </w:rPr>
            </w:pPr>
            <w:r>
              <w:rPr>
                <w:rFonts w:ascii="Arial" w:cs="Arial" w:eastAsia="Arial" w:hAnsi="Arial"/>
                <w:sz w:val="15"/>
                <w:szCs w:val="15"/>
                <w:b w:val="1"/>
                <w:bCs w:val="1"/>
                <w:color w:val="auto"/>
              </w:rPr>
              <w:t>September 30, 2020</w:t>
            </w:r>
          </w:p>
        </w:tc>
        <w:tc>
          <w:tcPr>
            <w:tcW w:w="200" w:type="dxa"/>
            <w:vAlign w:val="bottom"/>
          </w:tcPr>
          <w:p>
            <w:pPr>
              <w:spacing w:after="0"/>
              <w:rPr>
                <w:sz w:val="17"/>
                <w:szCs w:val="17"/>
                <w:color w:val="auto"/>
              </w:rPr>
            </w:pPr>
          </w:p>
        </w:tc>
        <w:tc>
          <w:tcPr>
            <w:tcW w:w="1780" w:type="dxa"/>
            <w:vAlign w:val="bottom"/>
          </w:tcPr>
          <w:p>
            <w:pPr>
              <w:jc w:val="right"/>
              <w:ind w:right="204"/>
              <w:spacing w:after="0"/>
              <w:rPr>
                <w:sz w:val="20"/>
                <w:szCs w:val="20"/>
                <w:color w:val="auto"/>
              </w:rPr>
            </w:pPr>
            <w:r>
              <w:rPr>
                <w:rFonts w:ascii="Arial" w:cs="Arial" w:eastAsia="Arial" w:hAnsi="Arial"/>
                <w:sz w:val="15"/>
                <w:szCs w:val="15"/>
                <w:b w:val="1"/>
                <w:bCs w:val="1"/>
                <w:color w:val="auto"/>
              </w:rPr>
              <w:t>September 30, 2019</w:t>
            </w:r>
          </w:p>
        </w:tc>
      </w:tr>
      <w:tr>
        <w:trPr>
          <w:trHeight w:val="196"/>
        </w:trPr>
        <w:tc>
          <w:tcPr>
            <w:tcW w:w="5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Cash (used in) provided by investing activities</w:t>
            </w:r>
          </w:p>
        </w:tc>
        <w:tc>
          <w:tcPr>
            <w:tcW w:w="1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(236,502)</w:t>
            </w: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760,148</w:t>
            </w:r>
          </w:p>
        </w:tc>
      </w:tr>
    </w:tbl>
    <w:p>
      <w:pPr>
        <w:spacing w:after="0" w:line="31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Cash flows used in investing activities for the nine months ended September 30, 2020 totaled $236.5 million, compared to cash provided by investing activities of $760.1 million in the same period of 2019. Cash provided by investing activities in the prior year primarily related to the proceeds received from the sale of our Manitoba Harvest and Clean Earth businesses, while investing activities in the nine months ended September 30, 2020 reflect the acquisition of Marucci Sports in April 2020. Our spending on capital expenditures was consistent year over year, with $20.1 million in capital expenditures in the nine months ended September 30, 2020 and $22.0 million in capital expenditures in the nine months ended September 30, 2019. We expect capital expenditures for the full year of 2020 to be approximately $28 million to $ 33 million, which reflects a reduction in our capital spending from the December 31, 2019 expectation in response to the expected effect of COVID-19 on our cash flows.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303" w:lineRule="exact"/>
        <w:rPr>
          <w:sz w:val="20"/>
          <w:szCs w:val="20"/>
          <w:color w:val="auto"/>
        </w:rPr>
      </w:pPr>
    </w:p>
    <w:tbl>
      <w:tblPr>
        <w:tblLayout w:type="fixed"/>
        <w:tblInd w:w="1060" w:type="dxa"/>
        <w:tblCellMar>
          <w:top w:w="0" w:type="dxa"/>
          <w:left w:w="0" w:type="dxa"/>
          <w:bottom w:w="0" w:type="dxa"/>
          <w:right w:w="0" w:type="dxa"/>
        </w:tblCellMar>
      </w:tblPr>
      <w:tr>
        <w:trPr>
          <w:trHeight w:val="206"/>
        </w:trPr>
        <w:tc>
          <w:tcPr>
            <w:tcW w:w="50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940" w:type="dxa"/>
            <w:vAlign w:val="bottom"/>
            <w:tcBorders>
              <w:bottom w:val="single" w:sz="8" w:color="auto"/>
            </w:tcBorders>
            <w:gridSpan w:val="4"/>
          </w:tcPr>
          <w:p>
            <w:pPr>
              <w:ind w:left="1180"/>
              <w:spacing w:after="0"/>
              <w:rPr>
                <w:sz w:val="20"/>
                <w:szCs w:val="20"/>
                <w:color w:val="auto"/>
              </w:rPr>
            </w:pPr>
            <w:r>
              <w:rPr>
                <w:rFonts w:ascii="Arial" w:cs="Arial" w:eastAsia="Arial" w:hAnsi="Arial"/>
                <w:sz w:val="15"/>
                <w:szCs w:val="15"/>
                <w:b w:val="1"/>
                <w:bCs w:val="1"/>
                <w:color w:val="auto"/>
              </w:rPr>
              <w:t>Nine months ended</w:t>
            </w:r>
          </w:p>
        </w:tc>
      </w:tr>
      <w:tr>
        <w:trPr>
          <w:trHeight w:val="200"/>
        </w:trPr>
        <w:tc>
          <w:tcPr>
            <w:tcW w:w="5000" w:type="dxa"/>
            <w:vAlign w:val="bottom"/>
          </w:tcPr>
          <w:p>
            <w:pPr>
              <w:ind w:left="20"/>
              <w:spacing w:after="0"/>
              <w:rPr>
                <w:sz w:val="20"/>
                <w:szCs w:val="20"/>
                <w:color w:val="auto"/>
              </w:rPr>
            </w:pPr>
            <w:r>
              <w:rPr>
                <w:rFonts w:ascii="Arial" w:cs="Arial" w:eastAsia="Arial" w:hAnsi="Arial"/>
                <w:sz w:val="13"/>
                <w:szCs w:val="13"/>
                <w:i w:val="1"/>
                <w:iCs w:val="1"/>
                <w:color w:val="auto"/>
              </w:rPr>
              <w:t>(in thousands)</w:t>
            </w:r>
          </w:p>
        </w:tc>
        <w:tc>
          <w:tcPr>
            <w:tcW w:w="180" w:type="dxa"/>
            <w:vAlign w:val="bottom"/>
          </w:tcPr>
          <w:p>
            <w:pPr>
              <w:spacing w:after="0"/>
              <w:rPr>
                <w:sz w:val="17"/>
                <w:szCs w:val="17"/>
                <w:color w:val="auto"/>
              </w:rPr>
            </w:pPr>
          </w:p>
        </w:tc>
        <w:tc>
          <w:tcPr>
            <w:tcW w:w="1960" w:type="dxa"/>
            <w:vAlign w:val="bottom"/>
            <w:gridSpan w:val="2"/>
          </w:tcPr>
          <w:p>
            <w:pPr>
              <w:ind w:left="100"/>
              <w:spacing w:after="0"/>
              <w:rPr>
                <w:sz w:val="20"/>
                <w:szCs w:val="20"/>
                <w:color w:val="auto"/>
              </w:rPr>
            </w:pPr>
            <w:r>
              <w:rPr>
                <w:rFonts w:ascii="Arial" w:cs="Arial" w:eastAsia="Arial" w:hAnsi="Arial"/>
                <w:sz w:val="15"/>
                <w:szCs w:val="15"/>
                <w:b w:val="1"/>
                <w:bCs w:val="1"/>
                <w:color w:val="auto"/>
              </w:rPr>
              <w:t>September 30, 2020</w:t>
            </w:r>
          </w:p>
        </w:tc>
        <w:tc>
          <w:tcPr>
            <w:tcW w:w="200" w:type="dxa"/>
            <w:vAlign w:val="bottom"/>
          </w:tcPr>
          <w:p>
            <w:pPr>
              <w:spacing w:after="0"/>
              <w:rPr>
                <w:sz w:val="17"/>
                <w:szCs w:val="17"/>
                <w:color w:val="auto"/>
              </w:rPr>
            </w:pPr>
          </w:p>
        </w:tc>
        <w:tc>
          <w:tcPr>
            <w:tcW w:w="1780" w:type="dxa"/>
            <w:vAlign w:val="bottom"/>
          </w:tcPr>
          <w:p>
            <w:pPr>
              <w:jc w:val="right"/>
              <w:ind w:right="204"/>
              <w:spacing w:after="0"/>
              <w:rPr>
                <w:sz w:val="20"/>
                <w:szCs w:val="20"/>
                <w:color w:val="auto"/>
              </w:rPr>
            </w:pPr>
            <w:r>
              <w:rPr>
                <w:rFonts w:ascii="Arial" w:cs="Arial" w:eastAsia="Arial" w:hAnsi="Arial"/>
                <w:sz w:val="15"/>
                <w:szCs w:val="15"/>
                <w:b w:val="1"/>
                <w:bCs w:val="1"/>
                <w:color w:val="auto"/>
              </w:rPr>
              <w:t>September 30, 2019</w:t>
            </w:r>
          </w:p>
        </w:tc>
      </w:tr>
      <w:tr>
        <w:trPr>
          <w:trHeight w:val="196"/>
        </w:trPr>
        <w:tc>
          <w:tcPr>
            <w:tcW w:w="5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Cash provided by (used in) financing activities</w:t>
            </w:r>
          </w:p>
        </w:tc>
        <w:tc>
          <w:tcPr>
            <w:tcW w:w="1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800" w:type="dxa"/>
            <w:vAlign w:val="bottom"/>
            <w:tcBorders>
              <w:top w:val="single" w:sz="8" w:color="auto"/>
            </w:tcBorders>
            <w:shd w:val="clear" w:color="auto" w:fill="CCEEFF"/>
          </w:tcPr>
          <w:p>
            <w:pPr>
              <w:ind w:left="1180"/>
              <w:spacing w:after="0"/>
              <w:rPr>
                <w:sz w:val="20"/>
                <w:szCs w:val="20"/>
                <w:color w:val="auto"/>
              </w:rPr>
            </w:pPr>
            <w:r>
              <w:rPr>
                <w:rFonts w:ascii="Arial" w:cs="Arial" w:eastAsia="Arial" w:hAnsi="Arial"/>
                <w:sz w:val="15"/>
                <w:szCs w:val="15"/>
                <w:color w:val="auto"/>
              </w:rPr>
              <w:t>200,395</w:t>
            </w: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(557,118)</w:t>
            </w:r>
          </w:p>
        </w:tc>
      </w:tr>
    </w:tbl>
    <w:p>
      <w:pPr>
        <w:spacing w:after="0" w:line="31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Cash flows provided by financing activities totaled approximately $200.4 million during the nine months ended September 30, 2020 compared to cash flows used in financing activities of $557.1 million during the nine months ended September 30, 2019. Financing activities in both periods reflect the payment of our common and preferred share distributions, with a $6.3 million increase in the preferred share distribution as a result of the issuance of our Series C Preferred Shares in November 2019. In the prior year, we used the proceeds from our sale of Manitoba Harvest and Clean Earth to repay amounts outstanding under our 2018 Revolving Credit Facility and 2018 Term Loan, while in the current year, we completed a common share offering and the issuance of $200 million in Senior Notes, resulting in net proceeds of $285.9 million. A portion of the proceeds received from the issuance of Senior Notes and common share offering were used to pay down the amount outstanding on our 2018 Revolving Credit</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58" w:name="page59"/>
    <w:bookmarkEnd w:id="58"/>
    <w:p>
      <w:pPr>
        <w:jc w:val="both"/>
        <w:spacing w:after="0" w:line="261" w:lineRule="auto"/>
        <w:rPr>
          <w:sz w:val="20"/>
          <w:szCs w:val="20"/>
          <w:color w:val="auto"/>
        </w:rPr>
      </w:pPr>
      <w:r>
        <w:rPr>
          <w:rFonts w:ascii="Arial" w:cs="Arial" w:eastAsia="Arial" w:hAnsi="Arial"/>
          <w:sz w:val="18"/>
          <w:szCs w:val="18"/>
          <w:color w:val="auto"/>
        </w:rPr>
        <w:t>facility. During the nine months ended September 30, 2020, we also made a distribution to the Allocation Member of $9.1 million related to the five year Holding event for our Sterno business.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Intercompany Debt</w:t>
      </w:r>
    </w:p>
    <w:p>
      <w:pPr>
        <w:spacing w:after="0" w:line="13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 component of our acquisition financing strategy that we utilize in acquiring the businesses we own and manage is to provide both equity capital and debt capital, raised at the parent level through our existing credit facility. Our strategy of providing intercompany debt financing within the capital structure of the businesses that we acquire and manage allows us the ability to distribute cash to the parent company through monthly interest payments and amortization of the principal on these intercompany loans. Each loan to our businesses has a scheduled maturity and each business is entitled to repay all or a portion of the principal amount of the outstanding loans, without penalty, prior to maturity. Certain of our businesses have paid down their respective intercompany debt balances through the cash flow generated by these businesses and we have recapitalized, and expect to continue to recapitalize, these businesses in the normal course of our business. The recapitalization process involves funding the intercompany debt using either cash on hand at the parent or our applicable Credit Facility, and serves the purpose of optimizing the capital structure at our subsidiaries and providing the noncontrolling shareholders with a distribution on their ownership interest in a cash flow positive business. All of our subsidiaries were in compliance with the financial covenants included within their intercompany credit arrangements at September 30, 2020.</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2020, we had the following outstanding loans due from each of our businesses:</w:t>
      </w:r>
    </w:p>
    <w:p>
      <w:pPr>
        <w:spacing w:after="0" w:line="127" w:lineRule="exact"/>
        <w:rPr>
          <w:sz w:val="20"/>
          <w:szCs w:val="20"/>
          <w:color w:val="auto"/>
        </w:rPr>
      </w:pPr>
    </w:p>
    <w:p>
      <w:pPr>
        <w:ind w:left="3280"/>
        <w:spacing w:after="0"/>
        <w:rPr>
          <w:sz w:val="20"/>
          <w:szCs w:val="20"/>
          <w:color w:val="auto"/>
        </w:rPr>
      </w:pPr>
      <w:r>
        <w:rPr>
          <w:rFonts w:ascii="Arial" w:cs="Arial" w:eastAsia="Arial" w:hAnsi="Arial"/>
          <w:sz w:val="13"/>
          <w:szCs w:val="13"/>
          <w:i w:val="1"/>
          <w:iCs w:val="1"/>
          <w:color w:val="auto"/>
        </w:rPr>
        <w:t>(in thousands)</w:t>
      </w:r>
    </w:p>
    <w:p>
      <w:pPr>
        <w:spacing w:after="0" w:line="14" w:lineRule="exact"/>
        <w:rPr>
          <w:sz w:val="20"/>
          <w:szCs w:val="20"/>
          <w:color w:val="auto"/>
        </w:rPr>
      </w:pPr>
    </w:p>
    <w:tbl>
      <w:tblPr>
        <w:tblLayout w:type="fixed"/>
        <w:tblInd w:w="3280" w:type="dxa"/>
        <w:tblCellMar>
          <w:top w:w="0" w:type="dxa"/>
          <w:left w:w="0" w:type="dxa"/>
          <w:bottom w:w="0" w:type="dxa"/>
          <w:right w:w="0" w:type="dxa"/>
        </w:tblCellMar>
      </w:tblPr>
      <w:tr>
        <w:trPr>
          <w:trHeight w:val="212"/>
        </w:trPr>
        <w:tc>
          <w:tcPr>
            <w:tcW w:w="2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5.11</w:t>
            </w:r>
          </w:p>
        </w:tc>
        <w:tc>
          <w:tcPr>
            <w:tcW w:w="1480" w:type="dxa"/>
            <w:vAlign w:val="bottom"/>
            <w:tcBorders>
              <w:top w:val="single" w:sz="8" w:color="auto"/>
            </w:tcBorders>
            <w:shd w:val="clear" w:color="auto" w:fill="CCEEFF"/>
          </w:tcPr>
          <w:p>
            <w:pPr>
              <w:jc w:val="right"/>
              <w:ind w:right="304"/>
              <w:spacing w:after="0"/>
              <w:rPr>
                <w:sz w:val="20"/>
                <w:szCs w:val="20"/>
                <w:color w:val="auto"/>
              </w:rPr>
            </w:pPr>
            <w:r>
              <w:rPr>
                <w:rFonts w:ascii="Arial" w:cs="Arial" w:eastAsia="Arial" w:hAnsi="Arial"/>
                <w:sz w:val="15"/>
                <w:szCs w:val="15"/>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170,765</w:t>
            </w:r>
          </w:p>
        </w:tc>
      </w:tr>
      <w:tr>
        <w:trPr>
          <w:trHeight w:val="198"/>
        </w:trPr>
        <w:tc>
          <w:tcPr>
            <w:tcW w:w="2240" w:type="dxa"/>
            <w:vAlign w:val="bottom"/>
          </w:tcPr>
          <w:p>
            <w:pPr>
              <w:spacing w:after="0"/>
              <w:rPr>
                <w:sz w:val="20"/>
                <w:szCs w:val="20"/>
                <w:color w:val="auto"/>
              </w:rPr>
            </w:pPr>
            <w:r>
              <w:rPr>
                <w:rFonts w:ascii="Arial" w:cs="Arial" w:eastAsia="Arial" w:hAnsi="Arial"/>
                <w:sz w:val="15"/>
                <w:szCs w:val="15"/>
                <w:color w:val="auto"/>
              </w:rPr>
              <w:t>Ergobaby</w:t>
            </w:r>
          </w:p>
        </w:tc>
        <w:tc>
          <w:tcPr>
            <w:tcW w:w="1480" w:type="dxa"/>
            <w:vAlign w:val="bottom"/>
          </w:tcPr>
          <w:p>
            <w:pPr>
              <w:jc w:val="right"/>
              <w:ind w:right="304"/>
              <w:spacing w:after="0"/>
              <w:rPr>
                <w:sz w:val="20"/>
                <w:szCs w:val="20"/>
                <w:color w:val="auto"/>
              </w:rPr>
            </w:pPr>
            <w:r>
              <w:rPr>
                <w:rFonts w:ascii="Arial" w:cs="Arial" w:eastAsia="Arial" w:hAnsi="Arial"/>
                <w:sz w:val="15"/>
                <w:szCs w:val="15"/>
                <w:color w:val="auto"/>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30,041</w:t>
            </w:r>
          </w:p>
        </w:tc>
      </w:tr>
      <w:tr>
        <w:trPr>
          <w:trHeight w:val="207"/>
        </w:trPr>
        <w:tc>
          <w:tcPr>
            <w:tcW w:w="2240" w:type="dxa"/>
            <w:vAlign w:val="bottom"/>
            <w:shd w:val="clear" w:color="auto" w:fill="CCEEFF"/>
          </w:tcPr>
          <w:p>
            <w:pPr>
              <w:spacing w:after="0"/>
              <w:rPr>
                <w:sz w:val="20"/>
                <w:szCs w:val="20"/>
                <w:color w:val="auto"/>
              </w:rPr>
            </w:pPr>
            <w:r>
              <w:rPr>
                <w:rFonts w:ascii="Arial" w:cs="Arial" w:eastAsia="Arial" w:hAnsi="Arial"/>
                <w:sz w:val="15"/>
                <w:szCs w:val="15"/>
                <w:color w:val="auto"/>
              </w:rPr>
              <w:t>Liberty</w:t>
            </w:r>
          </w:p>
        </w:tc>
        <w:tc>
          <w:tcPr>
            <w:tcW w:w="1480" w:type="dxa"/>
            <w:vAlign w:val="bottom"/>
            <w:shd w:val="clear" w:color="auto" w:fill="CCEEFF"/>
          </w:tcPr>
          <w:p>
            <w:pPr>
              <w:jc w:val="right"/>
              <w:ind w:right="304"/>
              <w:spacing w:after="0"/>
              <w:rPr>
                <w:sz w:val="20"/>
                <w:szCs w:val="20"/>
                <w:color w:val="auto"/>
              </w:rPr>
            </w:pPr>
            <w:r>
              <w:rPr>
                <w:rFonts w:ascii="Arial" w:cs="Arial" w:eastAsia="Arial" w:hAnsi="Arial"/>
                <w:sz w:val="15"/>
                <w:szCs w:val="15"/>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37,657</w:t>
            </w:r>
          </w:p>
        </w:tc>
      </w:tr>
      <w:tr>
        <w:trPr>
          <w:trHeight w:val="198"/>
        </w:trPr>
        <w:tc>
          <w:tcPr>
            <w:tcW w:w="2240" w:type="dxa"/>
            <w:vAlign w:val="bottom"/>
          </w:tcPr>
          <w:p>
            <w:pPr>
              <w:spacing w:after="0"/>
              <w:rPr>
                <w:sz w:val="20"/>
                <w:szCs w:val="20"/>
                <w:color w:val="auto"/>
              </w:rPr>
            </w:pPr>
            <w:r>
              <w:rPr>
                <w:rFonts w:ascii="Arial" w:cs="Arial" w:eastAsia="Arial" w:hAnsi="Arial"/>
                <w:sz w:val="15"/>
                <w:szCs w:val="15"/>
                <w:color w:val="auto"/>
              </w:rPr>
              <w:t>Marucci</w:t>
            </w:r>
          </w:p>
        </w:tc>
        <w:tc>
          <w:tcPr>
            <w:tcW w:w="1480" w:type="dxa"/>
            <w:vAlign w:val="bottom"/>
          </w:tcPr>
          <w:p>
            <w:pPr>
              <w:jc w:val="right"/>
              <w:ind w:right="304"/>
              <w:spacing w:after="0"/>
              <w:rPr>
                <w:sz w:val="20"/>
                <w:szCs w:val="20"/>
                <w:color w:val="auto"/>
              </w:rPr>
            </w:pPr>
            <w:r>
              <w:rPr>
                <w:rFonts w:ascii="Arial" w:cs="Arial" w:eastAsia="Arial" w:hAnsi="Arial"/>
                <w:sz w:val="15"/>
                <w:szCs w:val="15"/>
                <w:color w:val="auto"/>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39,625</w:t>
            </w:r>
          </w:p>
        </w:tc>
      </w:tr>
      <w:tr>
        <w:trPr>
          <w:trHeight w:val="207"/>
        </w:trPr>
        <w:tc>
          <w:tcPr>
            <w:tcW w:w="2240" w:type="dxa"/>
            <w:vAlign w:val="bottom"/>
            <w:shd w:val="clear" w:color="auto" w:fill="CCEEFF"/>
          </w:tcPr>
          <w:p>
            <w:pPr>
              <w:spacing w:after="0"/>
              <w:rPr>
                <w:sz w:val="20"/>
                <w:szCs w:val="20"/>
                <w:color w:val="auto"/>
              </w:rPr>
            </w:pPr>
            <w:r>
              <w:rPr>
                <w:rFonts w:ascii="Arial" w:cs="Arial" w:eastAsia="Arial" w:hAnsi="Arial"/>
                <w:sz w:val="15"/>
                <w:szCs w:val="15"/>
                <w:color w:val="auto"/>
              </w:rPr>
              <w:t>Velocity Outdoor</w:t>
            </w:r>
          </w:p>
        </w:tc>
        <w:tc>
          <w:tcPr>
            <w:tcW w:w="1480" w:type="dxa"/>
            <w:vAlign w:val="bottom"/>
            <w:shd w:val="clear" w:color="auto" w:fill="CCEEFF"/>
          </w:tcPr>
          <w:p>
            <w:pPr>
              <w:jc w:val="right"/>
              <w:ind w:right="304"/>
              <w:spacing w:after="0"/>
              <w:rPr>
                <w:sz w:val="20"/>
                <w:szCs w:val="20"/>
                <w:color w:val="auto"/>
              </w:rPr>
            </w:pPr>
            <w:r>
              <w:rPr>
                <w:rFonts w:ascii="Arial" w:cs="Arial" w:eastAsia="Arial" w:hAnsi="Arial"/>
                <w:sz w:val="15"/>
                <w:szCs w:val="15"/>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101,140</w:t>
            </w:r>
          </w:p>
        </w:tc>
      </w:tr>
      <w:tr>
        <w:trPr>
          <w:trHeight w:val="198"/>
        </w:trPr>
        <w:tc>
          <w:tcPr>
            <w:tcW w:w="2240" w:type="dxa"/>
            <w:vAlign w:val="bottom"/>
          </w:tcPr>
          <w:p>
            <w:pPr>
              <w:spacing w:after="0"/>
              <w:rPr>
                <w:sz w:val="20"/>
                <w:szCs w:val="20"/>
                <w:color w:val="auto"/>
              </w:rPr>
            </w:pPr>
            <w:r>
              <w:rPr>
                <w:rFonts w:ascii="Arial" w:cs="Arial" w:eastAsia="Arial" w:hAnsi="Arial"/>
                <w:sz w:val="15"/>
                <w:szCs w:val="15"/>
                <w:color w:val="auto"/>
              </w:rPr>
              <w:t>Advanced Circuits</w:t>
            </w:r>
          </w:p>
        </w:tc>
        <w:tc>
          <w:tcPr>
            <w:tcW w:w="1480" w:type="dxa"/>
            <w:vAlign w:val="bottom"/>
          </w:tcPr>
          <w:p>
            <w:pPr>
              <w:jc w:val="right"/>
              <w:ind w:right="304"/>
              <w:spacing w:after="0"/>
              <w:rPr>
                <w:sz w:val="20"/>
                <w:szCs w:val="20"/>
                <w:color w:val="auto"/>
              </w:rPr>
            </w:pPr>
            <w:r>
              <w:rPr>
                <w:rFonts w:ascii="Arial" w:cs="Arial" w:eastAsia="Arial" w:hAnsi="Arial"/>
                <w:sz w:val="15"/>
                <w:szCs w:val="15"/>
                <w:color w:val="auto"/>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51,283</w:t>
            </w:r>
          </w:p>
        </w:tc>
      </w:tr>
      <w:tr>
        <w:trPr>
          <w:trHeight w:val="207"/>
        </w:trPr>
        <w:tc>
          <w:tcPr>
            <w:tcW w:w="2240" w:type="dxa"/>
            <w:vAlign w:val="bottom"/>
            <w:shd w:val="clear" w:color="auto" w:fill="CCEEFF"/>
          </w:tcPr>
          <w:p>
            <w:pPr>
              <w:spacing w:after="0"/>
              <w:rPr>
                <w:sz w:val="20"/>
                <w:szCs w:val="20"/>
                <w:color w:val="auto"/>
              </w:rPr>
            </w:pPr>
            <w:r>
              <w:rPr>
                <w:rFonts w:ascii="Arial" w:cs="Arial" w:eastAsia="Arial" w:hAnsi="Arial"/>
                <w:sz w:val="15"/>
                <w:szCs w:val="15"/>
                <w:color w:val="auto"/>
              </w:rPr>
              <w:t>Arnold</w:t>
            </w:r>
          </w:p>
        </w:tc>
        <w:tc>
          <w:tcPr>
            <w:tcW w:w="1480" w:type="dxa"/>
            <w:vAlign w:val="bottom"/>
            <w:shd w:val="clear" w:color="auto" w:fill="CCEEFF"/>
          </w:tcPr>
          <w:p>
            <w:pPr>
              <w:jc w:val="right"/>
              <w:ind w:right="304"/>
              <w:spacing w:after="0"/>
              <w:rPr>
                <w:sz w:val="20"/>
                <w:szCs w:val="20"/>
                <w:color w:val="auto"/>
              </w:rPr>
            </w:pPr>
            <w:r>
              <w:rPr>
                <w:rFonts w:ascii="Arial" w:cs="Arial" w:eastAsia="Arial" w:hAnsi="Arial"/>
                <w:sz w:val="15"/>
                <w:szCs w:val="15"/>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74,180</w:t>
            </w:r>
          </w:p>
        </w:tc>
      </w:tr>
      <w:tr>
        <w:trPr>
          <w:trHeight w:val="198"/>
        </w:trPr>
        <w:tc>
          <w:tcPr>
            <w:tcW w:w="2240" w:type="dxa"/>
            <w:vAlign w:val="bottom"/>
          </w:tcPr>
          <w:p>
            <w:pPr>
              <w:spacing w:after="0"/>
              <w:rPr>
                <w:sz w:val="20"/>
                <w:szCs w:val="20"/>
                <w:color w:val="auto"/>
              </w:rPr>
            </w:pPr>
            <w:r>
              <w:rPr>
                <w:rFonts w:ascii="Arial" w:cs="Arial" w:eastAsia="Arial" w:hAnsi="Arial"/>
                <w:sz w:val="15"/>
                <w:szCs w:val="15"/>
                <w:color w:val="auto"/>
              </w:rPr>
              <w:t>Foam Fabricators</w:t>
            </w:r>
          </w:p>
        </w:tc>
        <w:tc>
          <w:tcPr>
            <w:tcW w:w="1480" w:type="dxa"/>
            <w:vAlign w:val="bottom"/>
          </w:tcPr>
          <w:p>
            <w:pPr>
              <w:jc w:val="right"/>
              <w:ind w:right="304"/>
              <w:spacing w:after="0"/>
              <w:rPr>
                <w:sz w:val="20"/>
                <w:szCs w:val="20"/>
                <w:color w:val="auto"/>
              </w:rPr>
            </w:pPr>
            <w:r>
              <w:rPr>
                <w:rFonts w:ascii="Arial" w:cs="Arial" w:eastAsia="Arial" w:hAnsi="Arial"/>
                <w:sz w:val="15"/>
                <w:szCs w:val="15"/>
                <w:color w:val="auto"/>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87,087</w:t>
            </w:r>
          </w:p>
        </w:tc>
      </w:tr>
      <w:tr>
        <w:trPr>
          <w:trHeight w:val="207"/>
        </w:trPr>
        <w:tc>
          <w:tcPr>
            <w:tcW w:w="2240" w:type="dxa"/>
            <w:vAlign w:val="bottom"/>
            <w:shd w:val="clear" w:color="auto" w:fill="CCEEFF"/>
          </w:tcPr>
          <w:p>
            <w:pPr>
              <w:spacing w:after="0"/>
              <w:rPr>
                <w:sz w:val="20"/>
                <w:szCs w:val="20"/>
                <w:color w:val="auto"/>
              </w:rPr>
            </w:pPr>
            <w:r>
              <w:rPr>
                <w:rFonts w:ascii="Arial" w:cs="Arial" w:eastAsia="Arial" w:hAnsi="Arial"/>
                <w:sz w:val="15"/>
                <w:szCs w:val="15"/>
                <w:color w:val="auto"/>
              </w:rPr>
              <w:t>Sterno</w:t>
            </w:r>
          </w:p>
        </w:tc>
        <w:tc>
          <w:tcPr>
            <w:tcW w:w="1480" w:type="dxa"/>
            <w:vAlign w:val="bottom"/>
            <w:shd w:val="clear" w:color="auto" w:fill="CCEEFF"/>
          </w:tcPr>
          <w:p>
            <w:pPr>
              <w:jc w:val="right"/>
              <w:ind w:right="304"/>
              <w:spacing w:after="0"/>
              <w:rPr>
                <w:sz w:val="20"/>
                <w:szCs w:val="20"/>
                <w:color w:val="auto"/>
              </w:rPr>
            </w:pPr>
            <w:r>
              <w:rPr>
                <w:rFonts w:ascii="Arial" w:cs="Arial" w:eastAsia="Arial" w:hAnsi="Arial"/>
                <w:sz w:val="15"/>
                <w:szCs w:val="15"/>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236,846</w:t>
            </w:r>
          </w:p>
        </w:tc>
      </w:tr>
    </w:tbl>
    <w:p>
      <w:pPr>
        <w:spacing w:after="0" w:line="24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primary source of cash is from the receipt of interest and principal on the outstanding loans to our businesses. Accordingly, we are dependent upon the earnings of and cash flow from these businesses, which are available for (i) operating expenses; (ii) payment of principal and interest under our 2018 Credit Facility and interest on our Senior Notes; (iii) payments to CGM due pursuant to the MSA and the LLC Agreement; (iv) cash distributions to our shareholders; and (v) investments in future acquisitions. Payments made under (iii) above are required to be paid before distributions to shareholders and may be significant and exceed the funds held by us, which may require us to dispose of assets or incur debt to fund such expenditures.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Arrangements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Credit Facility</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April 2018, we entered into an Amended and Restated Credit Agreement (the "2018 Credit Facility") to amend and restate the 2014 Credit Facility. The 2018 Credit Facility provides for (i) revolving loans, swing line loans and letters of credit (the “2018 Revolving Credit Facility”) up to a maximum aggregate amount of $600 million, and (ii) a $500 million term loan (the “2018 Term Loan”). The 2018 Credit Facility also permits the Company, prior to the applicable maturity date, to increase the revolving loan commitment and/or obtain additional term loans in an aggregate amount of up to $250 million (the “Incremental Loans”), subject to certain restrictions and conditions. In July 2019, we repaid $193.8 million of the 2018 Term Loan, and in November 2019, we repaid the remaining $298.8 million due under the 2018 Term Loan.</w:t>
      </w:r>
    </w:p>
    <w:p>
      <w:pPr>
        <w:spacing w:after="0" w:line="154"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We had $598.8 million in net availability under the 2018 Revolving Credit Facility at September 30, 2020. The outstanding borrowings under the 2018 Revolving Credit Facility include $1.2 million of outstanding letters of credit at September 30, 2020.</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i w:val="1"/>
          <w:iCs w:val="1"/>
          <w:color w:val="auto"/>
        </w:rPr>
        <w:t>Senior Notes</w:t>
      </w:r>
    </w:p>
    <w:p>
      <w:pPr>
        <w:spacing w:after="0" w:line="13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April 18, 2018, we consummated the issuance and sale of $400 million aggregate principal amount of our 8.000% due 2026 (the "Notes" or "Senior Notes") offered pursuant to a private offering to qualified institutional buyers in accordance with Rule 144A under the Securities Act, and to non-U.S. persons under Regulation S under the Securities Act. The Notes were issued pursuant to an indenture, dated as of April 18, 2018 (the “Indenture”), between the Company and U.S. Bank National Association, as trustee. The Notes bear interest at the rate of 8.000% per annum and will mature on May 1, 2026. Interest on the Notes is payable in cash on May 1st and November 1st of each year. On May 7, 2020, we consummated the issuance and sale of $200 million aggregate principal amount of its 8.000% Senior Notes due 2026 (the "Additional Notes"). The proceeds from the Additional Notes were used to pay down the amount outstanding on the Company's 2018 Revolving Credit Facility. The Notes and Additional Notes are general senior unsecured obligations of the Company and are not guaranteed by our subsidiaries.</w:t>
      </w:r>
    </w:p>
    <w:p>
      <w:pPr>
        <w:spacing w:after="0" w:line="21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table reflects required and actual financial ratios as of September 30, 2020 included as part of the affirmative covenants in our 2018 Credit Facility.</w:t>
      </w:r>
    </w:p>
    <w:p>
      <w:pPr>
        <w:spacing w:after="0" w:line="96" w:lineRule="exact"/>
        <w:rPr>
          <w:sz w:val="20"/>
          <w:szCs w:val="20"/>
          <w:color w:val="auto"/>
        </w:rPr>
      </w:pPr>
    </w:p>
    <w:tbl>
      <w:tblPr>
        <w:tblLayout w:type="fixed"/>
        <w:tblInd w:w="720" w:type="dxa"/>
        <w:tblCellMar>
          <w:top w:w="0" w:type="dxa"/>
          <w:left w:w="0" w:type="dxa"/>
          <w:bottom w:w="0" w:type="dxa"/>
          <w:right w:w="0" w:type="dxa"/>
        </w:tblCellMar>
      </w:tblPr>
      <w:tr>
        <w:trPr>
          <w:trHeight w:val="206"/>
        </w:trPr>
        <w:tc>
          <w:tcPr>
            <w:tcW w:w="4800" w:type="dxa"/>
            <w:vAlign w:val="bottom"/>
            <w:gridSpan w:val="2"/>
          </w:tcPr>
          <w:p>
            <w:pPr>
              <w:ind w:left="20"/>
              <w:spacing w:after="0"/>
              <w:rPr>
                <w:sz w:val="20"/>
                <w:szCs w:val="20"/>
                <w:color w:val="auto"/>
              </w:rPr>
            </w:pPr>
            <w:r>
              <w:rPr>
                <w:rFonts w:ascii="Arial" w:cs="Arial" w:eastAsia="Arial" w:hAnsi="Arial"/>
                <w:sz w:val="15"/>
                <w:szCs w:val="15"/>
                <w:b w:val="1"/>
                <w:bCs w:val="1"/>
                <w:color w:val="auto"/>
              </w:rPr>
              <w:t>Description of Required Covenant Ratio</w:t>
            </w:r>
          </w:p>
        </w:tc>
        <w:tc>
          <w:tcPr>
            <w:tcW w:w="3680" w:type="dxa"/>
            <w:vAlign w:val="bottom"/>
            <w:gridSpan w:val="2"/>
          </w:tcPr>
          <w:p>
            <w:pPr>
              <w:ind w:left="20"/>
              <w:spacing w:after="0"/>
              <w:rPr>
                <w:sz w:val="20"/>
                <w:szCs w:val="20"/>
                <w:color w:val="auto"/>
              </w:rPr>
            </w:pPr>
            <w:r>
              <w:rPr>
                <w:rFonts w:ascii="Arial" w:cs="Arial" w:eastAsia="Arial" w:hAnsi="Arial"/>
                <w:sz w:val="15"/>
                <w:szCs w:val="15"/>
                <w:b w:val="1"/>
                <w:bCs w:val="1"/>
                <w:color w:val="auto"/>
              </w:rPr>
              <w:t>Covenant Ratio Requirement</w:t>
            </w:r>
          </w:p>
        </w:tc>
        <w:tc>
          <w:tcPr>
            <w:tcW w:w="1320" w:type="dxa"/>
            <w:vAlign w:val="bottom"/>
          </w:tcPr>
          <w:p>
            <w:pPr>
              <w:jc w:val="right"/>
              <w:ind w:right="144"/>
              <w:spacing w:after="0"/>
              <w:rPr>
                <w:sz w:val="20"/>
                <w:szCs w:val="20"/>
                <w:color w:val="auto"/>
              </w:rPr>
            </w:pPr>
            <w:r>
              <w:rPr>
                <w:rFonts w:ascii="Arial" w:cs="Arial" w:eastAsia="Arial" w:hAnsi="Arial"/>
                <w:sz w:val="15"/>
                <w:szCs w:val="15"/>
                <w:b w:val="1"/>
                <w:bCs w:val="1"/>
                <w:color w:val="auto"/>
              </w:rPr>
              <w:t>Actual Ratio</w:t>
            </w:r>
          </w:p>
        </w:tc>
      </w:tr>
      <w:tr>
        <w:trPr>
          <w:trHeight w:val="92"/>
        </w:trPr>
        <w:tc>
          <w:tcPr>
            <w:tcW w:w="4140" w:type="dxa"/>
            <w:vAlign w:val="bottom"/>
            <w:tcBorders>
              <w:top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3020" w:type="dxa"/>
            <w:vAlign w:val="bottom"/>
            <w:tcBorders>
              <w:top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320" w:type="dxa"/>
            <w:vAlign w:val="bottom"/>
            <w:tcBorders>
              <w:top w:val="single" w:sz="8" w:color="auto"/>
            </w:tcBorders>
          </w:tcPr>
          <w:p>
            <w:pPr>
              <w:spacing w:after="0"/>
              <w:rPr>
                <w:sz w:val="8"/>
                <w:szCs w:val="8"/>
                <w:color w:val="auto"/>
              </w:rPr>
            </w:pPr>
          </w:p>
        </w:tc>
      </w:tr>
      <w:tr>
        <w:trPr>
          <w:trHeight w:val="203"/>
        </w:trPr>
        <w:tc>
          <w:tcPr>
            <w:tcW w:w="48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Consolidated Fixed Charge Coverage Ratio</w:t>
            </w:r>
          </w:p>
        </w:tc>
        <w:tc>
          <w:tcPr>
            <w:tcW w:w="36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Greater than or equal to 1.50:1.0</w:t>
            </w: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5.28:1.0</w:t>
            </w:r>
          </w:p>
        </w:tc>
      </w:tr>
      <w:tr>
        <w:trPr>
          <w:trHeight w:val="198"/>
        </w:trPr>
        <w:tc>
          <w:tcPr>
            <w:tcW w:w="4800" w:type="dxa"/>
            <w:vAlign w:val="bottom"/>
            <w:gridSpan w:val="2"/>
          </w:tcPr>
          <w:p>
            <w:pPr>
              <w:ind w:left="20"/>
              <w:spacing w:after="0"/>
              <w:rPr>
                <w:sz w:val="20"/>
                <w:szCs w:val="20"/>
                <w:color w:val="auto"/>
              </w:rPr>
            </w:pPr>
            <w:r>
              <w:rPr>
                <w:rFonts w:ascii="Arial" w:cs="Arial" w:eastAsia="Arial" w:hAnsi="Arial"/>
                <w:sz w:val="15"/>
                <w:szCs w:val="15"/>
                <w:color w:val="auto"/>
              </w:rPr>
              <w:t>Consolidated Senior Secured Leverage Ratio</w:t>
            </w:r>
          </w:p>
        </w:tc>
        <w:tc>
          <w:tcPr>
            <w:tcW w:w="3680" w:type="dxa"/>
            <w:vAlign w:val="bottom"/>
            <w:gridSpan w:val="2"/>
          </w:tcPr>
          <w:p>
            <w:pPr>
              <w:ind w:left="20"/>
              <w:spacing w:after="0"/>
              <w:rPr>
                <w:sz w:val="20"/>
                <w:szCs w:val="20"/>
                <w:color w:val="auto"/>
              </w:rPr>
            </w:pPr>
            <w:r>
              <w:rPr>
                <w:rFonts w:ascii="Arial" w:cs="Arial" w:eastAsia="Arial" w:hAnsi="Arial"/>
                <w:sz w:val="15"/>
                <w:szCs w:val="15"/>
                <w:color w:val="auto"/>
              </w:rPr>
              <w:t>Less than or equal to 3.50:1.0</w:t>
            </w:r>
          </w:p>
        </w:tc>
        <w:tc>
          <w:tcPr>
            <w:tcW w:w="1320" w:type="dxa"/>
            <w:vAlign w:val="bottom"/>
          </w:tcPr>
          <w:p>
            <w:pPr>
              <w:jc w:val="right"/>
              <w:spacing w:after="0"/>
              <w:rPr>
                <w:sz w:val="20"/>
                <w:szCs w:val="20"/>
                <w:color w:val="auto"/>
              </w:rPr>
            </w:pPr>
            <w:r>
              <w:rPr>
                <w:rFonts w:ascii="Arial" w:cs="Arial" w:eastAsia="Arial" w:hAnsi="Arial"/>
                <w:sz w:val="15"/>
                <w:szCs w:val="15"/>
                <w:color w:val="auto"/>
              </w:rPr>
              <w:t>0.00:1.0</w:t>
            </w:r>
          </w:p>
        </w:tc>
      </w:tr>
      <w:tr>
        <w:trPr>
          <w:trHeight w:val="207"/>
        </w:trPr>
        <w:tc>
          <w:tcPr>
            <w:tcW w:w="48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Consolidated Total Leverage Ratio</w:t>
            </w:r>
          </w:p>
        </w:tc>
        <w:tc>
          <w:tcPr>
            <w:tcW w:w="36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Less than or equal to 5.00:1.0</w:t>
            </w: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1.83:1.0</w:t>
            </w: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Interest Expense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interest expense and periodic interest charges on outstanding debt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28" w:lineRule="exact"/>
        <w:rPr>
          <w:sz w:val="20"/>
          <w:szCs w:val="20"/>
          <w:color w:val="auto"/>
        </w:rPr>
      </w:pPr>
    </w:p>
    <w:tbl>
      <w:tblPr>
        <w:tblLayout w:type="fixed"/>
        <w:tblInd w:w="580" w:type="dxa"/>
        <w:tblCellMar>
          <w:top w:w="0" w:type="dxa"/>
          <w:left w:w="0" w:type="dxa"/>
          <w:bottom w:w="0" w:type="dxa"/>
          <w:right w:w="0" w:type="dxa"/>
        </w:tblCellMar>
      </w:tblPr>
      <w:tr>
        <w:trPr>
          <w:trHeight w:val="206"/>
        </w:trPr>
        <w:tc>
          <w:tcPr>
            <w:tcW w:w="6460" w:type="dxa"/>
            <w:vAlign w:val="bottom"/>
          </w:tcPr>
          <w:p>
            <w:pPr>
              <w:spacing w:after="0"/>
              <w:rPr>
                <w:sz w:val="17"/>
                <w:szCs w:val="17"/>
                <w:color w:val="auto"/>
              </w:rPr>
            </w:pPr>
          </w:p>
        </w:tc>
        <w:tc>
          <w:tcPr>
            <w:tcW w:w="3080" w:type="dxa"/>
            <w:vAlign w:val="bottom"/>
            <w:tcBorders>
              <w:bottom w:val="single" w:sz="8" w:color="auto"/>
            </w:tcBorders>
            <w:gridSpan w:val="4"/>
          </w:tcPr>
          <w:p>
            <w:pPr>
              <w:jc w:val="right"/>
              <w:spacing w:after="0"/>
              <w:rPr>
                <w:sz w:val="20"/>
                <w:szCs w:val="20"/>
                <w:color w:val="auto"/>
              </w:rPr>
            </w:pPr>
            <w:r>
              <w:rPr>
                <w:rFonts w:ascii="Arial" w:cs="Arial" w:eastAsia="Arial" w:hAnsi="Arial"/>
                <w:sz w:val="15"/>
                <w:szCs w:val="15"/>
                <w:b w:val="1"/>
                <w:bCs w:val="1"/>
                <w:color w:val="auto"/>
              </w:rPr>
              <w:t>Nine months ended September 30,</w:t>
            </w:r>
          </w:p>
        </w:tc>
        <w:tc>
          <w:tcPr>
            <w:tcW w:w="560" w:type="dxa"/>
            <w:vAlign w:val="bottom"/>
            <w:tcBorders>
              <w:bottom w:val="single" w:sz="8" w:color="auto"/>
            </w:tcBorders>
          </w:tcPr>
          <w:p>
            <w:pPr>
              <w:spacing w:after="0"/>
              <w:rPr>
                <w:sz w:val="17"/>
                <w:szCs w:val="17"/>
                <w:color w:val="auto"/>
              </w:rPr>
            </w:pPr>
          </w:p>
        </w:tc>
      </w:tr>
      <w:tr>
        <w:trPr>
          <w:trHeight w:val="200"/>
        </w:trPr>
        <w:tc>
          <w:tcPr>
            <w:tcW w:w="646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rPr>
              <w:t>2020</w:t>
            </w:r>
          </w:p>
        </w:tc>
        <w:tc>
          <w:tcPr>
            <w:tcW w:w="6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rPr>
              <w:t>2019</w:t>
            </w:r>
          </w:p>
        </w:tc>
        <w:tc>
          <w:tcPr>
            <w:tcW w:w="560" w:type="dxa"/>
            <w:vAlign w:val="bottom"/>
            <w:tcBorders>
              <w:bottom w:val="single" w:sz="8" w:color="auto"/>
            </w:tcBorders>
          </w:tcPr>
          <w:p>
            <w:pPr>
              <w:spacing w:after="0"/>
              <w:rPr>
                <w:sz w:val="17"/>
                <w:szCs w:val="17"/>
                <w:color w:val="auto"/>
              </w:rPr>
            </w:pPr>
          </w:p>
        </w:tc>
      </w:tr>
      <w:tr>
        <w:trPr>
          <w:trHeight w:val="196"/>
        </w:trPr>
        <w:tc>
          <w:tcPr>
            <w:tcW w:w="6460" w:type="dxa"/>
            <w:vAlign w:val="bottom"/>
            <w:shd w:val="clear" w:color="auto" w:fill="CCEEFF"/>
          </w:tcPr>
          <w:p>
            <w:pPr>
              <w:spacing w:after="0"/>
              <w:rPr>
                <w:sz w:val="20"/>
                <w:szCs w:val="20"/>
                <w:color w:val="auto"/>
              </w:rPr>
            </w:pPr>
            <w:r>
              <w:rPr>
                <w:rFonts w:ascii="Arial" w:cs="Arial" w:eastAsia="Arial" w:hAnsi="Arial"/>
                <w:sz w:val="15"/>
                <w:szCs w:val="15"/>
                <w:color w:val="auto"/>
              </w:rPr>
              <w:t>Interest on credit facilities</w:t>
            </w:r>
          </w:p>
        </w:tc>
        <w:tc>
          <w:tcPr>
            <w:tcW w:w="1140" w:type="dxa"/>
            <w:vAlign w:val="bottom"/>
            <w:shd w:val="clear" w:color="auto" w:fill="CCEEFF"/>
          </w:tcPr>
          <w:p>
            <w:pPr>
              <w:jc w:val="right"/>
              <w:ind w:right="964"/>
              <w:spacing w:after="0"/>
              <w:rPr>
                <w:sz w:val="20"/>
                <w:szCs w:val="20"/>
                <w:color w:val="auto"/>
              </w:rPr>
            </w:pPr>
            <w:r>
              <w:rPr>
                <w:rFonts w:ascii="Arial" w:cs="Arial" w:eastAsia="Arial" w:hAnsi="Arial"/>
                <w:sz w:val="15"/>
                <w:szCs w:val="15"/>
                <w:color w:val="auto"/>
                <w:w w:val="95"/>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685</w:t>
            </w: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1024"/>
              <w:spacing w:after="0"/>
              <w:rPr>
                <w:sz w:val="20"/>
                <w:szCs w:val="20"/>
                <w:color w:val="auto"/>
              </w:rPr>
            </w:pPr>
            <w:r>
              <w:rPr>
                <w:rFonts w:ascii="Arial" w:cs="Arial" w:eastAsia="Arial" w:hAnsi="Arial"/>
                <w:sz w:val="15"/>
                <w:szCs w:val="15"/>
                <w:color w:val="auto"/>
                <w:w w:val="95"/>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20,225</w:t>
            </w:r>
          </w:p>
        </w:tc>
      </w:tr>
      <w:tr>
        <w:trPr>
          <w:trHeight w:val="198"/>
        </w:trPr>
        <w:tc>
          <w:tcPr>
            <w:tcW w:w="6460" w:type="dxa"/>
            <w:vAlign w:val="bottom"/>
          </w:tcPr>
          <w:p>
            <w:pPr>
              <w:spacing w:after="0"/>
              <w:rPr>
                <w:sz w:val="20"/>
                <w:szCs w:val="20"/>
                <w:color w:val="auto"/>
              </w:rPr>
            </w:pPr>
            <w:r>
              <w:rPr>
                <w:rFonts w:ascii="Arial" w:cs="Arial" w:eastAsia="Arial" w:hAnsi="Arial"/>
                <w:sz w:val="15"/>
                <w:szCs w:val="15"/>
                <w:color w:val="auto"/>
              </w:rPr>
              <w:t>Interest on Senior Notes</w:t>
            </w:r>
          </w:p>
        </w:tc>
        <w:tc>
          <w:tcPr>
            <w:tcW w:w="1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30,400</w:t>
            </w: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24,000</w:t>
            </w:r>
          </w:p>
        </w:tc>
      </w:tr>
      <w:tr>
        <w:trPr>
          <w:trHeight w:val="207"/>
        </w:trPr>
        <w:tc>
          <w:tcPr>
            <w:tcW w:w="6460" w:type="dxa"/>
            <w:vAlign w:val="bottom"/>
            <w:shd w:val="clear" w:color="auto" w:fill="CCEEFF"/>
          </w:tcPr>
          <w:p>
            <w:pPr>
              <w:spacing w:after="0"/>
              <w:rPr>
                <w:sz w:val="20"/>
                <w:szCs w:val="20"/>
                <w:color w:val="auto"/>
              </w:rPr>
            </w:pPr>
            <w:r>
              <w:rPr>
                <w:rFonts w:ascii="Arial" w:cs="Arial" w:eastAsia="Arial" w:hAnsi="Arial"/>
                <w:sz w:val="15"/>
                <w:szCs w:val="15"/>
                <w:color w:val="auto"/>
              </w:rPr>
              <w:t>Unused fee on Revolving Credit Facility</w:t>
            </w:r>
          </w:p>
        </w:tc>
        <w:tc>
          <w:tcPr>
            <w:tcW w:w="1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1,148</w:t>
            </w: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1,393</w:t>
            </w:r>
          </w:p>
        </w:tc>
      </w:tr>
      <w:tr>
        <w:trPr>
          <w:trHeight w:val="198"/>
        </w:trPr>
        <w:tc>
          <w:tcPr>
            <w:tcW w:w="6460" w:type="dxa"/>
            <w:vAlign w:val="bottom"/>
          </w:tcPr>
          <w:p>
            <w:pPr>
              <w:spacing w:after="0"/>
              <w:rPr>
                <w:sz w:val="20"/>
                <w:szCs w:val="20"/>
                <w:color w:val="auto"/>
              </w:rPr>
            </w:pPr>
            <w:r>
              <w:rPr>
                <w:rFonts w:ascii="Arial" w:cs="Arial" w:eastAsia="Arial" w:hAnsi="Arial"/>
                <w:sz w:val="15"/>
                <w:szCs w:val="15"/>
                <w:color w:val="auto"/>
              </w:rPr>
              <w:t>Amortization of bond premium/ original issue discount</w:t>
            </w:r>
          </w:p>
        </w:tc>
        <w:tc>
          <w:tcPr>
            <w:tcW w:w="1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(139)</w:t>
            </w: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397</w:t>
            </w:r>
          </w:p>
        </w:tc>
      </w:tr>
      <w:tr>
        <w:trPr>
          <w:trHeight w:val="206"/>
        </w:trPr>
        <w:tc>
          <w:tcPr>
            <w:tcW w:w="6460" w:type="dxa"/>
            <w:vAlign w:val="bottom"/>
            <w:shd w:val="clear" w:color="auto" w:fill="CCEEFF"/>
          </w:tcPr>
          <w:p>
            <w:pPr>
              <w:spacing w:after="0" w:line="206" w:lineRule="exact"/>
              <w:rPr>
                <w:sz w:val="20"/>
                <w:szCs w:val="20"/>
                <w:color w:val="auto"/>
              </w:rPr>
            </w:pPr>
            <w:r>
              <w:rPr>
                <w:rFonts w:ascii="Arial" w:cs="Arial" w:eastAsia="Arial" w:hAnsi="Arial"/>
                <w:sz w:val="15"/>
                <w:szCs w:val="15"/>
                <w:color w:val="auto"/>
              </w:rPr>
              <w:t xml:space="preserve">Unrealized loss on interest rate derivative </w:t>
            </w:r>
            <w:r>
              <w:rPr>
                <w:rFonts w:ascii="Arial" w:cs="Arial" w:eastAsia="Arial" w:hAnsi="Arial"/>
                <w:sz w:val="19"/>
                <w:szCs w:val="19"/>
                <w:color w:val="auto"/>
                <w:vertAlign w:val="superscript"/>
              </w:rPr>
              <w:t>(1)</w:t>
            </w:r>
          </w:p>
        </w:tc>
        <w:tc>
          <w:tcPr>
            <w:tcW w:w="1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3,486</w:t>
            </w:r>
          </w:p>
        </w:tc>
      </w:tr>
      <w:tr>
        <w:trPr>
          <w:trHeight w:val="199"/>
        </w:trPr>
        <w:tc>
          <w:tcPr>
            <w:tcW w:w="6460" w:type="dxa"/>
            <w:vAlign w:val="bottom"/>
          </w:tcPr>
          <w:p>
            <w:pPr>
              <w:spacing w:after="0"/>
              <w:rPr>
                <w:sz w:val="20"/>
                <w:szCs w:val="20"/>
                <w:color w:val="auto"/>
              </w:rPr>
            </w:pPr>
            <w:r>
              <w:rPr>
                <w:rFonts w:ascii="Arial" w:cs="Arial" w:eastAsia="Arial" w:hAnsi="Arial"/>
                <w:sz w:val="15"/>
                <w:szCs w:val="15"/>
                <w:color w:val="auto"/>
              </w:rPr>
              <w:t>Other interest expense</w:t>
            </w:r>
          </w:p>
        </w:tc>
        <w:tc>
          <w:tcPr>
            <w:tcW w:w="1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235</w:t>
            </w: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211</w:t>
            </w:r>
          </w:p>
        </w:tc>
      </w:tr>
      <w:tr>
        <w:trPr>
          <w:trHeight w:val="206"/>
        </w:trPr>
        <w:tc>
          <w:tcPr>
            <w:tcW w:w="6460" w:type="dxa"/>
            <w:vAlign w:val="bottom"/>
            <w:shd w:val="clear" w:color="auto" w:fill="CCEEFF"/>
          </w:tcPr>
          <w:p>
            <w:pPr>
              <w:spacing w:after="0"/>
              <w:rPr>
                <w:sz w:val="20"/>
                <w:szCs w:val="20"/>
                <w:color w:val="auto"/>
              </w:rPr>
            </w:pPr>
            <w:r>
              <w:rPr>
                <w:rFonts w:ascii="Arial" w:cs="Arial" w:eastAsia="Arial" w:hAnsi="Arial"/>
                <w:sz w:val="15"/>
                <w:szCs w:val="15"/>
                <w:color w:val="auto"/>
              </w:rPr>
              <w:t>Interest income</w:t>
            </w:r>
          </w:p>
        </w:tc>
        <w:tc>
          <w:tcPr>
            <w:tcW w:w="114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(207)</w:t>
            </w:r>
          </w:p>
        </w:tc>
        <w:tc>
          <w:tcPr>
            <w:tcW w:w="120" w:type="dxa"/>
            <w:vAlign w:val="bottom"/>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(1,288)</w:t>
            </w:r>
          </w:p>
        </w:tc>
      </w:tr>
      <w:tr>
        <w:trPr>
          <w:trHeight w:val="192"/>
        </w:trPr>
        <w:tc>
          <w:tcPr>
            <w:tcW w:w="6460" w:type="dxa"/>
            <w:vAlign w:val="bottom"/>
          </w:tcPr>
          <w:p>
            <w:pPr>
              <w:ind w:left="320"/>
              <w:spacing w:after="0"/>
              <w:rPr>
                <w:sz w:val="20"/>
                <w:szCs w:val="20"/>
                <w:color w:val="auto"/>
              </w:rPr>
            </w:pPr>
            <w:r>
              <w:rPr>
                <w:rFonts w:ascii="Arial" w:cs="Arial" w:eastAsia="Arial" w:hAnsi="Arial"/>
                <w:sz w:val="15"/>
                <w:szCs w:val="15"/>
                <w:color w:val="auto"/>
              </w:rPr>
              <w:t>Interest expense, net</w:t>
            </w:r>
          </w:p>
        </w:tc>
        <w:tc>
          <w:tcPr>
            <w:tcW w:w="1140" w:type="dxa"/>
            <w:vAlign w:val="bottom"/>
            <w:tcBorders>
              <w:bottom w:val="single" w:sz="8" w:color="auto"/>
            </w:tcBorders>
          </w:tcPr>
          <w:p>
            <w:pPr>
              <w:jc w:val="right"/>
              <w:ind w:right="964"/>
              <w:spacing w:after="0"/>
              <w:rPr>
                <w:sz w:val="20"/>
                <w:szCs w:val="20"/>
                <w:color w:val="auto"/>
              </w:rPr>
            </w:pPr>
            <w:r>
              <w:rPr>
                <w:rFonts w:ascii="Arial" w:cs="Arial" w:eastAsia="Arial" w:hAnsi="Arial"/>
                <w:sz w:val="15"/>
                <w:szCs w:val="15"/>
                <w:color w:val="auto"/>
                <w:w w:val="95"/>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32,122</w:t>
            </w:r>
          </w:p>
        </w:tc>
        <w:tc>
          <w:tcPr>
            <w:tcW w:w="120" w:type="dxa"/>
            <w:vAlign w:val="bottom"/>
          </w:tcPr>
          <w:p>
            <w:pPr>
              <w:spacing w:after="0"/>
              <w:rPr>
                <w:sz w:val="16"/>
                <w:szCs w:val="16"/>
                <w:color w:val="auto"/>
              </w:rPr>
            </w:pPr>
          </w:p>
        </w:tc>
        <w:tc>
          <w:tcPr>
            <w:tcW w:w="1200" w:type="dxa"/>
            <w:vAlign w:val="bottom"/>
            <w:tcBorders>
              <w:bottom w:val="single" w:sz="8" w:color="auto"/>
            </w:tcBorders>
          </w:tcPr>
          <w:p>
            <w:pPr>
              <w:jc w:val="right"/>
              <w:ind w:right="1024"/>
              <w:spacing w:after="0"/>
              <w:rPr>
                <w:sz w:val="20"/>
                <w:szCs w:val="20"/>
                <w:color w:val="auto"/>
              </w:rPr>
            </w:pPr>
            <w:r>
              <w:rPr>
                <w:rFonts w:ascii="Arial" w:cs="Arial" w:eastAsia="Arial" w:hAnsi="Arial"/>
                <w:sz w:val="15"/>
                <w:szCs w:val="15"/>
                <w:color w:val="auto"/>
                <w:w w:val="95"/>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48,424</w:t>
            </w:r>
          </w:p>
        </w:tc>
      </w:tr>
      <w:tr>
        <w:trPr>
          <w:trHeight w:val="25"/>
        </w:trPr>
        <w:tc>
          <w:tcPr>
            <w:tcW w:w="64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bl>
    <w:p>
      <w:pPr>
        <w:spacing w:after="0" w:line="215" w:lineRule="exact"/>
        <w:rPr>
          <w:sz w:val="20"/>
          <w:szCs w:val="20"/>
          <w:color w:val="auto"/>
        </w:rPr>
      </w:pPr>
    </w:p>
    <w:p>
      <w:pPr>
        <w:jc w:val="both"/>
        <w:ind w:firstLine="8"/>
        <w:spacing w:after="0" w:line="249" w:lineRule="auto"/>
        <w:tabs>
          <w:tab w:leader="none" w:pos="189" w:val="left"/>
        </w:tabs>
        <w:numPr>
          <w:ilvl w:val="0"/>
          <w:numId w:val="26"/>
        </w:numPr>
        <w:rPr>
          <w:rFonts w:ascii="Arial" w:cs="Arial" w:eastAsia="Arial" w:hAnsi="Arial"/>
          <w:sz w:val="22"/>
          <w:szCs w:val="22"/>
          <w:b w:val="1"/>
          <w:bCs w:val="1"/>
          <w:color w:val="auto"/>
          <w:vertAlign w:val="superscript"/>
        </w:rPr>
      </w:pPr>
      <w:r>
        <w:rPr>
          <w:rFonts w:ascii="Arial" w:cs="Arial" w:eastAsia="Arial" w:hAnsi="Arial"/>
          <w:sz w:val="17"/>
          <w:szCs w:val="17"/>
          <w:color w:val="auto"/>
        </w:rPr>
        <w:t>On September 16, 2014, we purchased an interest rate swap (the "Swap") with a notional amount of $220 million effective April 1, 2016 through June 6, 2021. The agreement required us to pay interest on the notional amount at the rate of 2.97% in exchange for the three-month LIBOR rate. In connection with the repayment of the 2018 Term Loan in November 2019, the Company settled the Swap with a payment of $4.9 million, the fair value of the Swap as of the date of termination.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effective interest rate of the Company’s outstanding long-term debt at September 30, 2020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December 31, 2019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339" w:lineRule="exact"/>
        <w:rPr>
          <w:sz w:val="20"/>
          <w:szCs w:val="20"/>
          <w:color w:val="auto"/>
        </w:rPr>
      </w:pPr>
    </w:p>
    <w:tbl>
      <w:tblPr>
        <w:tblLayout w:type="fixed"/>
        <w:tblInd w:w="20" w:type="dxa"/>
        <w:tblCellMar>
          <w:top w:w="0" w:type="dxa"/>
          <w:left w:w="0" w:type="dxa"/>
          <w:bottom w:w="0" w:type="dxa"/>
          <w:right w:w="0" w:type="dxa"/>
        </w:tblCellMar>
      </w:tblPr>
      <w:tr>
        <w:trPr>
          <w:trHeight w:val="206"/>
        </w:trPr>
        <w:tc>
          <w:tcPr>
            <w:tcW w:w="4640" w:type="dxa"/>
            <w:vAlign w:val="bottom"/>
          </w:tcPr>
          <w:p>
            <w:pPr>
              <w:spacing w:after="0"/>
              <w:rPr>
                <w:sz w:val="17"/>
                <w:szCs w:val="17"/>
                <w:color w:val="auto"/>
              </w:rPr>
            </w:pPr>
          </w:p>
        </w:tc>
        <w:tc>
          <w:tcPr>
            <w:tcW w:w="236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September 30, 2020</w:t>
            </w:r>
          </w:p>
        </w:tc>
        <w:tc>
          <w:tcPr>
            <w:tcW w:w="8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36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December 31, 2019</w:t>
            </w:r>
          </w:p>
        </w:tc>
        <w:tc>
          <w:tcPr>
            <w:tcW w:w="880" w:type="dxa"/>
            <w:vAlign w:val="bottom"/>
            <w:tcBorders>
              <w:bottom w:val="single" w:sz="8" w:color="auto"/>
            </w:tcBorders>
          </w:tcPr>
          <w:p>
            <w:pPr>
              <w:spacing w:after="0"/>
              <w:rPr>
                <w:sz w:val="17"/>
                <w:szCs w:val="17"/>
                <w:color w:val="auto"/>
              </w:rPr>
            </w:pPr>
          </w:p>
        </w:tc>
      </w:tr>
      <w:tr>
        <w:trPr>
          <w:trHeight w:val="187"/>
        </w:trPr>
        <w:tc>
          <w:tcPr>
            <w:tcW w:w="4640" w:type="dxa"/>
            <w:vAlign w:val="bottom"/>
            <w:tcBorders>
              <w:bottom w:val="single" w:sz="8" w:color="CCEEFF"/>
            </w:tcBorders>
          </w:tcPr>
          <w:p>
            <w:pPr>
              <w:spacing w:after="0"/>
              <w:rPr>
                <w:sz w:val="16"/>
                <w:szCs w:val="16"/>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Effective Interest Rate</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Effective Interest Rate</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Amount</w:t>
            </w:r>
          </w:p>
        </w:tc>
      </w:tr>
      <w:tr>
        <w:trPr>
          <w:trHeight w:val="210"/>
        </w:trPr>
        <w:tc>
          <w:tcPr>
            <w:tcW w:w="4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Senior Notes</w:t>
            </w:r>
          </w:p>
        </w:tc>
        <w:tc>
          <w:tcPr>
            <w:tcW w:w="1980" w:type="dxa"/>
            <w:vAlign w:val="bottom"/>
            <w:shd w:val="clear" w:color="auto" w:fill="CCEEFF"/>
          </w:tcPr>
          <w:p>
            <w:pPr>
              <w:jc w:val="right"/>
              <w:ind w:right="684"/>
              <w:spacing w:after="0"/>
              <w:rPr>
                <w:sz w:val="20"/>
                <w:szCs w:val="20"/>
                <w:color w:val="auto"/>
              </w:rPr>
            </w:pPr>
            <w:r>
              <w:rPr>
                <w:rFonts w:ascii="Arial" w:cs="Arial" w:eastAsia="Arial" w:hAnsi="Arial"/>
                <w:sz w:val="16"/>
                <w:szCs w:val="16"/>
                <w:color w:val="auto"/>
              </w:rPr>
              <w:t>7.92%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600,000</w:t>
            </w:r>
          </w:p>
        </w:tc>
        <w:tc>
          <w:tcPr>
            <w:tcW w:w="2120" w:type="dxa"/>
            <w:vAlign w:val="bottom"/>
            <w:gridSpan w:val="2"/>
            <w:shd w:val="clear" w:color="auto" w:fill="CCEEFF"/>
          </w:tcPr>
          <w:p>
            <w:pPr>
              <w:jc w:val="right"/>
              <w:ind w:right="706"/>
              <w:spacing w:after="0"/>
              <w:rPr>
                <w:sz w:val="20"/>
                <w:szCs w:val="20"/>
                <w:color w:val="auto"/>
              </w:rPr>
            </w:pPr>
            <w:r>
              <w:rPr>
                <w:rFonts w:ascii="Arial" w:cs="Arial" w:eastAsia="Arial" w:hAnsi="Arial"/>
                <w:sz w:val="16"/>
                <w:szCs w:val="16"/>
                <w:color w:val="auto"/>
              </w:rPr>
              <w:t>8.00%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400,000</w:t>
            </w:r>
          </w:p>
        </w:tc>
      </w:tr>
      <w:tr>
        <w:trPr>
          <w:trHeight w:val="213"/>
        </w:trPr>
        <w:tc>
          <w:tcPr>
            <w:tcW w:w="46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Unamortized premiums and debt issuance costs</w:t>
            </w:r>
          </w:p>
        </w:tc>
        <w:tc>
          <w:tcPr>
            <w:tcW w:w="19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(7,893)</w:t>
            </w:r>
          </w:p>
        </w:tc>
        <w:tc>
          <w:tcPr>
            <w:tcW w:w="100" w:type="dxa"/>
            <w:vAlign w:val="bottom"/>
            <w:tcBorders>
              <w:bottom w:val="single" w:sz="8" w:color="CCEEFF"/>
            </w:tcBorders>
          </w:tcPr>
          <w:p>
            <w:pPr>
              <w:spacing w:after="0"/>
              <w:rPr>
                <w:sz w:val="18"/>
                <w:szCs w:val="18"/>
                <w:color w:val="auto"/>
              </w:rPr>
            </w:pPr>
          </w:p>
        </w:tc>
        <w:tc>
          <w:tcPr>
            <w:tcW w:w="20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(5,555)</w:t>
            </w:r>
          </w:p>
        </w:tc>
      </w:tr>
      <w:tr>
        <w:trPr>
          <w:trHeight w:val="234"/>
        </w:trPr>
        <w:tc>
          <w:tcPr>
            <w:tcW w:w="46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Long-term debt</w:t>
            </w:r>
          </w:p>
        </w:tc>
        <w:tc>
          <w:tcPr>
            <w:tcW w:w="19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592,107</w:t>
            </w:r>
          </w:p>
        </w:tc>
        <w:tc>
          <w:tcPr>
            <w:tcW w:w="100" w:type="dxa"/>
            <w:vAlign w:val="bottom"/>
            <w:tcBorders>
              <w:bottom w:val="single" w:sz="8" w:color="CCEEFF"/>
            </w:tcBorders>
            <w:shd w:val="clear" w:color="auto" w:fill="CCEEFF"/>
          </w:tcPr>
          <w:p>
            <w:pPr>
              <w:spacing w:after="0"/>
              <w:rPr>
                <w:sz w:val="19"/>
                <w:szCs w:val="19"/>
                <w:color w:val="auto"/>
              </w:rPr>
            </w:pPr>
          </w:p>
        </w:tc>
        <w:tc>
          <w:tcPr>
            <w:tcW w:w="2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394,445</w:t>
            </w: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Reconciliation of Non-GAAP Financial Measures</w:t>
      </w:r>
    </w:p>
    <w:p>
      <w:pPr>
        <w:spacing w:after="0" w:line="19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GAAP or U.S. GAAP refer to generally accepted accounting principles in the United States. From time to time we may publicly disclose certain "non-GAAP" financial measures in the course of our investor presentations, earnings releases, earnings conference calls or other venues. A non-GAAP financial measure is a numerical measure of historical or future performance, financial position or cash flow that excludes amounts, or is subject to adjustments that effectively exclude amounts, included in the most directly comparable measure calculated and presented in accordance with GAAP in our financial statements, and vice versa for measures that include amounts, or are subject to adjustments that effectively include amounts, that are excluded from the most directly comparable measure as calculated and presented.</w:t>
      </w:r>
    </w:p>
    <w:p>
      <w:pPr>
        <w:spacing w:after="0" w:line="15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Non-GAAP financial measures are provided as additional information to investors in order to provide them with an alternative method for assessing our financial condition and operating results. These measures are not meant to be a substitute for GAAP, and may be different from or otherwise inconsistent with non-GAAP financial measures used by other companies.</w:t>
      </w:r>
    </w:p>
    <w:p>
      <w:pPr>
        <w:spacing w:after="0" w:line="202"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tables below reconcile the most directly comparable GAAP financial measures to Earnings before Interest, Income Taxes, Depreciation and Amortization ("EBITDA"), Adjusted EBITDA, and Cash Flow Available for Distribution and Reinvestment ("CAD").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Reconciliation of Net income (Loss) to EBITDA and Adjusted EBITDA</w:t>
      </w:r>
    </w:p>
    <w:p>
      <w:pPr>
        <w:spacing w:after="0" w:line="11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 xml:space="preserve">EBITDA </w:t>
      </w:r>
      <w:r>
        <w:rPr>
          <w:rFonts w:ascii="Arial" w:cs="Arial" w:eastAsia="Arial" w:hAnsi="Arial"/>
          <w:sz w:val="18"/>
          <w:szCs w:val="18"/>
          <w:color w:val="auto"/>
        </w:rPr>
        <w:t>– EBITDA is calculated as net income (loss) before interest expense, income tax expense (benefit), depreciation expense and</w:t>
      </w:r>
      <w:r>
        <w:rPr>
          <w:rFonts w:ascii="Arial" w:cs="Arial" w:eastAsia="Arial" w:hAnsi="Arial"/>
          <w:sz w:val="18"/>
          <w:szCs w:val="18"/>
          <w:b w:val="1"/>
          <w:bCs w:val="1"/>
          <w:color w:val="auto"/>
        </w:rPr>
        <w:t xml:space="preserve"> </w:t>
      </w:r>
      <w:r>
        <w:rPr>
          <w:rFonts w:ascii="Arial" w:cs="Arial" w:eastAsia="Arial" w:hAnsi="Arial"/>
          <w:sz w:val="18"/>
          <w:szCs w:val="18"/>
          <w:color w:val="auto"/>
        </w:rPr>
        <w:t>amortization expense. Amortization expenses consist of amortization of intangibles and debt charges, including debt issuance costs, discounts, etc.</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Adjusted EBITDA </w:t>
      </w:r>
      <w:r>
        <w:rPr>
          <w:rFonts w:ascii="Arial" w:cs="Arial" w:eastAsia="Arial" w:hAnsi="Arial"/>
          <w:sz w:val="18"/>
          <w:szCs w:val="18"/>
          <w:color w:val="auto"/>
        </w:rPr>
        <w:t>– Adjusted EBITDA is calculated utilizing the same calculation as described above in arriving at EBITDA further adjusted</w:t>
      </w:r>
      <w:r>
        <w:rPr>
          <w:rFonts w:ascii="Arial" w:cs="Arial" w:eastAsia="Arial" w:hAnsi="Arial"/>
          <w:sz w:val="18"/>
          <w:szCs w:val="18"/>
          <w:b w:val="1"/>
          <w:bCs w:val="1"/>
          <w:color w:val="auto"/>
        </w:rPr>
        <w:t xml:space="preserve"> </w:t>
      </w:r>
      <w:r>
        <w:rPr>
          <w:rFonts w:ascii="Arial" w:cs="Arial" w:eastAsia="Arial" w:hAnsi="Arial"/>
          <w:sz w:val="18"/>
          <w:szCs w:val="18"/>
          <w:color w:val="auto"/>
        </w:rPr>
        <w:t>by: (i) noncontrolling stockholder compensation, which generally consists of non-cash stock option expense; (ii) successful acquisition costs, which consist of transaction costs (legal, accounting, due diligence, etc.) incurred in connection with the successful acquisition of a business expensed during the period in compliance with ASC 805; (iii) management fees, which reflect fees due quarterly to our Manager in connection with our MSA, as well as Integration Services Fees paid by newly acquired companies; (iv) impairment charges, which reflect write downs to goodwill or other intangible assets; (v) foreign currency transaction gains or losses incurred in connection with the conversion of intercompany debt from a foreign functional currency to U.S. dollar and (vi) items of other income or expense that are material to a subsidiary and non-recurring in nature.</w:t>
      </w:r>
    </w:p>
    <w:p>
      <w:pPr>
        <w:spacing w:after="0" w:line="15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believe that EBITDA and Adjusted EBITDA provide useful information to investors and reflect important financial measures as they exclude the effects of items which reflect the impact of long-term investment decisions, rather than the performance of near term operations. When compared to net income (loss) these financial measures are limited in that they do not reflect the periodic costs of certain capital assets used in generating revenues of our businesses or the non-cash charges associated with impairments. This presentation also allows investors to view the performance of our businesses in a manner similar to the methods used by us and the management of our businesses, provides additional insight into our operating results and provides a measure for evaluating targeted businesses for acquisition.</w:t>
      </w:r>
    </w:p>
    <w:p>
      <w:pPr>
        <w:spacing w:after="0" w:line="15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believe that these measurements are also useful in measuring our ability to service debt and other payment obligations. EBITDA and Adjusted EBITDA are not meant to be a substitute for GAAP, and may be different from or otherwise inconsistent with non-GAAP financial measures used by other companies.</w:t>
      </w:r>
    </w:p>
    <w:p>
      <w:pPr>
        <w:spacing w:after="0" w:line="20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The following tables reconcile EBITDA and Adjusted EBITDA to net income (loss), which we consider to be the most comparable GAAP financial measure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9" w:right="339" w:bottom="1440" w:gutter="0" w:footer="0" w:header="0"/>
        </w:sectPr>
      </w:pPr>
    </w:p>
    <w:bookmarkStart w:id="61" w:name="page62"/>
    <w:bookmarkEnd w:id="61"/>
    <w:p>
      <w:pPr>
        <w:spacing w:after="0" w:line="3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139700</wp:posOffset>
            </wp:positionH>
            <wp:positionV relativeFrom="page">
              <wp:posOffset>989330</wp:posOffset>
            </wp:positionV>
            <wp:extent cx="699516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jc w:val="center"/>
        <w:ind w:right="540"/>
        <w:spacing w:after="0"/>
        <w:rPr>
          <w:sz w:val="20"/>
          <w:szCs w:val="20"/>
          <w:color w:val="auto"/>
        </w:rPr>
      </w:pPr>
      <w:r>
        <w:rPr>
          <w:rFonts w:ascii="Arial" w:cs="Arial" w:eastAsia="Arial" w:hAnsi="Arial"/>
          <w:sz w:val="18"/>
          <w:szCs w:val="18"/>
          <w:b w:val="1"/>
          <w:bCs w:val="1"/>
          <w:color w:val="auto"/>
        </w:rPr>
        <w:t>Adjusted EBITDA</w:t>
      </w:r>
    </w:p>
    <w:p>
      <w:pPr>
        <w:spacing w:after="0" w:line="32" w:lineRule="exact"/>
        <w:rPr>
          <w:sz w:val="20"/>
          <w:szCs w:val="20"/>
          <w:color w:val="auto"/>
        </w:rPr>
      </w:pPr>
    </w:p>
    <w:p>
      <w:pPr>
        <w:jc w:val="center"/>
        <w:ind w:right="540"/>
        <w:spacing w:after="0"/>
        <w:rPr>
          <w:sz w:val="20"/>
          <w:szCs w:val="20"/>
          <w:color w:val="auto"/>
        </w:rPr>
      </w:pPr>
      <w:r>
        <w:rPr>
          <w:rFonts w:ascii="Arial" w:cs="Arial" w:eastAsia="Arial" w:hAnsi="Arial"/>
          <w:sz w:val="17"/>
          <w:szCs w:val="17"/>
          <w:b w:val="1"/>
          <w:bCs w:val="1"/>
          <w:color w:val="auto"/>
        </w:rPr>
        <w:t>Nine months ended September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699516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220" w:top="1440" w:right="659" w:bottom="1440" w:gutter="0" w:footer="0" w:header="0"/>
        </w:sectPr>
      </w:pPr>
    </w:p>
    <w:p>
      <w:pPr>
        <w:spacing w:after="0" w:line="364" w:lineRule="exact"/>
        <w:rPr>
          <w:sz w:val="20"/>
          <w:szCs w:val="20"/>
          <w:color w:val="auto"/>
        </w:rPr>
      </w:pPr>
    </w:p>
    <w:p>
      <w:pPr>
        <w:spacing w:after="0"/>
        <w:tabs>
          <w:tab w:leader="none" w:pos="1920" w:val="left"/>
        </w:tabs>
        <w:rPr>
          <w:sz w:val="20"/>
          <w:szCs w:val="20"/>
          <w:color w:val="auto"/>
        </w:rPr>
      </w:pPr>
      <w:r>
        <w:rPr>
          <w:rFonts w:ascii="Arial" w:cs="Arial" w:eastAsia="Arial" w:hAnsi="Arial"/>
          <w:sz w:val="15"/>
          <w:szCs w:val="15"/>
          <w:b w:val="1"/>
          <w:bCs w:val="1"/>
          <w:color w:val="auto"/>
        </w:rPr>
        <w:t>ome (loss)</w:t>
      </w:r>
      <w:r>
        <w:rPr>
          <w:sz w:val="20"/>
          <w:szCs w:val="20"/>
          <w:color w:val="auto"/>
        </w:rPr>
        <w:tab/>
      </w:r>
      <w:r>
        <w:rPr>
          <w:rFonts w:ascii="Arial" w:cs="Arial" w:eastAsia="Arial" w:hAnsi="Arial"/>
          <w:sz w:val="14"/>
          <w:szCs w:val="14"/>
          <w:color w:val="auto"/>
        </w:rPr>
        <w:t>$</w:t>
      </w: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auto"/>
        </w:rPr>
        <w:t>d for:</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ision (benefit) for income taxes</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est expense, net</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company interest</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eciation and amortization</w:t>
      </w:r>
    </w:p>
    <w:p>
      <w:pPr>
        <w:spacing w:after="0" w:line="1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5"/>
          <w:szCs w:val="15"/>
          <w:color w:val="auto"/>
        </w:rPr>
        <w:t>on sale of business</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r (income) expense</w:t>
      </w:r>
    </w:p>
    <w:p>
      <w:pPr>
        <w:spacing w:after="0" w:line="30" w:lineRule="exact"/>
        <w:rPr>
          <w:sz w:val="20"/>
          <w:szCs w:val="20"/>
          <w:color w:val="auto"/>
        </w:rPr>
      </w:pPr>
    </w:p>
    <w:p>
      <w:pPr>
        <w:ind w:right="560"/>
        <w:spacing w:after="0" w:line="256" w:lineRule="auto"/>
        <w:rPr>
          <w:sz w:val="20"/>
          <w:szCs w:val="20"/>
          <w:color w:val="auto"/>
        </w:rPr>
      </w:pPr>
      <w:r>
        <w:rPr>
          <w:rFonts w:ascii="Arial" w:cs="Arial" w:eastAsia="Arial" w:hAnsi="Arial"/>
          <w:sz w:val="14"/>
          <w:szCs w:val="14"/>
          <w:color w:val="auto"/>
        </w:rPr>
        <w:t>controlling shareholder compensation</w:t>
      </w:r>
    </w:p>
    <w:p>
      <w:pPr>
        <w:spacing w:after="0" w:line="8" w:lineRule="exact"/>
        <w:rPr>
          <w:sz w:val="20"/>
          <w:szCs w:val="20"/>
          <w:color w:val="auto"/>
        </w:rPr>
      </w:pPr>
    </w:p>
    <w:p>
      <w:pPr>
        <w:ind w:left="20"/>
        <w:spacing w:after="0"/>
        <w:rPr>
          <w:sz w:val="20"/>
          <w:szCs w:val="20"/>
          <w:color w:val="auto"/>
        </w:rPr>
      </w:pPr>
      <w:r>
        <w:rPr>
          <w:rFonts w:ascii="Arial" w:cs="Arial" w:eastAsia="Arial" w:hAnsi="Arial"/>
          <w:sz w:val="15"/>
          <w:szCs w:val="15"/>
          <w:color w:val="auto"/>
        </w:rPr>
        <w:t>isition expenses and other</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ration services fee</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r</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agement fees</w:t>
      </w:r>
    </w:p>
    <w:p>
      <w:pPr>
        <w:spacing w:after="0" w:line="26" w:lineRule="exact"/>
        <w:rPr>
          <w:sz w:val="20"/>
          <w:szCs w:val="20"/>
          <w:color w:val="auto"/>
        </w:rPr>
      </w:pPr>
    </w:p>
    <w:p>
      <w:pPr>
        <w:spacing w:after="0"/>
        <w:tabs>
          <w:tab w:leader="none" w:pos="1920" w:val="left"/>
        </w:tabs>
        <w:rPr>
          <w:sz w:val="20"/>
          <w:szCs w:val="20"/>
          <w:color w:val="auto"/>
        </w:rPr>
      </w:pPr>
      <w:r>
        <w:rPr>
          <w:rFonts w:ascii="Arial" w:cs="Arial" w:eastAsia="Arial" w:hAnsi="Arial"/>
          <w:sz w:val="15"/>
          <w:szCs w:val="15"/>
          <w:b w:val="1"/>
          <w:bCs w:val="1"/>
          <w:i w:val="1"/>
          <w:iCs w:val="1"/>
          <w:color w:val="auto"/>
        </w:rPr>
        <w:t>ed EBITDA</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Corporate</w:t>
            </w:r>
          </w:p>
        </w:tc>
        <w:tc>
          <w:tcPr>
            <w:tcW w:w="64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5.11</w:t>
            </w:r>
          </w:p>
        </w:tc>
        <w:tc>
          <w:tcPr>
            <w:tcW w:w="860" w:type="dxa"/>
            <w:vAlign w:val="bottom"/>
            <w:gridSpan w:val="3"/>
            <w:vMerge w:val="restart"/>
          </w:tcPr>
          <w:p>
            <w:pPr>
              <w:jc w:val="right"/>
              <w:ind w:right="128"/>
              <w:spacing w:after="0"/>
              <w:rPr>
                <w:sz w:val="20"/>
                <w:szCs w:val="20"/>
                <w:color w:val="auto"/>
              </w:rPr>
            </w:pPr>
            <w:r>
              <w:rPr>
                <w:rFonts w:ascii="Arial" w:cs="Arial" w:eastAsia="Arial" w:hAnsi="Arial"/>
                <w:sz w:val="14"/>
                <w:szCs w:val="14"/>
                <w:b w:val="1"/>
                <w:bCs w:val="1"/>
                <w:color w:val="auto"/>
                <w:w w:val="99"/>
              </w:rPr>
              <w:t>Ergobaby</w:t>
            </w:r>
          </w:p>
        </w:tc>
        <w:tc>
          <w:tcPr>
            <w:tcW w:w="760" w:type="dxa"/>
            <w:vAlign w:val="bottom"/>
            <w:gridSpan w:val="2"/>
            <w:vMerge w:val="restart"/>
          </w:tcPr>
          <w:p>
            <w:pPr>
              <w:jc w:val="right"/>
              <w:ind w:right="188"/>
              <w:spacing w:after="0"/>
              <w:rPr>
                <w:sz w:val="20"/>
                <w:szCs w:val="20"/>
                <w:color w:val="auto"/>
              </w:rPr>
            </w:pPr>
            <w:r>
              <w:rPr>
                <w:rFonts w:ascii="Arial" w:cs="Arial" w:eastAsia="Arial" w:hAnsi="Arial"/>
                <w:sz w:val="14"/>
                <w:szCs w:val="14"/>
                <w:b w:val="1"/>
                <w:bCs w:val="1"/>
                <w:color w:val="auto"/>
              </w:rPr>
              <w:t>Liberty</w:t>
            </w:r>
          </w:p>
        </w:tc>
        <w:tc>
          <w:tcPr>
            <w:tcW w:w="780" w:type="dxa"/>
            <w:vAlign w:val="bottom"/>
            <w:gridSpan w:val="3"/>
          </w:tcPr>
          <w:p>
            <w:pPr>
              <w:jc w:val="right"/>
              <w:ind w:right="148"/>
              <w:spacing w:after="0"/>
              <w:rPr>
                <w:sz w:val="20"/>
                <w:szCs w:val="20"/>
                <w:color w:val="auto"/>
              </w:rPr>
            </w:pPr>
            <w:r>
              <w:rPr>
                <w:rFonts w:ascii="Arial" w:cs="Arial" w:eastAsia="Arial" w:hAnsi="Arial"/>
                <w:sz w:val="14"/>
                <w:szCs w:val="14"/>
                <w:b w:val="1"/>
                <w:bCs w:val="1"/>
                <w:color w:val="auto"/>
              </w:rPr>
              <w:t>Marucci</w:t>
            </w:r>
          </w:p>
        </w:tc>
        <w:tc>
          <w:tcPr>
            <w:tcW w:w="880" w:type="dxa"/>
            <w:vAlign w:val="bottom"/>
            <w:gridSpan w:val="4"/>
          </w:tcPr>
          <w:p>
            <w:pPr>
              <w:ind w:left="20"/>
              <w:spacing w:after="0"/>
              <w:rPr>
                <w:sz w:val="20"/>
                <w:szCs w:val="20"/>
                <w:color w:val="auto"/>
              </w:rPr>
            </w:pPr>
            <w:r>
              <w:rPr>
                <w:rFonts w:ascii="Arial" w:cs="Arial" w:eastAsia="Arial" w:hAnsi="Arial"/>
                <w:sz w:val="14"/>
                <w:szCs w:val="14"/>
                <w:b w:val="1"/>
                <w:bCs w:val="1"/>
                <w:color w:val="auto"/>
              </w:rPr>
              <w:t>Velocity</w:t>
            </w:r>
          </w:p>
        </w:tc>
        <w:tc>
          <w:tcPr>
            <w:tcW w:w="66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ACI</w:t>
            </w:r>
          </w:p>
        </w:tc>
        <w:tc>
          <w:tcPr>
            <w:tcW w:w="780" w:type="dxa"/>
            <w:vAlign w:val="bottom"/>
            <w:gridSpan w:val="2"/>
            <w:vMerge w:val="restart"/>
          </w:tcPr>
          <w:p>
            <w:pPr>
              <w:jc w:val="right"/>
              <w:ind w:right="208"/>
              <w:spacing w:after="0"/>
              <w:rPr>
                <w:sz w:val="20"/>
                <w:szCs w:val="20"/>
                <w:color w:val="auto"/>
              </w:rPr>
            </w:pPr>
            <w:r>
              <w:rPr>
                <w:rFonts w:ascii="Arial" w:cs="Arial" w:eastAsia="Arial" w:hAnsi="Arial"/>
                <w:sz w:val="14"/>
                <w:szCs w:val="14"/>
                <w:b w:val="1"/>
                <w:bCs w:val="1"/>
                <w:color w:val="auto"/>
              </w:rPr>
              <w:t>Arnold</w:t>
            </w:r>
          </w:p>
        </w:tc>
        <w:tc>
          <w:tcPr>
            <w:tcW w:w="760" w:type="dxa"/>
            <w:vAlign w:val="bottom"/>
            <w:gridSpan w:val="2"/>
            <w:vMerge w:val="restart"/>
          </w:tcPr>
          <w:p>
            <w:pPr>
              <w:jc w:val="right"/>
              <w:ind w:right="248"/>
              <w:spacing w:after="0"/>
              <w:rPr>
                <w:sz w:val="20"/>
                <w:szCs w:val="20"/>
                <w:color w:val="auto"/>
              </w:rPr>
            </w:pPr>
            <w:r>
              <w:rPr>
                <w:rFonts w:ascii="Arial" w:cs="Arial" w:eastAsia="Arial" w:hAnsi="Arial"/>
                <w:sz w:val="14"/>
                <w:szCs w:val="14"/>
                <w:b w:val="1"/>
                <w:bCs w:val="1"/>
                <w:color w:val="auto"/>
              </w:rPr>
              <w:t>Foam</w:t>
            </w:r>
          </w:p>
        </w:tc>
        <w:tc>
          <w:tcPr>
            <w:tcW w:w="720" w:type="dxa"/>
            <w:vAlign w:val="bottom"/>
            <w:gridSpan w:val="2"/>
            <w:vMerge w:val="restart"/>
          </w:tcPr>
          <w:p>
            <w:pPr>
              <w:jc w:val="right"/>
              <w:ind w:right="148"/>
              <w:spacing w:after="0"/>
              <w:rPr>
                <w:sz w:val="20"/>
                <w:szCs w:val="20"/>
                <w:color w:val="auto"/>
              </w:rPr>
            </w:pPr>
            <w:r>
              <w:rPr>
                <w:rFonts w:ascii="Arial" w:cs="Arial" w:eastAsia="Arial" w:hAnsi="Arial"/>
                <w:sz w:val="14"/>
                <w:szCs w:val="14"/>
                <w:b w:val="1"/>
                <w:bCs w:val="1"/>
                <w:color w:val="auto"/>
              </w:rPr>
              <w:t>Sterno</w:t>
            </w:r>
          </w:p>
        </w:tc>
        <w:tc>
          <w:tcPr>
            <w:tcW w:w="1120" w:type="dxa"/>
            <w:vAlign w:val="bottom"/>
            <w:gridSpan w:val="3"/>
            <w:vMerge w:val="restart"/>
          </w:tcPr>
          <w:p>
            <w:pPr>
              <w:jc w:val="right"/>
              <w:ind w:right="128"/>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6"/>
        </w:trPr>
        <w:tc>
          <w:tcPr>
            <w:tcW w:w="960" w:type="dxa"/>
            <w:vAlign w:val="bottom"/>
            <w:gridSpan w:val="3"/>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860" w:type="dxa"/>
            <w:vAlign w:val="bottom"/>
            <w:gridSpan w:val="3"/>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b w:val="1"/>
                <w:bCs w:val="1"/>
                <w:color w:val="auto"/>
              </w:rPr>
              <w:t>Sports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4"/>
                <w:szCs w:val="14"/>
                <w:b w:val="1"/>
                <w:bCs w:val="1"/>
                <w:color w:val="auto"/>
              </w:rPr>
              <w:t>Outdoor</w:t>
            </w:r>
          </w:p>
        </w:tc>
        <w:tc>
          <w:tcPr>
            <w:tcW w:w="660" w:type="dxa"/>
            <w:vAlign w:val="bottom"/>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12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40" w:type="dxa"/>
            <w:vAlign w:val="bottom"/>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(10,535)$</w:t>
            </w:r>
          </w:p>
        </w:tc>
        <w:tc>
          <w:tcPr>
            <w:tcW w:w="80" w:type="dxa"/>
            <w:vAlign w:val="bottom"/>
          </w:tcPr>
          <w:p>
            <w:pPr>
              <w:spacing w:after="0"/>
              <w:rPr>
                <w:sz w:val="16"/>
                <w:szCs w:val="16"/>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5,515$</w:t>
            </w:r>
          </w:p>
        </w:tc>
        <w:tc>
          <w:tcPr>
            <w:tcW w:w="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1,837$</w:t>
            </w:r>
          </w:p>
        </w:tc>
        <w:tc>
          <w:tcPr>
            <w:tcW w:w="80" w:type="dxa"/>
            <w:vAlign w:val="bottom"/>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7,119$</w:t>
            </w:r>
          </w:p>
        </w:tc>
        <w:tc>
          <w:tcPr>
            <w:tcW w:w="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(5,344)$</w:t>
            </w:r>
          </w:p>
        </w:tc>
        <w:tc>
          <w:tcPr>
            <w:tcW w:w="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4,245$</w:t>
            </w:r>
          </w:p>
        </w:tc>
        <w:tc>
          <w:tcPr>
            <w:tcW w:w="80" w:type="dxa"/>
            <w:vAlign w:val="bottom"/>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10,980$</w:t>
            </w:r>
          </w:p>
        </w:tc>
        <w:tc>
          <w:tcPr>
            <w:tcW w:w="80" w:type="dxa"/>
            <w:vAlign w:val="bottom"/>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(1,719)$</w:t>
            </w:r>
          </w:p>
        </w:tc>
        <w:tc>
          <w:tcPr>
            <w:tcW w:w="80" w:type="dxa"/>
            <w:vAlign w:val="bottom"/>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4,188$</w:t>
            </w:r>
          </w:p>
        </w:tc>
        <w:tc>
          <w:tcPr>
            <w:tcW w:w="80" w:type="dxa"/>
            <w:vAlign w:val="bottom"/>
          </w:tcPr>
          <w:p>
            <w:pPr>
              <w:spacing w:after="0"/>
              <w:rPr>
                <w:sz w:val="16"/>
                <w:szCs w:val="16"/>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2,131$</w:t>
            </w:r>
          </w:p>
        </w:tc>
        <w:tc>
          <w:tcPr>
            <w:tcW w:w="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18,417</w:t>
            </w:r>
          </w:p>
        </w:tc>
        <w:tc>
          <w:tcPr>
            <w:tcW w:w="0" w:type="dxa"/>
            <w:vAlign w:val="bottom"/>
          </w:tcPr>
          <w:p>
            <w:pPr>
              <w:spacing w:after="0"/>
              <w:rPr>
                <w:sz w:val="1"/>
                <w:szCs w:val="1"/>
                <w:color w:val="auto"/>
              </w:rPr>
            </w:pPr>
          </w:p>
        </w:tc>
      </w:tr>
      <w:tr>
        <w:trPr>
          <w:trHeight w:val="405"/>
        </w:trPr>
        <w:tc>
          <w:tcPr>
            <w:tcW w:w="140" w:type="dxa"/>
            <w:vAlign w:val="bottom"/>
          </w:tcPr>
          <w:p>
            <w:pPr>
              <w:spacing w:after="0"/>
              <w:rPr>
                <w:sz w:val="24"/>
                <w:szCs w:val="2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(55)</w:t>
            </w: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2,265</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2,357</w:t>
            </w:r>
          </w:p>
        </w:tc>
        <w:tc>
          <w:tcPr>
            <w:tcW w:w="780" w:type="dxa"/>
            <w:vAlign w:val="bottom"/>
            <w:gridSpan w:val="3"/>
          </w:tcPr>
          <w:p>
            <w:pPr>
              <w:jc w:val="right"/>
              <w:spacing w:after="0"/>
              <w:rPr>
                <w:sz w:val="20"/>
                <w:szCs w:val="20"/>
                <w:color w:val="auto"/>
              </w:rPr>
            </w:pPr>
            <w:r>
              <w:rPr>
                <w:rFonts w:ascii="Arial" w:cs="Arial" w:eastAsia="Arial" w:hAnsi="Arial"/>
                <w:sz w:val="14"/>
                <w:szCs w:val="14"/>
                <w:color w:val="auto"/>
              </w:rPr>
              <w:t>(2,351)</w:t>
            </w:r>
          </w:p>
        </w:tc>
        <w:tc>
          <w:tcPr>
            <w:tcW w:w="800" w:type="dxa"/>
            <w:vAlign w:val="bottom"/>
            <w:gridSpan w:val="3"/>
          </w:tcPr>
          <w:p>
            <w:pPr>
              <w:jc w:val="right"/>
              <w:spacing w:after="0"/>
              <w:rPr>
                <w:sz w:val="20"/>
                <w:szCs w:val="20"/>
                <w:color w:val="auto"/>
              </w:rPr>
            </w:pPr>
            <w:r>
              <w:rPr>
                <w:rFonts w:ascii="Arial" w:cs="Arial" w:eastAsia="Arial" w:hAnsi="Arial"/>
                <w:sz w:val="14"/>
                <w:szCs w:val="14"/>
                <w:color w:val="auto"/>
              </w:rPr>
              <w:t>1,386</w:t>
            </w:r>
          </w:p>
        </w:tc>
        <w:tc>
          <w:tcPr>
            <w:tcW w:w="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2,878</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(56)</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1,891</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162</w:t>
            </w:r>
          </w:p>
        </w:tc>
        <w:tc>
          <w:tcPr>
            <w:tcW w:w="1120" w:type="dxa"/>
            <w:vAlign w:val="bottom"/>
            <w:gridSpan w:val="3"/>
          </w:tcPr>
          <w:p>
            <w:pPr>
              <w:jc w:val="right"/>
              <w:ind w:right="8"/>
              <w:spacing w:after="0"/>
              <w:rPr>
                <w:sz w:val="20"/>
                <w:szCs w:val="20"/>
                <w:color w:val="auto"/>
              </w:rPr>
            </w:pPr>
            <w:r>
              <w:rPr>
                <w:rFonts w:ascii="Arial" w:cs="Arial" w:eastAsia="Arial" w:hAnsi="Arial"/>
                <w:sz w:val="14"/>
                <w:szCs w:val="14"/>
                <w:color w:val="auto"/>
              </w:rPr>
              <w:t>8,477</w:t>
            </w:r>
          </w:p>
        </w:tc>
        <w:tc>
          <w:tcPr>
            <w:tcW w:w="0" w:type="dxa"/>
            <w:vAlign w:val="bottom"/>
          </w:tcPr>
          <w:p>
            <w:pPr>
              <w:spacing w:after="0"/>
              <w:rPr>
                <w:sz w:val="1"/>
                <w:szCs w:val="1"/>
                <w:color w:val="auto"/>
              </w:rPr>
            </w:pPr>
          </w:p>
        </w:tc>
      </w:tr>
      <w:tr>
        <w:trPr>
          <w:trHeight w:val="203"/>
        </w:trPr>
        <w:tc>
          <w:tcPr>
            <w:tcW w:w="880" w:type="dxa"/>
            <w:vAlign w:val="bottom"/>
            <w:gridSpan w:val="2"/>
          </w:tcPr>
          <w:p>
            <w:pPr>
              <w:jc w:val="right"/>
              <w:spacing w:after="0"/>
              <w:rPr>
                <w:sz w:val="20"/>
                <w:szCs w:val="20"/>
                <w:color w:val="auto"/>
              </w:rPr>
            </w:pPr>
            <w:r>
              <w:rPr>
                <w:rFonts w:ascii="Arial" w:cs="Arial" w:eastAsia="Arial" w:hAnsi="Arial"/>
                <w:sz w:val="14"/>
                <w:szCs w:val="14"/>
                <w:color w:val="auto"/>
              </w:rPr>
              <w:t>31,971</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43</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3"/>
          </w:tcPr>
          <w:p>
            <w:pPr>
              <w:jc w:val="right"/>
              <w:spacing w:after="0"/>
              <w:rPr>
                <w:sz w:val="20"/>
                <w:szCs w:val="20"/>
                <w:color w:val="auto"/>
              </w:rPr>
            </w:pPr>
            <w:r>
              <w:rPr>
                <w:rFonts w:ascii="Arial" w:cs="Arial" w:eastAsia="Arial" w:hAnsi="Arial"/>
                <w:sz w:val="14"/>
                <w:szCs w:val="14"/>
                <w:color w:val="auto"/>
              </w:rPr>
              <w:t>6</w:t>
            </w:r>
          </w:p>
        </w:tc>
        <w:tc>
          <w:tcPr>
            <w:tcW w:w="800" w:type="dxa"/>
            <w:vAlign w:val="bottom"/>
            <w:gridSpan w:val="3"/>
          </w:tcPr>
          <w:p>
            <w:pPr>
              <w:jc w:val="right"/>
              <w:spacing w:after="0"/>
              <w:rPr>
                <w:sz w:val="20"/>
                <w:szCs w:val="20"/>
                <w:color w:val="auto"/>
              </w:rPr>
            </w:pPr>
            <w:r>
              <w:rPr>
                <w:rFonts w:ascii="Arial" w:cs="Arial" w:eastAsia="Arial" w:hAnsi="Arial"/>
                <w:sz w:val="14"/>
                <w:szCs w:val="14"/>
                <w:color w:val="auto"/>
              </w:rPr>
              <w:t>102</w:t>
            </w: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3"/>
          </w:tcPr>
          <w:p>
            <w:pPr>
              <w:jc w:val="right"/>
              <w:ind w:right="8"/>
              <w:spacing w:after="0"/>
              <w:rPr>
                <w:sz w:val="20"/>
                <w:szCs w:val="20"/>
                <w:color w:val="auto"/>
              </w:rPr>
            </w:pPr>
            <w:r>
              <w:rPr>
                <w:rFonts w:ascii="Arial" w:cs="Arial" w:eastAsia="Arial" w:hAnsi="Arial"/>
                <w:sz w:val="14"/>
                <w:szCs w:val="14"/>
                <w:color w:val="auto"/>
              </w:rPr>
              <w:t>32,122</w:t>
            </w:r>
          </w:p>
        </w:tc>
        <w:tc>
          <w:tcPr>
            <w:tcW w:w="0" w:type="dxa"/>
            <w:vAlign w:val="bottom"/>
          </w:tcPr>
          <w:p>
            <w:pPr>
              <w:spacing w:after="0"/>
              <w:rPr>
                <w:sz w:val="1"/>
                <w:szCs w:val="1"/>
                <w:color w:val="auto"/>
              </w:rPr>
            </w:pPr>
          </w:p>
        </w:tc>
      </w:tr>
      <w:tr>
        <w:trPr>
          <w:trHeight w:val="203"/>
        </w:trPr>
        <w:tc>
          <w:tcPr>
            <w:tcW w:w="880" w:type="dxa"/>
            <w:vAlign w:val="bottom"/>
            <w:gridSpan w:val="2"/>
          </w:tcPr>
          <w:p>
            <w:pPr>
              <w:jc w:val="right"/>
              <w:spacing w:after="0"/>
              <w:rPr>
                <w:sz w:val="20"/>
                <w:szCs w:val="20"/>
                <w:color w:val="auto"/>
              </w:rPr>
            </w:pPr>
            <w:r>
              <w:rPr>
                <w:rFonts w:ascii="Arial" w:cs="Arial" w:eastAsia="Arial" w:hAnsi="Arial"/>
                <w:sz w:val="14"/>
                <w:szCs w:val="14"/>
                <w:color w:val="auto"/>
              </w:rPr>
              <w:t>(51,429)</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10,770</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1,818</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2,748</w:t>
            </w:r>
          </w:p>
        </w:tc>
        <w:tc>
          <w:tcPr>
            <w:tcW w:w="780" w:type="dxa"/>
            <w:vAlign w:val="bottom"/>
            <w:gridSpan w:val="3"/>
          </w:tcPr>
          <w:p>
            <w:pPr>
              <w:jc w:val="right"/>
              <w:spacing w:after="0"/>
              <w:rPr>
                <w:sz w:val="20"/>
                <w:szCs w:val="20"/>
                <w:color w:val="auto"/>
              </w:rPr>
            </w:pPr>
            <w:r>
              <w:rPr>
                <w:rFonts w:ascii="Arial" w:cs="Arial" w:eastAsia="Arial" w:hAnsi="Arial"/>
                <w:sz w:val="14"/>
                <w:szCs w:val="14"/>
                <w:color w:val="auto"/>
              </w:rPr>
              <w:t>1,194</w:t>
            </w:r>
          </w:p>
        </w:tc>
        <w:tc>
          <w:tcPr>
            <w:tcW w:w="800" w:type="dxa"/>
            <w:vAlign w:val="bottom"/>
            <w:gridSpan w:val="3"/>
          </w:tcPr>
          <w:p>
            <w:pPr>
              <w:jc w:val="right"/>
              <w:spacing w:after="0"/>
              <w:rPr>
                <w:sz w:val="20"/>
                <w:szCs w:val="20"/>
                <w:color w:val="auto"/>
              </w:rPr>
            </w:pPr>
            <w:r>
              <w:rPr>
                <w:rFonts w:ascii="Arial" w:cs="Arial" w:eastAsia="Arial" w:hAnsi="Arial"/>
                <w:sz w:val="14"/>
                <w:szCs w:val="14"/>
                <w:color w:val="auto"/>
              </w:rPr>
              <w:t>6,945</w:t>
            </w: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4,176</w:t>
            </w:r>
          </w:p>
        </w:tc>
        <w:tc>
          <w:tcPr>
            <w:tcW w:w="780" w:type="dxa"/>
            <w:vAlign w:val="bottom"/>
            <w:gridSpan w:val="2"/>
          </w:tcPr>
          <w:p>
            <w:pPr>
              <w:jc w:val="right"/>
              <w:ind w:right="8"/>
              <w:spacing w:after="0"/>
              <w:rPr>
                <w:sz w:val="20"/>
                <w:szCs w:val="20"/>
                <w:color w:val="auto"/>
              </w:rPr>
            </w:pPr>
            <w:r>
              <w:rPr>
                <w:rFonts w:ascii="Arial" w:cs="Arial" w:eastAsia="Arial" w:hAnsi="Arial"/>
                <w:sz w:val="14"/>
                <w:szCs w:val="14"/>
                <w:color w:val="auto"/>
              </w:rPr>
              <w:t>4,300</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5,290</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14,188</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1"/>
        </w:trPr>
        <w:tc>
          <w:tcPr>
            <w:tcW w:w="140" w:type="dxa"/>
            <w:vAlign w:val="bottom"/>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467</w:t>
            </w:r>
          </w:p>
        </w:tc>
        <w:tc>
          <w:tcPr>
            <w:tcW w:w="80" w:type="dxa"/>
            <w:vAlign w:val="bottom"/>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16,033</w:t>
            </w:r>
          </w:p>
        </w:tc>
        <w:tc>
          <w:tcPr>
            <w:tcW w:w="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6,152</w:t>
            </w:r>
          </w:p>
        </w:tc>
        <w:tc>
          <w:tcPr>
            <w:tcW w:w="80" w:type="dxa"/>
            <w:vAlign w:val="bottom"/>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1,294</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8,031</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9,651</w:t>
            </w:r>
          </w:p>
        </w:tc>
        <w:tc>
          <w:tcPr>
            <w:tcW w:w="80" w:type="dxa"/>
            <w:vAlign w:val="bottom"/>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1,980</w:t>
            </w:r>
          </w:p>
        </w:tc>
        <w:tc>
          <w:tcPr>
            <w:tcW w:w="80" w:type="dxa"/>
            <w:vAlign w:val="bottom"/>
          </w:tcPr>
          <w:p>
            <w:pPr>
              <w:spacing w:after="0"/>
              <w:rPr>
                <w:sz w:val="17"/>
                <w:szCs w:val="17"/>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5,040</w:t>
            </w:r>
          </w:p>
        </w:tc>
        <w:tc>
          <w:tcPr>
            <w:tcW w:w="80" w:type="dxa"/>
            <w:vAlign w:val="bottom"/>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9,473</w:t>
            </w:r>
          </w:p>
        </w:tc>
        <w:tc>
          <w:tcPr>
            <w:tcW w:w="80" w:type="dxa"/>
            <w:vAlign w:val="bottom"/>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17,251</w:t>
            </w:r>
          </w:p>
        </w:tc>
        <w:tc>
          <w:tcPr>
            <w:tcW w:w="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75,372</w:t>
            </w:r>
          </w:p>
        </w:tc>
        <w:tc>
          <w:tcPr>
            <w:tcW w:w="0" w:type="dxa"/>
            <w:vAlign w:val="bottom"/>
          </w:tcPr>
          <w:p>
            <w:pPr>
              <w:spacing w:after="0"/>
              <w:rPr>
                <w:sz w:val="1"/>
                <w:szCs w:val="1"/>
                <w:color w:val="auto"/>
              </w:rPr>
            </w:pPr>
          </w:p>
        </w:tc>
      </w:tr>
      <w:tr>
        <w:trPr>
          <w:trHeight w:val="184"/>
        </w:trPr>
        <w:tc>
          <w:tcPr>
            <w:tcW w:w="880" w:type="dxa"/>
            <w:vAlign w:val="bottom"/>
            <w:gridSpan w:val="2"/>
          </w:tcPr>
          <w:p>
            <w:pPr>
              <w:jc w:val="right"/>
              <w:spacing w:after="0"/>
              <w:rPr>
                <w:sz w:val="20"/>
                <w:szCs w:val="20"/>
                <w:color w:val="auto"/>
              </w:rPr>
            </w:pPr>
            <w:r>
              <w:rPr>
                <w:rFonts w:ascii="Arial" w:cs="Arial" w:eastAsia="Arial" w:hAnsi="Arial"/>
                <w:sz w:val="14"/>
                <w:szCs w:val="14"/>
                <w:color w:val="auto"/>
              </w:rPr>
              <w:t>(29,526)</w:t>
            </w: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32,306</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12,072</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13,518</w:t>
            </w:r>
          </w:p>
        </w:tc>
        <w:tc>
          <w:tcPr>
            <w:tcW w:w="780" w:type="dxa"/>
            <w:vAlign w:val="bottom"/>
            <w:gridSpan w:val="3"/>
          </w:tcPr>
          <w:p>
            <w:pPr>
              <w:jc w:val="right"/>
              <w:spacing w:after="0"/>
              <w:rPr>
                <w:sz w:val="20"/>
                <w:szCs w:val="20"/>
                <w:color w:val="auto"/>
              </w:rPr>
            </w:pPr>
            <w:r>
              <w:rPr>
                <w:rFonts w:ascii="Arial" w:cs="Arial" w:eastAsia="Arial" w:hAnsi="Arial"/>
                <w:sz w:val="14"/>
                <w:szCs w:val="14"/>
                <w:color w:val="auto"/>
              </w:rPr>
              <w:t>1,536</w:t>
            </w:r>
          </w:p>
        </w:tc>
        <w:tc>
          <w:tcPr>
            <w:tcW w:w="800" w:type="dxa"/>
            <w:vAlign w:val="bottom"/>
            <w:gridSpan w:val="3"/>
          </w:tcPr>
          <w:p>
            <w:pPr>
              <w:jc w:val="right"/>
              <w:spacing w:after="0"/>
              <w:rPr>
                <w:sz w:val="20"/>
                <w:szCs w:val="20"/>
                <w:color w:val="auto"/>
              </w:rPr>
            </w:pPr>
            <w:r>
              <w:rPr>
                <w:rFonts w:ascii="Arial" w:cs="Arial" w:eastAsia="Arial" w:hAnsi="Arial"/>
                <w:sz w:val="14"/>
                <w:szCs w:val="14"/>
                <w:color w:val="auto"/>
              </w:rPr>
              <w:t>22,329</w:t>
            </w: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20,014</w:t>
            </w:r>
          </w:p>
        </w:tc>
        <w:tc>
          <w:tcPr>
            <w:tcW w:w="780" w:type="dxa"/>
            <w:vAlign w:val="bottom"/>
            <w:gridSpan w:val="2"/>
          </w:tcPr>
          <w:p>
            <w:pPr>
              <w:jc w:val="right"/>
              <w:ind w:right="8"/>
              <w:spacing w:after="0"/>
              <w:rPr>
                <w:sz w:val="20"/>
                <w:szCs w:val="20"/>
                <w:color w:val="auto"/>
              </w:rPr>
            </w:pPr>
            <w:r>
              <w:rPr>
                <w:rFonts w:ascii="Arial" w:cs="Arial" w:eastAsia="Arial" w:hAnsi="Arial"/>
                <w:sz w:val="14"/>
                <w:szCs w:val="14"/>
                <w:color w:val="auto"/>
              </w:rPr>
              <w:t>7,565</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20,842</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33,732</w:t>
            </w:r>
          </w:p>
        </w:tc>
        <w:tc>
          <w:tcPr>
            <w:tcW w:w="1120" w:type="dxa"/>
            <w:vAlign w:val="bottom"/>
            <w:gridSpan w:val="3"/>
          </w:tcPr>
          <w:p>
            <w:pPr>
              <w:jc w:val="right"/>
              <w:ind w:right="8"/>
              <w:spacing w:after="0"/>
              <w:rPr>
                <w:sz w:val="20"/>
                <w:szCs w:val="20"/>
                <w:color w:val="auto"/>
              </w:rPr>
            </w:pPr>
            <w:r>
              <w:rPr>
                <w:rFonts w:ascii="Arial" w:cs="Arial" w:eastAsia="Arial" w:hAnsi="Arial"/>
                <w:sz w:val="14"/>
                <w:szCs w:val="14"/>
                <w:color w:val="auto"/>
              </w:rPr>
              <w:t>134,388</w:t>
            </w:r>
          </w:p>
        </w:tc>
        <w:tc>
          <w:tcPr>
            <w:tcW w:w="0" w:type="dxa"/>
            <w:vAlign w:val="bottom"/>
          </w:tcPr>
          <w:p>
            <w:pPr>
              <w:spacing w:after="0"/>
              <w:rPr>
                <w:sz w:val="1"/>
                <w:szCs w:val="1"/>
                <w:color w:val="auto"/>
              </w:rPr>
            </w:pPr>
          </w:p>
        </w:tc>
      </w:tr>
      <w:tr>
        <w:trPr>
          <w:trHeight w:val="203"/>
        </w:trPr>
        <w:tc>
          <w:tcPr>
            <w:tcW w:w="880" w:type="dxa"/>
            <w:vAlign w:val="bottom"/>
            <w:gridSpan w:val="2"/>
          </w:tcPr>
          <w:p>
            <w:pPr>
              <w:jc w:val="right"/>
              <w:spacing w:after="0"/>
              <w:rPr>
                <w:sz w:val="20"/>
                <w:szCs w:val="20"/>
                <w:color w:val="auto"/>
              </w:rPr>
            </w:pPr>
            <w:r>
              <w:rPr>
                <w:rFonts w:ascii="Arial" w:cs="Arial" w:eastAsia="Arial" w:hAnsi="Arial"/>
                <w:sz w:val="14"/>
                <w:szCs w:val="14"/>
                <w:color w:val="auto"/>
              </w:rPr>
              <w:t>(100)</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3"/>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03"/>
        </w:trPr>
        <w:tc>
          <w:tcPr>
            <w:tcW w:w="880" w:type="dxa"/>
            <w:vAlign w:val="bottom"/>
            <w:gridSpan w:val="2"/>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1,398</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(4)</w:t>
            </w:r>
          </w:p>
        </w:tc>
        <w:tc>
          <w:tcPr>
            <w:tcW w:w="780" w:type="dxa"/>
            <w:vAlign w:val="bottom"/>
            <w:gridSpan w:val="3"/>
          </w:tcPr>
          <w:p>
            <w:pPr>
              <w:jc w:val="right"/>
              <w:spacing w:after="0"/>
              <w:rPr>
                <w:sz w:val="20"/>
                <w:szCs w:val="20"/>
                <w:color w:val="auto"/>
              </w:rPr>
            </w:pPr>
            <w:r>
              <w:rPr>
                <w:rFonts w:ascii="Arial" w:cs="Arial" w:eastAsia="Arial" w:hAnsi="Arial"/>
                <w:sz w:val="14"/>
                <w:szCs w:val="14"/>
                <w:color w:val="auto"/>
              </w:rPr>
              <w:t>(46)</w:t>
            </w:r>
          </w:p>
        </w:tc>
        <w:tc>
          <w:tcPr>
            <w:tcW w:w="800" w:type="dxa"/>
            <w:vAlign w:val="bottom"/>
            <w:gridSpan w:val="3"/>
          </w:tcPr>
          <w:p>
            <w:pPr>
              <w:jc w:val="right"/>
              <w:spacing w:after="0"/>
              <w:rPr>
                <w:sz w:val="20"/>
                <w:szCs w:val="20"/>
                <w:color w:val="auto"/>
              </w:rPr>
            </w:pPr>
            <w:r>
              <w:rPr>
                <w:rFonts w:ascii="Arial" w:cs="Arial" w:eastAsia="Arial" w:hAnsi="Arial"/>
                <w:sz w:val="14"/>
                <w:szCs w:val="14"/>
                <w:color w:val="auto"/>
              </w:rPr>
              <w:t>1,048</w:t>
            </w: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126</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(1)</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(438)</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86</w:t>
            </w:r>
          </w:p>
        </w:tc>
        <w:tc>
          <w:tcPr>
            <w:tcW w:w="1120" w:type="dxa"/>
            <w:vAlign w:val="bottom"/>
            <w:gridSpan w:val="3"/>
          </w:tcPr>
          <w:p>
            <w:pPr>
              <w:jc w:val="right"/>
              <w:ind w:right="8"/>
              <w:spacing w:after="0"/>
              <w:rPr>
                <w:sz w:val="20"/>
                <w:szCs w:val="20"/>
                <w:color w:val="auto"/>
              </w:rPr>
            </w:pPr>
            <w:r>
              <w:rPr>
                <w:rFonts w:ascii="Arial" w:cs="Arial" w:eastAsia="Arial" w:hAnsi="Arial"/>
                <w:sz w:val="14"/>
                <w:szCs w:val="14"/>
                <w:color w:val="auto"/>
              </w:rPr>
              <w:t>2,172</w:t>
            </w:r>
          </w:p>
        </w:tc>
        <w:tc>
          <w:tcPr>
            <w:tcW w:w="0" w:type="dxa"/>
            <w:vAlign w:val="bottom"/>
          </w:tcPr>
          <w:p>
            <w:pPr>
              <w:spacing w:after="0"/>
              <w:rPr>
                <w:sz w:val="1"/>
                <w:szCs w:val="1"/>
                <w:color w:val="auto"/>
              </w:rPr>
            </w:pPr>
          </w:p>
        </w:tc>
      </w:tr>
      <w:tr>
        <w:trPr>
          <w:trHeight w:val="351"/>
        </w:trPr>
        <w:tc>
          <w:tcPr>
            <w:tcW w:w="140" w:type="dxa"/>
            <w:vAlign w:val="bottom"/>
          </w:tcPr>
          <w:p>
            <w:pPr>
              <w:spacing w:after="0"/>
              <w:rPr>
                <w:sz w:val="24"/>
                <w:szCs w:val="2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1,870</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748</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22</w:t>
            </w:r>
          </w:p>
        </w:tc>
        <w:tc>
          <w:tcPr>
            <w:tcW w:w="780" w:type="dxa"/>
            <w:vAlign w:val="bottom"/>
            <w:gridSpan w:val="3"/>
          </w:tcPr>
          <w:p>
            <w:pPr>
              <w:jc w:val="right"/>
              <w:spacing w:after="0"/>
              <w:rPr>
                <w:sz w:val="20"/>
                <w:szCs w:val="20"/>
                <w:color w:val="auto"/>
              </w:rPr>
            </w:pPr>
            <w:r>
              <w:rPr>
                <w:rFonts w:ascii="Arial" w:cs="Arial" w:eastAsia="Arial" w:hAnsi="Arial"/>
                <w:sz w:val="14"/>
                <w:szCs w:val="14"/>
                <w:color w:val="auto"/>
              </w:rPr>
              <w:t>361</w:t>
            </w:r>
          </w:p>
        </w:tc>
        <w:tc>
          <w:tcPr>
            <w:tcW w:w="800" w:type="dxa"/>
            <w:vAlign w:val="bottom"/>
            <w:gridSpan w:val="3"/>
          </w:tcPr>
          <w:p>
            <w:pPr>
              <w:jc w:val="right"/>
              <w:spacing w:after="0"/>
              <w:rPr>
                <w:sz w:val="20"/>
                <w:szCs w:val="20"/>
                <w:color w:val="auto"/>
              </w:rPr>
            </w:pPr>
            <w:r>
              <w:rPr>
                <w:rFonts w:ascii="Arial" w:cs="Arial" w:eastAsia="Arial" w:hAnsi="Arial"/>
                <w:sz w:val="14"/>
                <w:szCs w:val="14"/>
                <w:color w:val="auto"/>
              </w:rPr>
              <w:t>1,287</w:t>
            </w:r>
          </w:p>
        </w:tc>
        <w:tc>
          <w:tcPr>
            <w:tcW w:w="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372</w:t>
            </w:r>
          </w:p>
        </w:tc>
        <w:tc>
          <w:tcPr>
            <w:tcW w:w="780" w:type="dxa"/>
            <w:vAlign w:val="bottom"/>
            <w:gridSpan w:val="2"/>
          </w:tcPr>
          <w:p>
            <w:pPr>
              <w:jc w:val="right"/>
              <w:ind w:right="8"/>
              <w:spacing w:after="0"/>
              <w:rPr>
                <w:sz w:val="20"/>
                <w:szCs w:val="20"/>
                <w:color w:val="auto"/>
              </w:rPr>
            </w:pPr>
            <w:r>
              <w:rPr>
                <w:rFonts w:ascii="Arial" w:cs="Arial" w:eastAsia="Arial" w:hAnsi="Arial"/>
                <w:sz w:val="14"/>
                <w:szCs w:val="14"/>
                <w:color w:val="auto"/>
              </w:rPr>
              <w:t>34</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771</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651</w:t>
            </w:r>
          </w:p>
        </w:tc>
        <w:tc>
          <w:tcPr>
            <w:tcW w:w="1120" w:type="dxa"/>
            <w:vAlign w:val="bottom"/>
            <w:gridSpan w:val="3"/>
          </w:tcPr>
          <w:p>
            <w:pPr>
              <w:jc w:val="right"/>
              <w:ind w:right="8"/>
              <w:spacing w:after="0"/>
              <w:rPr>
                <w:sz w:val="20"/>
                <w:szCs w:val="20"/>
                <w:color w:val="auto"/>
              </w:rPr>
            </w:pPr>
            <w:r>
              <w:rPr>
                <w:rFonts w:ascii="Arial" w:cs="Arial" w:eastAsia="Arial" w:hAnsi="Arial"/>
                <w:sz w:val="14"/>
                <w:szCs w:val="14"/>
                <w:color w:val="auto"/>
              </w:rPr>
              <w:t>6,116</w:t>
            </w:r>
          </w:p>
        </w:tc>
        <w:tc>
          <w:tcPr>
            <w:tcW w:w="0" w:type="dxa"/>
            <w:vAlign w:val="bottom"/>
          </w:tcPr>
          <w:p>
            <w:pPr>
              <w:spacing w:after="0"/>
              <w:rPr>
                <w:sz w:val="1"/>
                <w:szCs w:val="1"/>
                <w:color w:val="auto"/>
              </w:rPr>
            </w:pPr>
          </w:p>
        </w:tc>
      </w:tr>
      <w:tr>
        <w:trPr>
          <w:trHeight w:val="203"/>
        </w:trPr>
        <w:tc>
          <w:tcPr>
            <w:tcW w:w="14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3"/>
          </w:tcPr>
          <w:p>
            <w:pPr>
              <w:jc w:val="right"/>
              <w:spacing w:after="0"/>
              <w:rPr>
                <w:sz w:val="20"/>
                <w:szCs w:val="20"/>
                <w:color w:val="auto"/>
              </w:rPr>
            </w:pPr>
            <w:r>
              <w:rPr>
                <w:rFonts w:ascii="Arial" w:cs="Arial" w:eastAsia="Arial" w:hAnsi="Arial"/>
                <w:sz w:val="14"/>
                <w:szCs w:val="14"/>
                <w:color w:val="auto"/>
              </w:rPr>
              <w:t>2,042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273</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3"/>
          </w:tcPr>
          <w:p>
            <w:pPr>
              <w:jc w:val="right"/>
              <w:ind w:right="8"/>
              <w:spacing w:after="0"/>
              <w:rPr>
                <w:sz w:val="20"/>
                <w:szCs w:val="20"/>
                <w:color w:val="auto"/>
              </w:rPr>
            </w:pPr>
            <w:r>
              <w:rPr>
                <w:rFonts w:ascii="Arial" w:cs="Arial" w:eastAsia="Arial" w:hAnsi="Arial"/>
                <w:sz w:val="14"/>
                <w:szCs w:val="14"/>
                <w:color w:val="auto"/>
              </w:rPr>
              <w:t>2,315</w:t>
            </w:r>
          </w:p>
        </w:tc>
        <w:tc>
          <w:tcPr>
            <w:tcW w:w="0" w:type="dxa"/>
            <w:vAlign w:val="bottom"/>
          </w:tcPr>
          <w:p>
            <w:pPr>
              <w:spacing w:after="0"/>
              <w:rPr>
                <w:sz w:val="1"/>
                <w:szCs w:val="1"/>
                <w:color w:val="auto"/>
              </w:rPr>
            </w:pPr>
          </w:p>
        </w:tc>
      </w:tr>
      <w:tr>
        <w:trPr>
          <w:trHeight w:val="203"/>
        </w:trPr>
        <w:tc>
          <w:tcPr>
            <w:tcW w:w="14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3"/>
          </w:tcPr>
          <w:p>
            <w:pPr>
              <w:jc w:val="right"/>
              <w:spacing w:after="0"/>
              <w:rPr>
                <w:sz w:val="20"/>
                <w:szCs w:val="20"/>
                <w:color w:val="auto"/>
              </w:rPr>
            </w:pPr>
            <w:r>
              <w:rPr>
                <w:rFonts w:ascii="Arial" w:cs="Arial" w:eastAsia="Arial" w:hAnsi="Arial"/>
                <w:sz w:val="14"/>
                <w:szCs w:val="14"/>
                <w:color w:val="auto"/>
              </w:rPr>
              <w:t>500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3"/>
          </w:tcPr>
          <w:p>
            <w:pPr>
              <w:jc w:val="right"/>
              <w:ind w:right="8"/>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203"/>
        </w:trPr>
        <w:tc>
          <w:tcPr>
            <w:tcW w:w="14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598</w:t>
            </w: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3"/>
          </w:tcPr>
          <w:p>
            <w:pPr>
              <w:jc w:val="right"/>
              <w:ind w:right="8"/>
              <w:spacing w:after="0"/>
              <w:rPr>
                <w:sz w:val="20"/>
                <w:szCs w:val="20"/>
                <w:color w:val="auto"/>
              </w:rPr>
            </w:pPr>
            <w:r>
              <w:rPr>
                <w:rFonts w:ascii="Arial" w:cs="Arial" w:eastAsia="Arial" w:hAnsi="Arial"/>
                <w:sz w:val="14"/>
                <w:szCs w:val="14"/>
                <w:color w:val="auto"/>
              </w:rPr>
              <w:t>598</w:t>
            </w:r>
          </w:p>
        </w:tc>
        <w:tc>
          <w:tcPr>
            <w:tcW w:w="0" w:type="dxa"/>
            <w:vAlign w:val="bottom"/>
          </w:tcPr>
          <w:p>
            <w:pPr>
              <w:spacing w:after="0"/>
              <w:rPr>
                <w:sz w:val="1"/>
                <w:szCs w:val="1"/>
                <w:color w:val="auto"/>
              </w:rPr>
            </w:pPr>
          </w:p>
        </w:tc>
      </w:tr>
      <w:tr>
        <w:trPr>
          <w:trHeight w:val="201"/>
        </w:trPr>
        <w:tc>
          <w:tcPr>
            <w:tcW w:w="140" w:type="dxa"/>
            <w:vAlign w:val="bottom"/>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19,651</w:t>
            </w:r>
          </w:p>
        </w:tc>
        <w:tc>
          <w:tcPr>
            <w:tcW w:w="80" w:type="dxa"/>
            <w:vAlign w:val="bottom"/>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750</w:t>
            </w:r>
          </w:p>
        </w:tc>
        <w:tc>
          <w:tcPr>
            <w:tcW w:w="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375</w:t>
            </w:r>
          </w:p>
        </w:tc>
        <w:tc>
          <w:tcPr>
            <w:tcW w:w="80" w:type="dxa"/>
            <w:vAlign w:val="bottom"/>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375</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222</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375</w:t>
            </w:r>
          </w:p>
        </w:tc>
        <w:tc>
          <w:tcPr>
            <w:tcW w:w="80" w:type="dxa"/>
            <w:vAlign w:val="bottom"/>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375</w:t>
            </w:r>
          </w:p>
        </w:tc>
        <w:tc>
          <w:tcPr>
            <w:tcW w:w="80" w:type="dxa"/>
            <w:vAlign w:val="bottom"/>
          </w:tcPr>
          <w:p>
            <w:pPr>
              <w:spacing w:after="0"/>
              <w:rPr>
                <w:sz w:val="17"/>
                <w:szCs w:val="17"/>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375</w:t>
            </w:r>
          </w:p>
        </w:tc>
        <w:tc>
          <w:tcPr>
            <w:tcW w:w="80" w:type="dxa"/>
            <w:vAlign w:val="bottom"/>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563</w:t>
            </w:r>
          </w:p>
        </w:tc>
        <w:tc>
          <w:tcPr>
            <w:tcW w:w="80" w:type="dxa"/>
            <w:vAlign w:val="bottom"/>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375</w:t>
            </w:r>
          </w:p>
        </w:tc>
        <w:tc>
          <w:tcPr>
            <w:tcW w:w="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23,436</w:t>
            </w:r>
          </w:p>
        </w:tc>
        <w:tc>
          <w:tcPr>
            <w:tcW w:w="0" w:type="dxa"/>
            <w:vAlign w:val="bottom"/>
          </w:tcPr>
          <w:p>
            <w:pPr>
              <w:spacing w:after="0"/>
              <w:rPr>
                <w:sz w:val="1"/>
                <w:szCs w:val="1"/>
                <w:color w:val="auto"/>
              </w:rPr>
            </w:pPr>
          </w:p>
        </w:tc>
      </w:tr>
      <w:tr>
        <w:trPr>
          <w:trHeight w:val="183"/>
        </w:trPr>
        <w:tc>
          <w:tcPr>
            <w:tcW w:w="880" w:type="dxa"/>
            <w:vAlign w:val="bottom"/>
            <w:gridSpan w:val="2"/>
          </w:tcPr>
          <w:p>
            <w:pPr>
              <w:jc w:val="right"/>
              <w:spacing w:after="0"/>
              <w:rPr>
                <w:sz w:val="20"/>
                <w:szCs w:val="20"/>
                <w:color w:val="auto"/>
              </w:rPr>
            </w:pPr>
            <w:r>
              <w:rPr>
                <w:rFonts w:ascii="Arial" w:cs="Arial" w:eastAsia="Arial" w:hAnsi="Arial"/>
                <w:sz w:val="14"/>
                <w:szCs w:val="14"/>
                <w:color w:val="auto"/>
              </w:rPr>
              <w:t>(9,972)$</w:t>
            </w: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36,324$</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13,793$</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13,911$</w:t>
            </w:r>
          </w:p>
        </w:tc>
        <w:tc>
          <w:tcPr>
            <w:tcW w:w="780" w:type="dxa"/>
            <w:vAlign w:val="bottom"/>
            <w:gridSpan w:val="3"/>
          </w:tcPr>
          <w:p>
            <w:pPr>
              <w:jc w:val="right"/>
              <w:spacing w:after="0"/>
              <w:rPr>
                <w:sz w:val="20"/>
                <w:szCs w:val="20"/>
                <w:color w:val="auto"/>
              </w:rPr>
            </w:pPr>
            <w:r>
              <w:rPr>
                <w:rFonts w:ascii="Arial" w:cs="Arial" w:eastAsia="Arial" w:hAnsi="Arial"/>
                <w:sz w:val="14"/>
                <w:szCs w:val="14"/>
                <w:color w:val="auto"/>
              </w:rPr>
              <w:t>4,615$</w:t>
            </w:r>
          </w:p>
        </w:tc>
        <w:tc>
          <w:tcPr>
            <w:tcW w:w="800" w:type="dxa"/>
            <w:vAlign w:val="bottom"/>
            <w:gridSpan w:val="3"/>
          </w:tcPr>
          <w:p>
            <w:pPr>
              <w:jc w:val="right"/>
              <w:spacing w:after="0"/>
              <w:rPr>
                <w:sz w:val="20"/>
                <w:szCs w:val="20"/>
                <w:color w:val="auto"/>
              </w:rPr>
            </w:pPr>
            <w:r>
              <w:rPr>
                <w:rFonts w:ascii="Arial" w:cs="Arial" w:eastAsia="Arial" w:hAnsi="Arial"/>
                <w:sz w:val="14"/>
                <w:szCs w:val="14"/>
                <w:color w:val="auto"/>
              </w:rPr>
              <w:t>25,039$</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20,887$</w:t>
            </w:r>
          </w:p>
        </w:tc>
        <w:tc>
          <w:tcPr>
            <w:tcW w:w="780" w:type="dxa"/>
            <w:vAlign w:val="bottom"/>
            <w:gridSpan w:val="2"/>
          </w:tcPr>
          <w:p>
            <w:pPr>
              <w:jc w:val="right"/>
              <w:ind w:right="8"/>
              <w:spacing w:after="0"/>
              <w:rPr>
                <w:sz w:val="20"/>
                <w:szCs w:val="20"/>
                <w:color w:val="auto"/>
              </w:rPr>
            </w:pPr>
            <w:r>
              <w:rPr>
                <w:rFonts w:ascii="Arial" w:cs="Arial" w:eastAsia="Arial" w:hAnsi="Arial"/>
                <w:sz w:val="14"/>
                <w:szCs w:val="14"/>
                <w:color w:val="auto"/>
              </w:rPr>
              <w:t>7,973$</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22,011$</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34,844$</w:t>
            </w:r>
          </w:p>
        </w:tc>
        <w:tc>
          <w:tcPr>
            <w:tcW w:w="1120" w:type="dxa"/>
            <w:vAlign w:val="bottom"/>
            <w:gridSpan w:val="3"/>
          </w:tcPr>
          <w:p>
            <w:pPr>
              <w:jc w:val="right"/>
              <w:ind w:right="8"/>
              <w:spacing w:after="0"/>
              <w:rPr>
                <w:sz w:val="20"/>
                <w:szCs w:val="20"/>
                <w:color w:val="auto"/>
              </w:rPr>
            </w:pPr>
            <w:r>
              <w:rPr>
                <w:rFonts w:ascii="Arial" w:cs="Arial" w:eastAsia="Arial" w:hAnsi="Arial"/>
                <w:sz w:val="14"/>
                <w:szCs w:val="14"/>
                <w:color w:val="auto"/>
              </w:rPr>
              <w:t>169,425</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-1332865</wp:posOffset>
            </wp:positionH>
            <wp:positionV relativeFrom="paragraph">
              <wp:posOffset>-2056765</wp:posOffset>
            </wp:positionV>
            <wp:extent cx="6995160" cy="1289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95160" cy="128905"/>
                    </a:xfrm>
                    <a:prstGeom prst="rect">
                      <a:avLst/>
                    </a:prstGeom>
                    <a:noFill/>
                  </pic:spPr>
                </pic:pic>
              </a:graphicData>
            </a:graphic>
          </wp:anchor>
        </w:drawing>
        <w:drawing>
          <wp:anchor simplePos="0" relativeHeight="251657728" behindDoc="1" locked="0" layoutInCell="0" allowOverlap="1">
            <wp:simplePos x="0" y="0"/>
            <wp:positionH relativeFrom="column">
              <wp:posOffset>-1332865</wp:posOffset>
            </wp:positionH>
            <wp:positionV relativeFrom="paragraph">
              <wp:posOffset>-1799590</wp:posOffset>
            </wp:positionV>
            <wp:extent cx="6995160" cy="1289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95160" cy="128905"/>
                    </a:xfrm>
                    <a:prstGeom prst="rect">
                      <a:avLst/>
                    </a:prstGeom>
                    <a:noFill/>
                  </pic:spPr>
                </pic:pic>
              </a:graphicData>
            </a:graphic>
          </wp:anchor>
        </w:drawing>
        <w:drawing>
          <wp:anchor simplePos="0" relativeHeight="251657728" behindDoc="1" locked="0" layoutInCell="0" allowOverlap="1">
            <wp:simplePos x="0" y="0"/>
            <wp:positionH relativeFrom="column">
              <wp:posOffset>-1332865</wp:posOffset>
            </wp:positionH>
            <wp:positionV relativeFrom="paragraph">
              <wp:posOffset>-1542415</wp:posOffset>
            </wp:positionV>
            <wp:extent cx="6995160" cy="1289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95160" cy="128905"/>
                    </a:xfrm>
                    <a:prstGeom prst="rect">
                      <a:avLst/>
                    </a:prstGeom>
                    <a:noFill/>
                  </pic:spPr>
                </pic:pic>
              </a:graphicData>
            </a:graphic>
          </wp:anchor>
        </w:drawing>
        <w:drawing>
          <wp:anchor simplePos="0" relativeHeight="251657728" behindDoc="1" locked="0" layoutInCell="0" allowOverlap="1">
            <wp:simplePos x="0" y="0"/>
            <wp:positionH relativeFrom="column">
              <wp:posOffset>-1332865</wp:posOffset>
            </wp:positionH>
            <wp:positionV relativeFrom="paragraph">
              <wp:posOffset>-1285240</wp:posOffset>
            </wp:positionV>
            <wp:extent cx="6995160" cy="1289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95160" cy="128905"/>
                    </a:xfrm>
                    <a:prstGeom prst="rect">
                      <a:avLst/>
                    </a:prstGeom>
                    <a:noFill/>
                  </pic:spPr>
                </pic:pic>
              </a:graphicData>
            </a:graphic>
          </wp:anchor>
        </w:drawing>
        <w:drawing>
          <wp:anchor simplePos="0" relativeHeight="251657728" behindDoc="1" locked="0" layoutInCell="0" allowOverlap="1">
            <wp:simplePos x="0" y="0"/>
            <wp:positionH relativeFrom="column">
              <wp:posOffset>-1332865</wp:posOffset>
            </wp:positionH>
            <wp:positionV relativeFrom="paragraph">
              <wp:posOffset>-1028065</wp:posOffset>
            </wp:positionV>
            <wp:extent cx="6995160" cy="1289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95160" cy="128905"/>
                    </a:xfrm>
                    <a:prstGeom prst="rect">
                      <a:avLst/>
                    </a:prstGeom>
                    <a:noFill/>
                  </pic:spPr>
                </pic:pic>
              </a:graphicData>
            </a:graphic>
          </wp:anchor>
        </w:drawing>
        <w:drawing>
          <wp:anchor simplePos="0" relativeHeight="251657728" behindDoc="1" locked="0" layoutInCell="0" allowOverlap="1">
            <wp:simplePos x="0" y="0"/>
            <wp:positionH relativeFrom="column">
              <wp:posOffset>-1332865</wp:posOffset>
            </wp:positionH>
            <wp:positionV relativeFrom="paragraph">
              <wp:posOffset>-676910</wp:posOffset>
            </wp:positionV>
            <wp:extent cx="6995160" cy="1289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95160" cy="128905"/>
                    </a:xfrm>
                    <a:prstGeom prst="rect">
                      <a:avLst/>
                    </a:prstGeom>
                    <a:noFill/>
                  </pic:spPr>
                </pic:pic>
              </a:graphicData>
            </a:graphic>
          </wp:anchor>
        </w:drawing>
        <w:drawing>
          <wp:anchor simplePos="0" relativeHeight="251657728" behindDoc="1" locked="0" layoutInCell="0" allowOverlap="1">
            <wp:simplePos x="0" y="0"/>
            <wp:positionH relativeFrom="column">
              <wp:posOffset>-1332865</wp:posOffset>
            </wp:positionH>
            <wp:positionV relativeFrom="paragraph">
              <wp:posOffset>-419735</wp:posOffset>
            </wp:positionV>
            <wp:extent cx="6995160" cy="1289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95160" cy="128905"/>
                    </a:xfrm>
                    <a:prstGeom prst="rect">
                      <a:avLst/>
                    </a:prstGeom>
                    <a:noFill/>
                  </pic:spPr>
                </pic:pic>
              </a:graphicData>
            </a:graphic>
          </wp:anchor>
        </w:drawing>
        <w:drawing>
          <wp:anchor simplePos="0" relativeHeight="251657728" behindDoc="1" locked="0" layoutInCell="0" allowOverlap="1">
            <wp:simplePos x="0" y="0"/>
            <wp:positionH relativeFrom="column">
              <wp:posOffset>-1332865</wp:posOffset>
            </wp:positionH>
            <wp:positionV relativeFrom="paragraph">
              <wp:posOffset>-162560</wp:posOffset>
            </wp:positionV>
            <wp:extent cx="6995160" cy="1454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95160" cy="1454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60" w:space="40"/>
            <w:col w:w="8920"/>
          </w:cols>
          <w:pgMar w:left="220" w:top="1440" w:right="6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439"/>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70485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220" w:top="1440" w:right="659" w:bottom="1440" w:gutter="0" w:footer="0" w:header="0"/>
          <w:type w:val="continuous"/>
        </w:sectPr>
      </w:pPr>
    </w:p>
    <w:bookmarkStart w:id="62" w:name="page63"/>
    <w:bookmarkEnd w:id="6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139700</wp:posOffset>
            </wp:positionH>
            <wp:positionV relativeFrom="page">
              <wp:posOffset>1195070</wp:posOffset>
            </wp:positionV>
            <wp:extent cx="699516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Adjusted EBITDA</w:t>
      </w:r>
    </w:p>
    <w:p>
      <w:pPr>
        <w:spacing w:after="0" w:line="32" w:lineRule="exact"/>
        <w:rPr>
          <w:sz w:val="20"/>
          <w:szCs w:val="20"/>
          <w:color w:val="auto"/>
        </w:rPr>
      </w:pPr>
    </w:p>
    <w:p>
      <w:pPr>
        <w:jc w:val="center"/>
        <w:ind w:right="540"/>
        <w:spacing w:after="0"/>
        <w:rPr>
          <w:sz w:val="20"/>
          <w:szCs w:val="20"/>
          <w:color w:val="auto"/>
        </w:rPr>
      </w:pPr>
      <w:r>
        <w:rPr>
          <w:rFonts w:ascii="Arial" w:cs="Arial" w:eastAsia="Arial" w:hAnsi="Arial"/>
          <w:sz w:val="17"/>
          <w:szCs w:val="17"/>
          <w:b w:val="1"/>
          <w:bCs w:val="1"/>
          <w:color w:val="auto"/>
        </w:rPr>
        <w:t>Nine months ended September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699516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220" w:top="1440" w:right="659" w:bottom="1440" w:gutter="0" w:footer="0" w:header="0"/>
        </w:sectPr>
      </w:pPr>
    </w:p>
    <w:p>
      <w:pPr>
        <w:spacing w:after="0" w:line="364" w:lineRule="exact"/>
        <w:rPr>
          <w:sz w:val="20"/>
          <w:szCs w:val="20"/>
          <w:color w:val="auto"/>
        </w:rPr>
      </w:pPr>
    </w:p>
    <w:p>
      <w:pPr>
        <w:spacing w:after="0"/>
        <w:tabs>
          <w:tab w:leader="none" w:pos="1920" w:val="left"/>
        </w:tabs>
        <w:rPr>
          <w:sz w:val="20"/>
          <w:szCs w:val="20"/>
          <w:color w:val="auto"/>
        </w:rPr>
      </w:pPr>
      <w:r>
        <w:rPr>
          <w:rFonts w:ascii="Arial" w:cs="Arial" w:eastAsia="Arial" w:hAnsi="Arial"/>
          <w:sz w:val="15"/>
          <w:szCs w:val="15"/>
          <w:b w:val="1"/>
          <w:bCs w:val="1"/>
          <w:color w:val="auto"/>
        </w:rPr>
        <w:t xml:space="preserve">ome (loss) </w:t>
      </w:r>
      <w:r>
        <w:rPr>
          <w:rFonts w:ascii="Arial" w:cs="Arial" w:eastAsia="Arial" w:hAnsi="Arial"/>
          <w:sz w:val="19"/>
          <w:szCs w:val="19"/>
          <w:b w:val="1"/>
          <w:bCs w:val="1"/>
          <w:color w:val="auto"/>
          <w:vertAlign w:val="superscript"/>
        </w:rPr>
        <w:t>(1)</w:t>
      </w:r>
      <w:r>
        <w:rPr>
          <w:sz w:val="20"/>
          <w:szCs w:val="20"/>
          <w:color w:val="auto"/>
        </w:rPr>
        <w:tab/>
      </w:r>
      <w:r>
        <w:rPr>
          <w:rFonts w:ascii="Arial" w:cs="Arial" w:eastAsia="Arial" w:hAnsi="Arial"/>
          <w:sz w:val="14"/>
          <w:szCs w:val="14"/>
          <w:color w:val="auto"/>
        </w:rPr>
        <w:t>$</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d for:</w:t>
      </w:r>
    </w:p>
    <w:p>
      <w:pPr>
        <w:spacing w:after="0" w:line="30" w:lineRule="exact"/>
        <w:rPr>
          <w:sz w:val="20"/>
          <w:szCs w:val="20"/>
          <w:color w:val="auto"/>
        </w:rPr>
      </w:pPr>
    </w:p>
    <w:p>
      <w:pPr>
        <w:ind w:firstLine="15"/>
        <w:spacing w:after="0" w:line="289" w:lineRule="auto"/>
        <w:rPr>
          <w:sz w:val="20"/>
          <w:szCs w:val="20"/>
          <w:color w:val="auto"/>
        </w:rPr>
      </w:pPr>
      <w:r>
        <w:rPr>
          <w:rFonts w:ascii="Arial" w:cs="Arial" w:eastAsia="Arial" w:hAnsi="Arial"/>
          <w:sz w:val="15"/>
          <w:szCs w:val="15"/>
          <w:color w:val="auto"/>
        </w:rPr>
        <w:t>vision (benefit) for income taxes erest expense, net</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ercompany interest</w:t>
      </w:r>
    </w:p>
    <w:p>
      <w:pPr>
        <w:spacing w:after="0" w:line="98" w:lineRule="exact"/>
        <w:rPr>
          <w:sz w:val="20"/>
          <w:szCs w:val="20"/>
          <w:color w:val="auto"/>
        </w:rPr>
      </w:pPr>
    </w:p>
    <w:p>
      <w:pPr>
        <w:ind w:right="360"/>
        <w:spacing w:after="0" w:line="448" w:lineRule="auto"/>
        <w:tabs>
          <w:tab w:leader="none" w:pos="139" w:val="left"/>
        </w:tabs>
        <w:numPr>
          <w:ilvl w:val="0"/>
          <w:numId w:val="27"/>
        </w:numPr>
        <w:rPr>
          <w:rFonts w:ascii="Arial" w:cs="Arial" w:eastAsia="Arial" w:hAnsi="Arial"/>
          <w:sz w:val="13"/>
          <w:szCs w:val="13"/>
          <w:color w:val="auto"/>
        </w:rPr>
      </w:pPr>
      <w:r>
        <w:rPr>
          <w:rFonts w:ascii="Arial" w:cs="Arial" w:eastAsia="Arial" w:hAnsi="Arial"/>
          <w:sz w:val="13"/>
          <w:szCs w:val="13"/>
          <w:color w:val="auto"/>
        </w:rPr>
        <w:t>on debt extinguishment preciation and amortization</w:t>
      </w:r>
    </w:p>
    <w:p>
      <w:pPr>
        <w:spacing w:after="0"/>
        <w:rPr>
          <w:sz w:val="20"/>
          <w:szCs w:val="20"/>
          <w:color w:val="auto"/>
        </w:rPr>
      </w:pPr>
      <w:r>
        <w:rPr>
          <w:rFonts w:ascii="Arial" w:cs="Arial" w:eastAsia="Arial" w:hAnsi="Arial"/>
          <w:sz w:val="15"/>
          <w:szCs w:val="15"/>
          <w:b w:val="1"/>
          <w:bCs w:val="1"/>
          <w:i w:val="1"/>
          <w:iCs w:val="1"/>
          <w:color w:val="auto"/>
        </w:rPr>
        <w:t>A</w:t>
      </w:r>
    </w:p>
    <w:p>
      <w:pPr>
        <w:spacing w:after="0" w:line="52" w:lineRule="exact"/>
        <w:rPr>
          <w:sz w:val="20"/>
          <w:szCs w:val="20"/>
          <w:color w:val="auto"/>
        </w:rPr>
      </w:pPr>
    </w:p>
    <w:p>
      <w:pPr>
        <w:ind w:right="560"/>
        <w:spacing w:after="0" w:line="301" w:lineRule="auto"/>
        <w:rPr>
          <w:sz w:val="20"/>
          <w:szCs w:val="20"/>
          <w:color w:val="auto"/>
        </w:rPr>
      </w:pPr>
      <w:r>
        <w:rPr>
          <w:rFonts w:ascii="Arial" w:cs="Arial" w:eastAsia="Arial" w:hAnsi="Arial"/>
          <w:sz w:val="14"/>
          <w:szCs w:val="14"/>
          <w:color w:val="auto"/>
        </w:rPr>
        <w:t>in on sale of businesses her (income) expense</w:t>
      </w:r>
    </w:p>
    <w:p>
      <w:pPr>
        <w:spacing w:after="0" w:line="1" w:lineRule="exact"/>
        <w:rPr>
          <w:sz w:val="20"/>
          <w:szCs w:val="20"/>
          <w:color w:val="auto"/>
        </w:rPr>
      </w:pPr>
    </w:p>
    <w:p>
      <w:pPr>
        <w:ind w:left="100" w:right="560" w:hanging="107"/>
        <w:spacing w:after="0" w:line="247" w:lineRule="auto"/>
        <w:rPr>
          <w:sz w:val="20"/>
          <w:szCs w:val="20"/>
          <w:color w:val="auto"/>
        </w:rPr>
      </w:pPr>
      <w:r>
        <w:rPr>
          <w:rFonts w:ascii="Arial" w:cs="Arial" w:eastAsia="Arial" w:hAnsi="Arial"/>
          <w:sz w:val="14"/>
          <w:szCs w:val="14"/>
          <w:color w:val="auto"/>
        </w:rPr>
        <w:t>ncontrolling shareholder compensation</w:t>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color w:val="auto"/>
        </w:rPr>
        <w:t>pairment expense</w:t>
      </w:r>
    </w:p>
    <w:p>
      <w:pPr>
        <w:spacing w:after="0" w:line="30" w:lineRule="exact"/>
        <w:rPr>
          <w:sz w:val="20"/>
          <w:szCs w:val="20"/>
          <w:color w:val="auto"/>
        </w:rPr>
      </w:pPr>
    </w:p>
    <w:p>
      <w:pPr>
        <w:ind w:right="580"/>
        <w:spacing w:after="0" w:line="487" w:lineRule="auto"/>
        <w:tabs>
          <w:tab w:leader="none" w:pos="139" w:val="left"/>
        </w:tabs>
        <w:numPr>
          <w:ilvl w:val="0"/>
          <w:numId w:val="28"/>
        </w:numPr>
        <w:rPr>
          <w:rFonts w:ascii="Arial" w:cs="Arial" w:eastAsia="Arial" w:hAnsi="Arial"/>
          <w:sz w:val="13"/>
          <w:szCs w:val="13"/>
          <w:color w:val="auto"/>
        </w:rPr>
      </w:pPr>
      <w:r>
        <w:rPr>
          <w:rFonts w:ascii="Arial" w:cs="Arial" w:eastAsia="Arial" w:hAnsi="Arial"/>
          <w:sz w:val="13"/>
          <w:szCs w:val="13"/>
          <w:color w:val="auto"/>
        </w:rPr>
        <w:t>on sale of investment egration services fee her</w:t>
      </w:r>
    </w:p>
    <w:p>
      <w:pPr>
        <w:spacing w:after="0"/>
        <w:rPr>
          <w:rFonts w:ascii="Arial" w:cs="Arial" w:eastAsia="Arial" w:hAnsi="Arial"/>
          <w:sz w:val="13"/>
          <w:szCs w:val="13"/>
          <w:color w:val="auto"/>
        </w:rPr>
      </w:pPr>
      <w:r>
        <w:rPr>
          <w:rFonts w:ascii="Arial" w:cs="Arial" w:eastAsia="Arial" w:hAnsi="Arial"/>
          <w:sz w:val="15"/>
          <w:szCs w:val="15"/>
          <w:color w:val="auto"/>
        </w:rPr>
        <w:t>nagement fees</w:t>
      </w:r>
    </w:p>
    <w:p>
      <w:pPr>
        <w:spacing w:after="0" w:line="35" w:lineRule="exact"/>
        <w:rPr>
          <w:sz w:val="20"/>
          <w:szCs w:val="20"/>
          <w:color w:val="auto"/>
        </w:rPr>
      </w:pPr>
    </w:p>
    <w:p>
      <w:pPr>
        <w:spacing w:after="0"/>
        <w:tabs>
          <w:tab w:leader="none" w:pos="1920" w:val="left"/>
        </w:tabs>
        <w:rPr>
          <w:sz w:val="20"/>
          <w:szCs w:val="20"/>
          <w:color w:val="auto"/>
        </w:rPr>
      </w:pPr>
      <w:r>
        <w:rPr>
          <w:rFonts w:ascii="Arial" w:cs="Arial" w:eastAsia="Arial" w:hAnsi="Arial"/>
          <w:sz w:val="15"/>
          <w:szCs w:val="15"/>
          <w:b w:val="1"/>
          <w:bCs w:val="1"/>
          <w:i w:val="1"/>
          <w:iCs w:val="1"/>
          <w:color w:val="auto"/>
        </w:rPr>
        <w:t>ed EBITDA</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Corporate</w:t>
            </w:r>
          </w:p>
        </w:tc>
        <w:tc>
          <w:tcPr>
            <w:tcW w:w="62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5.11</w:t>
            </w:r>
          </w:p>
        </w:tc>
        <w:tc>
          <w:tcPr>
            <w:tcW w:w="860" w:type="dxa"/>
            <w:vAlign w:val="bottom"/>
            <w:gridSpan w:val="3"/>
            <w:vMerge w:val="restart"/>
          </w:tcPr>
          <w:p>
            <w:pPr>
              <w:jc w:val="right"/>
              <w:ind w:right="108"/>
              <w:spacing w:after="0"/>
              <w:rPr>
                <w:sz w:val="20"/>
                <w:szCs w:val="20"/>
                <w:color w:val="auto"/>
              </w:rPr>
            </w:pPr>
            <w:r>
              <w:rPr>
                <w:rFonts w:ascii="Arial" w:cs="Arial" w:eastAsia="Arial" w:hAnsi="Arial"/>
                <w:sz w:val="14"/>
                <w:szCs w:val="14"/>
                <w:b w:val="1"/>
                <w:bCs w:val="1"/>
                <w:color w:val="auto"/>
              </w:rPr>
              <w:t>Ergobaby</w:t>
            </w:r>
          </w:p>
        </w:tc>
        <w:tc>
          <w:tcPr>
            <w:tcW w:w="760" w:type="dxa"/>
            <w:vAlign w:val="bottom"/>
            <w:gridSpan w:val="2"/>
            <w:vMerge w:val="restart"/>
          </w:tcPr>
          <w:p>
            <w:pPr>
              <w:jc w:val="right"/>
              <w:ind w:right="168"/>
              <w:spacing w:after="0"/>
              <w:rPr>
                <w:sz w:val="20"/>
                <w:szCs w:val="20"/>
                <w:color w:val="auto"/>
              </w:rPr>
            </w:pPr>
            <w:r>
              <w:rPr>
                <w:rFonts w:ascii="Arial" w:cs="Arial" w:eastAsia="Arial" w:hAnsi="Arial"/>
                <w:sz w:val="14"/>
                <w:szCs w:val="14"/>
                <w:b w:val="1"/>
                <w:bCs w:val="1"/>
                <w:color w:val="auto"/>
              </w:rPr>
              <w:t>Liberty</w:t>
            </w:r>
          </w:p>
        </w:tc>
        <w:tc>
          <w:tcPr>
            <w:tcW w:w="760" w:type="dxa"/>
            <w:vAlign w:val="bottom"/>
            <w:gridSpan w:val="3"/>
          </w:tcPr>
          <w:p>
            <w:pPr>
              <w:jc w:val="right"/>
              <w:ind w:right="128"/>
              <w:spacing w:after="0"/>
              <w:rPr>
                <w:sz w:val="20"/>
                <w:szCs w:val="20"/>
                <w:color w:val="auto"/>
              </w:rPr>
            </w:pPr>
            <w:r>
              <w:rPr>
                <w:rFonts w:ascii="Arial" w:cs="Arial" w:eastAsia="Arial" w:hAnsi="Arial"/>
                <w:sz w:val="14"/>
                <w:szCs w:val="14"/>
                <w:b w:val="1"/>
                <w:bCs w:val="1"/>
                <w:color w:val="auto"/>
              </w:rPr>
              <w:t>Marucci</w:t>
            </w:r>
          </w:p>
        </w:tc>
        <w:tc>
          <w:tcPr>
            <w:tcW w:w="900" w:type="dxa"/>
            <w:vAlign w:val="bottom"/>
            <w:gridSpan w:val="4"/>
          </w:tcPr>
          <w:p>
            <w:pPr>
              <w:ind w:left="40"/>
              <w:spacing w:after="0"/>
              <w:rPr>
                <w:sz w:val="20"/>
                <w:szCs w:val="20"/>
                <w:color w:val="auto"/>
              </w:rPr>
            </w:pPr>
            <w:r>
              <w:rPr>
                <w:rFonts w:ascii="Arial" w:cs="Arial" w:eastAsia="Arial" w:hAnsi="Arial"/>
                <w:sz w:val="14"/>
                <w:szCs w:val="14"/>
                <w:b w:val="1"/>
                <w:bCs w:val="1"/>
                <w:color w:val="auto"/>
              </w:rPr>
              <w:t>Velocity</w:t>
            </w:r>
          </w:p>
        </w:tc>
        <w:tc>
          <w:tcPr>
            <w:tcW w:w="68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ACI</w:t>
            </w:r>
          </w:p>
        </w:tc>
        <w:tc>
          <w:tcPr>
            <w:tcW w:w="760" w:type="dxa"/>
            <w:vAlign w:val="bottom"/>
            <w:gridSpan w:val="2"/>
            <w:vMerge w:val="restart"/>
          </w:tcPr>
          <w:p>
            <w:pPr>
              <w:jc w:val="right"/>
              <w:ind w:right="208"/>
              <w:spacing w:after="0"/>
              <w:rPr>
                <w:sz w:val="20"/>
                <w:szCs w:val="20"/>
                <w:color w:val="auto"/>
              </w:rPr>
            </w:pPr>
            <w:r>
              <w:rPr>
                <w:rFonts w:ascii="Arial" w:cs="Arial" w:eastAsia="Arial" w:hAnsi="Arial"/>
                <w:sz w:val="14"/>
                <w:szCs w:val="14"/>
                <w:b w:val="1"/>
                <w:bCs w:val="1"/>
                <w:color w:val="auto"/>
              </w:rPr>
              <w:t>Arnold</w:t>
            </w:r>
          </w:p>
        </w:tc>
        <w:tc>
          <w:tcPr>
            <w:tcW w:w="760" w:type="dxa"/>
            <w:vAlign w:val="bottom"/>
            <w:gridSpan w:val="2"/>
            <w:vMerge w:val="restart"/>
          </w:tcPr>
          <w:p>
            <w:pPr>
              <w:jc w:val="right"/>
              <w:ind w:right="248"/>
              <w:spacing w:after="0"/>
              <w:rPr>
                <w:sz w:val="20"/>
                <w:szCs w:val="20"/>
                <w:color w:val="auto"/>
              </w:rPr>
            </w:pPr>
            <w:r>
              <w:rPr>
                <w:rFonts w:ascii="Arial" w:cs="Arial" w:eastAsia="Arial" w:hAnsi="Arial"/>
                <w:sz w:val="14"/>
                <w:szCs w:val="14"/>
                <w:b w:val="1"/>
                <w:bCs w:val="1"/>
                <w:color w:val="auto"/>
              </w:rPr>
              <w:t>Foam</w:t>
            </w:r>
          </w:p>
        </w:tc>
        <w:tc>
          <w:tcPr>
            <w:tcW w:w="700" w:type="dxa"/>
            <w:vAlign w:val="bottom"/>
            <w:gridSpan w:val="2"/>
            <w:vMerge w:val="restart"/>
          </w:tcPr>
          <w:p>
            <w:pPr>
              <w:jc w:val="right"/>
              <w:ind w:right="148"/>
              <w:spacing w:after="0"/>
              <w:rPr>
                <w:sz w:val="20"/>
                <w:szCs w:val="20"/>
                <w:color w:val="auto"/>
              </w:rPr>
            </w:pPr>
            <w:r>
              <w:rPr>
                <w:rFonts w:ascii="Arial" w:cs="Arial" w:eastAsia="Arial" w:hAnsi="Arial"/>
                <w:sz w:val="14"/>
                <w:szCs w:val="14"/>
                <w:b w:val="1"/>
                <w:bCs w:val="1"/>
                <w:color w:val="auto"/>
              </w:rPr>
              <w:t>Sterno</w:t>
            </w:r>
          </w:p>
        </w:tc>
        <w:tc>
          <w:tcPr>
            <w:tcW w:w="1120" w:type="dxa"/>
            <w:vAlign w:val="bottom"/>
            <w:gridSpan w:val="3"/>
            <w:vMerge w:val="restart"/>
          </w:tcPr>
          <w:p>
            <w:pPr>
              <w:jc w:val="right"/>
              <w:ind w:right="128"/>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5"/>
        </w:trPr>
        <w:tc>
          <w:tcPr>
            <w:tcW w:w="960" w:type="dxa"/>
            <w:vAlign w:val="bottom"/>
            <w:gridSpan w:val="3"/>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860" w:type="dxa"/>
            <w:vAlign w:val="bottom"/>
            <w:gridSpan w:val="3"/>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b w:val="1"/>
                <w:bCs w:val="1"/>
                <w:color w:val="auto"/>
              </w:rPr>
              <w:t>Sports</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ind w:left="80"/>
              <w:spacing w:after="0"/>
              <w:rPr>
                <w:sz w:val="20"/>
                <w:szCs w:val="20"/>
                <w:color w:val="auto"/>
              </w:rPr>
            </w:pPr>
            <w:r>
              <w:rPr>
                <w:rFonts w:ascii="Arial" w:cs="Arial" w:eastAsia="Arial" w:hAnsi="Arial"/>
                <w:sz w:val="14"/>
                <w:szCs w:val="14"/>
                <w:b w:val="1"/>
                <w:bCs w:val="1"/>
                <w:color w:val="auto"/>
              </w:rPr>
              <w:t>Outdoor</w:t>
            </w:r>
          </w:p>
        </w:tc>
        <w:tc>
          <w:tcPr>
            <w:tcW w:w="680" w:type="dxa"/>
            <w:vAlign w:val="bottom"/>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112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292,440$</w:t>
            </w:r>
          </w:p>
        </w:tc>
        <w:tc>
          <w:tcPr>
            <w:tcW w:w="80" w:type="dxa"/>
            <w:vAlign w:val="bottom"/>
          </w:tcPr>
          <w:p>
            <w:pPr>
              <w:spacing w:after="0"/>
              <w:rPr>
                <w:sz w:val="15"/>
                <w:szCs w:val="15"/>
                <w:color w:val="auto"/>
              </w:rPr>
            </w:pPr>
          </w:p>
        </w:tc>
        <w:tc>
          <w:tcPr>
            <w:tcW w:w="68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(1,071)$</w:t>
            </w:r>
          </w:p>
        </w:tc>
        <w:tc>
          <w:tcPr>
            <w:tcW w:w="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4,251$</w:t>
            </w:r>
          </w:p>
        </w:tc>
        <w:tc>
          <w:tcPr>
            <w:tcW w:w="100" w:type="dxa"/>
            <w:vAlign w:val="bottom"/>
          </w:tcPr>
          <w:p>
            <w:pPr>
              <w:spacing w:after="0"/>
              <w:rPr>
                <w:sz w:val="15"/>
                <w:szCs w:val="15"/>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1,404</w:t>
            </w:r>
          </w:p>
        </w:tc>
        <w:tc>
          <w:tcPr>
            <w:tcW w:w="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(35,242)$</w:t>
            </w:r>
          </w:p>
        </w:tc>
        <w:tc>
          <w:tcPr>
            <w:tcW w:w="8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11,035$</w:t>
            </w:r>
          </w:p>
        </w:tc>
        <w:tc>
          <w:tcPr>
            <w:tcW w:w="8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(132)$</w:t>
            </w:r>
          </w:p>
        </w:tc>
        <w:tc>
          <w:tcPr>
            <w:tcW w:w="8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3,383$</w:t>
            </w:r>
          </w:p>
        </w:tc>
        <w:tc>
          <w:tcPr>
            <w:tcW w:w="8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8,819$</w:t>
            </w:r>
          </w:p>
        </w:tc>
        <w:tc>
          <w:tcPr>
            <w:tcW w:w="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284,887</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742</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2,248</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1,058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(2,198)</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2,934</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1,679</w:t>
            </w:r>
          </w:p>
        </w:tc>
        <w:tc>
          <w:tcPr>
            <w:tcW w:w="76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1,492</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2,420</w:t>
            </w:r>
          </w:p>
        </w:tc>
        <w:tc>
          <w:tcPr>
            <w:tcW w:w="1120" w:type="dxa"/>
            <w:vAlign w:val="bottom"/>
            <w:gridSpan w:val="3"/>
            <w:shd w:val="clear" w:color="auto" w:fill="CCEEFF"/>
          </w:tcPr>
          <w:p>
            <w:pPr>
              <w:jc w:val="right"/>
              <w:ind w:right="8"/>
              <w:spacing w:after="0"/>
              <w:rPr>
                <w:sz w:val="20"/>
                <w:szCs w:val="20"/>
                <w:color w:val="auto"/>
              </w:rPr>
            </w:pPr>
            <w:r>
              <w:rPr>
                <w:rFonts w:ascii="Arial" w:cs="Arial" w:eastAsia="Arial" w:hAnsi="Arial"/>
                <w:sz w:val="14"/>
                <w:szCs w:val="14"/>
                <w:color w:val="auto"/>
              </w:rPr>
              <w:t>10,375</w:t>
            </w:r>
          </w:p>
        </w:tc>
        <w:tc>
          <w:tcPr>
            <w:tcW w:w="0" w:type="dxa"/>
            <w:vAlign w:val="bottom"/>
          </w:tcPr>
          <w:p>
            <w:pPr>
              <w:spacing w:after="0"/>
              <w:rPr>
                <w:sz w:val="1"/>
                <w:szCs w:val="1"/>
                <w:color w:val="auto"/>
              </w:rPr>
            </w:pPr>
          </w:p>
        </w:tc>
      </w:tr>
      <w:tr>
        <w:trPr>
          <w:trHeight w:val="203"/>
        </w:trPr>
        <w:tc>
          <w:tcPr>
            <w:tcW w:w="880" w:type="dxa"/>
            <w:vAlign w:val="bottom"/>
            <w:gridSpan w:val="2"/>
          </w:tcPr>
          <w:p>
            <w:pPr>
              <w:jc w:val="right"/>
              <w:spacing w:after="0"/>
              <w:rPr>
                <w:sz w:val="20"/>
                <w:szCs w:val="20"/>
                <w:color w:val="auto"/>
              </w:rPr>
            </w:pPr>
            <w:r>
              <w:rPr>
                <w:rFonts w:ascii="Arial" w:cs="Arial" w:eastAsia="Arial" w:hAnsi="Arial"/>
                <w:sz w:val="14"/>
                <w:szCs w:val="14"/>
                <w:color w:val="auto"/>
              </w:rPr>
              <w:t>48,247</w:t>
            </w: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20" w:type="dxa"/>
            <w:vAlign w:val="bottom"/>
            <w:gridSpan w:val="3"/>
          </w:tcPr>
          <w:p>
            <w:pPr>
              <w:jc w:val="right"/>
              <w:spacing w:after="0"/>
              <w:rPr>
                <w:sz w:val="20"/>
                <w:szCs w:val="20"/>
                <w:color w:val="auto"/>
              </w:rPr>
            </w:pPr>
            <w:r>
              <w:rPr>
                <w:rFonts w:ascii="Arial" w:cs="Arial" w:eastAsia="Arial" w:hAnsi="Arial"/>
                <w:sz w:val="14"/>
                <w:szCs w:val="14"/>
                <w:color w:val="auto"/>
              </w:rPr>
              <w:t>173</w:t>
            </w: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7"/>
                <w:szCs w:val="17"/>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4</w:t>
            </w:r>
          </w:p>
        </w:tc>
        <w:tc>
          <w:tcPr>
            <w:tcW w:w="1120" w:type="dxa"/>
            <w:vAlign w:val="bottom"/>
            <w:gridSpan w:val="3"/>
          </w:tcPr>
          <w:p>
            <w:pPr>
              <w:jc w:val="right"/>
              <w:ind w:right="8"/>
              <w:spacing w:after="0"/>
              <w:rPr>
                <w:sz w:val="20"/>
                <w:szCs w:val="20"/>
                <w:color w:val="auto"/>
              </w:rPr>
            </w:pPr>
            <w:r>
              <w:rPr>
                <w:rFonts w:ascii="Arial" w:cs="Arial" w:eastAsia="Arial" w:hAnsi="Arial"/>
                <w:sz w:val="14"/>
                <w:szCs w:val="14"/>
                <w:color w:val="auto"/>
              </w:rPr>
              <w:t>48,424</w:t>
            </w:r>
          </w:p>
        </w:tc>
        <w:tc>
          <w:tcPr>
            <w:tcW w:w="0" w:type="dxa"/>
            <w:vAlign w:val="bottom"/>
          </w:tcPr>
          <w:p>
            <w:pPr>
              <w:spacing w:after="0"/>
              <w:rPr>
                <w:sz w:val="1"/>
                <w:szCs w:val="1"/>
                <w:color w:val="auto"/>
              </w:rPr>
            </w:pPr>
          </w:p>
        </w:tc>
      </w:tr>
      <w:tr>
        <w:trPr>
          <w:trHeight w:val="270"/>
        </w:trPr>
        <w:tc>
          <w:tcPr>
            <w:tcW w:w="880" w:type="dxa"/>
            <w:vAlign w:val="bottom"/>
            <w:gridSpan w:val="2"/>
          </w:tcPr>
          <w:p>
            <w:pPr>
              <w:jc w:val="right"/>
              <w:spacing w:after="0"/>
              <w:rPr>
                <w:sz w:val="20"/>
                <w:szCs w:val="20"/>
                <w:color w:val="auto"/>
              </w:rPr>
            </w:pPr>
            <w:r>
              <w:rPr>
                <w:rFonts w:ascii="Arial" w:cs="Arial" w:eastAsia="Arial" w:hAnsi="Arial"/>
                <w:sz w:val="14"/>
                <w:szCs w:val="14"/>
                <w:color w:val="auto"/>
              </w:rPr>
              <w:t>(61,609)</w:t>
            </w:r>
          </w:p>
        </w:tc>
        <w:tc>
          <w:tcPr>
            <w:tcW w:w="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13,500</w:t>
            </w: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2,640</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3,278</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8,484</w:t>
            </w:r>
          </w:p>
        </w:tc>
        <w:tc>
          <w:tcPr>
            <w:tcW w:w="8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5,029</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4,777</w:t>
            </w:r>
          </w:p>
        </w:tc>
        <w:tc>
          <w:tcPr>
            <w:tcW w:w="76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6,675</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17,226</w:t>
            </w:r>
          </w:p>
        </w:tc>
        <w:tc>
          <w:tcPr>
            <w:tcW w:w="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0"/>
        </w:trPr>
        <w:tc>
          <w:tcPr>
            <w:tcW w:w="880" w:type="dxa"/>
            <w:vAlign w:val="bottom"/>
            <w:gridSpan w:val="2"/>
          </w:tcPr>
          <w:p>
            <w:pPr>
              <w:jc w:val="right"/>
              <w:spacing w:after="0"/>
              <w:rPr>
                <w:sz w:val="20"/>
                <w:szCs w:val="20"/>
                <w:color w:val="auto"/>
              </w:rPr>
            </w:pPr>
            <w:r>
              <w:rPr>
                <w:rFonts w:ascii="Arial" w:cs="Arial" w:eastAsia="Arial" w:hAnsi="Arial"/>
                <w:sz w:val="14"/>
                <w:szCs w:val="14"/>
                <w:color w:val="auto"/>
              </w:rPr>
              <w:t>5,038</w:t>
            </w:r>
          </w:p>
        </w:tc>
        <w:tc>
          <w:tcPr>
            <w:tcW w:w="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3"/>
          </w:tcPr>
          <w:p>
            <w:pPr>
              <w:jc w:val="right"/>
              <w:ind w:right="8"/>
              <w:spacing w:after="0"/>
              <w:rPr>
                <w:sz w:val="20"/>
                <w:szCs w:val="20"/>
                <w:color w:val="auto"/>
              </w:rPr>
            </w:pPr>
            <w:r>
              <w:rPr>
                <w:rFonts w:ascii="Arial" w:cs="Arial" w:eastAsia="Arial" w:hAnsi="Arial"/>
                <w:sz w:val="14"/>
                <w:szCs w:val="14"/>
                <w:color w:val="auto"/>
              </w:rPr>
              <w:t>5,038</w:t>
            </w:r>
          </w:p>
        </w:tc>
        <w:tc>
          <w:tcPr>
            <w:tcW w:w="0" w:type="dxa"/>
            <w:vAlign w:val="bottom"/>
          </w:tcPr>
          <w:p>
            <w:pPr>
              <w:spacing w:after="0"/>
              <w:rPr>
                <w:sz w:val="1"/>
                <w:szCs w:val="1"/>
                <w:color w:val="auto"/>
              </w:rPr>
            </w:pPr>
          </w:p>
        </w:tc>
      </w:tr>
      <w:tr>
        <w:trPr>
          <w:trHeight w:val="40"/>
        </w:trPr>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vMerge w:val="restart"/>
          </w:tcPr>
          <w:p>
            <w:pPr>
              <w:spacing w:after="0"/>
              <w:rPr>
                <w:sz w:val="3"/>
                <w:szCs w:val="3"/>
                <w:color w:val="auto"/>
              </w:rPr>
            </w:pPr>
          </w:p>
        </w:tc>
        <w:tc>
          <w:tcPr>
            <w:tcW w:w="1420" w:type="dxa"/>
            <w:vAlign w:val="bottom"/>
            <w:gridSpan w:val="4"/>
            <w:vMerge w:val="restart"/>
          </w:tcPr>
          <w:p>
            <w:pPr>
              <w:jc w:val="right"/>
              <w:spacing w:after="0" w:line="140" w:lineRule="exact"/>
              <w:rPr>
                <w:sz w:val="20"/>
                <w:szCs w:val="20"/>
                <w:color w:val="auto"/>
              </w:rPr>
            </w:pPr>
            <w:r>
              <w:rPr>
                <w:rFonts w:ascii="Arial" w:cs="Arial" w:eastAsia="Arial" w:hAnsi="Arial"/>
                <w:sz w:val="14"/>
                <w:szCs w:val="14"/>
                <w:color w:val="auto"/>
              </w:rPr>
              <w:t>Not Applicable</w:t>
            </w: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9"/>
        </w:trPr>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vMerge w:val="continue"/>
          </w:tcPr>
          <w:p>
            <w:pPr>
              <w:spacing w:after="0"/>
              <w:rPr>
                <w:sz w:val="8"/>
                <w:szCs w:val="8"/>
                <w:color w:val="auto"/>
              </w:rPr>
            </w:pPr>
          </w:p>
        </w:tc>
        <w:tc>
          <w:tcPr>
            <w:tcW w:w="1420" w:type="dxa"/>
            <w:vAlign w:val="bottom"/>
            <w:gridSpan w:val="4"/>
            <w:vMerge w:val="continue"/>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1,333</w:t>
            </w:r>
          </w:p>
        </w:tc>
        <w:tc>
          <w:tcPr>
            <w:tcW w:w="80" w:type="dxa"/>
            <w:vAlign w:val="bottom"/>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16,037</w:t>
            </w:r>
          </w:p>
        </w:tc>
        <w:tc>
          <w:tcPr>
            <w:tcW w:w="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6,566</w:t>
            </w:r>
          </w:p>
        </w:tc>
        <w:tc>
          <w:tcPr>
            <w:tcW w:w="100" w:type="dxa"/>
            <w:vAlign w:val="bottom"/>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1,248</w:t>
            </w: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9,937</w:t>
            </w:r>
          </w:p>
        </w:tc>
        <w:tc>
          <w:tcPr>
            <w:tcW w:w="80" w:type="dxa"/>
            <w:vAlign w:val="bottom"/>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1,830</w:t>
            </w:r>
          </w:p>
        </w:tc>
        <w:tc>
          <w:tcPr>
            <w:tcW w:w="80" w:type="dxa"/>
            <w:vAlign w:val="bottom"/>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4,883</w:t>
            </w:r>
          </w:p>
        </w:tc>
        <w:tc>
          <w:tcPr>
            <w:tcW w:w="80" w:type="dxa"/>
            <w:vAlign w:val="bottom"/>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9,258</w:t>
            </w:r>
          </w:p>
        </w:tc>
        <w:tc>
          <w:tcPr>
            <w:tcW w:w="80" w:type="dxa"/>
            <w:vAlign w:val="bottom"/>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16,793</w:t>
            </w:r>
          </w:p>
        </w:tc>
        <w:tc>
          <w:tcPr>
            <w:tcW w:w="6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67,885</w:t>
            </w:r>
          </w:p>
        </w:tc>
        <w:tc>
          <w:tcPr>
            <w:tcW w:w="0" w:type="dxa"/>
            <w:vAlign w:val="bottom"/>
          </w:tcPr>
          <w:p>
            <w:pPr>
              <w:spacing w:after="0"/>
              <w:rPr>
                <w:sz w:val="1"/>
                <w:szCs w:val="1"/>
                <w:color w:val="auto"/>
              </w:rPr>
            </w:pPr>
          </w:p>
        </w:tc>
      </w:tr>
      <w:tr>
        <w:trPr>
          <w:trHeight w:val="250"/>
        </w:trPr>
        <w:tc>
          <w:tcPr>
            <w:tcW w:w="880" w:type="dxa"/>
            <w:vAlign w:val="bottom"/>
            <w:gridSpan w:val="2"/>
          </w:tcPr>
          <w:p>
            <w:pPr>
              <w:jc w:val="right"/>
              <w:spacing w:after="0"/>
              <w:rPr>
                <w:sz w:val="20"/>
                <w:szCs w:val="20"/>
                <w:color w:val="auto"/>
              </w:rPr>
            </w:pPr>
            <w:r>
              <w:rPr>
                <w:rFonts w:ascii="Arial" w:cs="Arial" w:eastAsia="Arial" w:hAnsi="Arial"/>
                <w:sz w:val="14"/>
                <w:szCs w:val="14"/>
                <w:color w:val="auto"/>
              </w:rPr>
              <w:t>285,449</w:t>
            </w:r>
          </w:p>
        </w:tc>
        <w:tc>
          <w:tcPr>
            <w:tcW w:w="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29,210</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15,705</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6,988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gridSpan w:val="3"/>
          </w:tcPr>
          <w:p>
            <w:pPr>
              <w:jc w:val="right"/>
              <w:spacing w:after="0"/>
              <w:rPr>
                <w:sz w:val="20"/>
                <w:szCs w:val="20"/>
                <w:color w:val="auto"/>
              </w:rPr>
            </w:pPr>
            <w:r>
              <w:rPr>
                <w:rFonts w:ascii="Arial" w:cs="Arial" w:eastAsia="Arial" w:hAnsi="Arial"/>
                <w:sz w:val="14"/>
                <w:szCs w:val="14"/>
                <w:color w:val="auto"/>
              </w:rPr>
              <w:t>(18,846)</w:t>
            </w:r>
          </w:p>
        </w:tc>
        <w:tc>
          <w:tcPr>
            <w:tcW w:w="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20,827</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11,206</w:t>
            </w:r>
          </w:p>
        </w:tc>
        <w:tc>
          <w:tcPr>
            <w:tcW w:w="760" w:type="dxa"/>
            <w:vAlign w:val="bottom"/>
            <w:gridSpan w:val="2"/>
          </w:tcPr>
          <w:p>
            <w:pPr>
              <w:jc w:val="right"/>
              <w:ind w:right="8"/>
              <w:spacing w:after="0"/>
              <w:rPr>
                <w:sz w:val="20"/>
                <w:szCs w:val="20"/>
                <w:color w:val="auto"/>
              </w:rPr>
            </w:pPr>
            <w:r>
              <w:rPr>
                <w:rFonts w:ascii="Arial" w:cs="Arial" w:eastAsia="Arial" w:hAnsi="Arial"/>
                <w:sz w:val="14"/>
                <w:szCs w:val="14"/>
                <w:color w:val="auto"/>
              </w:rPr>
              <w:t>20,808</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45,262</w:t>
            </w:r>
          </w:p>
        </w:tc>
        <w:tc>
          <w:tcPr>
            <w:tcW w:w="1120" w:type="dxa"/>
            <w:vAlign w:val="bottom"/>
            <w:gridSpan w:val="3"/>
          </w:tcPr>
          <w:p>
            <w:pPr>
              <w:jc w:val="right"/>
              <w:ind w:right="8"/>
              <w:spacing w:after="0"/>
              <w:rPr>
                <w:sz w:val="20"/>
                <w:szCs w:val="20"/>
                <w:color w:val="auto"/>
              </w:rPr>
            </w:pPr>
            <w:r>
              <w:rPr>
                <w:rFonts w:ascii="Arial" w:cs="Arial" w:eastAsia="Arial" w:hAnsi="Arial"/>
                <w:sz w:val="14"/>
                <w:szCs w:val="14"/>
                <w:color w:val="auto"/>
              </w:rPr>
              <w:t>416,609</w:t>
            </w:r>
          </w:p>
        </w:tc>
        <w:tc>
          <w:tcPr>
            <w:tcW w:w="0" w:type="dxa"/>
            <w:vAlign w:val="bottom"/>
          </w:tcPr>
          <w:p>
            <w:pPr>
              <w:spacing w:after="0"/>
              <w:rPr>
                <w:sz w:val="1"/>
                <w:szCs w:val="1"/>
                <w:color w:val="auto"/>
              </w:rPr>
            </w:pPr>
          </w:p>
        </w:tc>
      </w:tr>
      <w:tr>
        <w:trPr>
          <w:trHeight w:val="203"/>
        </w:trPr>
        <w:tc>
          <w:tcPr>
            <w:tcW w:w="880" w:type="dxa"/>
            <w:vAlign w:val="bottom"/>
            <w:gridSpan w:val="2"/>
          </w:tcPr>
          <w:p>
            <w:pPr>
              <w:jc w:val="right"/>
              <w:spacing w:after="0"/>
              <w:rPr>
                <w:sz w:val="20"/>
                <w:szCs w:val="20"/>
                <w:color w:val="auto"/>
              </w:rPr>
            </w:pPr>
            <w:r>
              <w:rPr>
                <w:rFonts w:ascii="Arial" w:cs="Arial" w:eastAsia="Arial" w:hAnsi="Arial"/>
                <w:sz w:val="14"/>
                <w:szCs w:val="14"/>
                <w:color w:val="auto"/>
              </w:rPr>
              <w:t>(330,203)</w:t>
            </w: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(330,203)</w:t>
            </w:r>
          </w:p>
        </w:tc>
        <w:tc>
          <w:tcPr>
            <w:tcW w:w="0" w:type="dxa"/>
            <w:vAlign w:val="bottom"/>
          </w:tcPr>
          <w:p>
            <w:pPr>
              <w:spacing w:after="0"/>
              <w:rPr>
                <w:sz w:val="1"/>
                <w:szCs w:val="1"/>
                <w:color w:val="auto"/>
              </w:rPr>
            </w:pPr>
          </w:p>
        </w:tc>
      </w:tr>
      <w:tr>
        <w:trPr>
          <w:trHeight w:val="203"/>
        </w:trPr>
        <w:tc>
          <w:tcPr>
            <w:tcW w:w="880" w:type="dxa"/>
            <w:vAlign w:val="bottom"/>
            <w:gridSpan w:val="2"/>
          </w:tcPr>
          <w:p>
            <w:pPr>
              <w:jc w:val="right"/>
              <w:spacing w:after="0"/>
              <w:rPr>
                <w:sz w:val="20"/>
                <w:szCs w:val="20"/>
                <w:color w:val="auto"/>
              </w:rPr>
            </w:pPr>
            <w:r>
              <w:rPr>
                <w:rFonts w:ascii="Arial" w:cs="Arial" w:eastAsia="Arial" w:hAnsi="Arial"/>
                <w:sz w:val="14"/>
                <w:szCs w:val="14"/>
                <w:color w:val="auto"/>
              </w:rPr>
              <w:t>91</w:t>
            </w:r>
          </w:p>
        </w:tc>
        <w:tc>
          <w:tcPr>
            <w:tcW w:w="8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(92)</w:t>
            </w: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20" w:type="dxa"/>
            <w:vAlign w:val="bottom"/>
            <w:gridSpan w:val="3"/>
          </w:tcPr>
          <w:p>
            <w:pPr>
              <w:jc w:val="right"/>
              <w:spacing w:after="0"/>
              <w:rPr>
                <w:sz w:val="20"/>
                <w:szCs w:val="20"/>
                <w:color w:val="auto"/>
              </w:rPr>
            </w:pPr>
            <w:r>
              <w:rPr>
                <w:rFonts w:ascii="Arial" w:cs="Arial" w:eastAsia="Arial" w:hAnsi="Arial"/>
                <w:sz w:val="14"/>
                <w:szCs w:val="14"/>
                <w:color w:val="auto"/>
              </w:rPr>
              <w:t>968</w:t>
            </w: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(22)</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(3)</w:t>
            </w:r>
          </w:p>
        </w:tc>
        <w:tc>
          <w:tcPr>
            <w:tcW w:w="760" w:type="dxa"/>
            <w:vAlign w:val="bottom"/>
            <w:gridSpan w:val="2"/>
          </w:tcPr>
          <w:p>
            <w:pPr>
              <w:jc w:val="right"/>
              <w:ind w:right="8"/>
              <w:spacing w:after="0"/>
              <w:rPr>
                <w:sz w:val="20"/>
                <w:szCs w:val="20"/>
                <w:color w:val="auto"/>
              </w:rPr>
            </w:pPr>
            <w:r>
              <w:rPr>
                <w:rFonts w:ascii="Arial" w:cs="Arial" w:eastAsia="Arial" w:hAnsi="Arial"/>
                <w:sz w:val="14"/>
                <w:szCs w:val="14"/>
                <w:color w:val="auto"/>
              </w:rPr>
              <w:t>256</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16</w:t>
            </w:r>
          </w:p>
        </w:tc>
        <w:tc>
          <w:tcPr>
            <w:tcW w:w="1120" w:type="dxa"/>
            <w:vAlign w:val="bottom"/>
            <w:gridSpan w:val="3"/>
          </w:tcPr>
          <w:p>
            <w:pPr>
              <w:jc w:val="right"/>
              <w:ind w:right="8"/>
              <w:spacing w:after="0"/>
              <w:rPr>
                <w:sz w:val="20"/>
                <w:szCs w:val="20"/>
                <w:color w:val="auto"/>
              </w:rPr>
            </w:pPr>
            <w:r>
              <w:rPr>
                <w:rFonts w:ascii="Arial" w:cs="Arial" w:eastAsia="Arial" w:hAnsi="Arial"/>
                <w:sz w:val="14"/>
                <w:szCs w:val="14"/>
                <w:color w:val="auto"/>
              </w:rPr>
              <w:t>1,213</w:t>
            </w:r>
          </w:p>
        </w:tc>
        <w:tc>
          <w:tcPr>
            <w:tcW w:w="0" w:type="dxa"/>
            <w:vAlign w:val="bottom"/>
          </w:tcPr>
          <w:p>
            <w:pPr>
              <w:spacing w:after="0"/>
              <w:rPr>
                <w:sz w:val="1"/>
                <w:szCs w:val="1"/>
                <w:color w:val="auto"/>
              </w:rPr>
            </w:pPr>
          </w:p>
        </w:tc>
      </w:tr>
      <w:tr>
        <w:trPr>
          <w:trHeight w:val="351"/>
        </w:trPr>
        <w:tc>
          <w:tcPr>
            <w:tcW w:w="120" w:type="dxa"/>
            <w:vAlign w:val="bottom"/>
          </w:tcPr>
          <w:p>
            <w:pPr>
              <w:spacing w:after="0"/>
              <w:rPr>
                <w:sz w:val="24"/>
                <w:szCs w:val="2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1,742</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620</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(15)</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8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76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767</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866</w:t>
            </w:r>
          </w:p>
        </w:tc>
        <w:tc>
          <w:tcPr>
            <w:tcW w:w="1120" w:type="dxa"/>
            <w:vAlign w:val="bottom"/>
            <w:gridSpan w:val="3"/>
            <w:shd w:val="clear" w:color="auto" w:fill="CCEEFF"/>
          </w:tcPr>
          <w:p>
            <w:pPr>
              <w:jc w:val="right"/>
              <w:ind w:right="8"/>
              <w:spacing w:after="0"/>
              <w:rPr>
                <w:sz w:val="20"/>
                <w:szCs w:val="20"/>
                <w:color w:val="auto"/>
              </w:rPr>
            </w:pPr>
            <w:r>
              <w:rPr>
                <w:rFonts w:ascii="Arial" w:cs="Arial" w:eastAsia="Arial" w:hAnsi="Arial"/>
                <w:sz w:val="14"/>
                <w:szCs w:val="14"/>
                <w:color w:val="auto"/>
              </w:rPr>
              <w:t>4,265</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20" w:type="dxa"/>
            <w:vAlign w:val="bottom"/>
            <w:gridSpan w:val="3"/>
          </w:tcPr>
          <w:p>
            <w:pPr>
              <w:jc w:val="right"/>
              <w:spacing w:after="0"/>
              <w:rPr>
                <w:sz w:val="20"/>
                <w:szCs w:val="20"/>
                <w:color w:val="auto"/>
              </w:rPr>
            </w:pPr>
            <w:r>
              <w:rPr>
                <w:rFonts w:ascii="Arial" w:cs="Arial" w:eastAsia="Arial" w:hAnsi="Arial"/>
                <w:sz w:val="14"/>
                <w:szCs w:val="14"/>
                <w:color w:val="auto"/>
              </w:rPr>
              <w:t>33,381</w:t>
            </w: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3"/>
          </w:tcPr>
          <w:p>
            <w:pPr>
              <w:jc w:val="right"/>
              <w:ind w:right="8"/>
              <w:spacing w:after="0"/>
              <w:rPr>
                <w:sz w:val="20"/>
                <w:szCs w:val="20"/>
                <w:color w:val="auto"/>
              </w:rPr>
            </w:pPr>
            <w:r>
              <w:rPr>
                <w:rFonts w:ascii="Arial" w:cs="Arial" w:eastAsia="Arial" w:hAnsi="Arial"/>
                <w:sz w:val="14"/>
                <w:szCs w:val="14"/>
                <w:color w:val="auto"/>
              </w:rPr>
              <w:t>33,381</w:t>
            </w:r>
          </w:p>
        </w:tc>
        <w:tc>
          <w:tcPr>
            <w:tcW w:w="0" w:type="dxa"/>
            <w:vAlign w:val="bottom"/>
          </w:tcPr>
          <w:p>
            <w:pPr>
              <w:spacing w:after="0"/>
              <w:rPr>
                <w:sz w:val="1"/>
                <w:szCs w:val="1"/>
                <w:color w:val="auto"/>
              </w:rPr>
            </w:pPr>
          </w:p>
        </w:tc>
      </w:tr>
      <w:tr>
        <w:trPr>
          <w:trHeight w:val="203"/>
        </w:trPr>
        <w:tc>
          <w:tcPr>
            <w:tcW w:w="880" w:type="dxa"/>
            <w:vAlign w:val="bottom"/>
            <w:gridSpan w:val="2"/>
          </w:tcPr>
          <w:p>
            <w:pPr>
              <w:jc w:val="right"/>
              <w:spacing w:after="0"/>
              <w:rPr>
                <w:sz w:val="20"/>
                <w:szCs w:val="20"/>
                <w:color w:val="auto"/>
              </w:rPr>
            </w:pPr>
            <w:r>
              <w:rPr>
                <w:rFonts w:ascii="Arial" w:cs="Arial" w:eastAsia="Arial" w:hAnsi="Arial"/>
                <w:sz w:val="14"/>
                <w:szCs w:val="14"/>
                <w:color w:val="auto"/>
              </w:rPr>
              <w:t>10,193</w:t>
            </w: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3"/>
            <w:shd w:val="clear" w:color="auto" w:fill="CCEEFF"/>
          </w:tcPr>
          <w:p>
            <w:pPr>
              <w:jc w:val="right"/>
              <w:ind w:right="8"/>
              <w:spacing w:after="0"/>
              <w:rPr>
                <w:sz w:val="20"/>
                <w:szCs w:val="20"/>
                <w:color w:val="auto"/>
              </w:rPr>
            </w:pPr>
            <w:r>
              <w:rPr>
                <w:rFonts w:ascii="Arial" w:cs="Arial" w:eastAsia="Arial" w:hAnsi="Arial"/>
                <w:sz w:val="14"/>
                <w:szCs w:val="14"/>
                <w:color w:val="auto"/>
              </w:rPr>
              <w:t>10,193</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8"/>
              <w:spacing w:after="0"/>
              <w:rPr>
                <w:sz w:val="20"/>
                <w:szCs w:val="20"/>
                <w:color w:val="auto"/>
              </w:rPr>
            </w:pPr>
            <w:r>
              <w:rPr>
                <w:rFonts w:ascii="Arial" w:cs="Arial" w:eastAsia="Arial" w:hAnsi="Arial"/>
                <w:sz w:val="14"/>
                <w:szCs w:val="14"/>
                <w:color w:val="auto"/>
              </w:rPr>
              <w:t>281</w:t>
            </w: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3"/>
          </w:tcPr>
          <w:p>
            <w:pPr>
              <w:jc w:val="right"/>
              <w:ind w:right="8"/>
              <w:spacing w:after="0"/>
              <w:rPr>
                <w:sz w:val="20"/>
                <w:szCs w:val="20"/>
                <w:color w:val="auto"/>
              </w:rPr>
            </w:pPr>
            <w:r>
              <w:rPr>
                <w:rFonts w:ascii="Arial" w:cs="Arial" w:eastAsia="Arial" w:hAnsi="Arial"/>
                <w:sz w:val="14"/>
                <w:szCs w:val="14"/>
                <w:color w:val="auto"/>
              </w:rPr>
              <w:t>281</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266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3"/>
            <w:shd w:val="clear" w:color="auto" w:fill="CCEEFF"/>
          </w:tcPr>
          <w:p>
            <w:pPr>
              <w:jc w:val="right"/>
              <w:ind w:right="8"/>
              <w:spacing w:after="0"/>
              <w:rPr>
                <w:sz w:val="20"/>
                <w:szCs w:val="20"/>
                <w:color w:val="auto"/>
              </w:rPr>
            </w:pPr>
            <w:r>
              <w:rPr>
                <w:rFonts w:ascii="Arial" w:cs="Arial" w:eastAsia="Arial" w:hAnsi="Arial"/>
                <w:sz w:val="14"/>
                <w:szCs w:val="14"/>
                <w:color w:val="auto"/>
              </w:rPr>
              <w:t>324</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24,789</w:t>
            </w:r>
          </w:p>
        </w:tc>
        <w:tc>
          <w:tcPr>
            <w:tcW w:w="80" w:type="dxa"/>
            <w:vAlign w:val="bottom"/>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750</w:t>
            </w:r>
          </w:p>
        </w:tc>
        <w:tc>
          <w:tcPr>
            <w:tcW w:w="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375</w:t>
            </w:r>
          </w:p>
        </w:tc>
        <w:tc>
          <w:tcPr>
            <w:tcW w:w="100" w:type="dxa"/>
            <w:vAlign w:val="bottom"/>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375</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gridSpan w:val="2"/>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375</w:t>
            </w:r>
          </w:p>
        </w:tc>
        <w:tc>
          <w:tcPr>
            <w:tcW w:w="8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375</w:t>
            </w:r>
          </w:p>
        </w:tc>
        <w:tc>
          <w:tcPr>
            <w:tcW w:w="8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375</w:t>
            </w:r>
          </w:p>
        </w:tc>
        <w:tc>
          <w:tcPr>
            <w:tcW w:w="76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color w:val="auto"/>
              </w:rPr>
              <w:t>563</w:t>
            </w:r>
          </w:p>
        </w:tc>
        <w:tc>
          <w:tcPr>
            <w:tcW w:w="8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375</w:t>
            </w: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28,352</w:t>
            </w:r>
          </w:p>
        </w:tc>
        <w:tc>
          <w:tcPr>
            <w:tcW w:w="0" w:type="dxa"/>
            <w:vAlign w:val="bottom"/>
          </w:tcPr>
          <w:p>
            <w:pPr>
              <w:spacing w:after="0"/>
              <w:rPr>
                <w:sz w:val="1"/>
                <w:szCs w:val="1"/>
                <w:color w:val="auto"/>
              </w:rPr>
            </w:pPr>
          </w:p>
        </w:tc>
      </w:tr>
      <w:tr>
        <w:trPr>
          <w:trHeight w:val="203"/>
        </w:trPr>
        <w:tc>
          <w:tcPr>
            <w:tcW w:w="880" w:type="dxa"/>
            <w:vAlign w:val="bottom"/>
            <w:gridSpan w:val="2"/>
          </w:tcPr>
          <w:p>
            <w:pPr>
              <w:jc w:val="right"/>
              <w:spacing w:after="0"/>
              <w:rPr>
                <w:sz w:val="20"/>
                <w:szCs w:val="20"/>
                <w:color w:val="auto"/>
              </w:rPr>
            </w:pPr>
            <w:r>
              <w:rPr>
                <w:rFonts w:ascii="Arial" w:cs="Arial" w:eastAsia="Arial" w:hAnsi="Arial"/>
                <w:sz w:val="14"/>
                <w:szCs w:val="14"/>
                <w:color w:val="auto"/>
              </w:rPr>
              <w:t>(9,681)$</w:t>
            </w: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31,610$</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16,689$</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7,624</w:t>
            </w:r>
          </w:p>
        </w:tc>
        <w:tc>
          <w:tcPr>
            <w:tcW w:w="760" w:type="dxa"/>
            <w:vAlign w:val="bottom"/>
            <w:gridSpan w:val="3"/>
          </w:tcPr>
          <w:p>
            <w:pPr>
              <w:jc w:val="right"/>
              <w:ind w:right="2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15,964$</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21,405$</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11,610$</w:t>
            </w:r>
          </w:p>
        </w:tc>
        <w:tc>
          <w:tcPr>
            <w:tcW w:w="76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22,675$</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46,519$</w:t>
            </w:r>
          </w:p>
        </w:tc>
        <w:tc>
          <w:tcPr>
            <w:tcW w:w="1120" w:type="dxa"/>
            <w:vAlign w:val="bottom"/>
            <w:gridSpan w:val="3"/>
            <w:shd w:val="clear" w:color="auto" w:fill="CCEEFF"/>
          </w:tcPr>
          <w:p>
            <w:pPr>
              <w:jc w:val="right"/>
              <w:ind w:right="8"/>
              <w:spacing w:after="0"/>
              <w:rPr>
                <w:sz w:val="20"/>
                <w:szCs w:val="20"/>
                <w:color w:val="auto"/>
              </w:rPr>
            </w:pPr>
            <w:r>
              <w:rPr>
                <w:rFonts w:ascii="Arial" w:cs="Arial" w:eastAsia="Arial" w:hAnsi="Arial"/>
                <w:sz w:val="14"/>
                <w:szCs w:val="14"/>
                <w:color w:val="auto"/>
              </w:rPr>
              <w:t>164,415</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-1358265</wp:posOffset>
            </wp:positionH>
            <wp:positionV relativeFrom="paragraph">
              <wp:posOffset>-2485390</wp:posOffset>
            </wp:positionV>
            <wp:extent cx="3402965" cy="1289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02965" cy="128905"/>
                    </a:xfrm>
                    <a:prstGeom prst="rect">
                      <a:avLst/>
                    </a:prstGeom>
                    <a:noFill/>
                  </pic:spPr>
                </pic:pic>
              </a:graphicData>
            </a:graphic>
          </wp:anchor>
        </w:drawing>
        <w:drawing>
          <wp:anchor simplePos="0" relativeHeight="251657728" behindDoc="1" locked="0" layoutInCell="0" allowOverlap="1">
            <wp:simplePos x="0" y="0"/>
            <wp:positionH relativeFrom="column">
              <wp:posOffset>-1358265</wp:posOffset>
            </wp:positionH>
            <wp:positionV relativeFrom="paragraph">
              <wp:posOffset>-2228215</wp:posOffset>
            </wp:positionV>
            <wp:extent cx="3402965" cy="1289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402965" cy="128905"/>
                    </a:xfrm>
                    <a:prstGeom prst="rect">
                      <a:avLst/>
                    </a:prstGeom>
                    <a:noFill/>
                  </pic:spPr>
                </pic:pic>
              </a:graphicData>
            </a:graphic>
          </wp:anchor>
        </w:drawing>
        <w:drawing>
          <wp:anchor simplePos="0" relativeHeight="251657728" behindDoc="1" locked="0" layoutInCell="0" allowOverlap="1">
            <wp:simplePos x="0" y="0"/>
            <wp:positionH relativeFrom="column">
              <wp:posOffset>-1358265</wp:posOffset>
            </wp:positionH>
            <wp:positionV relativeFrom="paragraph">
              <wp:posOffset>-1971040</wp:posOffset>
            </wp:positionV>
            <wp:extent cx="3402965" cy="1714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402965" cy="171450"/>
                    </a:xfrm>
                    <a:prstGeom prst="rect">
                      <a:avLst/>
                    </a:prstGeom>
                    <a:noFill/>
                  </pic:spPr>
                </pic:pic>
              </a:graphicData>
            </a:graphic>
          </wp:anchor>
        </w:drawing>
        <w:drawing>
          <wp:anchor simplePos="0" relativeHeight="251657728" behindDoc="1" locked="0" layoutInCell="0" allowOverlap="1">
            <wp:simplePos x="0" y="0"/>
            <wp:positionH relativeFrom="column">
              <wp:posOffset>-1358265</wp:posOffset>
            </wp:positionH>
            <wp:positionV relativeFrom="paragraph">
              <wp:posOffset>-1628140</wp:posOffset>
            </wp:positionV>
            <wp:extent cx="3402965" cy="1714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402965" cy="171450"/>
                    </a:xfrm>
                    <a:prstGeom prst="rect">
                      <a:avLst/>
                    </a:prstGeom>
                    <a:noFill/>
                  </pic:spPr>
                </pic:pic>
              </a:graphicData>
            </a:graphic>
          </wp:anchor>
        </w:drawing>
        <w:drawing>
          <wp:anchor simplePos="0" relativeHeight="251657728" behindDoc="1" locked="0" layoutInCell="0" allowOverlap="1">
            <wp:simplePos x="0" y="0"/>
            <wp:positionH relativeFrom="column">
              <wp:posOffset>-1358265</wp:posOffset>
            </wp:positionH>
            <wp:positionV relativeFrom="paragraph">
              <wp:posOffset>-1285240</wp:posOffset>
            </wp:positionV>
            <wp:extent cx="3402965" cy="1289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402965" cy="128905"/>
                    </a:xfrm>
                    <a:prstGeom prst="rect">
                      <a:avLst/>
                    </a:prstGeom>
                    <a:noFill/>
                  </pic:spPr>
                </pic:pic>
              </a:graphicData>
            </a:graphic>
          </wp:anchor>
        </w:drawing>
        <w:drawing>
          <wp:anchor simplePos="0" relativeHeight="251657728" behindDoc="1" locked="0" layoutInCell="0" allowOverlap="1">
            <wp:simplePos x="0" y="0"/>
            <wp:positionH relativeFrom="column">
              <wp:posOffset>-1358265</wp:posOffset>
            </wp:positionH>
            <wp:positionV relativeFrom="paragraph">
              <wp:posOffset>-1028065</wp:posOffset>
            </wp:positionV>
            <wp:extent cx="3402965" cy="2228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402965" cy="222885"/>
                    </a:xfrm>
                    <a:prstGeom prst="rect">
                      <a:avLst/>
                    </a:prstGeom>
                    <a:noFill/>
                  </pic:spPr>
                </pic:pic>
              </a:graphicData>
            </a:graphic>
          </wp:anchor>
        </w:drawing>
        <w:drawing>
          <wp:anchor simplePos="0" relativeHeight="251657728" behindDoc="1" locked="0" layoutInCell="0" allowOverlap="1">
            <wp:simplePos x="0" y="0"/>
            <wp:positionH relativeFrom="column">
              <wp:posOffset>-1358265</wp:posOffset>
            </wp:positionH>
            <wp:positionV relativeFrom="paragraph">
              <wp:posOffset>-676910</wp:posOffset>
            </wp:positionV>
            <wp:extent cx="3402965" cy="1289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402965" cy="128905"/>
                    </a:xfrm>
                    <a:prstGeom prst="rect">
                      <a:avLst/>
                    </a:prstGeom>
                    <a:noFill/>
                  </pic:spPr>
                </pic:pic>
              </a:graphicData>
            </a:graphic>
          </wp:anchor>
        </w:drawing>
        <w:drawing>
          <wp:anchor simplePos="0" relativeHeight="251657728" behindDoc="1" locked="0" layoutInCell="0" allowOverlap="1">
            <wp:simplePos x="0" y="0"/>
            <wp:positionH relativeFrom="column">
              <wp:posOffset>-1358265</wp:posOffset>
            </wp:positionH>
            <wp:positionV relativeFrom="paragraph">
              <wp:posOffset>-419735</wp:posOffset>
            </wp:positionV>
            <wp:extent cx="3402965" cy="1289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402965" cy="128905"/>
                    </a:xfrm>
                    <a:prstGeom prst="rect">
                      <a:avLst/>
                    </a:prstGeom>
                    <a:noFill/>
                  </pic:spPr>
                </pic:pic>
              </a:graphicData>
            </a:graphic>
          </wp:anchor>
        </w:drawing>
        <w:drawing>
          <wp:anchor simplePos="0" relativeHeight="251657728" behindDoc="1" locked="0" layoutInCell="0" allowOverlap="1">
            <wp:simplePos x="0" y="0"/>
            <wp:positionH relativeFrom="column">
              <wp:posOffset>-1358265</wp:posOffset>
            </wp:positionH>
            <wp:positionV relativeFrom="paragraph">
              <wp:posOffset>-162560</wp:posOffset>
            </wp:positionV>
            <wp:extent cx="3402965" cy="1460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402965"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20" w:space="20"/>
            <w:col w:w="8880"/>
          </w:cols>
          <w:pgMar w:left="220" w:top="1440" w:right="659" w:bottom="1440" w:gutter="0" w:footer="0" w:header="0"/>
          <w:type w:val="continuous"/>
        </w:sectPr>
      </w:pPr>
    </w:p>
    <w:p>
      <w:pPr>
        <w:spacing w:after="0" w:line="241" w:lineRule="exact"/>
        <w:rPr>
          <w:sz w:val="20"/>
          <w:szCs w:val="20"/>
          <w:color w:val="auto"/>
        </w:rPr>
      </w:pPr>
    </w:p>
    <w:p>
      <w:pPr>
        <w:ind w:left="280" w:hanging="172"/>
        <w:spacing w:after="0"/>
        <w:tabs>
          <w:tab w:leader="none" w:pos="280" w:val="left"/>
        </w:tabs>
        <w:numPr>
          <w:ilvl w:val="0"/>
          <w:numId w:val="29"/>
        </w:numPr>
        <w:rPr>
          <w:rFonts w:ascii="Arial" w:cs="Arial" w:eastAsia="Arial" w:hAnsi="Arial"/>
          <w:sz w:val="21"/>
          <w:szCs w:val="21"/>
          <w:b w:val="1"/>
          <w:bCs w:val="1"/>
          <w:color w:val="auto"/>
          <w:vertAlign w:val="superscript"/>
        </w:rPr>
      </w:pPr>
      <w:r>
        <w:rPr>
          <w:rFonts w:ascii="Arial" w:cs="Arial" w:eastAsia="Arial" w:hAnsi="Arial"/>
          <w:sz w:val="15"/>
          <w:szCs w:val="15"/>
          <w:color w:val="auto"/>
        </w:rPr>
        <w:t>Net income (loss) does not include loss from discontinued operations for the nine months ended September 30, 2019.</w:t>
      </w:r>
    </w:p>
    <w:p>
      <w:pPr>
        <w:spacing w:after="0" w:line="200" w:lineRule="exact"/>
        <w:rPr>
          <w:rFonts w:ascii="Arial" w:cs="Arial" w:eastAsia="Arial" w:hAnsi="Arial"/>
          <w:sz w:val="21"/>
          <w:szCs w:val="21"/>
          <w:b w:val="1"/>
          <w:bCs w:val="1"/>
          <w:color w:val="auto"/>
          <w:vertAlign w:val="superscript"/>
        </w:rPr>
      </w:pPr>
    </w:p>
    <w:p>
      <w:pPr>
        <w:spacing w:after="0" w:line="200" w:lineRule="exact"/>
        <w:rPr>
          <w:rFonts w:ascii="Arial" w:cs="Arial" w:eastAsia="Arial" w:hAnsi="Arial"/>
          <w:sz w:val="21"/>
          <w:szCs w:val="21"/>
          <w:b w:val="1"/>
          <w:bCs w:val="1"/>
          <w:color w:val="auto"/>
          <w:vertAlign w:val="superscript"/>
        </w:rPr>
      </w:pPr>
    </w:p>
    <w:p>
      <w:pPr>
        <w:spacing w:after="0" w:line="200" w:lineRule="exact"/>
        <w:rPr>
          <w:rFonts w:ascii="Arial" w:cs="Arial" w:eastAsia="Arial" w:hAnsi="Arial"/>
          <w:sz w:val="21"/>
          <w:szCs w:val="21"/>
          <w:b w:val="1"/>
          <w:bCs w:val="1"/>
          <w:color w:val="auto"/>
          <w:vertAlign w:val="superscript"/>
        </w:rPr>
      </w:pPr>
    </w:p>
    <w:p>
      <w:pPr>
        <w:spacing w:after="0" w:line="200" w:lineRule="exact"/>
        <w:rPr>
          <w:rFonts w:ascii="Arial" w:cs="Arial" w:eastAsia="Arial" w:hAnsi="Arial"/>
          <w:sz w:val="21"/>
          <w:szCs w:val="21"/>
          <w:b w:val="1"/>
          <w:bCs w:val="1"/>
          <w:color w:val="auto"/>
          <w:vertAlign w:val="superscript"/>
        </w:rPr>
      </w:pPr>
    </w:p>
    <w:p>
      <w:pPr>
        <w:spacing w:after="0" w:line="274" w:lineRule="exact"/>
        <w:rPr>
          <w:rFonts w:ascii="Arial" w:cs="Arial" w:eastAsia="Arial" w:hAnsi="Arial"/>
          <w:sz w:val="21"/>
          <w:szCs w:val="21"/>
          <w:b w:val="1"/>
          <w:bCs w:val="1"/>
          <w:color w:val="auto"/>
          <w:vertAlign w:val="superscript"/>
        </w:rPr>
      </w:pPr>
    </w:p>
    <w:p>
      <w:pPr>
        <w:ind w:left="5640"/>
        <w:spacing w:after="0"/>
        <w:rPr>
          <w:rFonts w:ascii="Arial" w:cs="Arial" w:eastAsia="Arial" w:hAnsi="Arial"/>
          <w:sz w:val="21"/>
          <w:szCs w:val="21"/>
          <w:b w:val="1"/>
          <w:bCs w:val="1"/>
          <w:color w:val="auto"/>
          <w:vertAlign w:val="superscript"/>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70485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220" w:top="1440" w:right="659" w:bottom="1440" w:gutter="0" w:footer="0" w:header="0"/>
          <w:type w:val="continuous"/>
        </w:sectPr>
      </w:pPr>
    </w:p>
    <w:bookmarkStart w:id="63" w:name="page64"/>
    <w:bookmarkEnd w:id="63"/>
    <w:p>
      <w:pPr>
        <w:spacing w:after="0"/>
        <w:rPr>
          <w:sz w:val="20"/>
          <w:szCs w:val="20"/>
          <w:color w:val="auto"/>
        </w:rPr>
      </w:pPr>
      <w:r>
        <w:rPr>
          <w:rFonts w:ascii="Arial" w:cs="Arial" w:eastAsia="Arial" w:hAnsi="Arial"/>
          <w:sz w:val="18"/>
          <w:szCs w:val="18"/>
          <w:i w:val="1"/>
          <w:iCs w:val="1"/>
          <w:u w:val="single" w:color="auto"/>
          <w:color w:val="auto"/>
        </w:rPr>
        <w:t>Reconciliation of Cash Flow Available for Distribution and Reinvestment</w:t>
      </w:r>
    </w:p>
    <w:p>
      <w:pPr>
        <w:spacing w:after="0" w:line="8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table below details cash receipts and payments that are not reflected on our income statement in order to provide an additional measure of management's estimate of cash flow available for distribution ("CAD"). CAD is a non-GAAP measure that we believe provides additional, useful information to our shareholders in order to enable them to evaluate our ability to make anticipated quarterly distributions. CAD is not meant to be a substitute for GAAP, and may be different from or otherwise inconsistent with non-GAAP financial measures used by other companies.</w:t>
      </w:r>
    </w:p>
    <w:p>
      <w:pPr>
        <w:spacing w:after="0" w:line="9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table reconciles CAD to net income (loss) and cash flows provided by operating activities, which we consider to be the most directly comparable financial measure calculated and presented in accordance with GAAP.</w:t>
      </w:r>
    </w:p>
    <w:p>
      <w:pPr>
        <w:spacing w:after="0" w:line="56" w:lineRule="exact"/>
        <w:rPr>
          <w:sz w:val="20"/>
          <w:szCs w:val="20"/>
          <w:color w:val="auto"/>
        </w:rPr>
      </w:pPr>
    </w:p>
    <w:tbl>
      <w:tblPr>
        <w:tblLayout w:type="fixed"/>
        <w:tblInd w:w="220" w:type="dxa"/>
        <w:tblCellMar>
          <w:top w:w="0" w:type="dxa"/>
          <w:left w:w="0" w:type="dxa"/>
          <w:bottom w:w="0" w:type="dxa"/>
          <w:right w:w="0" w:type="dxa"/>
        </w:tblCellMar>
      </w:tblPr>
      <w:tr>
        <w:trPr>
          <w:trHeight w:val="206"/>
        </w:trPr>
        <w:tc>
          <w:tcPr>
            <w:tcW w:w="67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880" w:type="dxa"/>
            <w:vAlign w:val="bottom"/>
            <w:tcBorders>
              <w:bottom w:val="single" w:sz="8" w:color="auto"/>
            </w:tcBorders>
            <w:gridSpan w:val="4"/>
          </w:tcPr>
          <w:p>
            <w:pPr>
              <w:jc w:val="right"/>
              <w:ind w:right="1244"/>
              <w:spacing w:after="0"/>
              <w:rPr>
                <w:sz w:val="20"/>
                <w:szCs w:val="20"/>
                <w:color w:val="auto"/>
              </w:rPr>
            </w:pPr>
            <w:r>
              <w:rPr>
                <w:rFonts w:ascii="Arial" w:cs="Arial" w:eastAsia="Arial" w:hAnsi="Arial"/>
                <w:sz w:val="15"/>
                <w:szCs w:val="15"/>
                <w:b w:val="1"/>
                <w:bCs w:val="1"/>
                <w:color w:val="auto"/>
              </w:rPr>
              <w:t>Nine Months Ended</w:t>
            </w:r>
          </w:p>
        </w:tc>
      </w:tr>
      <w:tr>
        <w:trPr>
          <w:trHeight w:val="200"/>
        </w:trPr>
        <w:tc>
          <w:tcPr>
            <w:tcW w:w="67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Pr>
          <w:p>
            <w:pPr>
              <w:spacing w:after="0"/>
              <w:rPr>
                <w:sz w:val="17"/>
                <w:szCs w:val="17"/>
                <w:color w:val="auto"/>
              </w:rPr>
            </w:pPr>
          </w:p>
        </w:tc>
        <w:tc>
          <w:tcPr>
            <w:tcW w:w="1900" w:type="dxa"/>
            <w:vAlign w:val="bottom"/>
            <w:gridSpan w:val="2"/>
          </w:tcPr>
          <w:p>
            <w:pPr>
              <w:ind w:left="80"/>
              <w:spacing w:after="0"/>
              <w:rPr>
                <w:sz w:val="20"/>
                <w:szCs w:val="20"/>
                <w:color w:val="auto"/>
              </w:rPr>
            </w:pPr>
            <w:r>
              <w:rPr>
                <w:rFonts w:ascii="Arial" w:cs="Arial" w:eastAsia="Arial" w:hAnsi="Arial"/>
                <w:sz w:val="15"/>
                <w:szCs w:val="15"/>
                <w:b w:val="1"/>
                <w:bCs w:val="1"/>
                <w:color w:val="auto"/>
              </w:rPr>
              <w:t>September 30, 2020</w:t>
            </w:r>
          </w:p>
        </w:tc>
        <w:tc>
          <w:tcPr>
            <w:tcW w:w="200" w:type="dxa"/>
            <w:vAlign w:val="bottom"/>
          </w:tcPr>
          <w:p>
            <w:pPr>
              <w:spacing w:after="0"/>
              <w:rPr>
                <w:sz w:val="17"/>
                <w:szCs w:val="17"/>
                <w:color w:val="auto"/>
              </w:rPr>
            </w:pPr>
          </w:p>
        </w:tc>
        <w:tc>
          <w:tcPr>
            <w:tcW w:w="1780" w:type="dxa"/>
            <w:vAlign w:val="bottom"/>
          </w:tcPr>
          <w:p>
            <w:pPr>
              <w:jc w:val="right"/>
              <w:ind w:right="204"/>
              <w:spacing w:after="0"/>
              <w:rPr>
                <w:sz w:val="20"/>
                <w:szCs w:val="20"/>
                <w:color w:val="auto"/>
              </w:rPr>
            </w:pPr>
            <w:r>
              <w:rPr>
                <w:rFonts w:ascii="Arial" w:cs="Arial" w:eastAsia="Arial" w:hAnsi="Arial"/>
                <w:sz w:val="15"/>
                <w:szCs w:val="15"/>
                <w:b w:val="1"/>
                <w:bCs w:val="1"/>
                <w:color w:val="auto"/>
              </w:rPr>
              <w:t>September 30, 2019</w:t>
            </w:r>
          </w:p>
        </w:tc>
      </w:tr>
      <w:tr>
        <w:trPr>
          <w:trHeight w:val="196"/>
        </w:trPr>
        <w:tc>
          <w:tcPr>
            <w:tcW w:w="6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Net income</w:t>
            </w:r>
          </w:p>
        </w:tc>
        <w:tc>
          <w:tcPr>
            <w:tcW w:w="20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80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18,417</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301,788</w:t>
            </w:r>
          </w:p>
        </w:tc>
      </w:tr>
      <w:tr>
        <w:trPr>
          <w:trHeight w:val="199"/>
        </w:trPr>
        <w:tc>
          <w:tcPr>
            <w:tcW w:w="6720" w:type="dxa"/>
            <w:vAlign w:val="bottom"/>
          </w:tcPr>
          <w:p>
            <w:pPr>
              <w:ind w:left="320"/>
              <w:spacing w:after="0"/>
              <w:rPr>
                <w:sz w:val="20"/>
                <w:szCs w:val="20"/>
                <w:color w:val="auto"/>
              </w:rPr>
            </w:pPr>
            <w:r>
              <w:rPr>
                <w:rFonts w:ascii="Arial" w:cs="Arial" w:eastAsia="Arial" w:hAnsi="Arial"/>
                <w:sz w:val="15"/>
                <w:szCs w:val="15"/>
                <w:color w:val="auto"/>
              </w:rPr>
              <w:t>Adjustment to reconcile net income to cash provided by operating activities:</w:t>
            </w:r>
          </w:p>
        </w:tc>
        <w:tc>
          <w:tcPr>
            <w:tcW w:w="2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06"/>
        </w:trPr>
        <w:tc>
          <w:tcPr>
            <w:tcW w:w="6720" w:type="dxa"/>
            <w:vAlign w:val="bottom"/>
            <w:shd w:val="clear" w:color="auto" w:fill="CCEEFF"/>
          </w:tcPr>
          <w:p>
            <w:pPr>
              <w:ind w:left="660"/>
              <w:spacing w:after="0"/>
              <w:rPr>
                <w:sz w:val="20"/>
                <w:szCs w:val="20"/>
                <w:color w:val="auto"/>
              </w:rPr>
            </w:pPr>
            <w:r>
              <w:rPr>
                <w:rFonts w:ascii="Arial" w:cs="Arial" w:eastAsia="Arial" w:hAnsi="Arial"/>
                <w:sz w:val="15"/>
                <w:szCs w:val="15"/>
                <w:color w:val="auto"/>
              </w:rPr>
              <w:t>Depreciation and amortization</w:t>
            </w:r>
          </w:p>
        </w:tc>
        <w:tc>
          <w:tcPr>
            <w:tcW w:w="200" w:type="dxa"/>
            <w:vAlign w:val="bottom"/>
            <w:shd w:val="clear" w:color="auto" w:fill="CCEEFF"/>
          </w:tcPr>
          <w:p>
            <w:pPr>
              <w:spacing w:after="0"/>
              <w:rPr>
                <w:sz w:val="17"/>
                <w:szCs w:val="17"/>
                <w:color w:val="auto"/>
              </w:rPr>
            </w:pPr>
          </w:p>
        </w:tc>
        <w:tc>
          <w:tcPr>
            <w:tcW w:w="18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73,578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78,413</w:t>
            </w:r>
          </w:p>
        </w:tc>
      </w:tr>
      <w:tr>
        <w:trPr>
          <w:trHeight w:val="199"/>
        </w:trPr>
        <w:tc>
          <w:tcPr>
            <w:tcW w:w="6720" w:type="dxa"/>
            <w:vAlign w:val="bottom"/>
          </w:tcPr>
          <w:p>
            <w:pPr>
              <w:ind w:left="660"/>
              <w:spacing w:after="0"/>
              <w:rPr>
                <w:sz w:val="20"/>
                <w:szCs w:val="20"/>
                <w:color w:val="auto"/>
              </w:rPr>
            </w:pPr>
            <w:r>
              <w:rPr>
                <w:rFonts w:ascii="Arial" w:cs="Arial" w:eastAsia="Arial" w:hAnsi="Arial"/>
                <w:sz w:val="15"/>
                <w:szCs w:val="15"/>
                <w:color w:val="auto"/>
              </w:rPr>
              <w:t>Impairment expense</w:t>
            </w:r>
          </w:p>
        </w:tc>
        <w:tc>
          <w:tcPr>
            <w:tcW w:w="200" w:type="dxa"/>
            <w:vAlign w:val="bottom"/>
          </w:tcPr>
          <w:p>
            <w:pPr>
              <w:spacing w:after="0"/>
              <w:rPr>
                <w:sz w:val="17"/>
                <w:szCs w:val="17"/>
                <w:color w:val="auto"/>
              </w:rPr>
            </w:pPr>
          </w:p>
        </w:tc>
        <w:tc>
          <w:tcPr>
            <w:tcW w:w="19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Arial" w:cs="Arial" w:eastAsia="Arial" w:hAnsi="Arial"/>
                <w:sz w:val="15"/>
                <w:szCs w:val="15"/>
                <w:color w:val="auto"/>
              </w:rPr>
              <w:t>33,381</w:t>
            </w:r>
          </w:p>
        </w:tc>
      </w:tr>
      <w:tr>
        <w:trPr>
          <w:trHeight w:val="206"/>
        </w:trPr>
        <w:tc>
          <w:tcPr>
            <w:tcW w:w="6720" w:type="dxa"/>
            <w:vAlign w:val="bottom"/>
            <w:shd w:val="clear" w:color="auto" w:fill="CCEEFF"/>
          </w:tcPr>
          <w:p>
            <w:pPr>
              <w:ind w:left="660"/>
              <w:spacing w:after="0"/>
              <w:rPr>
                <w:sz w:val="20"/>
                <w:szCs w:val="20"/>
                <w:color w:val="auto"/>
              </w:rPr>
            </w:pPr>
            <w:r>
              <w:rPr>
                <w:rFonts w:ascii="Arial" w:cs="Arial" w:eastAsia="Arial" w:hAnsi="Arial"/>
                <w:sz w:val="15"/>
                <w:szCs w:val="15"/>
                <w:color w:val="auto"/>
              </w:rPr>
              <w:t>Gain on sale of businesses</w:t>
            </w:r>
          </w:p>
        </w:tc>
        <w:tc>
          <w:tcPr>
            <w:tcW w:w="200" w:type="dxa"/>
            <w:vAlign w:val="bottom"/>
            <w:shd w:val="clear" w:color="auto" w:fill="CCEEFF"/>
          </w:tcPr>
          <w:p>
            <w:pPr>
              <w:spacing w:after="0"/>
              <w:rPr>
                <w:sz w:val="17"/>
                <w:szCs w:val="17"/>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(330,203)</w:t>
            </w:r>
          </w:p>
        </w:tc>
      </w:tr>
      <w:tr>
        <w:trPr>
          <w:trHeight w:val="199"/>
        </w:trPr>
        <w:tc>
          <w:tcPr>
            <w:tcW w:w="6720" w:type="dxa"/>
            <w:vAlign w:val="bottom"/>
          </w:tcPr>
          <w:p>
            <w:pPr>
              <w:ind w:left="660"/>
              <w:spacing w:after="0"/>
              <w:rPr>
                <w:sz w:val="20"/>
                <w:szCs w:val="20"/>
                <w:color w:val="auto"/>
              </w:rPr>
            </w:pPr>
            <w:r>
              <w:rPr>
                <w:rFonts w:ascii="Arial" w:cs="Arial" w:eastAsia="Arial" w:hAnsi="Arial"/>
                <w:sz w:val="15"/>
                <w:szCs w:val="15"/>
                <w:color w:val="auto"/>
              </w:rPr>
              <w:t>Amortization of debt issuance costs, discount and premium</w:t>
            </w:r>
          </w:p>
        </w:tc>
        <w:tc>
          <w:tcPr>
            <w:tcW w:w="200" w:type="dxa"/>
            <w:vAlign w:val="bottom"/>
          </w:tcPr>
          <w:p>
            <w:pPr>
              <w:spacing w:after="0"/>
              <w:rPr>
                <w:sz w:val="17"/>
                <w:szCs w:val="17"/>
                <w:color w:val="auto"/>
              </w:rPr>
            </w:pPr>
          </w:p>
        </w:tc>
        <w:tc>
          <w:tcPr>
            <w:tcW w:w="1800" w:type="dxa"/>
            <w:vAlign w:val="bottom"/>
          </w:tcPr>
          <w:p>
            <w:pPr>
              <w:jc w:val="right"/>
              <w:ind w:right="4"/>
              <w:spacing w:after="0"/>
              <w:rPr>
                <w:sz w:val="20"/>
                <w:szCs w:val="20"/>
                <w:color w:val="auto"/>
              </w:rPr>
            </w:pPr>
            <w:r>
              <w:rPr>
                <w:rFonts w:ascii="Arial" w:cs="Arial" w:eastAsia="Arial" w:hAnsi="Arial"/>
                <w:sz w:val="15"/>
                <w:szCs w:val="15"/>
                <w:color w:val="auto"/>
              </w:rPr>
              <w:t>1,656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Arial" w:cs="Arial" w:eastAsia="Arial" w:hAnsi="Arial"/>
                <w:sz w:val="15"/>
                <w:szCs w:val="15"/>
                <w:color w:val="auto"/>
              </w:rPr>
              <w:t>3,022</w:t>
            </w:r>
          </w:p>
        </w:tc>
      </w:tr>
      <w:tr>
        <w:trPr>
          <w:trHeight w:val="206"/>
        </w:trPr>
        <w:tc>
          <w:tcPr>
            <w:tcW w:w="6720" w:type="dxa"/>
            <w:vAlign w:val="bottom"/>
            <w:shd w:val="clear" w:color="auto" w:fill="CCEEFF"/>
          </w:tcPr>
          <w:p>
            <w:pPr>
              <w:ind w:left="660"/>
              <w:spacing w:after="0"/>
              <w:rPr>
                <w:sz w:val="20"/>
                <w:szCs w:val="20"/>
                <w:color w:val="auto"/>
              </w:rPr>
            </w:pPr>
            <w:r>
              <w:rPr>
                <w:rFonts w:ascii="Arial" w:cs="Arial" w:eastAsia="Arial" w:hAnsi="Arial"/>
                <w:sz w:val="15"/>
                <w:szCs w:val="15"/>
                <w:color w:val="auto"/>
              </w:rPr>
              <w:t>Unrealized loss on interest rate hedge</w:t>
            </w:r>
          </w:p>
        </w:tc>
        <w:tc>
          <w:tcPr>
            <w:tcW w:w="200" w:type="dxa"/>
            <w:vAlign w:val="bottom"/>
            <w:shd w:val="clear" w:color="auto" w:fill="CCEEFF"/>
          </w:tcPr>
          <w:p>
            <w:pPr>
              <w:spacing w:after="0"/>
              <w:rPr>
                <w:sz w:val="17"/>
                <w:szCs w:val="17"/>
                <w:color w:val="auto"/>
              </w:rPr>
            </w:pPr>
          </w:p>
        </w:tc>
        <w:tc>
          <w:tcPr>
            <w:tcW w:w="19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3,486</w:t>
            </w:r>
          </w:p>
        </w:tc>
      </w:tr>
      <w:tr>
        <w:trPr>
          <w:trHeight w:val="199"/>
        </w:trPr>
        <w:tc>
          <w:tcPr>
            <w:tcW w:w="6720" w:type="dxa"/>
            <w:vAlign w:val="bottom"/>
          </w:tcPr>
          <w:p>
            <w:pPr>
              <w:ind w:left="660"/>
              <w:spacing w:after="0"/>
              <w:rPr>
                <w:sz w:val="20"/>
                <w:szCs w:val="20"/>
                <w:color w:val="auto"/>
              </w:rPr>
            </w:pPr>
            <w:r>
              <w:rPr>
                <w:rFonts w:ascii="Arial" w:cs="Arial" w:eastAsia="Arial" w:hAnsi="Arial"/>
                <w:sz w:val="15"/>
                <w:szCs w:val="15"/>
                <w:color w:val="auto"/>
              </w:rPr>
              <w:t>Noncontrolling shareholder charges</w:t>
            </w:r>
          </w:p>
        </w:tc>
        <w:tc>
          <w:tcPr>
            <w:tcW w:w="200" w:type="dxa"/>
            <w:vAlign w:val="bottom"/>
          </w:tcPr>
          <w:p>
            <w:pPr>
              <w:spacing w:after="0"/>
              <w:rPr>
                <w:sz w:val="17"/>
                <w:szCs w:val="17"/>
                <w:color w:val="auto"/>
              </w:rPr>
            </w:pPr>
          </w:p>
        </w:tc>
        <w:tc>
          <w:tcPr>
            <w:tcW w:w="1800" w:type="dxa"/>
            <w:vAlign w:val="bottom"/>
          </w:tcPr>
          <w:p>
            <w:pPr>
              <w:jc w:val="right"/>
              <w:ind w:right="4"/>
              <w:spacing w:after="0"/>
              <w:rPr>
                <w:sz w:val="20"/>
                <w:szCs w:val="20"/>
                <w:color w:val="auto"/>
              </w:rPr>
            </w:pPr>
            <w:r>
              <w:rPr>
                <w:rFonts w:ascii="Arial" w:cs="Arial" w:eastAsia="Arial" w:hAnsi="Arial"/>
                <w:sz w:val="15"/>
                <w:szCs w:val="15"/>
                <w:color w:val="auto"/>
              </w:rPr>
              <w:t>6,116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Arial" w:cs="Arial" w:eastAsia="Arial" w:hAnsi="Arial"/>
                <w:sz w:val="15"/>
                <w:szCs w:val="15"/>
                <w:color w:val="auto"/>
              </w:rPr>
              <w:t>6,204</w:t>
            </w:r>
          </w:p>
        </w:tc>
      </w:tr>
      <w:tr>
        <w:trPr>
          <w:trHeight w:val="206"/>
        </w:trPr>
        <w:tc>
          <w:tcPr>
            <w:tcW w:w="6720" w:type="dxa"/>
            <w:vAlign w:val="bottom"/>
            <w:shd w:val="clear" w:color="auto" w:fill="CCEEFF"/>
          </w:tcPr>
          <w:p>
            <w:pPr>
              <w:ind w:left="660"/>
              <w:spacing w:after="0"/>
              <w:rPr>
                <w:sz w:val="20"/>
                <w:szCs w:val="20"/>
                <w:color w:val="auto"/>
              </w:rPr>
            </w:pPr>
            <w:r>
              <w:rPr>
                <w:rFonts w:ascii="Arial" w:cs="Arial" w:eastAsia="Arial" w:hAnsi="Arial"/>
                <w:sz w:val="15"/>
                <w:szCs w:val="15"/>
                <w:color w:val="auto"/>
              </w:rPr>
              <w:t>Provision for loss on receivables</w:t>
            </w:r>
          </w:p>
        </w:tc>
        <w:tc>
          <w:tcPr>
            <w:tcW w:w="200" w:type="dxa"/>
            <w:vAlign w:val="bottom"/>
            <w:shd w:val="clear" w:color="auto" w:fill="CCEEFF"/>
          </w:tcPr>
          <w:p>
            <w:pPr>
              <w:spacing w:after="0"/>
              <w:rPr>
                <w:sz w:val="17"/>
                <w:szCs w:val="17"/>
                <w:color w:val="auto"/>
              </w:rPr>
            </w:pPr>
          </w:p>
        </w:tc>
        <w:tc>
          <w:tcPr>
            <w:tcW w:w="18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4,374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2,786</w:t>
            </w:r>
          </w:p>
        </w:tc>
      </w:tr>
      <w:tr>
        <w:trPr>
          <w:trHeight w:val="198"/>
        </w:trPr>
        <w:tc>
          <w:tcPr>
            <w:tcW w:w="6720" w:type="dxa"/>
            <w:vAlign w:val="bottom"/>
          </w:tcPr>
          <w:p>
            <w:pPr>
              <w:ind w:left="660"/>
              <w:spacing w:after="0"/>
              <w:rPr>
                <w:sz w:val="20"/>
                <w:szCs w:val="20"/>
                <w:color w:val="auto"/>
              </w:rPr>
            </w:pPr>
            <w:r>
              <w:rPr>
                <w:rFonts w:ascii="Arial" w:cs="Arial" w:eastAsia="Arial" w:hAnsi="Arial"/>
                <w:sz w:val="15"/>
                <w:szCs w:val="15"/>
                <w:color w:val="auto"/>
              </w:rPr>
              <w:t>Deferred taxes</w:t>
            </w:r>
          </w:p>
        </w:tc>
        <w:tc>
          <w:tcPr>
            <w:tcW w:w="200" w:type="dxa"/>
            <w:vAlign w:val="bottom"/>
          </w:tcPr>
          <w:p>
            <w:pPr>
              <w:spacing w:after="0"/>
              <w:rPr>
                <w:sz w:val="17"/>
                <w:szCs w:val="17"/>
                <w:color w:val="auto"/>
              </w:rPr>
            </w:pPr>
          </w:p>
        </w:tc>
        <w:tc>
          <w:tcPr>
            <w:tcW w:w="1800" w:type="dxa"/>
            <w:vAlign w:val="bottom"/>
          </w:tcPr>
          <w:p>
            <w:pPr>
              <w:jc w:val="right"/>
              <w:spacing w:after="0"/>
              <w:rPr>
                <w:sz w:val="20"/>
                <w:szCs w:val="20"/>
                <w:color w:val="auto"/>
              </w:rPr>
            </w:pPr>
            <w:r>
              <w:rPr>
                <w:rFonts w:ascii="Arial" w:cs="Arial" w:eastAsia="Arial" w:hAnsi="Arial"/>
                <w:sz w:val="15"/>
                <w:szCs w:val="15"/>
                <w:color w:val="auto"/>
              </w:rPr>
              <w:t>(3,352)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Arial" w:cs="Arial" w:eastAsia="Arial" w:hAnsi="Arial"/>
                <w:sz w:val="15"/>
                <w:szCs w:val="15"/>
                <w:color w:val="auto"/>
              </w:rPr>
              <w:t>(14,538)</w:t>
            </w:r>
          </w:p>
        </w:tc>
      </w:tr>
      <w:tr>
        <w:trPr>
          <w:trHeight w:val="207"/>
        </w:trPr>
        <w:tc>
          <w:tcPr>
            <w:tcW w:w="6720" w:type="dxa"/>
            <w:vAlign w:val="bottom"/>
            <w:shd w:val="clear" w:color="auto" w:fill="CCEEFF"/>
          </w:tcPr>
          <w:p>
            <w:pPr>
              <w:ind w:left="660"/>
              <w:spacing w:after="0"/>
              <w:rPr>
                <w:sz w:val="20"/>
                <w:szCs w:val="20"/>
                <w:color w:val="auto"/>
              </w:rPr>
            </w:pPr>
            <w:r>
              <w:rPr>
                <w:rFonts w:ascii="Arial" w:cs="Arial" w:eastAsia="Arial" w:hAnsi="Arial"/>
                <w:sz w:val="15"/>
                <w:szCs w:val="15"/>
                <w:color w:val="auto"/>
              </w:rPr>
              <w:t>Other</w:t>
            </w:r>
          </w:p>
        </w:tc>
        <w:tc>
          <w:tcPr>
            <w:tcW w:w="200" w:type="dxa"/>
            <w:vAlign w:val="bottom"/>
            <w:shd w:val="clear" w:color="auto" w:fill="CCEEFF"/>
          </w:tcPr>
          <w:p>
            <w:pPr>
              <w:spacing w:after="0"/>
              <w:rPr>
                <w:sz w:val="17"/>
                <w:szCs w:val="17"/>
                <w:color w:val="auto"/>
              </w:rPr>
            </w:pPr>
          </w:p>
        </w:tc>
        <w:tc>
          <w:tcPr>
            <w:tcW w:w="18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1,776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5,961</w:t>
            </w:r>
          </w:p>
        </w:tc>
      </w:tr>
      <w:tr>
        <w:trPr>
          <w:trHeight w:val="198"/>
        </w:trPr>
        <w:tc>
          <w:tcPr>
            <w:tcW w:w="6720" w:type="dxa"/>
            <w:vAlign w:val="bottom"/>
            <w:tcBorders>
              <w:bottom w:val="single" w:sz="8" w:color="CCEEFF"/>
            </w:tcBorders>
          </w:tcPr>
          <w:p>
            <w:pPr>
              <w:ind w:left="660"/>
              <w:spacing w:after="0"/>
              <w:rPr>
                <w:sz w:val="20"/>
                <w:szCs w:val="20"/>
                <w:color w:val="auto"/>
              </w:rPr>
            </w:pPr>
            <w:r>
              <w:rPr>
                <w:rFonts w:ascii="Arial" w:cs="Arial" w:eastAsia="Arial" w:hAnsi="Arial"/>
                <w:sz w:val="15"/>
                <w:szCs w:val="15"/>
                <w:color w:val="auto"/>
              </w:rPr>
              <w:t>Changes in operating assets and liabilities</w:t>
            </w:r>
          </w:p>
        </w:tc>
        <w:tc>
          <w:tcPr>
            <w:tcW w:w="20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10,407</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(58,716)</w:t>
            </w:r>
          </w:p>
        </w:tc>
      </w:tr>
      <w:tr>
        <w:trPr>
          <w:trHeight w:val="200"/>
        </w:trPr>
        <w:tc>
          <w:tcPr>
            <w:tcW w:w="672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cash provided by operating activities</w:t>
            </w:r>
          </w:p>
        </w:tc>
        <w:tc>
          <w:tcPr>
            <w:tcW w:w="200" w:type="dxa"/>
            <w:vAlign w:val="bottom"/>
            <w:shd w:val="clear" w:color="auto" w:fill="CCEEFF"/>
          </w:tcPr>
          <w:p>
            <w:pPr>
              <w:spacing w:after="0"/>
              <w:rPr>
                <w:sz w:val="17"/>
                <w:szCs w:val="17"/>
                <w:color w:val="auto"/>
              </w:rPr>
            </w:pPr>
          </w:p>
        </w:tc>
        <w:tc>
          <w:tcPr>
            <w:tcW w:w="18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112,872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31,584</w:t>
            </w:r>
          </w:p>
        </w:tc>
      </w:tr>
      <w:tr>
        <w:trPr>
          <w:trHeight w:val="198"/>
        </w:trPr>
        <w:tc>
          <w:tcPr>
            <w:tcW w:w="6720" w:type="dxa"/>
            <w:vAlign w:val="bottom"/>
          </w:tcPr>
          <w:p>
            <w:pPr>
              <w:ind w:left="20"/>
              <w:spacing w:after="0"/>
              <w:rPr>
                <w:sz w:val="20"/>
                <w:szCs w:val="20"/>
                <w:color w:val="auto"/>
              </w:rPr>
            </w:pPr>
            <w:r>
              <w:rPr>
                <w:rFonts w:ascii="Arial" w:cs="Arial" w:eastAsia="Arial" w:hAnsi="Arial"/>
                <w:sz w:val="15"/>
                <w:szCs w:val="15"/>
                <w:color w:val="auto"/>
              </w:rPr>
              <w:t>Plus:</w:t>
            </w:r>
          </w:p>
        </w:tc>
        <w:tc>
          <w:tcPr>
            <w:tcW w:w="2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07"/>
        </w:trPr>
        <w:tc>
          <w:tcPr>
            <w:tcW w:w="67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Unused fee on revolving credit facility</w:t>
            </w:r>
          </w:p>
        </w:tc>
        <w:tc>
          <w:tcPr>
            <w:tcW w:w="200" w:type="dxa"/>
            <w:vAlign w:val="bottom"/>
            <w:shd w:val="clear" w:color="auto" w:fill="CCEEFF"/>
          </w:tcPr>
          <w:p>
            <w:pPr>
              <w:spacing w:after="0"/>
              <w:rPr>
                <w:sz w:val="17"/>
                <w:szCs w:val="17"/>
                <w:color w:val="auto"/>
              </w:rPr>
            </w:pPr>
          </w:p>
        </w:tc>
        <w:tc>
          <w:tcPr>
            <w:tcW w:w="18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1,148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1,393</w:t>
            </w:r>
          </w:p>
        </w:tc>
      </w:tr>
      <w:tr>
        <w:trPr>
          <w:trHeight w:val="203"/>
        </w:trPr>
        <w:tc>
          <w:tcPr>
            <w:tcW w:w="6720" w:type="dxa"/>
            <w:vAlign w:val="bottom"/>
          </w:tcPr>
          <w:p>
            <w:pPr>
              <w:ind w:left="340"/>
              <w:spacing w:after="0" w:line="203" w:lineRule="exact"/>
              <w:rPr>
                <w:sz w:val="20"/>
                <w:szCs w:val="20"/>
                <w:color w:val="auto"/>
              </w:rPr>
            </w:pPr>
            <w:r>
              <w:rPr>
                <w:rFonts w:ascii="Arial" w:cs="Arial" w:eastAsia="Arial" w:hAnsi="Arial"/>
                <w:sz w:val="15"/>
                <w:szCs w:val="15"/>
                <w:color w:val="auto"/>
              </w:rPr>
              <w:t xml:space="preserve">Integration services fee </w:t>
            </w:r>
            <w:r>
              <w:rPr>
                <w:rFonts w:ascii="Arial" w:cs="Arial" w:eastAsia="Arial" w:hAnsi="Arial"/>
                <w:sz w:val="19"/>
                <w:szCs w:val="19"/>
                <w:color w:val="auto"/>
                <w:vertAlign w:val="superscript"/>
              </w:rPr>
              <w:t>(1)</w:t>
            </w:r>
          </w:p>
        </w:tc>
        <w:tc>
          <w:tcPr>
            <w:tcW w:w="200" w:type="dxa"/>
            <w:vAlign w:val="bottom"/>
          </w:tcPr>
          <w:p>
            <w:pPr>
              <w:spacing w:after="0"/>
              <w:rPr>
                <w:sz w:val="17"/>
                <w:szCs w:val="17"/>
                <w:color w:val="auto"/>
              </w:rPr>
            </w:pPr>
          </w:p>
        </w:tc>
        <w:tc>
          <w:tcPr>
            <w:tcW w:w="1800" w:type="dxa"/>
            <w:vAlign w:val="bottom"/>
          </w:tcPr>
          <w:p>
            <w:pPr>
              <w:jc w:val="right"/>
              <w:ind w:right="4"/>
              <w:spacing w:after="0"/>
              <w:rPr>
                <w:sz w:val="20"/>
                <w:szCs w:val="20"/>
                <w:color w:val="auto"/>
              </w:rPr>
            </w:pPr>
            <w:r>
              <w:rPr>
                <w:rFonts w:ascii="Arial" w:cs="Arial" w:eastAsia="Arial" w:hAnsi="Arial"/>
                <w:sz w:val="15"/>
                <w:szCs w:val="15"/>
                <w:color w:val="auto"/>
              </w:rPr>
              <w:t>500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Arial" w:cs="Arial" w:eastAsia="Arial" w:hAnsi="Arial"/>
                <w:sz w:val="15"/>
                <w:szCs w:val="15"/>
                <w:color w:val="auto"/>
              </w:rPr>
              <w:t>281</w:t>
            </w:r>
          </w:p>
        </w:tc>
      </w:tr>
      <w:tr>
        <w:trPr>
          <w:trHeight w:val="203"/>
        </w:trPr>
        <w:tc>
          <w:tcPr>
            <w:tcW w:w="67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Successful acquisition costs</w:t>
            </w:r>
          </w:p>
        </w:tc>
        <w:tc>
          <w:tcPr>
            <w:tcW w:w="200" w:type="dxa"/>
            <w:vAlign w:val="bottom"/>
            <w:shd w:val="clear" w:color="auto" w:fill="CCEEFF"/>
          </w:tcPr>
          <w:p>
            <w:pPr>
              <w:spacing w:after="0"/>
              <w:rPr>
                <w:sz w:val="17"/>
                <w:szCs w:val="17"/>
                <w:color w:val="auto"/>
              </w:rPr>
            </w:pPr>
          </w:p>
        </w:tc>
        <w:tc>
          <w:tcPr>
            <w:tcW w:w="18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2,315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596</w:t>
            </w:r>
          </w:p>
        </w:tc>
      </w:tr>
      <w:tr>
        <w:trPr>
          <w:trHeight w:val="203"/>
        </w:trPr>
        <w:tc>
          <w:tcPr>
            <w:tcW w:w="6720" w:type="dxa"/>
            <w:vAlign w:val="bottom"/>
          </w:tcPr>
          <w:p>
            <w:pPr>
              <w:ind w:left="340"/>
              <w:spacing w:after="0" w:line="203" w:lineRule="exact"/>
              <w:rPr>
                <w:sz w:val="20"/>
                <w:szCs w:val="20"/>
                <w:color w:val="auto"/>
              </w:rPr>
            </w:pPr>
            <w:r>
              <w:rPr>
                <w:rFonts w:ascii="Arial" w:cs="Arial" w:eastAsia="Arial" w:hAnsi="Arial"/>
                <w:sz w:val="15"/>
                <w:szCs w:val="15"/>
                <w:color w:val="auto"/>
              </w:rPr>
              <w:t xml:space="preserve">Realized loss from foreign currency </w:t>
            </w:r>
            <w:r>
              <w:rPr>
                <w:rFonts w:ascii="Arial" w:cs="Arial" w:eastAsia="Arial" w:hAnsi="Arial"/>
                <w:sz w:val="19"/>
                <w:szCs w:val="19"/>
                <w:color w:val="auto"/>
                <w:vertAlign w:val="superscript"/>
              </w:rPr>
              <w:t>(2)</w:t>
            </w:r>
          </w:p>
        </w:tc>
        <w:tc>
          <w:tcPr>
            <w:tcW w:w="200" w:type="dxa"/>
            <w:vAlign w:val="bottom"/>
          </w:tcPr>
          <w:p>
            <w:pPr>
              <w:spacing w:after="0"/>
              <w:rPr>
                <w:sz w:val="17"/>
                <w:szCs w:val="17"/>
                <w:color w:val="auto"/>
              </w:rPr>
            </w:pPr>
          </w:p>
        </w:tc>
        <w:tc>
          <w:tcPr>
            <w:tcW w:w="19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Arial" w:cs="Arial" w:eastAsia="Arial" w:hAnsi="Arial"/>
                <w:sz w:val="15"/>
                <w:szCs w:val="15"/>
                <w:color w:val="auto"/>
              </w:rPr>
              <w:t>363</w:t>
            </w:r>
          </w:p>
        </w:tc>
      </w:tr>
      <w:tr>
        <w:trPr>
          <w:trHeight w:val="203"/>
        </w:trPr>
        <w:tc>
          <w:tcPr>
            <w:tcW w:w="67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Loss on sale of Tilray Common Stock</w:t>
            </w:r>
          </w:p>
        </w:tc>
        <w:tc>
          <w:tcPr>
            <w:tcW w:w="200" w:type="dxa"/>
            <w:vAlign w:val="bottom"/>
            <w:shd w:val="clear" w:color="auto" w:fill="CCEEFF"/>
          </w:tcPr>
          <w:p>
            <w:pPr>
              <w:spacing w:after="0"/>
              <w:rPr>
                <w:sz w:val="17"/>
                <w:szCs w:val="17"/>
                <w:color w:val="auto"/>
              </w:rPr>
            </w:pPr>
          </w:p>
        </w:tc>
        <w:tc>
          <w:tcPr>
            <w:tcW w:w="19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10,193</w:t>
            </w:r>
          </w:p>
        </w:tc>
      </w:tr>
      <w:tr>
        <w:trPr>
          <w:trHeight w:val="198"/>
        </w:trPr>
        <w:tc>
          <w:tcPr>
            <w:tcW w:w="6720" w:type="dxa"/>
            <w:vAlign w:val="bottom"/>
          </w:tcPr>
          <w:p>
            <w:pPr>
              <w:ind w:left="320"/>
              <w:spacing w:after="0"/>
              <w:rPr>
                <w:sz w:val="20"/>
                <w:szCs w:val="20"/>
                <w:color w:val="auto"/>
              </w:rPr>
            </w:pPr>
            <w:r>
              <w:rPr>
                <w:rFonts w:ascii="Arial" w:cs="Arial" w:eastAsia="Arial" w:hAnsi="Arial"/>
                <w:sz w:val="15"/>
                <w:szCs w:val="15"/>
                <w:color w:val="auto"/>
              </w:rPr>
              <w:t>Changes in operating assets and liabilities</w:t>
            </w:r>
          </w:p>
        </w:tc>
        <w:tc>
          <w:tcPr>
            <w:tcW w:w="200" w:type="dxa"/>
            <w:vAlign w:val="bottom"/>
          </w:tcPr>
          <w:p>
            <w:pPr>
              <w:spacing w:after="0"/>
              <w:rPr>
                <w:sz w:val="17"/>
                <w:szCs w:val="17"/>
                <w:color w:val="auto"/>
              </w:rPr>
            </w:pPr>
          </w:p>
        </w:tc>
        <w:tc>
          <w:tcPr>
            <w:tcW w:w="19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Arial" w:cs="Arial" w:eastAsia="Arial" w:hAnsi="Arial"/>
                <w:sz w:val="15"/>
                <w:szCs w:val="15"/>
                <w:color w:val="auto"/>
              </w:rPr>
              <w:t>58,716</w:t>
            </w:r>
          </w:p>
        </w:tc>
      </w:tr>
      <w:tr>
        <w:trPr>
          <w:trHeight w:val="207"/>
        </w:trPr>
        <w:tc>
          <w:tcPr>
            <w:tcW w:w="6720" w:type="dxa"/>
            <w:vAlign w:val="bottom"/>
            <w:shd w:val="clear" w:color="auto" w:fill="CCEEFF"/>
          </w:tcPr>
          <w:p>
            <w:pPr>
              <w:ind w:left="20"/>
              <w:spacing w:after="0"/>
              <w:rPr>
                <w:sz w:val="20"/>
                <w:szCs w:val="20"/>
                <w:color w:val="auto"/>
              </w:rPr>
            </w:pPr>
            <w:r>
              <w:rPr>
                <w:rFonts w:ascii="Arial" w:cs="Arial" w:eastAsia="Arial" w:hAnsi="Arial"/>
                <w:sz w:val="15"/>
                <w:szCs w:val="15"/>
                <w:color w:val="auto"/>
              </w:rPr>
              <w:t>Less:</w:t>
            </w:r>
          </w:p>
        </w:tc>
        <w:tc>
          <w:tcPr>
            <w:tcW w:w="20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r>
      <w:tr>
        <w:trPr>
          <w:trHeight w:val="198"/>
        </w:trPr>
        <w:tc>
          <w:tcPr>
            <w:tcW w:w="6720" w:type="dxa"/>
            <w:vAlign w:val="bottom"/>
          </w:tcPr>
          <w:p>
            <w:pPr>
              <w:ind w:left="320"/>
              <w:spacing w:after="0"/>
              <w:rPr>
                <w:sz w:val="20"/>
                <w:szCs w:val="20"/>
                <w:color w:val="auto"/>
              </w:rPr>
            </w:pPr>
            <w:r>
              <w:rPr>
                <w:rFonts w:ascii="Arial" w:cs="Arial" w:eastAsia="Arial" w:hAnsi="Arial"/>
                <w:sz w:val="15"/>
                <w:szCs w:val="15"/>
                <w:color w:val="auto"/>
              </w:rPr>
              <w:t>Payment of interest rate swap</w:t>
            </w:r>
          </w:p>
        </w:tc>
        <w:tc>
          <w:tcPr>
            <w:tcW w:w="200" w:type="dxa"/>
            <w:vAlign w:val="bottom"/>
          </w:tcPr>
          <w:p>
            <w:pPr>
              <w:spacing w:after="0"/>
              <w:rPr>
                <w:sz w:val="17"/>
                <w:szCs w:val="17"/>
                <w:color w:val="auto"/>
              </w:rPr>
            </w:pPr>
          </w:p>
        </w:tc>
        <w:tc>
          <w:tcPr>
            <w:tcW w:w="19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Arial" w:cs="Arial" w:eastAsia="Arial" w:hAnsi="Arial"/>
                <w:sz w:val="15"/>
                <w:szCs w:val="15"/>
                <w:color w:val="auto"/>
              </w:rPr>
              <w:t>675</w:t>
            </w:r>
          </w:p>
        </w:tc>
      </w:tr>
      <w:tr>
        <w:trPr>
          <w:trHeight w:val="207"/>
        </w:trPr>
        <w:tc>
          <w:tcPr>
            <w:tcW w:w="67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Changes in operating assets and liabilities</w:t>
            </w:r>
          </w:p>
        </w:tc>
        <w:tc>
          <w:tcPr>
            <w:tcW w:w="200" w:type="dxa"/>
            <w:vAlign w:val="bottom"/>
            <w:shd w:val="clear" w:color="auto" w:fill="CCEEFF"/>
          </w:tcPr>
          <w:p>
            <w:pPr>
              <w:spacing w:after="0"/>
              <w:rPr>
                <w:sz w:val="17"/>
                <w:szCs w:val="17"/>
                <w:color w:val="auto"/>
              </w:rPr>
            </w:pPr>
          </w:p>
        </w:tc>
        <w:tc>
          <w:tcPr>
            <w:tcW w:w="18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10,407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03"/>
        </w:trPr>
        <w:tc>
          <w:tcPr>
            <w:tcW w:w="6720" w:type="dxa"/>
            <w:vAlign w:val="bottom"/>
          </w:tcPr>
          <w:p>
            <w:pPr>
              <w:ind w:left="340"/>
              <w:spacing w:after="0" w:line="203" w:lineRule="exact"/>
              <w:rPr>
                <w:sz w:val="20"/>
                <w:szCs w:val="20"/>
                <w:color w:val="auto"/>
              </w:rPr>
            </w:pPr>
            <w:r>
              <w:rPr>
                <w:rFonts w:ascii="Arial" w:cs="Arial" w:eastAsia="Arial" w:hAnsi="Arial"/>
                <w:sz w:val="15"/>
                <w:szCs w:val="15"/>
                <w:color w:val="auto"/>
              </w:rPr>
              <w:t xml:space="preserve">Maintenance capital expenditures: </w:t>
            </w:r>
            <w:r>
              <w:rPr>
                <w:rFonts w:ascii="Arial" w:cs="Arial" w:eastAsia="Arial" w:hAnsi="Arial"/>
                <w:sz w:val="19"/>
                <w:szCs w:val="19"/>
                <w:color w:val="auto"/>
                <w:vertAlign w:val="superscript"/>
              </w:rPr>
              <w:t>(3)</w:t>
            </w:r>
          </w:p>
        </w:tc>
        <w:tc>
          <w:tcPr>
            <w:tcW w:w="2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03"/>
        </w:trPr>
        <w:tc>
          <w:tcPr>
            <w:tcW w:w="6720" w:type="dxa"/>
            <w:vAlign w:val="bottom"/>
            <w:shd w:val="clear" w:color="auto" w:fill="CCEEFF"/>
          </w:tcPr>
          <w:p>
            <w:pPr>
              <w:ind w:left="660"/>
              <w:spacing w:after="0"/>
              <w:rPr>
                <w:sz w:val="20"/>
                <w:szCs w:val="20"/>
                <w:color w:val="auto"/>
              </w:rPr>
            </w:pPr>
            <w:r>
              <w:rPr>
                <w:rFonts w:ascii="Arial" w:cs="Arial" w:eastAsia="Arial" w:hAnsi="Arial"/>
                <w:sz w:val="15"/>
                <w:szCs w:val="15"/>
                <w:color w:val="auto"/>
              </w:rPr>
              <w:t>Compass Group Diversified Holdings LLC</w:t>
            </w:r>
          </w:p>
        </w:tc>
        <w:tc>
          <w:tcPr>
            <w:tcW w:w="200" w:type="dxa"/>
            <w:vAlign w:val="bottom"/>
            <w:shd w:val="clear" w:color="auto" w:fill="CCEEFF"/>
          </w:tcPr>
          <w:p>
            <w:pPr>
              <w:spacing w:after="0"/>
              <w:rPr>
                <w:sz w:val="17"/>
                <w:szCs w:val="17"/>
                <w:color w:val="auto"/>
              </w:rPr>
            </w:pPr>
          </w:p>
        </w:tc>
        <w:tc>
          <w:tcPr>
            <w:tcW w:w="19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8"/>
        </w:trPr>
        <w:tc>
          <w:tcPr>
            <w:tcW w:w="6720" w:type="dxa"/>
            <w:vAlign w:val="bottom"/>
          </w:tcPr>
          <w:p>
            <w:pPr>
              <w:ind w:left="660"/>
              <w:spacing w:after="0"/>
              <w:rPr>
                <w:sz w:val="20"/>
                <w:szCs w:val="20"/>
                <w:color w:val="auto"/>
              </w:rPr>
            </w:pPr>
            <w:r>
              <w:rPr>
                <w:rFonts w:ascii="Arial" w:cs="Arial" w:eastAsia="Arial" w:hAnsi="Arial"/>
                <w:sz w:val="15"/>
                <w:szCs w:val="15"/>
                <w:color w:val="auto"/>
              </w:rPr>
              <w:t>5.11</w:t>
            </w:r>
          </w:p>
        </w:tc>
        <w:tc>
          <w:tcPr>
            <w:tcW w:w="200" w:type="dxa"/>
            <w:vAlign w:val="bottom"/>
          </w:tcPr>
          <w:p>
            <w:pPr>
              <w:spacing w:after="0"/>
              <w:rPr>
                <w:sz w:val="17"/>
                <w:szCs w:val="17"/>
                <w:color w:val="auto"/>
              </w:rPr>
            </w:pPr>
          </w:p>
        </w:tc>
        <w:tc>
          <w:tcPr>
            <w:tcW w:w="1800" w:type="dxa"/>
            <w:vAlign w:val="bottom"/>
          </w:tcPr>
          <w:p>
            <w:pPr>
              <w:jc w:val="right"/>
              <w:ind w:right="4"/>
              <w:spacing w:after="0"/>
              <w:rPr>
                <w:sz w:val="20"/>
                <w:szCs w:val="20"/>
                <w:color w:val="auto"/>
              </w:rPr>
            </w:pPr>
            <w:r>
              <w:rPr>
                <w:rFonts w:ascii="Arial" w:cs="Arial" w:eastAsia="Arial" w:hAnsi="Arial"/>
                <w:sz w:val="15"/>
                <w:szCs w:val="15"/>
                <w:color w:val="auto"/>
              </w:rPr>
              <w:t>897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Arial" w:cs="Arial" w:eastAsia="Arial" w:hAnsi="Arial"/>
                <w:sz w:val="15"/>
                <w:szCs w:val="15"/>
                <w:color w:val="auto"/>
              </w:rPr>
              <w:t>1,547</w:t>
            </w:r>
          </w:p>
        </w:tc>
      </w:tr>
      <w:tr>
        <w:trPr>
          <w:trHeight w:val="207"/>
        </w:trPr>
        <w:tc>
          <w:tcPr>
            <w:tcW w:w="6720" w:type="dxa"/>
            <w:vAlign w:val="bottom"/>
            <w:shd w:val="clear" w:color="auto" w:fill="CCEEFF"/>
          </w:tcPr>
          <w:p>
            <w:pPr>
              <w:ind w:left="660"/>
              <w:spacing w:after="0"/>
              <w:rPr>
                <w:sz w:val="20"/>
                <w:szCs w:val="20"/>
                <w:color w:val="auto"/>
              </w:rPr>
            </w:pPr>
            <w:r>
              <w:rPr>
                <w:rFonts w:ascii="Arial" w:cs="Arial" w:eastAsia="Arial" w:hAnsi="Arial"/>
                <w:sz w:val="15"/>
                <w:szCs w:val="15"/>
                <w:color w:val="auto"/>
              </w:rPr>
              <w:t>Advanced Circuits</w:t>
            </w:r>
          </w:p>
        </w:tc>
        <w:tc>
          <w:tcPr>
            <w:tcW w:w="200" w:type="dxa"/>
            <w:vAlign w:val="bottom"/>
            <w:shd w:val="clear" w:color="auto" w:fill="CCEEFF"/>
          </w:tcPr>
          <w:p>
            <w:pPr>
              <w:spacing w:after="0"/>
              <w:rPr>
                <w:sz w:val="17"/>
                <w:szCs w:val="17"/>
                <w:color w:val="auto"/>
              </w:rPr>
            </w:pPr>
          </w:p>
        </w:tc>
        <w:tc>
          <w:tcPr>
            <w:tcW w:w="18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354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1,126</w:t>
            </w:r>
          </w:p>
        </w:tc>
      </w:tr>
      <w:tr>
        <w:trPr>
          <w:trHeight w:val="198"/>
        </w:trPr>
        <w:tc>
          <w:tcPr>
            <w:tcW w:w="6720" w:type="dxa"/>
            <w:vAlign w:val="bottom"/>
          </w:tcPr>
          <w:p>
            <w:pPr>
              <w:ind w:left="660"/>
              <w:spacing w:after="0"/>
              <w:rPr>
                <w:sz w:val="20"/>
                <w:szCs w:val="20"/>
                <w:color w:val="auto"/>
              </w:rPr>
            </w:pPr>
            <w:r>
              <w:rPr>
                <w:rFonts w:ascii="Arial" w:cs="Arial" w:eastAsia="Arial" w:hAnsi="Arial"/>
                <w:sz w:val="15"/>
                <w:szCs w:val="15"/>
                <w:color w:val="auto"/>
              </w:rPr>
              <w:t>Arnold</w:t>
            </w:r>
          </w:p>
        </w:tc>
        <w:tc>
          <w:tcPr>
            <w:tcW w:w="200" w:type="dxa"/>
            <w:vAlign w:val="bottom"/>
          </w:tcPr>
          <w:p>
            <w:pPr>
              <w:spacing w:after="0"/>
              <w:rPr>
                <w:sz w:val="17"/>
                <w:szCs w:val="17"/>
                <w:color w:val="auto"/>
              </w:rPr>
            </w:pPr>
          </w:p>
        </w:tc>
        <w:tc>
          <w:tcPr>
            <w:tcW w:w="1800" w:type="dxa"/>
            <w:vAlign w:val="bottom"/>
          </w:tcPr>
          <w:p>
            <w:pPr>
              <w:jc w:val="right"/>
              <w:ind w:right="4"/>
              <w:spacing w:after="0"/>
              <w:rPr>
                <w:sz w:val="20"/>
                <w:szCs w:val="20"/>
                <w:color w:val="auto"/>
              </w:rPr>
            </w:pPr>
            <w:r>
              <w:rPr>
                <w:rFonts w:ascii="Arial" w:cs="Arial" w:eastAsia="Arial" w:hAnsi="Arial"/>
                <w:sz w:val="15"/>
                <w:szCs w:val="15"/>
                <w:color w:val="auto"/>
              </w:rPr>
              <w:t>2,761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Arial" w:cs="Arial" w:eastAsia="Arial" w:hAnsi="Arial"/>
                <w:sz w:val="15"/>
                <w:szCs w:val="15"/>
                <w:color w:val="auto"/>
              </w:rPr>
              <w:t>2,874</w:t>
            </w:r>
          </w:p>
        </w:tc>
      </w:tr>
      <w:tr>
        <w:trPr>
          <w:trHeight w:val="207"/>
        </w:trPr>
        <w:tc>
          <w:tcPr>
            <w:tcW w:w="6720" w:type="dxa"/>
            <w:vAlign w:val="bottom"/>
            <w:shd w:val="clear" w:color="auto" w:fill="CCEEFF"/>
          </w:tcPr>
          <w:p>
            <w:pPr>
              <w:ind w:left="660"/>
              <w:spacing w:after="0"/>
              <w:rPr>
                <w:sz w:val="20"/>
                <w:szCs w:val="20"/>
                <w:color w:val="auto"/>
              </w:rPr>
            </w:pPr>
            <w:r>
              <w:rPr>
                <w:rFonts w:ascii="Arial" w:cs="Arial" w:eastAsia="Arial" w:hAnsi="Arial"/>
                <w:sz w:val="15"/>
                <w:szCs w:val="15"/>
                <w:color w:val="auto"/>
              </w:rPr>
              <w:t>Clean Earth</w:t>
            </w:r>
          </w:p>
        </w:tc>
        <w:tc>
          <w:tcPr>
            <w:tcW w:w="200" w:type="dxa"/>
            <w:vAlign w:val="bottom"/>
            <w:shd w:val="clear" w:color="auto" w:fill="CCEEFF"/>
          </w:tcPr>
          <w:p>
            <w:pPr>
              <w:spacing w:after="0"/>
              <w:rPr>
                <w:sz w:val="17"/>
                <w:szCs w:val="17"/>
                <w:color w:val="auto"/>
              </w:rPr>
            </w:pPr>
          </w:p>
        </w:tc>
        <w:tc>
          <w:tcPr>
            <w:tcW w:w="19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3,495</w:t>
            </w:r>
          </w:p>
        </w:tc>
      </w:tr>
      <w:tr>
        <w:trPr>
          <w:trHeight w:val="198"/>
        </w:trPr>
        <w:tc>
          <w:tcPr>
            <w:tcW w:w="6720" w:type="dxa"/>
            <w:vAlign w:val="bottom"/>
          </w:tcPr>
          <w:p>
            <w:pPr>
              <w:ind w:left="660"/>
              <w:spacing w:after="0"/>
              <w:rPr>
                <w:sz w:val="20"/>
                <w:szCs w:val="20"/>
                <w:color w:val="auto"/>
              </w:rPr>
            </w:pPr>
            <w:r>
              <w:rPr>
                <w:rFonts w:ascii="Arial" w:cs="Arial" w:eastAsia="Arial" w:hAnsi="Arial"/>
                <w:sz w:val="15"/>
                <w:szCs w:val="15"/>
                <w:color w:val="auto"/>
              </w:rPr>
              <w:t>Ergobaby</w:t>
            </w:r>
          </w:p>
        </w:tc>
        <w:tc>
          <w:tcPr>
            <w:tcW w:w="200" w:type="dxa"/>
            <w:vAlign w:val="bottom"/>
          </w:tcPr>
          <w:p>
            <w:pPr>
              <w:spacing w:after="0"/>
              <w:rPr>
                <w:sz w:val="17"/>
                <w:szCs w:val="17"/>
                <w:color w:val="auto"/>
              </w:rPr>
            </w:pPr>
          </w:p>
        </w:tc>
        <w:tc>
          <w:tcPr>
            <w:tcW w:w="1800" w:type="dxa"/>
            <w:vAlign w:val="bottom"/>
          </w:tcPr>
          <w:p>
            <w:pPr>
              <w:jc w:val="right"/>
              <w:ind w:right="4"/>
              <w:spacing w:after="0"/>
              <w:rPr>
                <w:sz w:val="20"/>
                <w:szCs w:val="20"/>
                <w:color w:val="auto"/>
              </w:rPr>
            </w:pPr>
            <w:r>
              <w:rPr>
                <w:rFonts w:ascii="Arial" w:cs="Arial" w:eastAsia="Arial" w:hAnsi="Arial"/>
                <w:sz w:val="15"/>
                <w:szCs w:val="15"/>
                <w:color w:val="auto"/>
              </w:rPr>
              <w:t>374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Arial" w:cs="Arial" w:eastAsia="Arial" w:hAnsi="Arial"/>
                <w:sz w:val="15"/>
                <w:szCs w:val="15"/>
                <w:color w:val="auto"/>
              </w:rPr>
              <w:t>583</w:t>
            </w:r>
          </w:p>
        </w:tc>
      </w:tr>
      <w:tr>
        <w:trPr>
          <w:trHeight w:val="207"/>
        </w:trPr>
        <w:tc>
          <w:tcPr>
            <w:tcW w:w="6720" w:type="dxa"/>
            <w:vAlign w:val="bottom"/>
            <w:shd w:val="clear" w:color="auto" w:fill="CCEEFF"/>
          </w:tcPr>
          <w:p>
            <w:pPr>
              <w:ind w:left="660"/>
              <w:spacing w:after="0"/>
              <w:rPr>
                <w:sz w:val="20"/>
                <w:szCs w:val="20"/>
                <w:color w:val="auto"/>
              </w:rPr>
            </w:pPr>
            <w:r>
              <w:rPr>
                <w:rFonts w:ascii="Arial" w:cs="Arial" w:eastAsia="Arial" w:hAnsi="Arial"/>
                <w:sz w:val="15"/>
                <w:szCs w:val="15"/>
                <w:color w:val="auto"/>
              </w:rPr>
              <w:t>Foam Fabricators</w:t>
            </w:r>
          </w:p>
        </w:tc>
        <w:tc>
          <w:tcPr>
            <w:tcW w:w="200" w:type="dxa"/>
            <w:vAlign w:val="bottom"/>
            <w:shd w:val="clear" w:color="auto" w:fill="CCEEFF"/>
          </w:tcPr>
          <w:p>
            <w:pPr>
              <w:spacing w:after="0"/>
              <w:rPr>
                <w:sz w:val="17"/>
                <w:szCs w:val="17"/>
                <w:color w:val="auto"/>
              </w:rPr>
            </w:pPr>
          </w:p>
        </w:tc>
        <w:tc>
          <w:tcPr>
            <w:tcW w:w="18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1,518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1,387</w:t>
            </w:r>
          </w:p>
        </w:tc>
      </w:tr>
      <w:tr>
        <w:trPr>
          <w:trHeight w:val="198"/>
        </w:trPr>
        <w:tc>
          <w:tcPr>
            <w:tcW w:w="6720" w:type="dxa"/>
            <w:vAlign w:val="bottom"/>
          </w:tcPr>
          <w:p>
            <w:pPr>
              <w:ind w:left="660"/>
              <w:spacing w:after="0"/>
              <w:rPr>
                <w:sz w:val="20"/>
                <w:szCs w:val="20"/>
                <w:color w:val="auto"/>
              </w:rPr>
            </w:pPr>
            <w:r>
              <w:rPr>
                <w:rFonts w:ascii="Arial" w:cs="Arial" w:eastAsia="Arial" w:hAnsi="Arial"/>
                <w:sz w:val="15"/>
                <w:szCs w:val="15"/>
                <w:color w:val="auto"/>
              </w:rPr>
              <w:t>Liberty</w:t>
            </w:r>
          </w:p>
        </w:tc>
        <w:tc>
          <w:tcPr>
            <w:tcW w:w="200" w:type="dxa"/>
            <w:vAlign w:val="bottom"/>
          </w:tcPr>
          <w:p>
            <w:pPr>
              <w:spacing w:after="0"/>
              <w:rPr>
                <w:sz w:val="17"/>
                <w:szCs w:val="17"/>
                <w:color w:val="auto"/>
              </w:rPr>
            </w:pPr>
          </w:p>
        </w:tc>
        <w:tc>
          <w:tcPr>
            <w:tcW w:w="1800" w:type="dxa"/>
            <w:vAlign w:val="bottom"/>
          </w:tcPr>
          <w:p>
            <w:pPr>
              <w:jc w:val="right"/>
              <w:ind w:right="4"/>
              <w:spacing w:after="0"/>
              <w:rPr>
                <w:sz w:val="20"/>
                <w:szCs w:val="20"/>
                <w:color w:val="auto"/>
              </w:rPr>
            </w:pPr>
            <w:r>
              <w:rPr>
                <w:rFonts w:ascii="Arial" w:cs="Arial" w:eastAsia="Arial" w:hAnsi="Arial"/>
                <w:sz w:val="15"/>
                <w:szCs w:val="15"/>
                <w:color w:val="auto"/>
              </w:rPr>
              <w:t>438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Arial" w:cs="Arial" w:eastAsia="Arial" w:hAnsi="Arial"/>
                <w:sz w:val="15"/>
                <w:szCs w:val="15"/>
                <w:color w:val="auto"/>
              </w:rPr>
              <w:t>720</w:t>
            </w:r>
          </w:p>
        </w:tc>
      </w:tr>
      <w:tr>
        <w:trPr>
          <w:trHeight w:val="207"/>
        </w:trPr>
        <w:tc>
          <w:tcPr>
            <w:tcW w:w="6720" w:type="dxa"/>
            <w:vAlign w:val="bottom"/>
            <w:shd w:val="clear" w:color="auto" w:fill="CCEEFF"/>
          </w:tcPr>
          <w:p>
            <w:pPr>
              <w:ind w:left="660"/>
              <w:spacing w:after="0"/>
              <w:rPr>
                <w:sz w:val="20"/>
                <w:szCs w:val="20"/>
                <w:color w:val="auto"/>
              </w:rPr>
            </w:pPr>
            <w:r>
              <w:rPr>
                <w:rFonts w:ascii="Arial" w:cs="Arial" w:eastAsia="Arial" w:hAnsi="Arial"/>
                <w:sz w:val="15"/>
                <w:szCs w:val="15"/>
                <w:color w:val="auto"/>
              </w:rPr>
              <w:t>Marucci Sports</w:t>
            </w:r>
          </w:p>
        </w:tc>
        <w:tc>
          <w:tcPr>
            <w:tcW w:w="200" w:type="dxa"/>
            <w:vAlign w:val="bottom"/>
            <w:shd w:val="clear" w:color="auto" w:fill="CCEEFF"/>
          </w:tcPr>
          <w:p>
            <w:pPr>
              <w:spacing w:after="0"/>
              <w:rPr>
                <w:sz w:val="17"/>
                <w:szCs w:val="17"/>
                <w:color w:val="auto"/>
              </w:rPr>
            </w:pPr>
          </w:p>
        </w:tc>
        <w:tc>
          <w:tcPr>
            <w:tcW w:w="18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220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8"/>
        </w:trPr>
        <w:tc>
          <w:tcPr>
            <w:tcW w:w="6720" w:type="dxa"/>
            <w:vAlign w:val="bottom"/>
          </w:tcPr>
          <w:p>
            <w:pPr>
              <w:ind w:left="660"/>
              <w:spacing w:after="0"/>
              <w:rPr>
                <w:sz w:val="20"/>
                <w:szCs w:val="20"/>
                <w:color w:val="auto"/>
              </w:rPr>
            </w:pPr>
            <w:r>
              <w:rPr>
                <w:rFonts w:ascii="Arial" w:cs="Arial" w:eastAsia="Arial" w:hAnsi="Arial"/>
                <w:sz w:val="15"/>
                <w:szCs w:val="15"/>
                <w:color w:val="auto"/>
              </w:rPr>
              <w:t>Sterno</w:t>
            </w:r>
          </w:p>
        </w:tc>
        <w:tc>
          <w:tcPr>
            <w:tcW w:w="200" w:type="dxa"/>
            <w:vAlign w:val="bottom"/>
          </w:tcPr>
          <w:p>
            <w:pPr>
              <w:spacing w:after="0"/>
              <w:rPr>
                <w:sz w:val="17"/>
                <w:szCs w:val="17"/>
                <w:color w:val="auto"/>
              </w:rPr>
            </w:pPr>
          </w:p>
        </w:tc>
        <w:tc>
          <w:tcPr>
            <w:tcW w:w="1800" w:type="dxa"/>
            <w:vAlign w:val="bottom"/>
          </w:tcPr>
          <w:p>
            <w:pPr>
              <w:jc w:val="right"/>
              <w:ind w:right="4"/>
              <w:spacing w:after="0"/>
              <w:rPr>
                <w:sz w:val="20"/>
                <w:szCs w:val="20"/>
                <w:color w:val="auto"/>
              </w:rPr>
            </w:pPr>
            <w:r>
              <w:rPr>
                <w:rFonts w:ascii="Arial" w:cs="Arial" w:eastAsia="Arial" w:hAnsi="Arial"/>
                <w:sz w:val="15"/>
                <w:szCs w:val="15"/>
                <w:color w:val="auto"/>
              </w:rPr>
              <w:t>1,061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Arial" w:cs="Arial" w:eastAsia="Arial" w:hAnsi="Arial"/>
                <w:sz w:val="15"/>
                <w:szCs w:val="15"/>
                <w:color w:val="auto"/>
              </w:rPr>
              <w:t>932</w:t>
            </w:r>
          </w:p>
        </w:tc>
      </w:tr>
      <w:tr>
        <w:trPr>
          <w:trHeight w:val="207"/>
        </w:trPr>
        <w:tc>
          <w:tcPr>
            <w:tcW w:w="6720" w:type="dxa"/>
            <w:vAlign w:val="bottom"/>
            <w:shd w:val="clear" w:color="auto" w:fill="CCEEFF"/>
          </w:tcPr>
          <w:p>
            <w:pPr>
              <w:ind w:left="660"/>
              <w:spacing w:after="0"/>
              <w:rPr>
                <w:sz w:val="20"/>
                <w:szCs w:val="20"/>
                <w:color w:val="auto"/>
              </w:rPr>
            </w:pPr>
            <w:r>
              <w:rPr>
                <w:rFonts w:ascii="Arial" w:cs="Arial" w:eastAsia="Arial" w:hAnsi="Arial"/>
                <w:sz w:val="15"/>
                <w:szCs w:val="15"/>
                <w:color w:val="auto"/>
              </w:rPr>
              <w:t>Velocity Outdoor</w:t>
            </w:r>
          </w:p>
        </w:tc>
        <w:tc>
          <w:tcPr>
            <w:tcW w:w="200" w:type="dxa"/>
            <w:vAlign w:val="bottom"/>
            <w:shd w:val="clear" w:color="auto" w:fill="CCEEFF"/>
          </w:tcPr>
          <w:p>
            <w:pPr>
              <w:spacing w:after="0"/>
              <w:rPr>
                <w:sz w:val="17"/>
                <w:szCs w:val="17"/>
                <w:color w:val="auto"/>
              </w:rPr>
            </w:pPr>
          </w:p>
        </w:tc>
        <w:tc>
          <w:tcPr>
            <w:tcW w:w="18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2,743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2,096</w:t>
            </w:r>
          </w:p>
        </w:tc>
      </w:tr>
      <w:tr>
        <w:trPr>
          <w:trHeight w:val="198"/>
        </w:trPr>
        <w:tc>
          <w:tcPr>
            <w:tcW w:w="6720" w:type="dxa"/>
            <w:vAlign w:val="bottom"/>
          </w:tcPr>
          <w:p>
            <w:pPr>
              <w:ind w:left="320"/>
              <w:spacing w:after="0"/>
              <w:rPr>
                <w:sz w:val="20"/>
                <w:szCs w:val="20"/>
                <w:color w:val="auto"/>
              </w:rPr>
            </w:pPr>
            <w:r>
              <w:rPr>
                <w:rFonts w:ascii="Arial" w:cs="Arial" w:eastAsia="Arial" w:hAnsi="Arial"/>
                <w:sz w:val="15"/>
                <w:szCs w:val="15"/>
                <w:color w:val="auto"/>
              </w:rPr>
              <w:t>Other</w:t>
            </w:r>
          </w:p>
        </w:tc>
        <w:tc>
          <w:tcPr>
            <w:tcW w:w="200" w:type="dxa"/>
            <w:vAlign w:val="bottom"/>
          </w:tcPr>
          <w:p>
            <w:pPr>
              <w:spacing w:after="0"/>
              <w:rPr>
                <w:sz w:val="17"/>
                <w:szCs w:val="17"/>
                <w:color w:val="auto"/>
              </w:rPr>
            </w:pPr>
          </w:p>
        </w:tc>
        <w:tc>
          <w:tcPr>
            <w:tcW w:w="1800" w:type="dxa"/>
            <w:vAlign w:val="bottom"/>
          </w:tcPr>
          <w:p>
            <w:pPr>
              <w:jc w:val="right"/>
              <w:ind w:right="4"/>
              <w:spacing w:after="0"/>
              <w:rPr>
                <w:sz w:val="20"/>
                <w:szCs w:val="20"/>
                <w:color w:val="auto"/>
              </w:rPr>
            </w:pPr>
            <w:r>
              <w:rPr>
                <w:rFonts w:ascii="Arial" w:cs="Arial" w:eastAsia="Arial" w:hAnsi="Arial"/>
                <w:sz w:val="15"/>
                <w:szCs w:val="15"/>
                <w:color w:val="auto"/>
              </w:rPr>
              <w:t>3,776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Arial" w:cs="Arial" w:eastAsia="Arial" w:hAnsi="Arial"/>
                <w:sz w:val="15"/>
                <w:szCs w:val="15"/>
                <w:color w:val="auto"/>
              </w:rPr>
              <w:t>2,301</w:t>
            </w:r>
          </w:p>
        </w:tc>
      </w:tr>
      <w:tr>
        <w:trPr>
          <w:trHeight w:val="207"/>
        </w:trPr>
        <w:tc>
          <w:tcPr>
            <w:tcW w:w="67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Preferred share distribution</w:t>
            </w:r>
          </w:p>
        </w:tc>
        <w:tc>
          <w:tcPr>
            <w:tcW w:w="200" w:type="dxa"/>
            <w:vAlign w:val="bottom"/>
            <w:tcBorders>
              <w:bottom w:val="single" w:sz="8" w:color="auto"/>
            </w:tcBorders>
            <w:shd w:val="clear" w:color="auto" w:fill="CCEEFF"/>
          </w:tcPr>
          <w:p>
            <w:pPr>
              <w:spacing w:after="0"/>
              <w:rPr>
                <w:sz w:val="17"/>
                <w:szCs w:val="17"/>
                <w:color w:val="auto"/>
              </w:rPr>
            </w:pPr>
          </w:p>
        </w:tc>
        <w:tc>
          <w:tcPr>
            <w:tcW w:w="18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17,633</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11,344</w:t>
            </w:r>
          </w:p>
        </w:tc>
      </w:tr>
      <w:tr>
        <w:trPr>
          <w:trHeight w:val="192"/>
        </w:trPr>
        <w:tc>
          <w:tcPr>
            <w:tcW w:w="6720" w:type="dxa"/>
            <w:vAlign w:val="bottom"/>
          </w:tcPr>
          <w:p>
            <w:pPr>
              <w:ind w:left="20"/>
              <w:spacing w:after="0"/>
              <w:rPr>
                <w:sz w:val="20"/>
                <w:szCs w:val="20"/>
                <w:color w:val="auto"/>
              </w:rPr>
            </w:pPr>
            <w:r>
              <w:rPr>
                <w:rFonts w:ascii="Arial" w:cs="Arial" w:eastAsia="Arial" w:hAnsi="Arial"/>
                <w:sz w:val="15"/>
                <w:szCs w:val="15"/>
                <w:b w:val="1"/>
                <w:bCs w:val="1"/>
                <w:color w:val="auto"/>
              </w:rPr>
              <w:t>Estimated cash flow available for distribution and reinvestment</w:t>
            </w:r>
          </w:p>
        </w:tc>
        <w:tc>
          <w:tcPr>
            <w:tcW w:w="2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w:t>
            </w:r>
          </w:p>
        </w:tc>
        <w:tc>
          <w:tcPr>
            <w:tcW w:w="18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74,653</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95"/>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74,046</w:t>
            </w:r>
          </w:p>
        </w:tc>
      </w:tr>
      <w:tr>
        <w:trPr>
          <w:trHeight w:val="25"/>
        </w:trPr>
        <w:tc>
          <w:tcPr>
            <w:tcW w:w="67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4" w:right="339" w:bottom="1440" w:gutter="0" w:footer="0" w:header="0"/>
        </w:sectPr>
      </w:pPr>
    </w:p>
    <w:bookmarkStart w:id="64" w:name="page65"/>
    <w:bookmarkEnd w:id="64"/>
    <w:tbl>
      <w:tblPr>
        <w:tblLayout w:type="fixed"/>
        <w:tblInd w:w="220" w:type="dxa"/>
        <w:tblCellMar>
          <w:top w:w="0" w:type="dxa"/>
          <w:left w:w="0" w:type="dxa"/>
          <w:bottom w:w="0" w:type="dxa"/>
          <w:right w:w="0" w:type="dxa"/>
        </w:tblCellMar>
      </w:tblPr>
      <w:tr>
        <w:trPr>
          <w:trHeight w:val="203"/>
        </w:trPr>
        <w:tc>
          <w:tcPr>
            <w:tcW w:w="6720" w:type="dxa"/>
            <w:vAlign w:val="bottom"/>
            <w:shd w:val="clear" w:color="auto" w:fill="CCEEFF"/>
          </w:tcPr>
          <w:p>
            <w:pPr>
              <w:ind w:left="20"/>
              <w:spacing w:after="0"/>
              <w:rPr>
                <w:sz w:val="20"/>
                <w:szCs w:val="20"/>
                <w:color w:val="auto"/>
              </w:rPr>
            </w:pPr>
            <w:r>
              <w:rPr>
                <w:rFonts w:ascii="Arial" w:cs="Arial" w:eastAsia="Arial" w:hAnsi="Arial"/>
                <w:sz w:val="15"/>
                <w:szCs w:val="15"/>
                <w:color w:val="auto"/>
              </w:rPr>
              <w:t>Distribution paid in April 2020/2019</w:t>
            </w:r>
          </w:p>
        </w:tc>
        <w:tc>
          <w:tcPr>
            <w:tcW w:w="760" w:type="dxa"/>
            <w:vAlign w:val="bottom"/>
            <w:shd w:val="clear" w:color="auto" w:fill="CCEEFF"/>
          </w:tcPr>
          <w:p>
            <w:pPr>
              <w:jc w:val="right"/>
              <w:ind w:right="564"/>
              <w:spacing w:after="0"/>
              <w:rPr>
                <w:sz w:val="20"/>
                <w:szCs w:val="20"/>
                <w:color w:val="auto"/>
              </w:rPr>
            </w:pPr>
            <w:r>
              <w:rPr>
                <w:rFonts w:ascii="Arial" w:cs="Arial" w:eastAsia="Arial" w:hAnsi="Arial"/>
                <w:sz w:val="15"/>
                <w:szCs w:val="15"/>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(21,564)</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564"/>
              <w:spacing w:after="0"/>
              <w:rPr>
                <w:sz w:val="20"/>
                <w:szCs w:val="20"/>
                <w:color w:val="auto"/>
              </w:rPr>
            </w:pPr>
            <w:r>
              <w:rPr>
                <w:rFonts w:ascii="Arial" w:cs="Arial" w:eastAsia="Arial" w:hAnsi="Arial"/>
                <w:sz w:val="15"/>
                <w:szCs w:val="15"/>
                <w:color w:val="auto"/>
                <w:w w:val="95"/>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(21,564)</w:t>
            </w:r>
          </w:p>
        </w:tc>
      </w:tr>
      <w:tr>
        <w:trPr>
          <w:trHeight w:val="198"/>
        </w:trPr>
        <w:tc>
          <w:tcPr>
            <w:tcW w:w="6720" w:type="dxa"/>
            <w:vAlign w:val="bottom"/>
          </w:tcPr>
          <w:p>
            <w:pPr>
              <w:ind w:left="20"/>
              <w:spacing w:after="0"/>
              <w:rPr>
                <w:sz w:val="20"/>
                <w:szCs w:val="20"/>
                <w:color w:val="auto"/>
              </w:rPr>
            </w:pPr>
            <w:r>
              <w:rPr>
                <w:rFonts w:ascii="Arial" w:cs="Arial" w:eastAsia="Arial" w:hAnsi="Arial"/>
                <w:sz w:val="15"/>
                <w:szCs w:val="15"/>
                <w:color w:val="auto"/>
              </w:rPr>
              <w:t>Distribution paid in July 2020/2019</w:t>
            </w:r>
          </w:p>
        </w:tc>
        <w:tc>
          <w:tcPr>
            <w:tcW w:w="7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(23,364)</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(21,564)</w:t>
            </w:r>
          </w:p>
        </w:tc>
      </w:tr>
      <w:tr>
        <w:trPr>
          <w:trHeight w:val="203"/>
        </w:trPr>
        <w:tc>
          <w:tcPr>
            <w:tcW w:w="6720" w:type="dxa"/>
            <w:vAlign w:val="bottom"/>
            <w:shd w:val="clear" w:color="auto" w:fill="CCEEFF"/>
          </w:tcPr>
          <w:p>
            <w:pPr>
              <w:ind w:left="20"/>
              <w:spacing w:after="0"/>
              <w:rPr>
                <w:sz w:val="20"/>
                <w:szCs w:val="20"/>
                <w:color w:val="auto"/>
              </w:rPr>
            </w:pPr>
            <w:r>
              <w:rPr>
                <w:rFonts w:ascii="Arial" w:cs="Arial" w:eastAsia="Arial" w:hAnsi="Arial"/>
                <w:sz w:val="15"/>
                <w:szCs w:val="15"/>
                <w:color w:val="auto"/>
              </w:rPr>
              <w:t>Distribution paid in October 2020/2019</w:t>
            </w:r>
          </w:p>
        </w:tc>
        <w:tc>
          <w:tcPr>
            <w:tcW w:w="7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(23,364)</w:t>
            </w:r>
          </w:p>
        </w:tc>
        <w:tc>
          <w:tcPr>
            <w:tcW w:w="100" w:type="dxa"/>
            <w:vAlign w:val="bottom"/>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(21,564)</w:t>
            </w:r>
          </w:p>
        </w:tc>
      </w:tr>
      <w:tr>
        <w:trPr>
          <w:trHeight w:val="196"/>
        </w:trPr>
        <w:tc>
          <w:tcPr>
            <w:tcW w:w="6720" w:type="dxa"/>
            <w:vAlign w:val="bottom"/>
          </w:tcPr>
          <w:p>
            <w:pPr>
              <w:spacing w:after="0"/>
              <w:rPr>
                <w:sz w:val="17"/>
                <w:szCs w:val="17"/>
                <w:color w:val="auto"/>
              </w:rPr>
            </w:pPr>
          </w:p>
        </w:tc>
        <w:tc>
          <w:tcPr>
            <w:tcW w:w="760" w:type="dxa"/>
            <w:vAlign w:val="bottom"/>
            <w:tcBorders>
              <w:bottom w:val="single" w:sz="8" w:color="auto"/>
            </w:tcBorders>
          </w:tcPr>
          <w:p>
            <w:pPr>
              <w:jc w:val="right"/>
              <w:ind w:right="564"/>
              <w:spacing w:after="0"/>
              <w:rPr>
                <w:sz w:val="20"/>
                <w:szCs w:val="20"/>
                <w:color w:val="auto"/>
              </w:rPr>
            </w:pPr>
            <w:r>
              <w:rPr>
                <w:rFonts w:ascii="Arial" w:cs="Arial" w:eastAsia="Arial" w:hAnsi="Arial"/>
                <w:sz w:val="15"/>
                <w:szCs w:val="15"/>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(68,292)</w:t>
            </w:r>
          </w:p>
        </w:tc>
        <w:tc>
          <w:tcPr>
            <w:tcW w:w="100" w:type="dxa"/>
            <w:vAlign w:val="bottom"/>
          </w:tcPr>
          <w:p>
            <w:pPr>
              <w:spacing w:after="0"/>
              <w:rPr>
                <w:sz w:val="17"/>
                <w:szCs w:val="17"/>
                <w:color w:val="auto"/>
              </w:rPr>
            </w:pPr>
          </w:p>
        </w:tc>
        <w:tc>
          <w:tcPr>
            <w:tcW w:w="740" w:type="dxa"/>
            <w:vAlign w:val="bottom"/>
            <w:tcBorders>
              <w:bottom w:val="single" w:sz="8" w:color="auto"/>
            </w:tcBorders>
          </w:tcPr>
          <w:p>
            <w:pPr>
              <w:jc w:val="right"/>
              <w:ind w:right="564"/>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(64,692)</w:t>
            </w:r>
          </w:p>
        </w:tc>
      </w:tr>
      <w:tr>
        <w:trPr>
          <w:trHeight w:val="24"/>
        </w:trPr>
        <w:tc>
          <w:tcPr>
            <w:tcW w:w="67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bl>
    <w:p>
      <w:pPr>
        <w:spacing w:after="0" w:line="110" w:lineRule="exact"/>
        <w:rPr>
          <w:sz w:val="20"/>
          <w:szCs w:val="20"/>
          <w:color w:val="auto"/>
        </w:rPr>
      </w:pPr>
    </w:p>
    <w:p>
      <w:pPr>
        <w:ind w:left="420" w:right="20" w:hanging="250"/>
        <w:spacing w:after="0" w:line="216" w:lineRule="auto"/>
        <w:tabs>
          <w:tab w:leader="none" w:pos="348" w:val="left"/>
        </w:tabs>
        <w:numPr>
          <w:ilvl w:val="0"/>
          <w:numId w:val="30"/>
        </w:numPr>
        <w:rPr>
          <w:rFonts w:ascii="Arial" w:cs="Arial" w:eastAsia="Arial" w:hAnsi="Arial"/>
          <w:sz w:val="21"/>
          <w:szCs w:val="21"/>
          <w:b w:val="1"/>
          <w:bCs w:val="1"/>
          <w:color w:val="auto"/>
          <w:vertAlign w:val="superscript"/>
        </w:rPr>
      </w:pPr>
      <w:r>
        <w:rPr>
          <w:rFonts w:ascii="Arial" w:cs="Arial" w:eastAsia="Arial" w:hAnsi="Arial"/>
          <w:sz w:val="16"/>
          <w:szCs w:val="16"/>
          <w:color w:val="auto"/>
        </w:rPr>
        <w:t>Represents fees paid by newly acquired companies to the Manager for integration services performed during the first year of ownership, payable quarterly.</w:t>
      </w:r>
    </w:p>
    <w:p>
      <w:pPr>
        <w:spacing w:after="0" w:line="67" w:lineRule="exact"/>
        <w:rPr>
          <w:rFonts w:ascii="Arial" w:cs="Arial" w:eastAsia="Arial" w:hAnsi="Arial"/>
          <w:sz w:val="21"/>
          <w:szCs w:val="21"/>
          <w:b w:val="1"/>
          <w:bCs w:val="1"/>
          <w:color w:val="auto"/>
          <w:vertAlign w:val="superscript"/>
        </w:rPr>
      </w:pPr>
    </w:p>
    <w:p>
      <w:pPr>
        <w:ind w:left="340" w:hanging="170"/>
        <w:spacing w:after="0"/>
        <w:tabs>
          <w:tab w:leader="none" w:pos="340" w:val="left"/>
        </w:tabs>
        <w:numPr>
          <w:ilvl w:val="0"/>
          <w:numId w:val="30"/>
        </w:numPr>
        <w:rPr>
          <w:rFonts w:ascii="Arial" w:cs="Arial" w:eastAsia="Arial" w:hAnsi="Arial"/>
          <w:sz w:val="20"/>
          <w:szCs w:val="20"/>
          <w:b w:val="1"/>
          <w:bCs w:val="1"/>
          <w:color w:val="auto"/>
          <w:vertAlign w:val="superscript"/>
        </w:rPr>
      </w:pPr>
      <w:r>
        <w:rPr>
          <w:rFonts w:ascii="Arial" w:cs="Arial" w:eastAsia="Arial" w:hAnsi="Arial"/>
          <w:sz w:val="15"/>
          <w:szCs w:val="15"/>
          <w:color w:val="auto"/>
        </w:rPr>
        <w:t>Reflects the foreign currency transaction gain or loss resulting from the Canadian dollar intercompany loans issued to Manitoba Harvest.</w:t>
      </w:r>
    </w:p>
    <w:p>
      <w:pPr>
        <w:spacing w:after="0" w:line="102" w:lineRule="exact"/>
        <w:rPr>
          <w:rFonts w:ascii="Arial" w:cs="Arial" w:eastAsia="Arial" w:hAnsi="Arial"/>
          <w:sz w:val="20"/>
          <w:szCs w:val="20"/>
          <w:b w:val="1"/>
          <w:bCs w:val="1"/>
          <w:color w:val="auto"/>
          <w:vertAlign w:val="superscript"/>
        </w:rPr>
      </w:pPr>
    </w:p>
    <w:p>
      <w:pPr>
        <w:jc w:val="both"/>
        <w:ind w:left="420" w:hanging="250"/>
        <w:spacing w:after="0" w:line="225" w:lineRule="auto"/>
        <w:tabs>
          <w:tab w:leader="none" w:pos="596" w:val="left"/>
        </w:tabs>
        <w:numPr>
          <w:ilvl w:val="0"/>
          <w:numId w:val="30"/>
        </w:numPr>
        <w:rPr>
          <w:rFonts w:ascii="Arial" w:cs="Arial" w:eastAsia="Arial" w:hAnsi="Arial"/>
          <w:sz w:val="21"/>
          <w:szCs w:val="21"/>
          <w:b w:val="1"/>
          <w:bCs w:val="1"/>
          <w:color w:val="auto"/>
          <w:vertAlign w:val="superscript"/>
        </w:rPr>
      </w:pPr>
      <w:r>
        <w:rPr>
          <w:rFonts w:ascii="Arial" w:cs="Arial" w:eastAsia="Arial" w:hAnsi="Arial"/>
          <w:sz w:val="16"/>
          <w:szCs w:val="16"/>
          <w:color w:val="auto"/>
        </w:rPr>
        <w:t>Represents maintenance capital expenditures that were funded from operating cash flow, net of proceeds from the sale of property, plant and equipment, and excludes growth capital expenditures of approximately $9.7 million for the nine months ended September 30, 2020 and $10.7 million for the nine months ended September 30, 2019.</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Seasonality</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Earnings of certain of our operating segments are seasonal in nature due to various recurring events, holidays and seasonal weather patterns, as well as the timing of our acquisitions during a given year. Historically, the third and fourth quarter produce the highest net sales during our fiscal year.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Transactions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Management Services Agreement</w:t>
      </w:r>
    </w:p>
    <w:p>
      <w:pPr>
        <w:spacing w:after="0" w:line="135" w:lineRule="exact"/>
        <w:rPr>
          <w:sz w:val="20"/>
          <w:szCs w:val="20"/>
          <w:color w:val="auto"/>
        </w:rPr>
      </w:pPr>
    </w:p>
    <w:p>
      <w:pPr>
        <w:jc w:val="both"/>
        <w:spacing w:after="0" w:line="251" w:lineRule="auto"/>
        <w:rPr>
          <w:rFonts w:ascii="Arial" w:cs="Arial" w:eastAsia="Arial" w:hAnsi="Arial"/>
          <w:sz w:val="18"/>
          <w:szCs w:val="18"/>
          <w:color w:val="auto"/>
        </w:rPr>
      </w:pPr>
      <w:r>
        <w:rPr>
          <w:rFonts w:ascii="Arial" w:cs="Arial" w:eastAsia="Arial" w:hAnsi="Arial"/>
          <w:sz w:val="18"/>
          <w:szCs w:val="18"/>
          <w:color w:val="auto"/>
        </w:rPr>
        <w:t xml:space="preserve">We entered into the MSA with CGM effective May 16, 2006. The MSA provides for, among other things, CGM to perform services for the Company in exchange for a management fee paid quarterly and equal to 0.5% of the Company's adjusted net assets, as defined in the MSA. Concurrent with the June 2019 sale of Clean Earth (refer to </w:t>
      </w:r>
      <w:hyperlink w:anchor="page15">
        <w:r>
          <w:rPr>
            <w:rFonts w:ascii="Arial" w:cs="Arial" w:eastAsia="Arial" w:hAnsi="Arial"/>
            <w:sz w:val="18"/>
            <w:szCs w:val="18"/>
            <w:u w:val="single" w:color="auto"/>
            <w:color w:val="0000FF"/>
          </w:rPr>
          <w:t>Note C - Discontinued Operations</w:t>
        </w:r>
      </w:hyperlink>
      <w:r>
        <w:rPr>
          <w:rFonts w:ascii="Arial" w:cs="Arial" w:eastAsia="Arial" w:hAnsi="Arial"/>
          <w:sz w:val="18"/>
          <w:szCs w:val="18"/>
          <w:color w:val="auto"/>
        </w:rPr>
        <w:t>), CGM agreed to waive the management fee on cash balances held at the Company, commencing with the quarter ended June 30, 2019 and continuing until the quarter during which the Company next borrowed under the 2018 Revolving Credit Facility. In March 2020, as a proactive measure to provide the Company with additional cash liquidity in light of the COVID-19 pandemic, the Company elected to draw down $200 million on our 2018 Revolving Credit Facility. The Company and CGM entered into a waiver agreement whereby CGM agreed to waive the portion of the management fee attributable to the cash balances held at the Company as of March 31, 2020. In addition, as a result of an expected decline in earnings and cash flows in the second quarter of 2020, CGM agreed to waive 50% of the management fee calculated at June 30, 2020 that was paid in July 2020. Further, for the third quarter of 2020, the Company and CGM entered into a waiver agreement whereby CGM agreed to waive the portion of the management fee attributable to the cash balances held at the Company as of September 30, 2020.</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Integrations Services Agreements</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Marucci Sports, which was acquired in April 2020, entered into an Integration Services Agreement ("ISA") with CGM. The ISA provides for CGM to provide services for new platform acquisitions to, amongst other things, assist the management at the acquired entities in establishing a corporate governance program, implement compliance and reporting requirements of the Sarbanes-Oxley Act of 2002, as amended, and align the acquired entity's policies and procedures with our other subsidiaries. CGM will receive integration service fees of $2.0 million payable quarterly over a twelve month period as services are rendered beginning in the quarter ended September 30, 2020. Foam Fabricators, which was acquired in 2018, entered into an ISA with CGM. Foam Fabricators paid CGM $2.3 million over the term of the ISA, with $2.0 million paid in 2018 and $0.3 million in 2019.</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5.11 - Related Party Vendor Purchases</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5.11 purchases inventory from a vendor who is a related party to 5.11 through one of the executive officers of 5.11 via the executive's 40% ownership interest in the vendor. During the three and nine months ended September 30, 2020, 5.11 purchased approximately $0.7 million and $2.3 million, respectively, in inventory from the vendor.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Profit Allocation Payments</w:t>
      </w:r>
    </w:p>
    <w:p>
      <w:pPr>
        <w:spacing w:after="0" w:line="135"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October 2019 represented the five-year anniversary of the Company's acquisition of Sterno, which qualified as a Holding Event under the Company's LLC Agreement (the "Sterno Holding Event"). During the first quarter of 2020, the Company declared and paid a distribution of $9.1 million to the Allocation Member related to the Sterno Holding</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6" w:right="339" w:bottom="1440" w:gutter="0" w:footer="0" w:header="0"/>
        </w:sectPr>
      </w:pPr>
    </w:p>
    <w:bookmarkStart w:id="65" w:name="page66"/>
    <w:bookmarkEnd w:id="65"/>
    <w:p>
      <w:pPr>
        <w:jc w:val="both"/>
        <w:spacing w:after="0" w:line="256" w:lineRule="auto"/>
        <w:rPr>
          <w:sz w:val="20"/>
          <w:szCs w:val="20"/>
          <w:color w:val="auto"/>
        </w:rPr>
      </w:pPr>
      <w:r>
        <w:rPr>
          <w:rFonts w:ascii="Arial" w:cs="Arial" w:eastAsia="Arial" w:hAnsi="Arial"/>
          <w:sz w:val="18"/>
          <w:szCs w:val="18"/>
          <w:color w:val="auto"/>
        </w:rPr>
        <w:t>Event. The ten-year anniversary of Liberty occurred in March 2020 which represented a Holding Event. The holders of the Allocation Interests elected to defer the distribution of $3.3 million until after the end of 2020. The ten-year anniversary of Ergo occurred in September 2020 which represented a Holding Event. The Holders elected to defer the distribution of $2.0 million until after the end of 2020.</w:t>
      </w:r>
    </w:p>
    <w:p>
      <w:pPr>
        <w:spacing w:after="0" w:line="9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sales of Manitoba Harvest in February 2019 and Clean Earth in June 2019 each qualified as a Sale Event under the Company's LLC Agreement. During the second quarter of 2019, the Company declared and paid a distribution to the Allocation Member of $8.0 million related to the sale of Manitoba Harvest and working capital settlements from prior Sale Events. The profit allocation distribution was calculated based on the portion of the gain on sale related to the Closing Date Consideration, less the loss on sale of shares that were received as part of the Closing Consideration. During the third quarter of 2019, the Company declared and paid a distribution to the Allocation Member of $43.3 million related to the sale of Clean Earth. During the fourth quarter of 2019, the Company declared and paid a distribution to the Allocation Member of $9.1 million related to the Deferred Consideration from the Manitoba Harvest sale and the working capital settlement received from the sale of Clean Earth.</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We have no special purpose entities or off-balance sheet arrangements.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Long-term contractual obligations, except for our long-term debt obligations and operating lease liabilities, are generally not recognized in our consolidated balance sheet. Non-cancelable purchase obligations are obligations we incur during the normal course of business, based on projected needs.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the payment schedule of our contractual obligations at September 30, 2020:</w:t>
      </w:r>
    </w:p>
    <w:p>
      <w:pPr>
        <w:sectPr>
          <w:pgSz w:w="11900" w:h="16838" w:orient="portrait"/>
          <w:cols w:equalWidth="0" w:num="1">
            <w:col w:w="11240"/>
          </w:cols>
          <w:pgMar w:left="320" w:top="1016" w:right="339" w:bottom="1440" w:gutter="0" w:footer="0" w:header="0"/>
        </w:sectPr>
      </w:pPr>
    </w:p>
    <w:p>
      <w:pPr>
        <w:spacing w:after="0" w:line="200" w:lineRule="exact"/>
        <w:rPr>
          <w:sz w:val="20"/>
          <w:szCs w:val="20"/>
          <w:color w:val="auto"/>
        </w:rPr>
      </w:pPr>
    </w:p>
    <w:p>
      <w:pPr>
        <w:spacing w:after="0" w:line="260"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(in thousands)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color w:val="auto"/>
        </w:rPr>
        <w:t xml:space="preserve">Long-term debt obligations </w:t>
      </w:r>
      <w:r>
        <w:rPr>
          <w:rFonts w:ascii="Arial" w:cs="Arial" w:eastAsia="Arial" w:hAnsi="Arial"/>
          <w:sz w:val="21"/>
          <w:szCs w:val="21"/>
          <w:color w:val="auto"/>
          <w:vertAlign w:val="superscript"/>
        </w:rPr>
        <w:t>(1)</w:t>
      </w:r>
    </w:p>
    <w:p>
      <w:pPr>
        <w:ind w:left="20"/>
        <w:spacing w:after="0" w:line="229" w:lineRule="auto"/>
        <w:rPr>
          <w:sz w:val="20"/>
          <w:szCs w:val="20"/>
          <w:color w:val="auto"/>
        </w:rPr>
      </w:pPr>
      <w:r>
        <w:rPr>
          <w:rFonts w:ascii="Arial" w:cs="Arial" w:eastAsia="Arial" w:hAnsi="Arial"/>
          <w:sz w:val="15"/>
          <w:szCs w:val="15"/>
          <w:color w:val="auto"/>
        </w:rPr>
        <w:t xml:space="preserve">Operating lease obligations </w:t>
      </w:r>
      <w:r>
        <w:rPr>
          <w:rFonts w:ascii="Arial" w:cs="Arial" w:eastAsia="Arial" w:hAnsi="Arial"/>
          <w:sz w:val="20"/>
          <w:szCs w:val="20"/>
          <w:color w:val="auto"/>
          <w:vertAlign w:val="superscript"/>
        </w:rPr>
        <w:t>(2)</w:t>
      </w:r>
    </w:p>
    <w:p>
      <w:pPr>
        <w:ind w:left="20"/>
        <w:spacing w:after="0" w:line="199" w:lineRule="auto"/>
        <w:rPr>
          <w:sz w:val="20"/>
          <w:szCs w:val="20"/>
          <w:color w:val="auto"/>
        </w:rPr>
      </w:pPr>
      <w:r>
        <w:rPr>
          <w:rFonts w:ascii="Arial" w:cs="Arial" w:eastAsia="Arial" w:hAnsi="Arial"/>
          <w:sz w:val="16"/>
          <w:szCs w:val="16"/>
          <w:color w:val="auto"/>
        </w:rPr>
        <w:t xml:space="preserve">Purchase obligations </w:t>
      </w:r>
      <w:r>
        <w:rPr>
          <w:rFonts w:ascii="Arial" w:cs="Arial" w:eastAsia="Arial" w:hAnsi="Arial"/>
          <w:sz w:val="21"/>
          <w:szCs w:val="21"/>
          <w:color w:val="auto"/>
          <w:vertAlign w:val="superscript"/>
        </w:rPr>
        <w:t>(3)</w:t>
      </w:r>
    </w:p>
    <w:p>
      <w:pPr>
        <w:ind w:left="360"/>
        <w:spacing w:after="0"/>
        <w:rPr>
          <w:sz w:val="20"/>
          <w:szCs w:val="20"/>
          <w:color w:val="auto"/>
        </w:rPr>
      </w:pPr>
      <w:r>
        <w:rPr>
          <w:rFonts w:ascii="Arial" w:cs="Arial" w:eastAsia="Arial" w:hAnsi="Arial"/>
          <w:sz w:val="16"/>
          <w:szCs w:val="16"/>
          <w:color w:val="auto"/>
        </w:rPr>
        <w:t xml:space="preserve">Total </w:t>
      </w:r>
      <w:r>
        <w:rPr>
          <w:rFonts w:ascii="Arial" w:cs="Arial" w:eastAsia="Arial" w:hAnsi="Arial"/>
          <w:sz w:val="21"/>
          <w:szCs w:val="21"/>
          <w:color w:val="auto"/>
          <w:vertAlign w:val="superscript"/>
        </w:rPr>
        <w:t>(4)</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5"/>
                <w:szCs w:val="15"/>
                <w:color w:val="auto"/>
              </w:rPr>
              <w:t>Less than 1</w:t>
            </w: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right"/>
              <w:ind w:right="241"/>
              <w:spacing w:after="0"/>
              <w:rPr>
                <w:sz w:val="20"/>
                <w:szCs w:val="20"/>
                <w:color w:val="auto"/>
              </w:rPr>
            </w:pPr>
            <w:r>
              <w:rPr>
                <w:rFonts w:ascii="Arial" w:cs="Arial" w:eastAsia="Arial" w:hAnsi="Arial"/>
                <w:sz w:val="15"/>
                <w:szCs w:val="15"/>
                <w:color w:val="auto"/>
              </w:rPr>
              <w:t>More than</w:t>
            </w:r>
          </w:p>
        </w:tc>
      </w:tr>
      <w:tr>
        <w:trPr>
          <w:trHeight w:val="188"/>
        </w:trPr>
        <w:tc>
          <w:tcPr>
            <w:tcW w:w="300" w:type="dxa"/>
            <w:vAlign w:val="bottom"/>
          </w:tcPr>
          <w:p>
            <w:pPr>
              <w:spacing w:after="0"/>
              <w:rPr>
                <w:sz w:val="16"/>
                <w:szCs w:val="16"/>
                <w:color w:val="auto"/>
              </w:rPr>
            </w:pPr>
          </w:p>
        </w:tc>
        <w:tc>
          <w:tcPr>
            <w:tcW w:w="1120" w:type="dxa"/>
            <w:vAlign w:val="bottom"/>
            <w:gridSpan w:val="2"/>
          </w:tcPr>
          <w:p>
            <w:pPr>
              <w:ind w:left="200"/>
              <w:spacing w:after="0"/>
              <w:rPr>
                <w:sz w:val="20"/>
                <w:szCs w:val="20"/>
                <w:color w:val="auto"/>
              </w:rPr>
            </w:pPr>
            <w:r>
              <w:rPr>
                <w:rFonts w:ascii="Arial" w:cs="Arial" w:eastAsia="Arial" w:hAnsi="Arial"/>
                <w:sz w:val="15"/>
                <w:szCs w:val="15"/>
                <w:color w:val="auto"/>
              </w:rPr>
              <w:t>Total</w:t>
            </w:r>
          </w:p>
        </w:tc>
        <w:tc>
          <w:tcPr>
            <w:tcW w:w="200" w:type="dxa"/>
            <w:vAlign w:val="bottom"/>
          </w:tcPr>
          <w:p>
            <w:pPr>
              <w:spacing w:after="0"/>
              <w:rPr>
                <w:sz w:val="16"/>
                <w:szCs w:val="16"/>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5"/>
                <w:szCs w:val="15"/>
                <w:color w:val="auto"/>
                <w:w w:val="94"/>
              </w:rPr>
              <w:t>Year</w:t>
            </w:r>
          </w:p>
        </w:tc>
        <w:tc>
          <w:tcPr>
            <w:tcW w:w="240" w:type="dxa"/>
            <w:vAlign w:val="bottom"/>
          </w:tcPr>
          <w:p>
            <w:pPr>
              <w:spacing w:after="0"/>
              <w:rPr>
                <w:sz w:val="16"/>
                <w:szCs w:val="16"/>
                <w:color w:val="auto"/>
              </w:rPr>
            </w:pPr>
          </w:p>
        </w:tc>
        <w:tc>
          <w:tcPr>
            <w:tcW w:w="1200" w:type="dxa"/>
            <w:vAlign w:val="bottom"/>
            <w:gridSpan w:val="2"/>
          </w:tcPr>
          <w:p>
            <w:pPr>
              <w:ind w:left="100"/>
              <w:spacing w:after="0"/>
              <w:rPr>
                <w:sz w:val="20"/>
                <w:szCs w:val="20"/>
                <w:color w:val="auto"/>
              </w:rPr>
            </w:pPr>
            <w:r>
              <w:rPr>
                <w:rFonts w:ascii="Arial" w:cs="Arial" w:eastAsia="Arial" w:hAnsi="Arial"/>
                <w:sz w:val="15"/>
                <w:szCs w:val="15"/>
                <w:color w:val="auto"/>
              </w:rPr>
              <w:t>1-3 Years</w:t>
            </w:r>
          </w:p>
        </w:tc>
        <w:tc>
          <w:tcPr>
            <w:tcW w:w="22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Arial" w:cs="Arial" w:eastAsia="Arial" w:hAnsi="Arial"/>
                <w:sz w:val="15"/>
                <w:szCs w:val="15"/>
                <w:color w:val="auto"/>
              </w:rPr>
              <w:t>3-5 Years</w:t>
            </w:r>
          </w:p>
        </w:tc>
        <w:tc>
          <w:tcPr>
            <w:tcW w:w="220" w:type="dxa"/>
            <w:vAlign w:val="bottom"/>
          </w:tcPr>
          <w:p>
            <w:pPr>
              <w:spacing w:after="0"/>
              <w:rPr>
                <w:sz w:val="16"/>
                <w:szCs w:val="16"/>
                <w:color w:val="auto"/>
              </w:rPr>
            </w:pPr>
          </w:p>
        </w:tc>
        <w:tc>
          <w:tcPr>
            <w:tcW w:w="1120" w:type="dxa"/>
            <w:vAlign w:val="bottom"/>
          </w:tcPr>
          <w:p>
            <w:pPr>
              <w:jc w:val="right"/>
              <w:ind w:right="321"/>
              <w:spacing w:after="0"/>
              <w:rPr>
                <w:sz w:val="20"/>
                <w:szCs w:val="20"/>
                <w:color w:val="auto"/>
              </w:rPr>
            </w:pPr>
            <w:r>
              <w:rPr>
                <w:rFonts w:ascii="Arial" w:cs="Arial" w:eastAsia="Arial" w:hAnsi="Arial"/>
                <w:sz w:val="15"/>
                <w:szCs w:val="15"/>
                <w:color w:val="auto"/>
              </w:rPr>
              <w:t>5 Years</w:t>
            </w:r>
          </w:p>
        </w:tc>
      </w:tr>
      <w:tr>
        <w:trPr>
          <w:trHeight w:val="208"/>
        </w:trPr>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865,233</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24,000</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96,000</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97,233</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648,000</w:t>
            </w:r>
          </w:p>
        </w:tc>
      </w:tr>
      <w:tr>
        <w:trPr>
          <w:trHeight w:val="216"/>
        </w:trPr>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133,114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1"/>
              <w:spacing w:after="0"/>
              <w:rPr>
                <w:sz w:val="20"/>
                <w:szCs w:val="20"/>
                <w:color w:val="auto"/>
              </w:rPr>
            </w:pPr>
            <w:r>
              <w:rPr>
                <w:rFonts w:ascii="Arial" w:cs="Arial" w:eastAsia="Arial" w:hAnsi="Arial"/>
                <w:sz w:val="16"/>
                <w:szCs w:val="16"/>
                <w:color w:val="auto"/>
              </w:rPr>
              <w:t>4,841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52,393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32,424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43,456</w:t>
            </w:r>
          </w:p>
        </w:tc>
      </w:tr>
      <w:tr>
        <w:trPr>
          <w:trHeight w:val="219"/>
        </w:trPr>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767,926</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192,371</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288,114</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287,441</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1,766,273</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221,212</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436,507</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417,098</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691,456</w:t>
            </w:r>
          </w:p>
        </w:tc>
      </w:tr>
      <w:tr>
        <w:trPr>
          <w:trHeight w:val="24"/>
        </w:trPr>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-2610485</wp:posOffset>
            </wp:positionH>
            <wp:positionV relativeFrom="paragraph">
              <wp:posOffset>-599440</wp:posOffset>
            </wp:positionV>
            <wp:extent cx="7098030" cy="1460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098030" cy="14605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-316865</wp:posOffset>
            </wp:positionV>
            <wp:extent cx="7098030" cy="1371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09803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400" w:space="720"/>
            <w:col w:w="7120"/>
          </w:cols>
          <w:pgMar w:left="320" w:top="1016" w:right="339" w:bottom="1440" w:gutter="0" w:footer="0" w:header="0"/>
          <w:type w:val="continuous"/>
        </w:sectPr>
      </w:pPr>
    </w:p>
    <w:p>
      <w:pPr>
        <w:spacing w:after="0" w:line="66" w:lineRule="exact"/>
        <w:rPr>
          <w:sz w:val="20"/>
          <w:szCs w:val="20"/>
          <w:color w:val="auto"/>
        </w:rPr>
      </w:pPr>
    </w:p>
    <w:p>
      <w:pPr>
        <w:ind w:left="320" w:hanging="312"/>
        <w:spacing w:after="0"/>
        <w:tabs>
          <w:tab w:leader="none" w:pos="320" w:val="left"/>
        </w:tabs>
        <w:numPr>
          <w:ilvl w:val="0"/>
          <w:numId w:val="31"/>
        </w:numPr>
        <w:rPr>
          <w:rFonts w:ascii="Arial" w:cs="Arial" w:eastAsia="Arial" w:hAnsi="Arial"/>
          <w:sz w:val="21"/>
          <w:szCs w:val="21"/>
          <w:b w:val="1"/>
          <w:bCs w:val="1"/>
          <w:color w:val="auto"/>
          <w:vertAlign w:val="superscript"/>
        </w:rPr>
      </w:pPr>
      <w:r>
        <w:rPr>
          <w:rFonts w:ascii="Arial" w:cs="Arial" w:eastAsia="Arial" w:hAnsi="Arial"/>
          <w:sz w:val="16"/>
          <w:szCs w:val="16"/>
          <w:color w:val="auto"/>
        </w:rPr>
        <w:t>Reflects amounts due under our 2018 Credit Facility, as well as our Senior Notes, together with interest on our debt obligations.</w:t>
      </w:r>
    </w:p>
    <w:p>
      <w:pPr>
        <w:spacing w:after="0" w:line="48" w:lineRule="exact"/>
        <w:rPr>
          <w:rFonts w:ascii="Arial" w:cs="Arial" w:eastAsia="Arial" w:hAnsi="Arial"/>
          <w:sz w:val="21"/>
          <w:szCs w:val="21"/>
          <w:b w:val="1"/>
          <w:bCs w:val="1"/>
          <w:color w:val="auto"/>
          <w:vertAlign w:val="superscript"/>
        </w:rPr>
      </w:pPr>
    </w:p>
    <w:p>
      <w:pPr>
        <w:ind w:left="320" w:hanging="312"/>
        <w:spacing w:after="0" w:line="193" w:lineRule="auto"/>
        <w:tabs>
          <w:tab w:leader="none" w:pos="320" w:val="left"/>
        </w:tabs>
        <w:numPr>
          <w:ilvl w:val="0"/>
          <w:numId w:val="31"/>
        </w:numPr>
        <w:rPr>
          <w:rFonts w:ascii="Arial" w:cs="Arial" w:eastAsia="Arial" w:hAnsi="Arial"/>
          <w:sz w:val="21"/>
          <w:szCs w:val="21"/>
          <w:b w:val="1"/>
          <w:bCs w:val="1"/>
          <w:color w:val="auto"/>
          <w:vertAlign w:val="superscript"/>
        </w:rPr>
      </w:pPr>
      <w:r>
        <w:rPr>
          <w:rFonts w:ascii="Arial" w:cs="Arial" w:eastAsia="Arial" w:hAnsi="Arial"/>
          <w:sz w:val="16"/>
          <w:szCs w:val="16"/>
          <w:color w:val="auto"/>
        </w:rPr>
        <w:t>Reflects various operating leases for office space, manufacturing facilities and equipment from third parties with various lease terms.</w:t>
      </w:r>
    </w:p>
    <w:p>
      <w:pPr>
        <w:spacing w:after="0" w:line="48" w:lineRule="exact"/>
        <w:rPr>
          <w:rFonts w:ascii="Arial" w:cs="Arial" w:eastAsia="Arial" w:hAnsi="Arial"/>
          <w:sz w:val="21"/>
          <w:szCs w:val="21"/>
          <w:b w:val="1"/>
          <w:bCs w:val="1"/>
          <w:color w:val="auto"/>
          <w:vertAlign w:val="superscript"/>
        </w:rPr>
      </w:pPr>
    </w:p>
    <w:p>
      <w:pPr>
        <w:jc w:val="both"/>
        <w:ind w:left="340" w:hanging="332"/>
        <w:spacing w:after="0" w:line="230" w:lineRule="auto"/>
        <w:tabs>
          <w:tab w:leader="none" w:pos="333" w:val="left"/>
        </w:tabs>
        <w:numPr>
          <w:ilvl w:val="0"/>
          <w:numId w:val="31"/>
        </w:numPr>
        <w:rPr>
          <w:rFonts w:ascii="Arial" w:cs="Arial" w:eastAsia="Arial" w:hAnsi="Arial"/>
          <w:sz w:val="21"/>
          <w:szCs w:val="21"/>
          <w:b w:val="1"/>
          <w:bCs w:val="1"/>
          <w:color w:val="auto"/>
          <w:vertAlign w:val="superscript"/>
        </w:rPr>
      </w:pPr>
      <w:r>
        <w:rPr>
          <w:rFonts w:ascii="Arial" w:cs="Arial" w:eastAsia="Arial" w:hAnsi="Arial"/>
          <w:sz w:val="16"/>
          <w:szCs w:val="16"/>
          <w:color w:val="auto"/>
        </w:rPr>
        <w:t>Reflects non-cancelable commitments as of September 30, 2020, including: (i) shareholder distributions of $110.4 million; (ii) estimated management fees of $30.9 million per year over the next five years; and (iii) other obligations including amounts due under employment agreements. Distributions to our shareholders are approved by our board of directors each quarter. The amount ultimately approved as future quarterly distributions may differ from the amount included in this schedule.</w:t>
      </w:r>
    </w:p>
    <w:p>
      <w:pPr>
        <w:spacing w:after="0" w:line="49" w:lineRule="exact"/>
        <w:rPr>
          <w:rFonts w:ascii="Arial" w:cs="Arial" w:eastAsia="Arial" w:hAnsi="Arial"/>
          <w:sz w:val="21"/>
          <w:szCs w:val="21"/>
          <w:b w:val="1"/>
          <w:bCs w:val="1"/>
          <w:color w:val="auto"/>
          <w:vertAlign w:val="superscript"/>
        </w:rPr>
      </w:pPr>
    </w:p>
    <w:p>
      <w:pPr>
        <w:jc w:val="both"/>
        <w:ind w:left="340" w:hanging="332"/>
        <w:spacing w:after="0" w:line="225" w:lineRule="auto"/>
        <w:tabs>
          <w:tab w:leader="none" w:pos="333" w:val="left"/>
        </w:tabs>
        <w:numPr>
          <w:ilvl w:val="0"/>
          <w:numId w:val="31"/>
        </w:numPr>
        <w:rPr>
          <w:rFonts w:ascii="Arial" w:cs="Arial" w:eastAsia="Arial" w:hAnsi="Arial"/>
          <w:sz w:val="21"/>
          <w:szCs w:val="21"/>
          <w:b w:val="1"/>
          <w:bCs w:val="1"/>
          <w:color w:val="auto"/>
          <w:vertAlign w:val="superscript"/>
        </w:rPr>
      </w:pPr>
      <w:r>
        <w:rPr>
          <w:rFonts w:ascii="Arial" w:cs="Arial" w:eastAsia="Arial" w:hAnsi="Arial"/>
          <w:sz w:val="16"/>
          <w:szCs w:val="16"/>
          <w:color w:val="auto"/>
        </w:rPr>
        <w:t>The contractual obligation table does not include approximately $1.1 million in liabilities associated with unrecognized tax benefits as of September 30, 2020 as the timing of the recognition of this liability is not certain. The amount of the liability is not expected to significantly change in the next twelve months.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1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preparation of our financial statements in conformity with GAAP requires management to adopt accounting policies and make estimates and judgments that affect the amounts reported in the financial statements and accompanying notes. Actual results could differ from these estimates under different assumptions and judgments and uncertainties, and potentially could result in materially different results under different conditions. These critical accounting policies and estimates are reviewed periodically by our independent auditors and the audit committee of our board of directors.</w:t>
      </w:r>
    </w:p>
    <w:p>
      <w:pPr>
        <w:spacing w:after="0" w:line="20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Except as set forth below, our critical accounting estimates have not changed materially from those disclosed in Management’s Discussion and Analysis of Financial Condition and Results of Operations included in our Annual</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type w:val="continuous"/>
        </w:sectPr>
      </w:pPr>
    </w:p>
    <w:bookmarkStart w:id="66" w:name="page67"/>
    <w:bookmarkEnd w:id="66"/>
    <w:p>
      <w:pPr>
        <w:jc w:val="both"/>
        <w:spacing w:after="0" w:line="261" w:lineRule="auto"/>
        <w:rPr>
          <w:sz w:val="20"/>
          <w:szCs w:val="20"/>
          <w:color w:val="auto"/>
        </w:rPr>
      </w:pPr>
      <w:r>
        <w:rPr>
          <w:rFonts w:ascii="Arial" w:cs="Arial" w:eastAsia="Arial" w:hAnsi="Arial"/>
          <w:sz w:val="18"/>
          <w:szCs w:val="18"/>
          <w:color w:val="auto"/>
        </w:rPr>
        <w:t>Report on Form 10-K, for the year ended December 31, 2019, as filed with the Securities and Exchange Commission ("SEC") on February 26,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Goodwill and Indefinite-lived Intangible Asset Impairment Testing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35"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Goodwill represents the excess amount of the purchase price over the fair value of the assets acquired. Our goodwill and indefinite lived intangible assets are tested for impairment on an annual basis as of March 31</w:t>
      </w:r>
      <w:r>
        <w:rPr>
          <w:rFonts w:ascii="Arial" w:cs="Arial" w:eastAsia="Arial" w:hAnsi="Arial"/>
          <w:sz w:val="23"/>
          <w:szCs w:val="23"/>
          <w:color w:val="auto"/>
          <w:vertAlign w:val="superscript"/>
        </w:rPr>
        <w:t>st</w:t>
      </w:r>
      <w:r>
        <w:rPr>
          <w:rFonts w:ascii="Arial" w:cs="Arial" w:eastAsia="Arial" w:hAnsi="Arial"/>
          <w:sz w:val="18"/>
          <w:szCs w:val="18"/>
          <w:color w:val="auto"/>
        </w:rPr>
        <w:t>, and if current events or circumstances require, on an interim basis. Goodwill is allocated to various reporting units, which are generally an operating segment or one level below the operating segment. Each of our businesses represents a reporting unit.</w:t>
      </w:r>
    </w:p>
    <w:p>
      <w:pPr>
        <w:spacing w:after="0" w:line="16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use a qualitative approach to test goodwill for impairment by first assessing qualitative factors to determine whether it is more-likely-than-not that the fair value of a reporting unit is greater than its carrying amount as a basis for determining whether it is necessary to perform the two-step goodwill impairment testing. The qualitative factors we consider include, in part, the general macroeconomic environment, industry and market specific conditions for each reporting unit, financial performance including actual versus planned results and results of relevant prior periods, operating costs and cost impacts, as well as issues or events specific to the reporting unit. If qualitative factors are not sufficient to determine that the fair value of a reporting unit is more likely than not to exceed its carrying value, we will perform a quantitative test of the reporting unit whereby we estimate the fair value of the reporting unit using an income approach or market approach, or a weighting of the two methods. Under the income approach, we estimate the fair value of our reporting unit based on the present value of future cash flows. Cash flow projections are based on management's estimate of revenue growth rates and operating margins and take into consideration industry and market conditions as well as company specific economic factors. The discount rate used is based on the weighted average cost of capital adjusted for the relevant risk associated with the business and the uncertainty associated with the reporting unit's ability to execute on the projected cash flows. Under the market approach, we estimate fair value based on market multiples of revenue and earnings derived from comparable public companies with operating characteristics that are similar to the reporting unit. When market comparables are not meaningful or available, we estimate the fair value of the reporting unit using only the income approach.</w:t>
      </w:r>
    </w:p>
    <w:p>
      <w:pPr>
        <w:spacing w:after="0" w:line="13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2020 Annual Impairment Testing - </w:t>
      </w:r>
      <w:r>
        <w:rPr>
          <w:rFonts w:ascii="Arial" w:cs="Arial" w:eastAsia="Arial" w:hAnsi="Arial"/>
          <w:sz w:val="18"/>
          <w:szCs w:val="18"/>
          <w:color w:val="auto"/>
        </w:rPr>
        <w:t>For our annual impairment testing at March 31, 2020, we performed a qualitative assessment of our</w:t>
      </w:r>
      <w:r>
        <w:rPr>
          <w:rFonts w:ascii="Arial" w:cs="Arial" w:eastAsia="Arial" w:hAnsi="Arial"/>
          <w:sz w:val="18"/>
          <w:szCs w:val="18"/>
          <w:i w:val="1"/>
          <w:iCs w:val="1"/>
          <w:color w:val="auto"/>
        </w:rPr>
        <w:t xml:space="preserve"> </w:t>
      </w:r>
      <w:r>
        <w:rPr>
          <w:rFonts w:ascii="Arial" w:cs="Arial" w:eastAsia="Arial" w:hAnsi="Arial"/>
          <w:sz w:val="18"/>
          <w:szCs w:val="18"/>
          <w:color w:val="auto"/>
        </w:rPr>
        <w:t>reporting units. As part of our current year analysis, we have considered how we expect the COVID-19 pandemic to impact our future operating results and short and long-term financial condition. In addition to the typical qualitative factors we consider as part of the assessment, we went through a process with each of our reporting units whereby we considered various scenarios for the remainder of the year, probability weighted for what we consider the most likely outcome given existing facts and circumstances. This process included consideration of the reporting unit's industry and customers, including customer liquidity, operational capacity given local government restrictions imposed to prevent spread of the COVID-19 virus, supply chain constraints that may exist as a result of the virus and ability of the subsidiary to reduce cash outflows. The results of the qualitative analysis indicated that it was more-likely-than-not that the fair value of our 5.11, ACI, Arnold, Liberty and Sterno reporting units exceeded their carrying value. Based on our analysis, we determined that our Ergobaby, Foam Fabricators and Velocity operating segments required quantitative testing because we could not conclude that the fair value of these reporting units significantly exceeded the carrying value based on qualitative factors alone.</w:t>
      </w:r>
    </w:p>
    <w:p>
      <w:pPr>
        <w:spacing w:after="0" w:line="15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performed the quantitative tests of Ergobaby, Foam Fabricators and Velocity using an income approach to determine the fair value of the reporting units. We were unable to use a market approach due to the current market conditions as a result of the COVID-19 pandemic resulting in significant volatility and lack of available market comparables. In developing the prospective financial information used in the income approach, we considered recent market conditions, taking into consideration the uncertainty associated with the COVID-19 pandemic and its economic fallout. The prospective financial information considers reporting unit specific facts and circumstances and is our best estimate of operational results and cash flows for each reporting unit as of the date of our impairment testing. For Ergobaby, the discount rate used in the income approach was 15.9% and the results of the quantitative impairment testing indicated that the fair value of the Ergobaby reporting unit exceeded the carrying value by 14.0%. For Foam Fabricators, the discount rate used in the income approach was 13.3%, and the results of the quantitative impairment testing indicated that the fair value of the Foam Fabricators reporting unit exceeded the carrying value by 3.8%. The impairment test for Velocity used a discount rate of 12.8% in the income approach, and the results of the quantitative impairment testing indicated that the fair value of the Velocity reporting unit exceeded the carrying value by 16.4%. The prospective financial information that is used to determine the fair values of the reporting units requires us to make assumptions regarding future operational results including revenue</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67" w:name="page68"/>
    <w:bookmarkEnd w:id="67"/>
    <w:p>
      <w:pPr>
        <w:jc w:val="both"/>
        <w:spacing w:after="0" w:line="261" w:lineRule="auto"/>
        <w:rPr>
          <w:sz w:val="20"/>
          <w:szCs w:val="20"/>
          <w:color w:val="auto"/>
        </w:rPr>
      </w:pPr>
      <w:r>
        <w:rPr>
          <w:rFonts w:ascii="Arial" w:cs="Arial" w:eastAsia="Arial" w:hAnsi="Arial"/>
          <w:sz w:val="18"/>
          <w:szCs w:val="18"/>
          <w:color w:val="auto"/>
        </w:rPr>
        <w:t>growth rates and gross margins. If we do not achieve the forecasted revenue growth rates and gross margins, the results of the quantitative testing could change, potentially leading to additional testing and impairment at the reporting units that were tested quantitatively.</w:t>
      </w:r>
    </w:p>
    <w:p>
      <w:pPr>
        <w:spacing w:after="0" w:line="12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2019 Interim Impairment Testing - </w:t>
      </w:r>
      <w:r>
        <w:rPr>
          <w:rFonts w:ascii="Arial" w:cs="Arial" w:eastAsia="Arial" w:hAnsi="Arial"/>
          <w:sz w:val="18"/>
          <w:szCs w:val="18"/>
          <w:color w:val="auto"/>
        </w:rPr>
        <w:t>As a result of operating results below forecasts as well as a re-forecast of the Velocity business in which</w:t>
      </w:r>
      <w:r>
        <w:rPr>
          <w:rFonts w:ascii="Arial" w:cs="Arial" w:eastAsia="Arial" w:hAnsi="Arial"/>
          <w:sz w:val="18"/>
          <w:szCs w:val="18"/>
          <w:i w:val="1"/>
          <w:iCs w:val="1"/>
          <w:color w:val="auto"/>
        </w:rPr>
        <w:t xml:space="preserve"> </w:t>
      </w:r>
      <w:r>
        <w:rPr>
          <w:rFonts w:ascii="Arial" w:cs="Arial" w:eastAsia="Arial" w:hAnsi="Arial"/>
          <w:sz w:val="18"/>
          <w:szCs w:val="18"/>
          <w:color w:val="auto"/>
        </w:rPr>
        <w:t>planned earnings and revenue fell below the forecasts of prior periods, we determined that a triggering event had occurred at Velocity Outdoor in the third quarter of 2019. We performed goodwill impairment testing at Velocity as of September 30, 2019. For the quantitative impairment test at Velocity, we utilized an income approach. Cash flow projections are based on management's estimate of revenue growth rates and operating margins, and take into consideration industry and market conditions as well as company specific economic factors. We used a weighted average cost of capital of 12.2% in the income approach. The discount rate used was based on the weighted average cost of capital adjusted for the relevant risk associated with business specific characteristics and Velocity's ability to execute on the projected cash flows. Based on the results of the impairment test, the fair value of Velocity did not exceed the carrying value, indicating that the goodwill at Velocity is impaired. The difference between the carrying value and fair value of the Velocity business was $32.9 million, which the Company recorded as impairment expense during the year ended December 31, 2019.</w:t>
      </w:r>
    </w:p>
    <w:p>
      <w:pPr>
        <w:spacing w:after="0" w:line="1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 xml:space="preserve">2019 Annual Impairment Testing </w:t>
      </w:r>
      <w:r>
        <w:rPr>
          <w:rFonts w:ascii="Arial" w:cs="Arial" w:eastAsia="Arial" w:hAnsi="Arial"/>
          <w:sz w:val="18"/>
          <w:szCs w:val="18"/>
          <w:color w:val="auto"/>
        </w:rPr>
        <w:t>- For our annual impairment testing at March 31, 2019, we determined that our Liberty operating segment</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quantitative testing because we could not conclude that the fair value of Liberty significantly exceeded its carrying value based on qualitative factors alone. We concluded the goodwill impairment testing during the quarter ended June 30, 2019. The results of the quantitative impairment testing of the Liberty reporting unit indicated that the fair value of the Liberty reporting unit exceeded the carrying value by 135%. All of our other reporting units were tested qualitatively as of March 31, 2019, and the results of the qualitative analysis indicated that the fair value exceeded their carrying value.</w:t>
      </w:r>
    </w:p>
    <w:p>
      <w:pPr>
        <w:spacing w:after="0" w:line="15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For the reporting units that were tested qualitatively for the 2019 annual impairment testing, the results of the qualitative analysis indicated that it was more-likely-than-not that the fair value exceeded their carrying value.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Indefinite-lived intangible assets</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use a qualitative approach to test indefinite lived intangible assets for impairment by first assessing qualitative factors to determine whether it is more-likely-than-not that the fair value of an indefinite-lived intangible asset is impaired as a basis for determining whether it is necessary to perform quantitative impairment testing. Our indefinite-lived intangible assets consist of trade names with a carrying value of approximately $ 60.0 million. The results of the qualitative analysis of our reporting unit's indefinite-lived intangible assets, which we completed as of March 31, 2020 and 2019, indicated that the fair value of the indefinite lived intangible assets exceeded their carrying value. The Ergobaby and Liberty reporting units have indefinite lived trade names that were tested in conjunction with the goodwill impairment tests at March 31, 2020 and March 31, 2019, respectively. The results of the quantitative impairment testing indicated that the trade names were not impaired.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 from Contracts with Customers</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recognizes revenue in accordance with the provisions of Revenue from Contracts with Customers, or ASC 606. The revenue standard outlines a single comprehensive model for entities to use in accounting for revenue arising from contracts with customers and supersedes most current revenue recognition guidance, including industry-specific guidance. In addition, the standard requires disclosure of the amount, timing and uncertainty of cash flows arising from contracts with customers.</w:t>
      </w:r>
    </w:p>
    <w:p>
      <w:pPr>
        <w:spacing w:after="0" w:line="9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Revenue is recognized when a customer obtains control of promised goods or services. The amount of revenue recognized reflects the consideration to which we expect to be entitled to receive in exchange for these goods or services, and excludes any sales incentives or taxes collected from customers which are subsequently remitted to government authorities. The Company’s contracts with customers often include promises to transfer multiple products to a customer. Determining whether the promises are considered distinct performance obligations that should be accounted for separately versus together may require significant judgment. Once the performance obligations are identified, the Company determines the transaction price, which includes estimating the amount of variable consideration to be included in the transaction price, if any. The Company then allocates the transaction price to each performance obligation in the contract based on a relative stand-alone selling price method. The corresponding revenues are recognized as the related performance obligations are satisfied as discussed above. Judgment is required to determine the standalone selling price for each distinct performance obligation. The Company determines standalone selling prices based on the price at which the performance obligation is sold separately and therefore observable.</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68" w:name="page69"/>
    <w:bookmarkEnd w:id="68"/>
    <w:p>
      <w:pPr>
        <w:jc w:val="both"/>
        <w:spacing w:after="0" w:line="251" w:lineRule="auto"/>
        <w:rPr>
          <w:sz w:val="20"/>
          <w:szCs w:val="20"/>
          <w:color w:val="auto"/>
        </w:rPr>
      </w:pPr>
      <w:r>
        <w:rPr>
          <w:rFonts w:ascii="Arial" w:cs="Arial" w:eastAsia="Arial" w:hAnsi="Arial"/>
          <w:sz w:val="18"/>
          <w:szCs w:val="18"/>
          <w:color w:val="auto"/>
        </w:rPr>
        <w:t>The Company’s policy around estimating variable consideration related to sales incentives (early pay discounts, rights of return, rebates, chargebacks, and other discounts) included in certain customer contracts remains consistent with previous guidance. These incentives are recorded as a reduction in the transaction price. Under the revenue standard guidance, variable consideration is estimated and included in total consideration at contract inception based on either the expected value method or the most likely outcome method. The method was applied consistently among each type of variable consideration and the Company applies the expected value method to estimate variable consideration. These estimates are based on historical experience, anticipated performance and the Company’s best judgment at the time and as a result, reflect applicable constraints. The Company includes in the transaction price an amount of variable consideration estimated in accordance with the new guidance only to the extent that it is probable that a significant reversal in the amount of cumulative revenue recognized will not occur when the uncertainty associated with the variable consideration is subsequently resolved.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Business Combinations</w:t>
      </w:r>
    </w:p>
    <w:p>
      <w:pPr>
        <w:spacing w:after="0" w:line="13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acquisitions of our businesses are accounted for under the acquisition method of accounting. Accounting for business combinations requires the use of estimates and assumptions in determining the fair value of assets acquired and liabilities assumed in order to allocate the purchase price. The estimates of fair value of the assets acquired and liabilities assumed are based upon assumptions believed to be reasonable using established valuation methods, taking into consideration information supplied by the management of the acquired entities and other relevant information. The determination of fair values requires significant judgment both by our management team and, when appropriate, valuations by independent third-party appraisers. We amortize intangible assets, such as trademarks and customer relationships, as well as property, plant and equipment, over their economic useful lives, unless those lives are indefinite. We consider factors such as historical information, our plans for the asset and similar assets held by our previously acquired portfolio companies. The impact could result in either higher or lower amortization and/or depreciation expense.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39" w:lineRule="exact"/>
        <w:rPr>
          <w:sz w:val="20"/>
          <w:szCs w:val="20"/>
          <w:color w:val="auto"/>
        </w:rPr>
      </w:pPr>
    </w:p>
    <w:p>
      <w:pPr>
        <w:jc w:val="both"/>
        <w:spacing w:after="0" w:line="261" w:lineRule="auto"/>
        <w:rPr>
          <w:rFonts w:ascii="Arial" w:cs="Arial" w:eastAsia="Arial" w:hAnsi="Arial"/>
          <w:sz w:val="18"/>
          <w:szCs w:val="18"/>
          <w:color w:val="auto"/>
        </w:rPr>
      </w:pPr>
      <w:r>
        <w:rPr>
          <w:rFonts w:ascii="Arial" w:cs="Arial" w:eastAsia="Arial" w:hAnsi="Arial"/>
          <w:sz w:val="18"/>
          <w:szCs w:val="18"/>
          <w:color w:val="auto"/>
        </w:rPr>
        <w:t xml:space="preserve">Refer to </w:t>
      </w:r>
      <w:hyperlink w:anchor="page12">
        <w:r>
          <w:rPr>
            <w:rFonts w:ascii="Arial" w:cs="Arial" w:eastAsia="Arial" w:hAnsi="Arial"/>
            <w:sz w:val="18"/>
            <w:szCs w:val="18"/>
            <w:u w:val="single" w:color="auto"/>
            <w:color w:val="0000FF"/>
          </w:rPr>
          <w:t>Note A - "Presentation and Principles of Consolidation"</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the condensed consolidated financial statements for a discussion of recent accounting pronouncements.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There have been no material changes to our market risk since December 31, 2019. For a further discussion of our exposure to market risk, refer to the section entitled "Quantitative and Qualitative Disclosures about Market Risk" that was disclosed in Part II, Item 7A of our Annual Report on Form 10-K for the year ended December 31, 2019, as filed with the SEC on February 26, 2020.</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required by Securities Exchange Act of 1934, as amended (the "Exchange Act") Rule 13a-15(b), Holdings’ Regular Trustees and the Company’s management, including the Chief Executive Officer and Chief Financial Officer of the Company, conducted an evaluation of the effectiveness of Holdings’ and the Company’s disclosure controls and procedures (as defined in Exchange Act Rules 13a-15(e) and 15d-15(e)), as of September 30, 2020. Based on that evaluation, the Holdings’ Regular Trustees and the Chief Executive Officer and Chief Financial Officer of the Company concluded that Holdings’ and the Company’s disclosure controls and procedures were effective as of September 30, 2020.</w:t>
      </w:r>
    </w:p>
    <w:p>
      <w:pPr>
        <w:spacing w:after="0" w:line="2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There have been no material changes in our internal control over financial reporting (as defined in Exchange Act Rules 13a-15(f) and 15d-15(f)) during our most recently completed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PART II</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INFORMATION</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8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There have been no material changes to those legal proceedings associated with the Company’s and Holdings’ business together with legal proceedings for the businesses discussed in the section entitled "Legal Proceedings" that was disclosed in Part I, Item 3 of our Annual Report on Form 10-K for the year ended December 31, 2019, as filed with the SEC on February 26, 2020.</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8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risk factors disclosed in our Annual Report on Form 10-K for the fiscal year ended December 31, 2019 and updated in our Quarterly Report on Form 10-Q for the quarter ended March 31, 2020 should be considered together with information included in this Quarterly Report on Form 10-Q for the quarter ended September 30, 2020 and should not be considered the only risks to which we are exposed. Additional risks and uncertainties not currently known to us or that we currently believe are immaterial also may impair our business, including our results of operations, liquidity and financial condition. We believe there have been no material changes from the risk factors previously disclosed in our Annual Report on Form 10-K for the fiscal year ended December 31, 2019, as updated by our Quarterly Report on Form 10-Q for the quarter ended March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70" w:name="page71"/>
    <w:bookmarkEnd w:id="70"/>
    <w:p>
      <w:pPr>
        <w:spacing w:after="0"/>
        <w:rPr>
          <w:sz w:val="20"/>
          <w:szCs w:val="20"/>
          <w:color w:val="auto"/>
        </w:rPr>
      </w:pPr>
      <w:r>
        <w:rPr>
          <w:rFonts w:ascii="Arial" w:cs="Arial" w:eastAsia="Arial" w:hAnsi="Arial"/>
          <w:sz w:val="17"/>
          <w:szCs w:val="17"/>
          <w:b w:val="1"/>
          <w:bCs w:val="1"/>
          <w:color w:val="auto"/>
        </w:rPr>
        <w:t>ITEM 6. EXHIBITS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440" w:type="dxa"/>
            <w:vAlign w:val="bottom"/>
            <w:gridSpan w:val="2"/>
          </w:tcPr>
          <w:p>
            <w:pPr>
              <w:spacing w:after="0"/>
              <w:rPr>
                <w:sz w:val="20"/>
                <w:szCs w:val="20"/>
                <w:color w:val="auto"/>
              </w:rPr>
            </w:pPr>
            <w:r>
              <w:rPr>
                <w:rFonts w:ascii="Arial" w:cs="Arial" w:eastAsia="Arial" w:hAnsi="Arial"/>
                <w:sz w:val="16"/>
                <w:szCs w:val="16"/>
                <w:b w:val="1"/>
                <w:bCs w:val="1"/>
                <w:color w:val="auto"/>
              </w:rPr>
              <w:t>Exhibit Number</w:t>
            </w:r>
          </w:p>
        </w:tc>
        <w:tc>
          <w:tcPr>
            <w:tcW w:w="8080" w:type="dxa"/>
            <w:vAlign w:val="bottom"/>
            <w:gridSpan w:val="8"/>
          </w:tcPr>
          <w:p>
            <w:pPr>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20"/>
        </w:trPr>
        <w:tc>
          <w:tcPr>
            <w:tcW w:w="120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1200" w:type="dxa"/>
            <w:vAlign w:val="bottom"/>
          </w:tcPr>
          <w:p>
            <w:pPr>
              <w:ind w:left="100"/>
              <w:spacing w:after="0"/>
              <w:rPr>
                <w:sz w:val="20"/>
                <w:szCs w:val="20"/>
                <w:color w:val="auto"/>
              </w:rPr>
            </w:pPr>
            <w:r>
              <w:rPr>
                <w:rFonts w:ascii="Arial" w:cs="Arial" w:eastAsia="Arial" w:hAnsi="Arial"/>
                <w:sz w:val="16"/>
                <w:szCs w:val="16"/>
                <w:color w:val="auto"/>
              </w:rPr>
              <w:t>31.1*</w:t>
            </w:r>
          </w:p>
        </w:tc>
        <w:tc>
          <w:tcPr>
            <w:tcW w:w="1240" w:type="dxa"/>
            <w:vAlign w:val="bottom"/>
          </w:tcPr>
          <w:p>
            <w:pPr>
              <w:spacing w:after="0"/>
              <w:rPr>
                <w:sz w:val="24"/>
                <w:szCs w:val="24"/>
                <w:color w:val="auto"/>
              </w:rPr>
            </w:pPr>
          </w:p>
        </w:tc>
        <w:tc>
          <w:tcPr>
            <w:tcW w:w="8080" w:type="dxa"/>
            <w:vAlign w:val="bottom"/>
            <w:gridSpan w:val="8"/>
          </w:tcPr>
          <w:p>
            <w:pPr>
              <w:spacing w:after="0"/>
              <w:rPr>
                <w:rFonts w:ascii="Arial" w:cs="Arial" w:eastAsia="Arial" w:hAnsi="Arial"/>
                <w:sz w:val="16"/>
                <w:szCs w:val="16"/>
                <w:u w:val="single" w:color="auto"/>
                <w:color w:val="0000FF"/>
              </w:rPr>
            </w:pPr>
            <w:hyperlink w:anchor="page74">
              <w:r>
                <w:rPr>
                  <w:rFonts w:ascii="Arial" w:cs="Arial" w:eastAsia="Arial" w:hAnsi="Arial"/>
                  <w:sz w:val="16"/>
                  <w:szCs w:val="16"/>
                  <w:u w:val="single" w:color="auto"/>
                  <w:color w:val="0000FF"/>
                </w:rPr>
                <w:t>Rule 13a-14(a)/15d-14(a) Certification of Chief Executive Officer of Registrant</w:t>
              </w:r>
            </w:hyperlink>
          </w:p>
        </w:tc>
        <w:tc>
          <w:tcPr>
            <w:tcW w:w="0" w:type="dxa"/>
            <w:vAlign w:val="bottom"/>
          </w:tcPr>
          <w:p>
            <w:pPr>
              <w:spacing w:after="0"/>
              <w:rPr>
                <w:sz w:val="1"/>
                <w:szCs w:val="1"/>
                <w:color w:val="auto"/>
              </w:rPr>
            </w:pPr>
          </w:p>
        </w:tc>
      </w:tr>
      <w:tr>
        <w:trPr>
          <w:trHeight w:val="343"/>
        </w:trPr>
        <w:tc>
          <w:tcPr>
            <w:tcW w:w="1200" w:type="dxa"/>
            <w:vAlign w:val="bottom"/>
          </w:tcPr>
          <w:p>
            <w:pPr>
              <w:ind w:left="100"/>
              <w:spacing w:after="0"/>
              <w:rPr>
                <w:sz w:val="20"/>
                <w:szCs w:val="20"/>
                <w:color w:val="auto"/>
              </w:rPr>
            </w:pPr>
            <w:r>
              <w:rPr>
                <w:rFonts w:ascii="Arial" w:cs="Arial" w:eastAsia="Arial" w:hAnsi="Arial"/>
                <w:sz w:val="16"/>
                <w:szCs w:val="16"/>
                <w:color w:val="auto"/>
              </w:rPr>
              <w:t>31.2*</w:t>
            </w:r>
          </w:p>
        </w:tc>
        <w:tc>
          <w:tcPr>
            <w:tcW w:w="1240" w:type="dxa"/>
            <w:vAlign w:val="bottom"/>
          </w:tcPr>
          <w:p>
            <w:pPr>
              <w:spacing w:after="0"/>
              <w:rPr>
                <w:sz w:val="24"/>
                <w:szCs w:val="24"/>
                <w:color w:val="auto"/>
              </w:rPr>
            </w:pPr>
          </w:p>
        </w:tc>
        <w:tc>
          <w:tcPr>
            <w:tcW w:w="8080" w:type="dxa"/>
            <w:vAlign w:val="bottom"/>
            <w:gridSpan w:val="8"/>
          </w:tcPr>
          <w:p>
            <w:pPr>
              <w:spacing w:after="0"/>
              <w:rPr>
                <w:rFonts w:ascii="Arial" w:cs="Arial" w:eastAsia="Arial" w:hAnsi="Arial"/>
                <w:sz w:val="16"/>
                <w:szCs w:val="16"/>
                <w:color w:val="0000FF"/>
              </w:rPr>
            </w:pPr>
            <w:hyperlink w:anchor="page75">
              <w:r>
                <w:rPr>
                  <w:rFonts w:ascii="Arial" w:cs="Arial" w:eastAsia="Arial" w:hAnsi="Arial"/>
                  <w:sz w:val="16"/>
                  <w:szCs w:val="16"/>
                  <w:u w:val="single" w:color="auto"/>
                  <w:color w:val="0000FF"/>
                </w:rPr>
                <w:t>Rule 13a-14(a)/15d-14(a) Rule 13a-14(a)/15d-14(a) Certification of Chief Financial Officer of Registrant</w:t>
              </w:r>
              <w:r>
                <w:rPr>
                  <w:rFonts w:ascii="Arial" w:cs="Arial" w:eastAsia="Arial" w:hAnsi="Arial"/>
                  <w:sz w:val="16"/>
                  <w:szCs w:val="16"/>
                  <w:color w:val="0000FF"/>
                </w:rPr>
                <w:t xml:space="preserve"> of Chief</w:t>
              </w:r>
            </w:hyperlink>
          </w:p>
        </w:tc>
        <w:tc>
          <w:tcPr>
            <w:tcW w:w="0" w:type="dxa"/>
            <w:vAlign w:val="bottom"/>
          </w:tcPr>
          <w:p>
            <w:pPr>
              <w:spacing w:after="0"/>
              <w:rPr>
                <w:sz w:val="1"/>
                <w:szCs w:val="1"/>
                <w:color w:val="auto"/>
              </w:rPr>
            </w:pPr>
          </w:p>
        </w:tc>
      </w:tr>
      <w:tr>
        <w:trPr>
          <w:trHeight w:val="142"/>
        </w:trPr>
        <w:tc>
          <w:tcPr>
            <w:tcW w:w="1200" w:type="dxa"/>
            <w:vAlign w:val="bottom"/>
            <w:vMerge w:val="restart"/>
          </w:tcPr>
          <w:p>
            <w:pPr>
              <w:ind w:left="120"/>
              <w:spacing w:after="0"/>
              <w:rPr>
                <w:sz w:val="20"/>
                <w:szCs w:val="20"/>
                <w:color w:val="auto"/>
              </w:rPr>
            </w:pPr>
            <w:r>
              <w:rPr>
                <w:rFonts w:ascii="Arial" w:cs="Arial" w:eastAsia="Arial" w:hAnsi="Arial"/>
                <w:sz w:val="16"/>
                <w:szCs w:val="16"/>
                <w:color w:val="auto"/>
              </w:rPr>
              <w:t>32.1*</w:t>
            </w:r>
            <w:r>
              <w:rPr>
                <w:rFonts w:ascii="Arial" w:cs="Arial" w:eastAsia="Arial" w:hAnsi="Arial"/>
                <w:sz w:val="21"/>
                <w:szCs w:val="21"/>
                <w:color w:val="auto"/>
                <w:vertAlign w:val="superscript"/>
              </w:rPr>
              <w:t>+</w:t>
            </w:r>
          </w:p>
        </w:tc>
        <w:tc>
          <w:tcPr>
            <w:tcW w:w="1240" w:type="dxa"/>
            <w:vAlign w:val="bottom"/>
          </w:tcPr>
          <w:p>
            <w:pPr>
              <w:spacing w:after="0"/>
              <w:rPr>
                <w:sz w:val="12"/>
                <w:szCs w:val="12"/>
                <w:color w:val="auto"/>
              </w:rPr>
            </w:pPr>
          </w:p>
        </w:tc>
        <w:tc>
          <w:tcPr>
            <w:tcW w:w="7380" w:type="dxa"/>
            <w:vAlign w:val="bottom"/>
            <w:gridSpan w:val="4"/>
          </w:tcPr>
          <w:p>
            <w:pPr>
              <w:spacing w:after="0" w:line="142" w:lineRule="exact"/>
              <w:rPr>
                <w:rFonts w:ascii="Arial" w:cs="Arial" w:eastAsia="Arial" w:hAnsi="Arial"/>
                <w:sz w:val="16"/>
                <w:szCs w:val="16"/>
                <w:color w:val="0000FF"/>
              </w:rPr>
            </w:pPr>
            <w:hyperlink w:anchor="page75">
              <w:r>
                <w:rPr>
                  <w:rFonts w:ascii="Arial" w:cs="Arial" w:eastAsia="Arial" w:hAnsi="Arial"/>
                  <w:sz w:val="16"/>
                  <w:szCs w:val="16"/>
                  <w:color w:val="0000FF"/>
                </w:rPr>
                <w:t>Financial Officer of Registrant</w:t>
              </w:r>
            </w:hyperlink>
          </w:p>
        </w:tc>
        <w:tc>
          <w:tcPr>
            <w:tcW w:w="6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00" w:type="dxa"/>
            <w:vAlign w:val="bottom"/>
            <w:vMerge w:val="continu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120" w:type="dxa"/>
            <w:vAlign w:val="bottom"/>
            <w:gridSpan w:val="2"/>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6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20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8080" w:type="dxa"/>
            <w:vAlign w:val="bottom"/>
            <w:gridSpan w:val="8"/>
          </w:tcPr>
          <w:p>
            <w:pPr>
              <w:spacing w:after="0"/>
              <w:rPr>
                <w:rFonts w:ascii="Arial" w:cs="Arial" w:eastAsia="Arial" w:hAnsi="Arial"/>
                <w:sz w:val="16"/>
                <w:szCs w:val="16"/>
                <w:color w:val="0000FF"/>
              </w:rPr>
            </w:pPr>
            <w:hyperlink w:anchor="page76">
              <w:r>
                <w:rPr>
                  <w:rFonts w:ascii="Arial" w:cs="Arial" w:eastAsia="Arial" w:hAnsi="Arial"/>
                  <w:sz w:val="16"/>
                  <w:szCs w:val="16"/>
                  <w:color w:val="0000FF"/>
                </w:rPr>
                <w:t>Certification of Chief Executive Officer of Registrant pursuant to 18 U.S.C. Section 1350, as adopted pursuant to</w:t>
              </w:r>
            </w:hyperlink>
          </w:p>
        </w:tc>
        <w:tc>
          <w:tcPr>
            <w:tcW w:w="0" w:type="dxa"/>
            <w:vAlign w:val="bottom"/>
          </w:tcPr>
          <w:p>
            <w:pPr>
              <w:spacing w:after="0"/>
              <w:rPr>
                <w:sz w:val="1"/>
                <w:szCs w:val="1"/>
                <w:color w:val="auto"/>
              </w:rPr>
            </w:pPr>
          </w:p>
        </w:tc>
      </w:tr>
      <w:tr>
        <w:trPr>
          <w:trHeight w:val="142"/>
        </w:trPr>
        <w:tc>
          <w:tcPr>
            <w:tcW w:w="1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380" w:type="dxa"/>
            <w:vAlign w:val="bottom"/>
            <w:tcBorders>
              <w:top w:val="single" w:sz="8" w:color="0000FF"/>
              <w:bottom w:val="single" w:sz="8" w:color="0000FF"/>
            </w:tcBorders>
            <w:gridSpan w:val="3"/>
          </w:tcPr>
          <w:p>
            <w:pPr>
              <w:spacing w:after="0" w:line="142" w:lineRule="exact"/>
              <w:rPr>
                <w:rFonts w:ascii="Arial" w:cs="Arial" w:eastAsia="Arial" w:hAnsi="Arial"/>
                <w:sz w:val="16"/>
                <w:szCs w:val="16"/>
                <w:color w:val="0000FF"/>
              </w:rPr>
            </w:pPr>
            <w:hyperlink w:anchor="page76">
              <w:r>
                <w:rPr>
                  <w:rFonts w:ascii="Arial" w:cs="Arial" w:eastAsia="Arial" w:hAnsi="Arial"/>
                  <w:sz w:val="16"/>
                  <w:szCs w:val="16"/>
                  <w:color w:val="0000FF"/>
                </w:rPr>
                <w:t>Section 906 of the Sarbanes-Oxley Act of 2002</w:t>
              </w:r>
            </w:hyperlink>
          </w:p>
        </w:tc>
        <w:tc>
          <w:tcPr>
            <w:tcW w:w="4640" w:type="dxa"/>
            <w:vAlign w:val="bottom"/>
            <w:tcBorders>
              <w:top w:val="single" w:sz="8" w:color="0000FF"/>
            </w:tcBorders>
            <w:gridSpan w:val="4"/>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58"/>
        </w:trPr>
        <w:tc>
          <w:tcPr>
            <w:tcW w:w="1200" w:type="dxa"/>
            <w:vAlign w:val="bottom"/>
          </w:tcPr>
          <w:p>
            <w:pPr>
              <w:ind w:left="120"/>
              <w:spacing w:after="0"/>
              <w:rPr>
                <w:sz w:val="20"/>
                <w:szCs w:val="20"/>
                <w:color w:val="auto"/>
              </w:rPr>
            </w:pPr>
            <w:r>
              <w:rPr>
                <w:rFonts w:ascii="Arial" w:cs="Arial" w:eastAsia="Arial" w:hAnsi="Arial"/>
                <w:sz w:val="16"/>
                <w:szCs w:val="16"/>
                <w:color w:val="auto"/>
              </w:rPr>
              <w:t>32.2*</w:t>
            </w:r>
            <w:r>
              <w:rPr>
                <w:rFonts w:ascii="Arial" w:cs="Arial" w:eastAsia="Arial" w:hAnsi="Arial"/>
                <w:sz w:val="21"/>
                <w:szCs w:val="21"/>
                <w:color w:val="auto"/>
                <w:vertAlign w:val="superscript"/>
              </w:rPr>
              <w:t>+</w:t>
            </w:r>
          </w:p>
        </w:tc>
        <w:tc>
          <w:tcPr>
            <w:tcW w:w="1240" w:type="dxa"/>
            <w:vAlign w:val="bottom"/>
          </w:tcPr>
          <w:p>
            <w:pPr>
              <w:spacing w:after="0"/>
              <w:rPr>
                <w:sz w:val="24"/>
                <w:szCs w:val="24"/>
                <w:color w:val="auto"/>
              </w:rPr>
            </w:pPr>
          </w:p>
        </w:tc>
        <w:tc>
          <w:tcPr>
            <w:tcW w:w="8080" w:type="dxa"/>
            <w:vAlign w:val="bottom"/>
            <w:gridSpan w:val="8"/>
          </w:tcPr>
          <w:p>
            <w:pPr>
              <w:spacing w:after="0"/>
              <w:rPr>
                <w:rFonts w:ascii="Arial" w:cs="Arial" w:eastAsia="Arial" w:hAnsi="Arial"/>
                <w:sz w:val="16"/>
                <w:szCs w:val="16"/>
                <w:color w:val="0000FF"/>
              </w:rPr>
            </w:pPr>
            <w:hyperlink w:anchor="page77">
              <w:r>
                <w:rPr>
                  <w:rFonts w:ascii="Arial" w:cs="Arial" w:eastAsia="Arial" w:hAnsi="Arial"/>
                  <w:sz w:val="16"/>
                  <w:szCs w:val="16"/>
                  <w:color w:val="0000FF"/>
                </w:rPr>
                <w:t>Certification of Chief Financial Officer of Registrant pursuant to 18 U.S.C. Section 1350, as adopted pursuant to</w:t>
              </w:r>
            </w:hyperlink>
          </w:p>
        </w:tc>
        <w:tc>
          <w:tcPr>
            <w:tcW w:w="0" w:type="dxa"/>
            <w:vAlign w:val="bottom"/>
          </w:tcPr>
          <w:p>
            <w:pPr>
              <w:spacing w:after="0"/>
              <w:rPr>
                <w:sz w:val="1"/>
                <w:szCs w:val="1"/>
                <w:color w:val="auto"/>
              </w:rPr>
            </w:pPr>
          </w:p>
        </w:tc>
      </w:tr>
      <w:tr>
        <w:trPr>
          <w:trHeight w:val="142"/>
        </w:trPr>
        <w:tc>
          <w:tcPr>
            <w:tcW w:w="1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380" w:type="dxa"/>
            <w:vAlign w:val="bottom"/>
            <w:tcBorders>
              <w:top w:val="single" w:sz="8" w:color="0000FF"/>
              <w:bottom w:val="single" w:sz="8" w:color="0000FF"/>
            </w:tcBorders>
            <w:gridSpan w:val="3"/>
          </w:tcPr>
          <w:p>
            <w:pPr>
              <w:spacing w:after="0" w:line="142" w:lineRule="exact"/>
              <w:rPr>
                <w:rFonts w:ascii="Arial" w:cs="Arial" w:eastAsia="Arial" w:hAnsi="Arial"/>
                <w:sz w:val="16"/>
                <w:szCs w:val="16"/>
                <w:color w:val="0000FF"/>
              </w:rPr>
            </w:pPr>
            <w:hyperlink w:anchor="page77">
              <w:r>
                <w:rPr>
                  <w:rFonts w:ascii="Arial" w:cs="Arial" w:eastAsia="Arial" w:hAnsi="Arial"/>
                  <w:sz w:val="16"/>
                  <w:szCs w:val="16"/>
                  <w:color w:val="0000FF"/>
                </w:rPr>
                <w:t>Section 906 of the Sarbanes-Oxley Act of 2002</w:t>
              </w:r>
            </w:hyperlink>
          </w:p>
        </w:tc>
        <w:tc>
          <w:tcPr>
            <w:tcW w:w="4600" w:type="dxa"/>
            <w:vAlign w:val="bottom"/>
            <w:tcBorders>
              <w:top w:val="single" w:sz="8" w:color="0000FF"/>
            </w:tcBorders>
            <w:gridSpan w:val="2"/>
          </w:tcPr>
          <w:p>
            <w:pPr>
              <w:spacing w:after="0"/>
              <w:rPr>
                <w:sz w:val="12"/>
                <w:szCs w:val="12"/>
                <w:color w:val="auto"/>
              </w:rPr>
            </w:pPr>
          </w:p>
        </w:tc>
        <w:tc>
          <w:tcPr>
            <w:tcW w:w="10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468"/>
        </w:trPr>
        <w:tc>
          <w:tcPr>
            <w:tcW w:w="2440" w:type="dxa"/>
            <w:vAlign w:val="bottom"/>
            <w:gridSpan w:val="2"/>
          </w:tcPr>
          <w:p>
            <w:pPr>
              <w:spacing w:after="0"/>
              <w:rPr>
                <w:sz w:val="20"/>
                <w:szCs w:val="20"/>
                <w:color w:val="auto"/>
              </w:rPr>
            </w:pPr>
            <w:r>
              <w:rPr>
                <w:rFonts w:ascii="Arial" w:cs="Arial" w:eastAsia="Arial" w:hAnsi="Arial"/>
                <w:sz w:val="16"/>
                <w:szCs w:val="16"/>
                <w:color w:val="auto"/>
              </w:rPr>
              <w:t>101.INS*</w:t>
            </w:r>
          </w:p>
        </w:tc>
        <w:tc>
          <w:tcPr>
            <w:tcW w:w="8080" w:type="dxa"/>
            <w:vAlign w:val="bottom"/>
            <w:gridSpan w:val="8"/>
          </w:tcPr>
          <w:p>
            <w:pPr>
              <w:spacing w:after="0"/>
              <w:rPr>
                <w:sz w:val="20"/>
                <w:szCs w:val="20"/>
                <w:color w:val="auto"/>
              </w:rPr>
            </w:pPr>
            <w:r>
              <w:rPr>
                <w:rFonts w:ascii="Arial" w:cs="Arial" w:eastAsia="Arial" w:hAnsi="Arial"/>
                <w:sz w:val="16"/>
                <w:szCs w:val="16"/>
                <w:color w:val="auto"/>
              </w:rPr>
              <w:t>Inline XBRL Instance Document - the instance document does not appear in the Interactive Data File because its</w:t>
            </w:r>
          </w:p>
        </w:tc>
        <w:tc>
          <w:tcPr>
            <w:tcW w:w="0" w:type="dxa"/>
            <w:vAlign w:val="bottom"/>
          </w:tcPr>
          <w:p>
            <w:pPr>
              <w:spacing w:after="0"/>
              <w:rPr>
                <w:sz w:val="1"/>
                <w:szCs w:val="1"/>
                <w:color w:val="auto"/>
              </w:rPr>
            </w:pPr>
          </w:p>
        </w:tc>
      </w:tr>
      <w:tr>
        <w:trPr>
          <w:trHeight w:val="195"/>
        </w:trPr>
        <w:tc>
          <w:tcPr>
            <w:tcW w:w="1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80" w:type="dxa"/>
            <w:vAlign w:val="bottom"/>
            <w:gridSpan w:val="8"/>
          </w:tcPr>
          <w:p>
            <w:pPr>
              <w:spacing w:after="0"/>
              <w:rPr>
                <w:sz w:val="20"/>
                <w:szCs w:val="20"/>
                <w:color w:val="auto"/>
              </w:rPr>
            </w:pPr>
            <w:r>
              <w:rPr>
                <w:rFonts w:ascii="Arial" w:cs="Arial" w:eastAsia="Arial" w:hAnsi="Arial"/>
                <w:sz w:val="16"/>
                <w:szCs w:val="16"/>
                <w:color w:val="auto"/>
              </w:rPr>
              <w:t>XBRL tags are embedded within the Inline XBRL document.</w:t>
            </w:r>
          </w:p>
        </w:tc>
        <w:tc>
          <w:tcPr>
            <w:tcW w:w="0" w:type="dxa"/>
            <w:vAlign w:val="bottom"/>
          </w:tcPr>
          <w:p>
            <w:pPr>
              <w:spacing w:after="0"/>
              <w:rPr>
                <w:sz w:val="1"/>
                <w:szCs w:val="1"/>
                <w:color w:val="auto"/>
              </w:rPr>
            </w:pPr>
          </w:p>
        </w:tc>
      </w:tr>
      <w:tr>
        <w:trPr>
          <w:trHeight w:val="486"/>
        </w:trPr>
        <w:tc>
          <w:tcPr>
            <w:tcW w:w="2440" w:type="dxa"/>
            <w:vAlign w:val="bottom"/>
            <w:gridSpan w:val="2"/>
          </w:tcPr>
          <w:p>
            <w:pPr>
              <w:spacing w:after="0"/>
              <w:rPr>
                <w:sz w:val="20"/>
                <w:szCs w:val="20"/>
                <w:color w:val="auto"/>
              </w:rPr>
            </w:pPr>
            <w:r>
              <w:rPr>
                <w:rFonts w:ascii="Arial" w:cs="Arial" w:eastAsia="Arial" w:hAnsi="Arial"/>
                <w:sz w:val="16"/>
                <w:szCs w:val="16"/>
                <w:color w:val="auto"/>
              </w:rPr>
              <w:t>101.SCH*</w:t>
            </w:r>
          </w:p>
        </w:tc>
        <w:tc>
          <w:tcPr>
            <w:tcW w:w="8080" w:type="dxa"/>
            <w:vAlign w:val="bottom"/>
            <w:gridSpan w:val="8"/>
          </w:tcPr>
          <w:p>
            <w:pPr>
              <w:spacing w:after="0"/>
              <w:rPr>
                <w:sz w:val="20"/>
                <w:szCs w:val="20"/>
                <w:color w:val="auto"/>
              </w:rPr>
            </w:pPr>
            <w:r>
              <w:rPr>
                <w:rFonts w:ascii="Arial" w:cs="Arial" w:eastAsia="Arial" w:hAnsi="Arial"/>
                <w:sz w:val="16"/>
                <w:szCs w:val="16"/>
                <w:color w:val="auto"/>
              </w:rPr>
              <w:t>Inline XBRL Taxonomy Extension Schema Document</w:t>
            </w:r>
          </w:p>
        </w:tc>
        <w:tc>
          <w:tcPr>
            <w:tcW w:w="0" w:type="dxa"/>
            <w:vAlign w:val="bottom"/>
          </w:tcPr>
          <w:p>
            <w:pPr>
              <w:spacing w:after="0"/>
              <w:rPr>
                <w:sz w:val="1"/>
                <w:szCs w:val="1"/>
                <w:color w:val="auto"/>
              </w:rPr>
            </w:pPr>
          </w:p>
        </w:tc>
      </w:tr>
      <w:tr>
        <w:trPr>
          <w:trHeight w:val="486"/>
        </w:trPr>
        <w:tc>
          <w:tcPr>
            <w:tcW w:w="2440" w:type="dxa"/>
            <w:vAlign w:val="bottom"/>
            <w:gridSpan w:val="2"/>
          </w:tcPr>
          <w:p>
            <w:pPr>
              <w:spacing w:after="0"/>
              <w:rPr>
                <w:sz w:val="20"/>
                <w:szCs w:val="20"/>
                <w:color w:val="auto"/>
              </w:rPr>
            </w:pPr>
            <w:r>
              <w:rPr>
                <w:rFonts w:ascii="Arial" w:cs="Arial" w:eastAsia="Arial" w:hAnsi="Arial"/>
                <w:sz w:val="16"/>
                <w:szCs w:val="16"/>
                <w:color w:val="auto"/>
              </w:rPr>
              <w:t>101.CAL*</w:t>
            </w:r>
          </w:p>
        </w:tc>
        <w:tc>
          <w:tcPr>
            <w:tcW w:w="8080" w:type="dxa"/>
            <w:vAlign w:val="bottom"/>
            <w:gridSpan w:val="8"/>
          </w:tcPr>
          <w:p>
            <w:pPr>
              <w:spacing w:after="0"/>
              <w:rPr>
                <w:sz w:val="20"/>
                <w:szCs w:val="20"/>
                <w:color w:val="auto"/>
              </w:rPr>
            </w:pPr>
            <w:r>
              <w:rPr>
                <w:rFonts w:ascii="Arial" w:cs="Arial" w:eastAsia="Arial" w:hAnsi="Arial"/>
                <w:sz w:val="16"/>
                <w:szCs w:val="16"/>
                <w:color w:val="auto"/>
              </w:rPr>
              <w:t>Inline XBRL Taxonomy Extension Calculation Linkbase Document</w:t>
            </w:r>
          </w:p>
        </w:tc>
        <w:tc>
          <w:tcPr>
            <w:tcW w:w="0" w:type="dxa"/>
            <w:vAlign w:val="bottom"/>
          </w:tcPr>
          <w:p>
            <w:pPr>
              <w:spacing w:after="0"/>
              <w:rPr>
                <w:sz w:val="1"/>
                <w:szCs w:val="1"/>
                <w:color w:val="auto"/>
              </w:rPr>
            </w:pPr>
          </w:p>
        </w:tc>
      </w:tr>
      <w:tr>
        <w:trPr>
          <w:trHeight w:val="486"/>
        </w:trPr>
        <w:tc>
          <w:tcPr>
            <w:tcW w:w="2440" w:type="dxa"/>
            <w:vAlign w:val="bottom"/>
            <w:gridSpan w:val="2"/>
          </w:tcPr>
          <w:p>
            <w:pPr>
              <w:spacing w:after="0"/>
              <w:rPr>
                <w:sz w:val="20"/>
                <w:szCs w:val="20"/>
                <w:color w:val="auto"/>
              </w:rPr>
            </w:pPr>
            <w:r>
              <w:rPr>
                <w:rFonts w:ascii="Arial" w:cs="Arial" w:eastAsia="Arial" w:hAnsi="Arial"/>
                <w:sz w:val="16"/>
                <w:szCs w:val="16"/>
                <w:color w:val="auto"/>
              </w:rPr>
              <w:t>101.DEF*</w:t>
            </w:r>
          </w:p>
        </w:tc>
        <w:tc>
          <w:tcPr>
            <w:tcW w:w="8080" w:type="dxa"/>
            <w:vAlign w:val="bottom"/>
            <w:gridSpan w:val="8"/>
          </w:tcPr>
          <w:p>
            <w:pPr>
              <w:spacing w:after="0"/>
              <w:rPr>
                <w:sz w:val="20"/>
                <w:szCs w:val="20"/>
                <w:color w:val="auto"/>
              </w:rPr>
            </w:pPr>
            <w:r>
              <w:rPr>
                <w:rFonts w:ascii="Arial" w:cs="Arial" w:eastAsia="Arial" w:hAnsi="Arial"/>
                <w:sz w:val="16"/>
                <w:szCs w:val="16"/>
                <w:color w:val="auto"/>
              </w:rPr>
              <w:t>Inline XBRL Taxonomy Extension Definition Linkbase Document</w:t>
            </w:r>
          </w:p>
        </w:tc>
        <w:tc>
          <w:tcPr>
            <w:tcW w:w="0" w:type="dxa"/>
            <w:vAlign w:val="bottom"/>
          </w:tcPr>
          <w:p>
            <w:pPr>
              <w:spacing w:after="0"/>
              <w:rPr>
                <w:sz w:val="1"/>
                <w:szCs w:val="1"/>
                <w:color w:val="auto"/>
              </w:rPr>
            </w:pPr>
          </w:p>
        </w:tc>
      </w:tr>
      <w:tr>
        <w:trPr>
          <w:trHeight w:val="486"/>
        </w:trPr>
        <w:tc>
          <w:tcPr>
            <w:tcW w:w="2440" w:type="dxa"/>
            <w:vAlign w:val="bottom"/>
            <w:gridSpan w:val="2"/>
          </w:tcPr>
          <w:p>
            <w:pPr>
              <w:spacing w:after="0"/>
              <w:rPr>
                <w:sz w:val="20"/>
                <w:szCs w:val="20"/>
                <w:color w:val="auto"/>
              </w:rPr>
            </w:pPr>
            <w:r>
              <w:rPr>
                <w:rFonts w:ascii="Arial" w:cs="Arial" w:eastAsia="Arial" w:hAnsi="Arial"/>
                <w:sz w:val="16"/>
                <w:szCs w:val="16"/>
                <w:color w:val="auto"/>
              </w:rPr>
              <w:t>101.LAB*</w:t>
            </w:r>
          </w:p>
        </w:tc>
        <w:tc>
          <w:tcPr>
            <w:tcW w:w="8080" w:type="dxa"/>
            <w:vAlign w:val="bottom"/>
            <w:gridSpan w:val="8"/>
          </w:tcPr>
          <w:p>
            <w:pPr>
              <w:spacing w:after="0"/>
              <w:rPr>
                <w:sz w:val="20"/>
                <w:szCs w:val="20"/>
                <w:color w:val="auto"/>
              </w:rPr>
            </w:pPr>
            <w:r>
              <w:rPr>
                <w:rFonts w:ascii="Arial" w:cs="Arial" w:eastAsia="Arial" w:hAnsi="Arial"/>
                <w:sz w:val="16"/>
                <w:szCs w:val="16"/>
                <w:color w:val="auto"/>
              </w:rPr>
              <w:t>Inline XBRL Taxonomy Extension Label Linkbase Document</w:t>
            </w:r>
          </w:p>
        </w:tc>
        <w:tc>
          <w:tcPr>
            <w:tcW w:w="0" w:type="dxa"/>
            <w:vAlign w:val="bottom"/>
          </w:tcPr>
          <w:p>
            <w:pPr>
              <w:spacing w:after="0"/>
              <w:rPr>
                <w:sz w:val="1"/>
                <w:szCs w:val="1"/>
                <w:color w:val="auto"/>
              </w:rPr>
            </w:pPr>
          </w:p>
        </w:tc>
      </w:tr>
      <w:tr>
        <w:trPr>
          <w:trHeight w:val="486"/>
        </w:trPr>
        <w:tc>
          <w:tcPr>
            <w:tcW w:w="2440" w:type="dxa"/>
            <w:vAlign w:val="bottom"/>
            <w:gridSpan w:val="2"/>
          </w:tcPr>
          <w:p>
            <w:pPr>
              <w:spacing w:after="0"/>
              <w:rPr>
                <w:sz w:val="20"/>
                <w:szCs w:val="20"/>
                <w:color w:val="auto"/>
              </w:rPr>
            </w:pPr>
            <w:r>
              <w:rPr>
                <w:rFonts w:ascii="Arial" w:cs="Arial" w:eastAsia="Arial" w:hAnsi="Arial"/>
                <w:sz w:val="16"/>
                <w:szCs w:val="16"/>
                <w:color w:val="auto"/>
              </w:rPr>
              <w:t>101.PRE*</w:t>
            </w:r>
          </w:p>
        </w:tc>
        <w:tc>
          <w:tcPr>
            <w:tcW w:w="8080" w:type="dxa"/>
            <w:vAlign w:val="bottom"/>
            <w:gridSpan w:val="8"/>
          </w:tcPr>
          <w:p>
            <w:pPr>
              <w:spacing w:after="0"/>
              <w:rPr>
                <w:sz w:val="20"/>
                <w:szCs w:val="20"/>
                <w:color w:val="auto"/>
              </w:rPr>
            </w:pPr>
            <w:r>
              <w:rPr>
                <w:rFonts w:ascii="Arial" w:cs="Arial" w:eastAsia="Arial" w:hAnsi="Arial"/>
                <w:sz w:val="16"/>
                <w:szCs w:val="16"/>
                <w:color w:val="auto"/>
              </w:rPr>
              <w:t>Inline XBRL Taxonomy Extension Presentation Linkbase Document</w:t>
            </w:r>
          </w:p>
        </w:tc>
        <w:tc>
          <w:tcPr>
            <w:tcW w:w="0" w:type="dxa"/>
            <w:vAlign w:val="bottom"/>
          </w:tcPr>
          <w:p>
            <w:pPr>
              <w:spacing w:after="0"/>
              <w:rPr>
                <w:sz w:val="1"/>
                <w:szCs w:val="1"/>
                <w:color w:val="auto"/>
              </w:rPr>
            </w:pPr>
          </w:p>
        </w:tc>
      </w:tr>
      <w:tr>
        <w:trPr>
          <w:trHeight w:val="472"/>
        </w:trPr>
        <w:tc>
          <w:tcPr>
            <w:tcW w:w="1200" w:type="dxa"/>
            <w:vAlign w:val="bottom"/>
          </w:tcPr>
          <w:p>
            <w:pPr>
              <w:spacing w:after="0"/>
              <w:rPr>
                <w:sz w:val="20"/>
                <w:szCs w:val="20"/>
                <w:color w:val="auto"/>
              </w:rPr>
            </w:pPr>
            <w:r>
              <w:rPr>
                <w:rFonts w:ascii="Arial" w:cs="Arial" w:eastAsia="Arial" w:hAnsi="Arial"/>
                <w:sz w:val="16"/>
                <w:szCs w:val="16"/>
                <w:color w:val="auto"/>
              </w:rPr>
              <w:t>104</w:t>
            </w:r>
          </w:p>
        </w:tc>
        <w:tc>
          <w:tcPr>
            <w:tcW w:w="1240" w:type="dxa"/>
            <w:vAlign w:val="bottom"/>
          </w:tcPr>
          <w:p>
            <w:pPr>
              <w:spacing w:after="0"/>
              <w:rPr>
                <w:sz w:val="24"/>
                <w:szCs w:val="24"/>
                <w:color w:val="auto"/>
              </w:rPr>
            </w:pPr>
          </w:p>
        </w:tc>
        <w:tc>
          <w:tcPr>
            <w:tcW w:w="8080" w:type="dxa"/>
            <w:vAlign w:val="bottom"/>
            <w:gridSpan w:val="8"/>
          </w:tcPr>
          <w:p>
            <w:pPr>
              <w:spacing w:after="0"/>
              <w:rPr>
                <w:sz w:val="20"/>
                <w:szCs w:val="20"/>
                <w:color w:val="auto"/>
              </w:rPr>
            </w:pPr>
            <w:r>
              <w:rPr>
                <w:rFonts w:ascii="Arial" w:cs="Arial" w:eastAsia="Arial" w:hAnsi="Arial"/>
                <w:sz w:val="16"/>
                <w:szCs w:val="16"/>
                <w:color w:val="auto"/>
              </w:rPr>
              <w:t>Cover page formatted as Inline XBRL and contained in Exhibit 101</w:t>
            </w: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1400" w:hanging="1394"/>
        <w:spacing w:after="0"/>
        <w:tabs>
          <w:tab w:leader="none" w:pos="14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Filed herewith.</w:t>
      </w:r>
    </w:p>
    <w:p>
      <w:pPr>
        <w:spacing w:after="0" w:line="86" w:lineRule="exact"/>
        <w:rPr>
          <w:sz w:val="20"/>
          <w:szCs w:val="20"/>
          <w:color w:val="auto"/>
        </w:rPr>
      </w:pPr>
    </w:p>
    <w:p>
      <w:pPr>
        <w:jc w:val="both"/>
        <w:ind w:left="1400" w:hanging="1394"/>
        <w:spacing w:after="0" w:line="221" w:lineRule="auto"/>
        <w:tabs>
          <w:tab w:leader="none" w:pos="14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 accordance with Item 601(b)(32)(ii) of Regulation S-K and SEC Release No. 34-47986, the certifications furnished in Exhibit 32.1 and Exhibit 32.2 hereto are deemed to accompany this Form 10-Q and will not be deemed "filed" for purposes of Section 18 of the Exchange Act. Such certifications will not be deemed to be incorporated by reference into any filing under the Securities Act or the Exchange Act.</w:t>
      </w:r>
    </w:p>
    <w:p>
      <w:pPr>
        <w:spacing w:after="0" w:line="200" w:lineRule="exact"/>
        <w:rPr>
          <w:sz w:val="20"/>
          <w:szCs w:val="20"/>
          <w:color w:val="auto"/>
        </w:rPr>
      </w:pPr>
    </w:p>
    <w:p>
      <w:pPr>
        <w:spacing w:after="0" w:line="391"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340" w:top="1018" w:right="639" w:bottom="1440" w:gutter="0" w:footer="0" w:header="0"/>
        </w:sectPr>
      </w:pPr>
    </w:p>
    <w:bookmarkStart w:id="71" w:name="page72"/>
    <w:bookmarkEnd w:id="71"/>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00" w:lineRule="exact"/>
        <w:rPr>
          <w:sz w:val="20"/>
          <w:szCs w:val="20"/>
          <w:color w:val="auto"/>
        </w:rPr>
      </w:pPr>
    </w:p>
    <w:p>
      <w:pPr>
        <w:spacing w:after="0" w:line="379" w:lineRule="exact"/>
        <w:rPr>
          <w:sz w:val="20"/>
          <w:szCs w:val="20"/>
          <w:color w:val="auto"/>
        </w:rPr>
      </w:pPr>
    </w:p>
    <w:p>
      <w:pPr>
        <w:ind w:left="5980"/>
        <w:spacing w:after="0"/>
        <w:rPr>
          <w:sz w:val="20"/>
          <w:szCs w:val="20"/>
          <w:color w:val="auto"/>
        </w:rPr>
      </w:pPr>
      <w:r>
        <w:rPr>
          <w:rFonts w:ascii="Arial" w:cs="Arial" w:eastAsia="Arial" w:hAnsi="Arial"/>
          <w:sz w:val="16"/>
          <w:szCs w:val="16"/>
          <w:color w:val="auto"/>
        </w:rPr>
        <w:t>COMPASS DIVERSIFIED HOLDINGS</w:t>
      </w:r>
    </w:p>
    <w:p>
      <w:pPr>
        <w:spacing w:after="0" w:line="302" w:lineRule="exact"/>
        <w:rPr>
          <w:sz w:val="20"/>
          <w:szCs w:val="20"/>
          <w:color w:val="auto"/>
        </w:rPr>
      </w:pPr>
    </w:p>
    <w:tbl>
      <w:tblPr>
        <w:tblLayout w:type="fixed"/>
        <w:tblInd w:w="5980" w:type="dxa"/>
        <w:tblCellMar>
          <w:top w:w="0" w:type="dxa"/>
          <w:left w:w="0" w:type="dxa"/>
          <w:bottom w:w="0" w:type="dxa"/>
          <w:right w:w="0" w:type="dxa"/>
        </w:tblCellMar>
      </w:tblPr>
      <w:tr>
        <w:trPr>
          <w:trHeight w:val="198"/>
        </w:trPr>
        <w:tc>
          <w:tcPr>
            <w:tcW w:w="1060" w:type="dxa"/>
            <w:vAlign w:val="bottom"/>
          </w:tcPr>
          <w:p>
            <w:pPr>
              <w:spacing w:after="0"/>
              <w:rPr>
                <w:sz w:val="20"/>
                <w:szCs w:val="20"/>
                <w:color w:val="auto"/>
              </w:rPr>
            </w:pPr>
            <w:r>
              <w:rPr>
                <w:rFonts w:ascii="Arial" w:cs="Arial" w:eastAsia="Arial" w:hAnsi="Arial"/>
                <w:sz w:val="16"/>
                <w:szCs w:val="16"/>
                <w:color w:val="auto"/>
              </w:rPr>
              <w:t>By:</w:t>
            </w:r>
          </w:p>
        </w:tc>
        <w:tc>
          <w:tcPr>
            <w:tcW w:w="4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Ryan J. Faulkingham</w:t>
            </w:r>
          </w:p>
        </w:tc>
      </w:tr>
      <w:tr>
        <w:trPr>
          <w:trHeight w:val="207"/>
        </w:trPr>
        <w:tc>
          <w:tcPr>
            <w:tcW w:w="1060" w:type="dxa"/>
            <w:vAlign w:val="bottom"/>
          </w:tcPr>
          <w:p>
            <w:pPr>
              <w:spacing w:after="0"/>
              <w:rPr>
                <w:sz w:val="17"/>
                <w:szCs w:val="17"/>
                <w:color w:val="auto"/>
              </w:rPr>
            </w:pPr>
          </w:p>
        </w:tc>
        <w:tc>
          <w:tcPr>
            <w:tcW w:w="4160" w:type="dxa"/>
            <w:vAlign w:val="bottom"/>
          </w:tcPr>
          <w:p>
            <w:pPr>
              <w:ind w:left="20"/>
              <w:spacing w:after="0"/>
              <w:rPr>
                <w:sz w:val="20"/>
                <w:szCs w:val="20"/>
                <w:color w:val="auto"/>
              </w:rPr>
            </w:pPr>
            <w:r>
              <w:rPr>
                <w:rFonts w:ascii="Arial" w:cs="Arial" w:eastAsia="Arial" w:hAnsi="Arial"/>
                <w:sz w:val="16"/>
                <w:szCs w:val="16"/>
                <w:color w:val="auto"/>
              </w:rPr>
              <w:t>Ryan J. Faulkingham</w:t>
            </w:r>
          </w:p>
        </w:tc>
      </w:tr>
      <w:tr>
        <w:trPr>
          <w:trHeight w:val="216"/>
        </w:trPr>
        <w:tc>
          <w:tcPr>
            <w:tcW w:w="1060" w:type="dxa"/>
            <w:vAlign w:val="bottom"/>
          </w:tcPr>
          <w:p>
            <w:pPr>
              <w:spacing w:after="0"/>
              <w:rPr>
                <w:sz w:val="18"/>
                <w:szCs w:val="18"/>
                <w:color w:val="auto"/>
              </w:rPr>
            </w:pPr>
          </w:p>
        </w:tc>
        <w:tc>
          <w:tcPr>
            <w:tcW w:w="4160" w:type="dxa"/>
            <w:vAlign w:val="bottom"/>
          </w:tcPr>
          <w:p>
            <w:pPr>
              <w:ind w:left="20"/>
              <w:spacing w:after="0"/>
              <w:rPr>
                <w:sz w:val="20"/>
                <w:szCs w:val="20"/>
                <w:color w:val="auto"/>
              </w:rPr>
            </w:pPr>
            <w:r>
              <w:rPr>
                <w:rFonts w:ascii="Arial" w:cs="Arial" w:eastAsia="Arial" w:hAnsi="Arial"/>
                <w:sz w:val="16"/>
                <w:szCs w:val="16"/>
                <w:i w:val="1"/>
                <w:iCs w:val="1"/>
                <w:color w:val="auto"/>
              </w:rPr>
              <w:t>Regular Trustee</w:t>
            </w:r>
          </w:p>
        </w:tc>
      </w:tr>
    </w:tbl>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Date: October 28, 2020</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00" w:lineRule="exact"/>
        <w:rPr>
          <w:sz w:val="20"/>
          <w:szCs w:val="20"/>
          <w:color w:val="auto"/>
        </w:rPr>
      </w:pPr>
    </w:p>
    <w:p>
      <w:pPr>
        <w:spacing w:after="0" w:line="365" w:lineRule="exact"/>
        <w:rPr>
          <w:sz w:val="20"/>
          <w:szCs w:val="20"/>
          <w:color w:val="auto"/>
        </w:rPr>
      </w:pPr>
    </w:p>
    <w:p>
      <w:pPr>
        <w:ind w:left="5980"/>
        <w:spacing w:after="0"/>
        <w:rPr>
          <w:sz w:val="20"/>
          <w:szCs w:val="20"/>
          <w:color w:val="auto"/>
        </w:rPr>
      </w:pPr>
      <w:r>
        <w:rPr>
          <w:rFonts w:ascii="Arial" w:cs="Arial" w:eastAsia="Arial" w:hAnsi="Arial"/>
          <w:sz w:val="16"/>
          <w:szCs w:val="16"/>
          <w:color w:val="auto"/>
        </w:rPr>
        <w:t>COMPASS GROUP DIVERSIFIED HOLDINGS LLC</w:t>
      </w:r>
    </w:p>
    <w:p>
      <w:pPr>
        <w:spacing w:after="0" w:line="302" w:lineRule="exact"/>
        <w:rPr>
          <w:sz w:val="20"/>
          <w:szCs w:val="20"/>
          <w:color w:val="auto"/>
        </w:rPr>
      </w:pPr>
    </w:p>
    <w:p>
      <w:pPr>
        <w:ind w:left="5980"/>
        <w:spacing w:after="0"/>
        <w:tabs>
          <w:tab w:leader="none" w:pos="704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Ryan J. Faulkingham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10795</wp:posOffset>
            </wp:positionV>
            <wp:extent cx="264033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26" w:lineRule="exact"/>
        <w:rPr>
          <w:sz w:val="20"/>
          <w:szCs w:val="20"/>
          <w:color w:val="auto"/>
        </w:rPr>
      </w:pPr>
    </w:p>
    <w:p>
      <w:pPr>
        <w:ind w:left="7060"/>
        <w:spacing w:after="0"/>
        <w:rPr>
          <w:sz w:val="20"/>
          <w:szCs w:val="20"/>
          <w:color w:val="auto"/>
        </w:rPr>
      </w:pPr>
      <w:r>
        <w:rPr>
          <w:rFonts w:ascii="Arial" w:cs="Arial" w:eastAsia="Arial" w:hAnsi="Arial"/>
          <w:sz w:val="16"/>
          <w:szCs w:val="16"/>
          <w:color w:val="auto"/>
        </w:rPr>
        <w:t>Ryan J. Faulkingham</w:t>
      </w:r>
    </w:p>
    <w:p>
      <w:pPr>
        <w:spacing w:after="0" w:line="10" w:lineRule="exact"/>
        <w:rPr>
          <w:sz w:val="20"/>
          <w:szCs w:val="20"/>
          <w:color w:val="auto"/>
        </w:rPr>
      </w:pPr>
    </w:p>
    <w:p>
      <w:pPr>
        <w:ind w:left="7060"/>
        <w:spacing w:after="0"/>
        <w:rPr>
          <w:sz w:val="20"/>
          <w:szCs w:val="20"/>
          <w:color w:val="auto"/>
        </w:rPr>
      </w:pPr>
      <w:r>
        <w:rPr>
          <w:rFonts w:ascii="Arial" w:cs="Arial" w:eastAsia="Arial" w:hAnsi="Arial"/>
          <w:sz w:val="16"/>
          <w:szCs w:val="16"/>
          <w:i w:val="1"/>
          <w:iCs w:val="1"/>
          <w:color w:val="auto"/>
        </w:rPr>
        <w:t>Chief Financial Officer</w:t>
      </w:r>
    </w:p>
    <w:p>
      <w:pPr>
        <w:ind w:left="7060"/>
        <w:spacing w:after="0"/>
        <w:rPr>
          <w:sz w:val="20"/>
          <w:szCs w:val="20"/>
          <w:color w:val="auto"/>
        </w:rPr>
      </w:pPr>
      <w:r>
        <w:rPr>
          <w:rFonts w:ascii="Arial" w:cs="Arial" w:eastAsia="Arial" w:hAnsi="Arial"/>
          <w:sz w:val="16"/>
          <w:szCs w:val="16"/>
          <w:i w:val="1"/>
          <w:iCs w:val="1"/>
          <w:color w:val="auto"/>
        </w:rPr>
        <w:t>(Principal Financial and Accounting Officer)</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Date: October 28, 2020</w:t>
      </w: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86" w:right="37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25"/>
        </w:trPr>
        <w:tc>
          <w:tcPr>
            <w:tcW w:w="1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40" w:type="dxa"/>
            <w:vAlign w:val="bottom"/>
            <w:gridSpan w:val="4"/>
          </w:tcPr>
          <w:p>
            <w:pPr>
              <w:ind w:left="1780"/>
              <w:spacing w:after="0"/>
              <w:rPr>
                <w:sz w:val="20"/>
                <w:szCs w:val="20"/>
                <w:color w:val="auto"/>
              </w:rPr>
            </w:pPr>
            <w:r>
              <w:rPr>
                <w:rFonts w:ascii="Arial" w:cs="Arial" w:eastAsia="Arial" w:hAnsi="Arial"/>
                <w:sz w:val="17"/>
                <w:szCs w:val="17"/>
                <w:b w:val="1"/>
                <w:bCs w:val="1"/>
                <w:color w:val="auto"/>
              </w:rPr>
              <w:t>EXHIBIT INDEX</w:t>
            </w:r>
          </w:p>
        </w:tc>
      </w:tr>
      <w:tr>
        <w:trPr>
          <w:trHeight w:val="301"/>
        </w:trPr>
        <w:tc>
          <w:tcPr>
            <w:tcW w:w="2300" w:type="dxa"/>
            <w:vAlign w:val="bottom"/>
            <w:gridSpan w:val="2"/>
          </w:tcPr>
          <w:p>
            <w:pPr>
              <w:spacing w:after="0"/>
              <w:rPr>
                <w:sz w:val="20"/>
                <w:szCs w:val="20"/>
                <w:color w:val="auto"/>
              </w:rPr>
            </w:pPr>
            <w:r>
              <w:rPr>
                <w:rFonts w:ascii="Arial" w:cs="Arial" w:eastAsia="Arial" w:hAnsi="Arial"/>
                <w:sz w:val="16"/>
                <w:szCs w:val="16"/>
                <w:b w:val="1"/>
                <w:bCs w:val="1"/>
                <w:color w:val="auto"/>
              </w:rPr>
              <w:t>Exhibit Number</w:t>
            </w:r>
          </w:p>
        </w:tc>
        <w:tc>
          <w:tcPr>
            <w:tcW w:w="8540" w:type="dxa"/>
            <w:vAlign w:val="bottom"/>
            <w:gridSpan w:val="5"/>
          </w:tcPr>
          <w:p>
            <w:pPr>
              <w:spacing w:after="0"/>
              <w:rPr>
                <w:sz w:val="20"/>
                <w:szCs w:val="20"/>
                <w:color w:val="auto"/>
              </w:rPr>
            </w:pPr>
            <w:r>
              <w:rPr>
                <w:rFonts w:ascii="Arial" w:cs="Arial" w:eastAsia="Arial" w:hAnsi="Arial"/>
                <w:sz w:val="16"/>
                <w:szCs w:val="16"/>
                <w:b w:val="1"/>
                <w:bCs w:val="1"/>
                <w:color w:val="auto"/>
              </w:rPr>
              <w:t>Description</w:t>
            </w:r>
          </w:p>
        </w:tc>
      </w:tr>
      <w:tr>
        <w:trPr>
          <w:trHeight w:val="20"/>
        </w:trPr>
        <w:tc>
          <w:tcPr>
            <w:tcW w:w="120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39"/>
        </w:trPr>
        <w:tc>
          <w:tcPr>
            <w:tcW w:w="1200" w:type="dxa"/>
            <w:vAlign w:val="bottom"/>
          </w:tcPr>
          <w:p>
            <w:pPr>
              <w:ind w:left="100"/>
              <w:spacing w:after="0"/>
              <w:rPr>
                <w:sz w:val="20"/>
                <w:szCs w:val="20"/>
                <w:color w:val="auto"/>
              </w:rPr>
            </w:pPr>
            <w:r>
              <w:rPr>
                <w:rFonts w:ascii="Arial" w:cs="Arial" w:eastAsia="Arial" w:hAnsi="Arial"/>
                <w:sz w:val="16"/>
                <w:szCs w:val="16"/>
                <w:color w:val="auto"/>
              </w:rPr>
              <w:t>31.1*</w:t>
            </w:r>
          </w:p>
        </w:tc>
        <w:tc>
          <w:tcPr>
            <w:tcW w:w="1100" w:type="dxa"/>
            <w:vAlign w:val="bottom"/>
          </w:tcPr>
          <w:p>
            <w:pPr>
              <w:spacing w:after="0"/>
              <w:rPr>
                <w:sz w:val="24"/>
                <w:szCs w:val="24"/>
                <w:color w:val="auto"/>
              </w:rPr>
            </w:pPr>
          </w:p>
        </w:tc>
        <w:tc>
          <w:tcPr>
            <w:tcW w:w="8540" w:type="dxa"/>
            <w:vAlign w:val="bottom"/>
            <w:gridSpan w:val="5"/>
          </w:tcPr>
          <w:p>
            <w:pPr>
              <w:spacing w:after="0"/>
              <w:rPr>
                <w:rFonts w:ascii="Arial" w:cs="Arial" w:eastAsia="Arial" w:hAnsi="Arial"/>
                <w:sz w:val="16"/>
                <w:szCs w:val="16"/>
                <w:u w:val="single" w:color="auto"/>
                <w:color w:val="0000FF"/>
              </w:rPr>
            </w:pPr>
            <w:hyperlink w:anchor="page74">
              <w:r>
                <w:rPr>
                  <w:rFonts w:ascii="Arial" w:cs="Arial" w:eastAsia="Arial" w:hAnsi="Arial"/>
                  <w:sz w:val="16"/>
                  <w:szCs w:val="16"/>
                  <w:u w:val="single" w:color="auto"/>
                  <w:color w:val="0000FF"/>
                </w:rPr>
                <w:t>Rule 13a-14(a)/15d-14(a) Certification of Chief Executive Officer of Registrant</w:t>
              </w:r>
            </w:hyperlink>
          </w:p>
        </w:tc>
      </w:tr>
      <w:tr>
        <w:trPr>
          <w:trHeight w:val="364"/>
        </w:trPr>
        <w:tc>
          <w:tcPr>
            <w:tcW w:w="1200" w:type="dxa"/>
            <w:vAlign w:val="bottom"/>
          </w:tcPr>
          <w:p>
            <w:pPr>
              <w:ind w:left="100"/>
              <w:spacing w:after="0"/>
              <w:rPr>
                <w:sz w:val="20"/>
                <w:szCs w:val="20"/>
                <w:color w:val="auto"/>
              </w:rPr>
            </w:pPr>
            <w:r>
              <w:rPr>
                <w:rFonts w:ascii="Arial" w:cs="Arial" w:eastAsia="Arial" w:hAnsi="Arial"/>
                <w:sz w:val="16"/>
                <w:szCs w:val="16"/>
                <w:color w:val="auto"/>
              </w:rPr>
              <w:t>31.2*</w:t>
            </w:r>
          </w:p>
        </w:tc>
        <w:tc>
          <w:tcPr>
            <w:tcW w:w="1100" w:type="dxa"/>
            <w:vAlign w:val="bottom"/>
          </w:tcPr>
          <w:p>
            <w:pPr>
              <w:spacing w:after="0"/>
              <w:rPr>
                <w:sz w:val="24"/>
                <w:szCs w:val="24"/>
                <w:color w:val="auto"/>
              </w:rPr>
            </w:pPr>
          </w:p>
        </w:tc>
        <w:tc>
          <w:tcPr>
            <w:tcW w:w="8540" w:type="dxa"/>
            <w:vAlign w:val="bottom"/>
            <w:gridSpan w:val="5"/>
          </w:tcPr>
          <w:p>
            <w:pPr>
              <w:spacing w:after="0"/>
              <w:rPr>
                <w:rFonts w:ascii="Arial" w:cs="Arial" w:eastAsia="Arial" w:hAnsi="Arial"/>
                <w:sz w:val="16"/>
                <w:szCs w:val="16"/>
                <w:u w:val="single" w:color="auto"/>
                <w:color w:val="0000FF"/>
              </w:rPr>
            </w:pPr>
            <w:hyperlink w:anchor="page75">
              <w:r>
                <w:rPr>
                  <w:rFonts w:ascii="Arial" w:cs="Arial" w:eastAsia="Arial" w:hAnsi="Arial"/>
                  <w:sz w:val="16"/>
                  <w:szCs w:val="16"/>
                  <w:u w:val="single" w:color="auto"/>
                  <w:color w:val="0000FF"/>
                </w:rPr>
                <w:t>Rule 13a-14(a)/15d-14(a) Certification of Chief Financial Officer of Registrant</w:t>
              </w:r>
            </w:hyperlink>
          </w:p>
        </w:tc>
      </w:tr>
      <w:tr>
        <w:trPr>
          <w:trHeight w:val="330"/>
        </w:trPr>
        <w:tc>
          <w:tcPr>
            <w:tcW w:w="1200" w:type="dxa"/>
            <w:vAlign w:val="bottom"/>
          </w:tcPr>
          <w:p>
            <w:pPr>
              <w:ind w:left="120"/>
              <w:spacing w:after="0"/>
              <w:rPr>
                <w:sz w:val="20"/>
                <w:szCs w:val="20"/>
                <w:color w:val="auto"/>
              </w:rPr>
            </w:pPr>
            <w:r>
              <w:rPr>
                <w:rFonts w:ascii="Arial" w:cs="Arial" w:eastAsia="Arial" w:hAnsi="Arial"/>
                <w:sz w:val="16"/>
                <w:szCs w:val="16"/>
                <w:color w:val="auto"/>
              </w:rPr>
              <w:t>32.1*</w:t>
            </w:r>
            <w:r>
              <w:rPr>
                <w:rFonts w:ascii="Arial" w:cs="Arial" w:eastAsia="Arial" w:hAnsi="Arial"/>
                <w:sz w:val="21"/>
                <w:szCs w:val="21"/>
                <w:b w:val="1"/>
                <w:bCs w:val="1"/>
                <w:color w:val="auto"/>
                <w:vertAlign w:val="superscript"/>
              </w:rPr>
              <w:t>+</w:t>
            </w:r>
          </w:p>
        </w:tc>
        <w:tc>
          <w:tcPr>
            <w:tcW w:w="1100" w:type="dxa"/>
            <w:vAlign w:val="bottom"/>
          </w:tcPr>
          <w:p>
            <w:pPr>
              <w:spacing w:after="0"/>
              <w:rPr>
                <w:sz w:val="24"/>
                <w:szCs w:val="24"/>
                <w:color w:val="auto"/>
              </w:rPr>
            </w:pPr>
          </w:p>
        </w:tc>
        <w:tc>
          <w:tcPr>
            <w:tcW w:w="8540" w:type="dxa"/>
            <w:vAlign w:val="bottom"/>
            <w:gridSpan w:val="5"/>
          </w:tcPr>
          <w:p>
            <w:pPr>
              <w:spacing w:after="0"/>
              <w:rPr>
                <w:rFonts w:ascii="Arial" w:cs="Arial" w:eastAsia="Arial" w:hAnsi="Arial"/>
                <w:sz w:val="16"/>
                <w:szCs w:val="16"/>
                <w:color w:val="0000FF"/>
              </w:rPr>
            </w:pPr>
            <w:hyperlink w:anchor="page76">
              <w:r>
                <w:rPr>
                  <w:rFonts w:ascii="Arial" w:cs="Arial" w:eastAsia="Arial" w:hAnsi="Arial"/>
                  <w:sz w:val="16"/>
                  <w:szCs w:val="16"/>
                  <w:color w:val="0000FF"/>
                </w:rPr>
                <w:t>Certification of Chief Executive Officer of Registrant pursuant to 18 U.S.C. Section 1350, as adopted pursuant to</w:t>
              </w:r>
            </w:hyperlink>
          </w:p>
        </w:tc>
      </w:tr>
      <w:tr>
        <w:trPr>
          <w:trHeight w:val="142"/>
        </w:trPr>
        <w:tc>
          <w:tcPr>
            <w:tcW w:w="1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380" w:type="dxa"/>
            <w:vAlign w:val="bottom"/>
            <w:tcBorders>
              <w:top w:val="single" w:sz="8" w:color="0000FF"/>
              <w:bottom w:val="single" w:sz="8" w:color="0000FF"/>
            </w:tcBorders>
            <w:gridSpan w:val="2"/>
          </w:tcPr>
          <w:p>
            <w:pPr>
              <w:spacing w:after="0" w:line="142" w:lineRule="exact"/>
              <w:rPr>
                <w:rFonts w:ascii="Arial" w:cs="Arial" w:eastAsia="Arial" w:hAnsi="Arial"/>
                <w:sz w:val="16"/>
                <w:szCs w:val="16"/>
                <w:color w:val="0000FF"/>
              </w:rPr>
            </w:pPr>
            <w:hyperlink w:anchor="page76">
              <w:r>
                <w:rPr>
                  <w:rFonts w:ascii="Arial" w:cs="Arial" w:eastAsia="Arial" w:hAnsi="Arial"/>
                  <w:sz w:val="16"/>
                  <w:szCs w:val="16"/>
                  <w:color w:val="0000FF"/>
                </w:rPr>
                <w:t>Section 906 of the Sarbanes-Oxley Act of 2002</w:t>
              </w:r>
            </w:hyperlink>
          </w:p>
        </w:tc>
        <w:tc>
          <w:tcPr>
            <w:tcW w:w="4660" w:type="dxa"/>
            <w:vAlign w:val="bottom"/>
            <w:tcBorders>
              <w:top w:val="single" w:sz="8" w:color="0000FF"/>
            </w:tcBorders>
            <w:gridSpan w:val="2"/>
          </w:tcPr>
          <w:p>
            <w:pPr>
              <w:spacing w:after="0"/>
              <w:rPr>
                <w:sz w:val="12"/>
                <w:szCs w:val="12"/>
                <w:color w:val="auto"/>
              </w:rPr>
            </w:pPr>
          </w:p>
        </w:tc>
        <w:tc>
          <w:tcPr>
            <w:tcW w:w="500" w:type="dxa"/>
            <w:vAlign w:val="bottom"/>
          </w:tcPr>
          <w:p>
            <w:pPr>
              <w:spacing w:after="0"/>
              <w:rPr>
                <w:sz w:val="12"/>
                <w:szCs w:val="12"/>
                <w:color w:val="auto"/>
              </w:rPr>
            </w:pPr>
          </w:p>
        </w:tc>
      </w:tr>
      <w:tr>
        <w:trPr>
          <w:trHeight w:val="344"/>
        </w:trPr>
        <w:tc>
          <w:tcPr>
            <w:tcW w:w="1200" w:type="dxa"/>
            <w:vAlign w:val="bottom"/>
          </w:tcPr>
          <w:p>
            <w:pPr>
              <w:ind w:left="120"/>
              <w:spacing w:after="0"/>
              <w:rPr>
                <w:sz w:val="20"/>
                <w:szCs w:val="20"/>
                <w:color w:val="auto"/>
              </w:rPr>
            </w:pPr>
            <w:r>
              <w:rPr>
                <w:rFonts w:ascii="Arial" w:cs="Arial" w:eastAsia="Arial" w:hAnsi="Arial"/>
                <w:sz w:val="16"/>
                <w:szCs w:val="16"/>
                <w:color w:val="auto"/>
              </w:rPr>
              <w:t>32.2*</w:t>
            </w:r>
            <w:r>
              <w:rPr>
                <w:rFonts w:ascii="Arial" w:cs="Arial" w:eastAsia="Arial" w:hAnsi="Arial"/>
                <w:sz w:val="21"/>
                <w:szCs w:val="21"/>
                <w:b w:val="1"/>
                <w:bCs w:val="1"/>
                <w:color w:val="auto"/>
                <w:vertAlign w:val="superscript"/>
              </w:rPr>
              <w:t>+</w:t>
            </w:r>
          </w:p>
        </w:tc>
        <w:tc>
          <w:tcPr>
            <w:tcW w:w="1100" w:type="dxa"/>
            <w:vAlign w:val="bottom"/>
          </w:tcPr>
          <w:p>
            <w:pPr>
              <w:spacing w:after="0"/>
              <w:rPr>
                <w:sz w:val="24"/>
                <w:szCs w:val="24"/>
                <w:color w:val="auto"/>
              </w:rPr>
            </w:pPr>
          </w:p>
        </w:tc>
        <w:tc>
          <w:tcPr>
            <w:tcW w:w="8540" w:type="dxa"/>
            <w:vAlign w:val="bottom"/>
            <w:gridSpan w:val="5"/>
          </w:tcPr>
          <w:p>
            <w:pPr>
              <w:spacing w:after="0"/>
              <w:rPr>
                <w:rFonts w:ascii="Arial" w:cs="Arial" w:eastAsia="Arial" w:hAnsi="Arial"/>
                <w:sz w:val="16"/>
                <w:szCs w:val="16"/>
                <w:color w:val="0000FF"/>
              </w:rPr>
            </w:pPr>
            <w:hyperlink w:anchor="page77">
              <w:r>
                <w:rPr>
                  <w:rFonts w:ascii="Arial" w:cs="Arial" w:eastAsia="Arial" w:hAnsi="Arial"/>
                  <w:sz w:val="16"/>
                  <w:szCs w:val="16"/>
                  <w:color w:val="0000FF"/>
                </w:rPr>
                <w:t>Certification of Chief Financial Officer of Registrant pursuant to 18 U.S.C. Section 1350, as adopted pursuant to</w:t>
              </w:r>
            </w:hyperlink>
          </w:p>
        </w:tc>
      </w:tr>
      <w:tr>
        <w:trPr>
          <w:trHeight w:val="142"/>
        </w:trPr>
        <w:tc>
          <w:tcPr>
            <w:tcW w:w="1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380" w:type="dxa"/>
            <w:vAlign w:val="bottom"/>
            <w:tcBorders>
              <w:top w:val="single" w:sz="8" w:color="0000FF"/>
              <w:bottom w:val="single" w:sz="8" w:color="0000FF"/>
            </w:tcBorders>
            <w:gridSpan w:val="2"/>
          </w:tcPr>
          <w:p>
            <w:pPr>
              <w:spacing w:after="0" w:line="142" w:lineRule="exact"/>
              <w:rPr>
                <w:rFonts w:ascii="Arial" w:cs="Arial" w:eastAsia="Arial" w:hAnsi="Arial"/>
                <w:sz w:val="16"/>
                <w:szCs w:val="16"/>
                <w:color w:val="0000FF"/>
              </w:rPr>
            </w:pPr>
            <w:hyperlink w:anchor="page77">
              <w:r>
                <w:rPr>
                  <w:rFonts w:ascii="Arial" w:cs="Arial" w:eastAsia="Arial" w:hAnsi="Arial"/>
                  <w:sz w:val="16"/>
                  <w:szCs w:val="16"/>
                  <w:color w:val="0000FF"/>
                </w:rPr>
                <w:t>Section 906 of the Sarbanes-Oxley Act of 2002</w:t>
              </w:r>
            </w:hyperlink>
          </w:p>
        </w:tc>
        <w:tc>
          <w:tcPr>
            <w:tcW w:w="4600" w:type="dxa"/>
            <w:vAlign w:val="bottom"/>
            <w:tcBorders>
              <w:top w:val="single" w:sz="8" w:color="0000FF"/>
            </w:tcBorders>
          </w:tcPr>
          <w:p>
            <w:pPr>
              <w:spacing w:after="0"/>
              <w:rPr>
                <w:sz w:val="12"/>
                <w:szCs w:val="12"/>
                <w:color w:val="auto"/>
              </w:rPr>
            </w:pPr>
          </w:p>
        </w:tc>
        <w:tc>
          <w:tcPr>
            <w:tcW w:w="560" w:type="dxa"/>
            <w:vAlign w:val="bottom"/>
            <w:gridSpan w:val="2"/>
          </w:tcPr>
          <w:p>
            <w:pPr>
              <w:spacing w:after="0"/>
              <w:rPr>
                <w:sz w:val="12"/>
                <w:szCs w:val="12"/>
                <w:color w:val="auto"/>
              </w:rPr>
            </w:pPr>
          </w:p>
        </w:tc>
      </w:tr>
      <w:tr>
        <w:trPr>
          <w:trHeight w:val="468"/>
        </w:trPr>
        <w:tc>
          <w:tcPr>
            <w:tcW w:w="2300" w:type="dxa"/>
            <w:vAlign w:val="bottom"/>
            <w:gridSpan w:val="2"/>
          </w:tcPr>
          <w:p>
            <w:pPr>
              <w:spacing w:after="0"/>
              <w:rPr>
                <w:sz w:val="20"/>
                <w:szCs w:val="20"/>
                <w:color w:val="auto"/>
              </w:rPr>
            </w:pPr>
            <w:r>
              <w:rPr>
                <w:rFonts w:ascii="Arial" w:cs="Arial" w:eastAsia="Arial" w:hAnsi="Arial"/>
                <w:sz w:val="16"/>
                <w:szCs w:val="16"/>
                <w:color w:val="auto"/>
              </w:rPr>
              <w:t>101.INS*</w:t>
            </w:r>
          </w:p>
        </w:tc>
        <w:tc>
          <w:tcPr>
            <w:tcW w:w="8540" w:type="dxa"/>
            <w:vAlign w:val="bottom"/>
            <w:gridSpan w:val="5"/>
          </w:tcPr>
          <w:p>
            <w:pPr>
              <w:spacing w:after="0"/>
              <w:rPr>
                <w:sz w:val="20"/>
                <w:szCs w:val="20"/>
                <w:color w:val="auto"/>
              </w:rPr>
            </w:pPr>
            <w:r>
              <w:rPr>
                <w:rFonts w:ascii="Arial" w:cs="Arial" w:eastAsia="Arial" w:hAnsi="Arial"/>
                <w:sz w:val="16"/>
                <w:szCs w:val="16"/>
                <w:color w:val="auto"/>
              </w:rPr>
              <w:t>Inline XBRL Instance Document - the instance document does not appear in the Interactive Data File because its XBRL</w:t>
            </w:r>
          </w:p>
        </w:tc>
      </w:tr>
      <w:tr>
        <w:trPr>
          <w:trHeight w:val="195"/>
        </w:trPr>
        <w:tc>
          <w:tcPr>
            <w:tcW w:w="1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540" w:type="dxa"/>
            <w:vAlign w:val="bottom"/>
            <w:gridSpan w:val="5"/>
          </w:tcPr>
          <w:p>
            <w:pPr>
              <w:spacing w:after="0"/>
              <w:rPr>
                <w:sz w:val="20"/>
                <w:szCs w:val="20"/>
                <w:color w:val="auto"/>
              </w:rPr>
            </w:pPr>
            <w:r>
              <w:rPr>
                <w:rFonts w:ascii="Arial" w:cs="Arial" w:eastAsia="Arial" w:hAnsi="Arial"/>
                <w:sz w:val="16"/>
                <w:szCs w:val="16"/>
                <w:color w:val="auto"/>
              </w:rPr>
              <w:t>tags are embedded within the Inline XBRL document.</w:t>
            </w:r>
          </w:p>
        </w:tc>
      </w:tr>
      <w:tr>
        <w:trPr>
          <w:trHeight w:val="486"/>
        </w:trPr>
        <w:tc>
          <w:tcPr>
            <w:tcW w:w="2300" w:type="dxa"/>
            <w:vAlign w:val="bottom"/>
            <w:gridSpan w:val="2"/>
          </w:tcPr>
          <w:p>
            <w:pPr>
              <w:spacing w:after="0"/>
              <w:rPr>
                <w:sz w:val="20"/>
                <w:szCs w:val="20"/>
                <w:color w:val="auto"/>
              </w:rPr>
            </w:pPr>
            <w:r>
              <w:rPr>
                <w:rFonts w:ascii="Arial" w:cs="Arial" w:eastAsia="Arial" w:hAnsi="Arial"/>
                <w:sz w:val="16"/>
                <w:szCs w:val="16"/>
                <w:color w:val="auto"/>
              </w:rPr>
              <w:t>101.SCH*</w:t>
            </w:r>
          </w:p>
        </w:tc>
        <w:tc>
          <w:tcPr>
            <w:tcW w:w="8540" w:type="dxa"/>
            <w:vAlign w:val="bottom"/>
            <w:gridSpan w:val="5"/>
          </w:tcPr>
          <w:p>
            <w:pPr>
              <w:spacing w:after="0"/>
              <w:rPr>
                <w:sz w:val="20"/>
                <w:szCs w:val="20"/>
                <w:color w:val="auto"/>
              </w:rPr>
            </w:pPr>
            <w:r>
              <w:rPr>
                <w:rFonts w:ascii="Arial" w:cs="Arial" w:eastAsia="Arial" w:hAnsi="Arial"/>
                <w:sz w:val="16"/>
                <w:szCs w:val="16"/>
                <w:color w:val="auto"/>
              </w:rPr>
              <w:t>Inline XBRL Taxonomy Extension Schema Document</w:t>
            </w:r>
          </w:p>
        </w:tc>
      </w:tr>
      <w:tr>
        <w:trPr>
          <w:trHeight w:val="486"/>
        </w:trPr>
        <w:tc>
          <w:tcPr>
            <w:tcW w:w="2300" w:type="dxa"/>
            <w:vAlign w:val="bottom"/>
            <w:gridSpan w:val="2"/>
          </w:tcPr>
          <w:p>
            <w:pPr>
              <w:spacing w:after="0"/>
              <w:rPr>
                <w:sz w:val="20"/>
                <w:szCs w:val="20"/>
                <w:color w:val="auto"/>
              </w:rPr>
            </w:pPr>
            <w:r>
              <w:rPr>
                <w:rFonts w:ascii="Arial" w:cs="Arial" w:eastAsia="Arial" w:hAnsi="Arial"/>
                <w:sz w:val="16"/>
                <w:szCs w:val="16"/>
                <w:color w:val="auto"/>
              </w:rPr>
              <w:t>101.CAL*</w:t>
            </w:r>
          </w:p>
        </w:tc>
        <w:tc>
          <w:tcPr>
            <w:tcW w:w="8540" w:type="dxa"/>
            <w:vAlign w:val="bottom"/>
            <w:gridSpan w:val="5"/>
          </w:tcPr>
          <w:p>
            <w:pPr>
              <w:spacing w:after="0"/>
              <w:rPr>
                <w:sz w:val="20"/>
                <w:szCs w:val="20"/>
                <w:color w:val="auto"/>
              </w:rPr>
            </w:pPr>
            <w:r>
              <w:rPr>
                <w:rFonts w:ascii="Arial" w:cs="Arial" w:eastAsia="Arial" w:hAnsi="Arial"/>
                <w:sz w:val="16"/>
                <w:szCs w:val="16"/>
                <w:color w:val="auto"/>
              </w:rPr>
              <w:t>Inline XBRL Taxonomy Extension Calculation Linkbase Document</w:t>
            </w:r>
          </w:p>
        </w:tc>
      </w:tr>
      <w:tr>
        <w:trPr>
          <w:trHeight w:val="486"/>
        </w:trPr>
        <w:tc>
          <w:tcPr>
            <w:tcW w:w="2300" w:type="dxa"/>
            <w:vAlign w:val="bottom"/>
            <w:gridSpan w:val="2"/>
          </w:tcPr>
          <w:p>
            <w:pPr>
              <w:spacing w:after="0"/>
              <w:rPr>
                <w:sz w:val="20"/>
                <w:szCs w:val="20"/>
                <w:color w:val="auto"/>
              </w:rPr>
            </w:pPr>
            <w:r>
              <w:rPr>
                <w:rFonts w:ascii="Arial" w:cs="Arial" w:eastAsia="Arial" w:hAnsi="Arial"/>
                <w:sz w:val="16"/>
                <w:szCs w:val="16"/>
                <w:color w:val="auto"/>
              </w:rPr>
              <w:t>101.DEF*</w:t>
            </w:r>
          </w:p>
        </w:tc>
        <w:tc>
          <w:tcPr>
            <w:tcW w:w="8540" w:type="dxa"/>
            <w:vAlign w:val="bottom"/>
            <w:gridSpan w:val="5"/>
          </w:tcPr>
          <w:p>
            <w:pPr>
              <w:spacing w:after="0"/>
              <w:rPr>
                <w:sz w:val="20"/>
                <w:szCs w:val="20"/>
                <w:color w:val="auto"/>
              </w:rPr>
            </w:pPr>
            <w:r>
              <w:rPr>
                <w:rFonts w:ascii="Arial" w:cs="Arial" w:eastAsia="Arial" w:hAnsi="Arial"/>
                <w:sz w:val="16"/>
                <w:szCs w:val="16"/>
                <w:color w:val="auto"/>
              </w:rPr>
              <w:t>Inline XBRL Taxonomy Extension Definition Linkbase Document</w:t>
            </w:r>
          </w:p>
        </w:tc>
      </w:tr>
      <w:tr>
        <w:trPr>
          <w:trHeight w:val="486"/>
        </w:trPr>
        <w:tc>
          <w:tcPr>
            <w:tcW w:w="2300" w:type="dxa"/>
            <w:vAlign w:val="bottom"/>
            <w:gridSpan w:val="2"/>
          </w:tcPr>
          <w:p>
            <w:pPr>
              <w:spacing w:after="0"/>
              <w:rPr>
                <w:sz w:val="20"/>
                <w:szCs w:val="20"/>
                <w:color w:val="auto"/>
              </w:rPr>
            </w:pPr>
            <w:r>
              <w:rPr>
                <w:rFonts w:ascii="Arial" w:cs="Arial" w:eastAsia="Arial" w:hAnsi="Arial"/>
                <w:sz w:val="16"/>
                <w:szCs w:val="16"/>
                <w:color w:val="auto"/>
              </w:rPr>
              <w:t>101.LAB*</w:t>
            </w:r>
          </w:p>
        </w:tc>
        <w:tc>
          <w:tcPr>
            <w:tcW w:w="8540" w:type="dxa"/>
            <w:vAlign w:val="bottom"/>
            <w:gridSpan w:val="5"/>
          </w:tcPr>
          <w:p>
            <w:pPr>
              <w:spacing w:after="0"/>
              <w:rPr>
                <w:sz w:val="20"/>
                <w:szCs w:val="20"/>
                <w:color w:val="auto"/>
              </w:rPr>
            </w:pPr>
            <w:r>
              <w:rPr>
                <w:rFonts w:ascii="Arial" w:cs="Arial" w:eastAsia="Arial" w:hAnsi="Arial"/>
                <w:sz w:val="16"/>
                <w:szCs w:val="16"/>
                <w:color w:val="auto"/>
              </w:rPr>
              <w:t>Inline XBRL Taxonomy Extension Label Linkbase Document</w:t>
            </w:r>
          </w:p>
        </w:tc>
      </w:tr>
      <w:tr>
        <w:trPr>
          <w:trHeight w:val="486"/>
        </w:trPr>
        <w:tc>
          <w:tcPr>
            <w:tcW w:w="2300" w:type="dxa"/>
            <w:vAlign w:val="bottom"/>
            <w:gridSpan w:val="2"/>
          </w:tcPr>
          <w:p>
            <w:pPr>
              <w:spacing w:after="0"/>
              <w:rPr>
                <w:sz w:val="20"/>
                <w:szCs w:val="20"/>
                <w:color w:val="auto"/>
              </w:rPr>
            </w:pPr>
            <w:r>
              <w:rPr>
                <w:rFonts w:ascii="Arial" w:cs="Arial" w:eastAsia="Arial" w:hAnsi="Arial"/>
                <w:sz w:val="16"/>
                <w:szCs w:val="16"/>
                <w:color w:val="auto"/>
              </w:rPr>
              <w:t>101.PRE*</w:t>
            </w:r>
          </w:p>
        </w:tc>
        <w:tc>
          <w:tcPr>
            <w:tcW w:w="8540" w:type="dxa"/>
            <w:vAlign w:val="bottom"/>
            <w:gridSpan w:val="5"/>
          </w:tcPr>
          <w:p>
            <w:pPr>
              <w:spacing w:after="0"/>
              <w:rPr>
                <w:sz w:val="20"/>
                <w:szCs w:val="20"/>
                <w:color w:val="auto"/>
              </w:rPr>
            </w:pPr>
            <w:r>
              <w:rPr>
                <w:rFonts w:ascii="Arial" w:cs="Arial" w:eastAsia="Arial" w:hAnsi="Arial"/>
                <w:sz w:val="16"/>
                <w:szCs w:val="16"/>
                <w:color w:val="auto"/>
              </w:rPr>
              <w:t>Inline XBRL Taxonomy Extension Presentation Linkbase Document</w:t>
            </w:r>
          </w:p>
        </w:tc>
      </w:tr>
      <w:tr>
        <w:trPr>
          <w:trHeight w:val="472"/>
        </w:trPr>
        <w:tc>
          <w:tcPr>
            <w:tcW w:w="1200" w:type="dxa"/>
            <w:vAlign w:val="bottom"/>
          </w:tcPr>
          <w:p>
            <w:pPr>
              <w:spacing w:after="0"/>
              <w:rPr>
                <w:sz w:val="20"/>
                <w:szCs w:val="20"/>
                <w:color w:val="auto"/>
              </w:rPr>
            </w:pPr>
            <w:r>
              <w:rPr>
                <w:rFonts w:ascii="Arial" w:cs="Arial" w:eastAsia="Arial" w:hAnsi="Arial"/>
                <w:sz w:val="16"/>
                <w:szCs w:val="16"/>
                <w:color w:val="auto"/>
              </w:rPr>
              <w:t>104</w:t>
            </w:r>
          </w:p>
        </w:tc>
        <w:tc>
          <w:tcPr>
            <w:tcW w:w="1100" w:type="dxa"/>
            <w:vAlign w:val="bottom"/>
          </w:tcPr>
          <w:p>
            <w:pPr>
              <w:spacing w:after="0"/>
              <w:rPr>
                <w:sz w:val="24"/>
                <w:szCs w:val="24"/>
                <w:color w:val="auto"/>
              </w:rPr>
            </w:pPr>
          </w:p>
        </w:tc>
        <w:tc>
          <w:tcPr>
            <w:tcW w:w="8540" w:type="dxa"/>
            <w:vAlign w:val="bottom"/>
            <w:gridSpan w:val="5"/>
          </w:tcPr>
          <w:p>
            <w:pPr>
              <w:spacing w:after="0"/>
              <w:rPr>
                <w:sz w:val="20"/>
                <w:szCs w:val="20"/>
                <w:color w:val="auto"/>
              </w:rPr>
            </w:pPr>
            <w:r>
              <w:rPr>
                <w:rFonts w:ascii="Arial" w:cs="Arial" w:eastAsia="Arial" w:hAnsi="Arial"/>
                <w:sz w:val="16"/>
                <w:szCs w:val="16"/>
                <w:color w:val="auto"/>
              </w:rPr>
              <w:t>Cover page formatted as Inline XBRL and contained in Exhibit 101</w:t>
            </w:r>
          </w:p>
        </w:tc>
      </w:tr>
    </w:tbl>
    <w:p>
      <w:pPr>
        <w:spacing w:after="0" w:line="356" w:lineRule="exact"/>
        <w:rPr>
          <w:sz w:val="20"/>
          <w:szCs w:val="20"/>
          <w:color w:val="auto"/>
        </w:rPr>
      </w:pPr>
    </w:p>
    <w:p>
      <w:pPr>
        <w:ind w:left="1360" w:hanging="1354"/>
        <w:spacing w:after="0"/>
        <w:tabs>
          <w:tab w:leader="none" w:pos="1360" w:val="left"/>
        </w:tabs>
        <w:numPr>
          <w:ilvl w:val="0"/>
          <w:numId w:val="34"/>
        </w:numPr>
        <w:rPr>
          <w:rFonts w:ascii="Arial" w:cs="Arial" w:eastAsia="Arial" w:hAnsi="Arial"/>
          <w:sz w:val="17"/>
          <w:szCs w:val="17"/>
          <w:color w:val="auto"/>
        </w:rPr>
      </w:pPr>
      <w:r>
        <w:rPr>
          <w:rFonts w:ascii="Arial" w:cs="Arial" w:eastAsia="Arial" w:hAnsi="Arial"/>
          <w:sz w:val="15"/>
          <w:szCs w:val="15"/>
          <w:color w:val="auto"/>
        </w:rPr>
        <w:t>Filed herewith.</w:t>
      </w:r>
    </w:p>
    <w:p>
      <w:pPr>
        <w:spacing w:after="0" w:line="86" w:lineRule="exact"/>
        <w:rPr>
          <w:sz w:val="20"/>
          <w:szCs w:val="20"/>
          <w:color w:val="auto"/>
        </w:rPr>
      </w:pPr>
    </w:p>
    <w:p>
      <w:pPr>
        <w:jc w:val="both"/>
        <w:ind w:left="1360" w:right="280" w:hanging="1354"/>
        <w:spacing w:after="0" w:line="213" w:lineRule="auto"/>
        <w:tabs>
          <w:tab w:leader="none" w:pos="1360" w:val="left"/>
        </w:tabs>
        <w:numPr>
          <w:ilvl w:val="0"/>
          <w:numId w:val="35"/>
        </w:numPr>
        <w:rPr>
          <w:rFonts w:ascii="Arial" w:cs="Arial" w:eastAsia="Arial" w:hAnsi="Arial"/>
          <w:sz w:val="17"/>
          <w:szCs w:val="17"/>
          <w:color w:val="auto"/>
        </w:rPr>
      </w:pPr>
      <w:r>
        <w:rPr>
          <w:rFonts w:ascii="Arial" w:cs="Arial" w:eastAsia="Arial" w:hAnsi="Arial"/>
          <w:sz w:val="15"/>
          <w:szCs w:val="15"/>
          <w:color w:val="auto"/>
        </w:rPr>
        <w:t>In accordance with Item 601(b)(32)(ii) of Regulation S-K and SEC Release No. 34-47986, the certifications furnished in Exhibit 32.1 and Exhibit 32.2 hereto are deemed to accompany this Form 10-Q and will not be deemed "filed" for purposes of Section 18 of the Exchange Act. Such certifications will not be deemed to be incorporated by reference into any filing under the Securities Act or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59"/>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0840"/>
          </w:cols>
          <w:pgMar w:left="340" w:top="883" w:right="719" w:bottom="1440" w:gutter="0" w:footer="0" w:header="0"/>
        </w:sectPr>
      </w:pPr>
    </w:p>
    <w:bookmarkStart w:id="73" w:name="page74"/>
    <w:bookmarkEnd w:id="73"/>
    <w:p>
      <w:pPr>
        <w:jc w:val="right"/>
        <w:spacing w:after="0"/>
        <w:rPr>
          <w:sz w:val="20"/>
          <w:szCs w:val="20"/>
          <w:color w:val="auto"/>
        </w:rPr>
      </w:pPr>
      <w:r>
        <w:rPr>
          <w:rFonts w:ascii="Arial" w:cs="Arial" w:eastAsia="Arial" w:hAnsi="Arial"/>
          <w:sz w:val="17"/>
          <w:szCs w:val="17"/>
          <w:b w:val="1"/>
          <w:bCs w:val="1"/>
          <w:color w:val="auto"/>
        </w:rPr>
        <w:t>Exhibit 31.1</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CERTIFICATIONS PURSUANT TO SECTION 302 OF THE SARBANES-OXLEY ACT OF 2002</w:t>
      </w: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color w:val="auto"/>
        </w:rPr>
        <w:t>I, Elias J. Sabo, certify that:</w:t>
      </w:r>
    </w:p>
    <w:p>
      <w:pPr>
        <w:spacing w:after="0" w:line="221"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Compass Group Diversified Holdings LLC (the “registrant”);</w:t>
      </w:r>
    </w:p>
    <w:p>
      <w:pPr>
        <w:spacing w:after="0" w:line="221" w:lineRule="exact"/>
        <w:rPr>
          <w:rFonts w:ascii="Arial" w:cs="Arial" w:eastAsia="Arial" w:hAnsi="Arial"/>
          <w:sz w:val="16"/>
          <w:szCs w:val="16"/>
          <w:color w:val="auto"/>
        </w:rPr>
      </w:pPr>
    </w:p>
    <w:p>
      <w:pPr>
        <w:jc w:val="both"/>
        <w:ind w:left="660" w:right="120" w:hanging="328"/>
        <w:spacing w:after="0" w:line="253" w:lineRule="auto"/>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6"/>
          <w:szCs w:val="16"/>
          <w:color w:val="auto"/>
        </w:rPr>
      </w:pPr>
    </w:p>
    <w:p>
      <w:pPr>
        <w:ind w:left="660" w:right="240" w:hanging="328"/>
        <w:spacing w:after="0" w:line="260" w:lineRule="auto"/>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5" w:lineRule="exact"/>
        <w:rPr>
          <w:rFonts w:ascii="Arial" w:cs="Arial" w:eastAsia="Arial" w:hAnsi="Arial"/>
          <w:sz w:val="16"/>
          <w:szCs w:val="16"/>
          <w:color w:val="auto"/>
        </w:rPr>
      </w:pPr>
    </w:p>
    <w:p>
      <w:pPr>
        <w:ind w:left="660" w:right="240" w:hanging="328"/>
        <w:spacing w:after="0" w:line="253" w:lineRule="auto"/>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1" w:lineRule="exact"/>
        <w:rPr>
          <w:rFonts w:ascii="Arial" w:cs="Arial" w:eastAsia="Arial" w:hAnsi="Arial"/>
          <w:sz w:val="16"/>
          <w:szCs w:val="16"/>
          <w:color w:val="auto"/>
        </w:rPr>
      </w:pPr>
    </w:p>
    <w:p>
      <w:pPr>
        <w:ind w:left="980" w:right="80" w:hanging="324"/>
        <w:spacing w:after="0" w:line="253" w:lineRule="auto"/>
        <w:tabs>
          <w:tab w:leader="none" w:pos="975" w:val="left"/>
        </w:tabs>
        <w:numPr>
          <w:ilvl w:val="1"/>
          <w:numId w:val="3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6"/>
          <w:szCs w:val="16"/>
          <w:color w:val="auto"/>
        </w:rPr>
      </w:pPr>
    </w:p>
    <w:p>
      <w:pPr>
        <w:ind w:left="980" w:right="480" w:hanging="324"/>
        <w:spacing w:after="0" w:line="253" w:lineRule="auto"/>
        <w:tabs>
          <w:tab w:leader="none" w:pos="975" w:val="left"/>
        </w:tabs>
        <w:numPr>
          <w:ilvl w:val="1"/>
          <w:numId w:val="3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6"/>
          <w:szCs w:val="16"/>
          <w:color w:val="auto"/>
        </w:rPr>
      </w:pPr>
    </w:p>
    <w:p>
      <w:pPr>
        <w:jc w:val="both"/>
        <w:ind w:left="980" w:right="500" w:hanging="324"/>
        <w:spacing w:after="0" w:line="260" w:lineRule="auto"/>
        <w:tabs>
          <w:tab w:leader="none" w:pos="980" w:val="left"/>
        </w:tabs>
        <w:numPr>
          <w:ilvl w:val="1"/>
          <w:numId w:val="3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5" w:lineRule="exact"/>
        <w:rPr>
          <w:rFonts w:ascii="Arial" w:cs="Arial" w:eastAsia="Arial" w:hAnsi="Arial"/>
          <w:sz w:val="16"/>
          <w:szCs w:val="16"/>
          <w:color w:val="auto"/>
        </w:rPr>
      </w:pPr>
    </w:p>
    <w:p>
      <w:pPr>
        <w:ind w:left="980" w:right="220" w:hanging="324"/>
        <w:spacing w:after="0" w:line="253" w:lineRule="auto"/>
        <w:tabs>
          <w:tab w:leader="none" w:pos="975" w:val="left"/>
        </w:tabs>
        <w:numPr>
          <w:ilvl w:val="1"/>
          <w:numId w:val="3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6"/>
          <w:szCs w:val="16"/>
          <w:color w:val="auto"/>
        </w:rPr>
      </w:pPr>
    </w:p>
    <w:p>
      <w:pPr>
        <w:ind w:left="660" w:right="180" w:hanging="328"/>
        <w:spacing w:after="0" w:line="260" w:lineRule="auto"/>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5" w:lineRule="exact"/>
        <w:rPr>
          <w:rFonts w:ascii="Arial" w:cs="Arial" w:eastAsia="Arial" w:hAnsi="Arial"/>
          <w:sz w:val="16"/>
          <w:szCs w:val="16"/>
          <w:color w:val="auto"/>
        </w:rPr>
      </w:pPr>
    </w:p>
    <w:p>
      <w:pPr>
        <w:ind w:left="980" w:right="160" w:hanging="324"/>
        <w:spacing w:after="0" w:line="260" w:lineRule="auto"/>
        <w:tabs>
          <w:tab w:leader="none" w:pos="975" w:val="left"/>
        </w:tabs>
        <w:numPr>
          <w:ilvl w:val="1"/>
          <w:numId w:val="3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5" w:lineRule="exact"/>
        <w:rPr>
          <w:rFonts w:ascii="Arial" w:cs="Arial" w:eastAsia="Arial" w:hAnsi="Arial"/>
          <w:sz w:val="16"/>
          <w:szCs w:val="16"/>
          <w:color w:val="auto"/>
        </w:rPr>
      </w:pPr>
    </w:p>
    <w:p>
      <w:pPr>
        <w:ind w:left="980" w:right="100" w:hanging="324"/>
        <w:spacing w:after="0" w:line="260" w:lineRule="auto"/>
        <w:tabs>
          <w:tab w:leader="none" w:pos="975" w:val="left"/>
        </w:tabs>
        <w:numPr>
          <w:ilvl w:val="1"/>
          <w:numId w:val="36"/>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October 28, 2020</w:t>
      </w:r>
    </w:p>
    <w:p>
      <w:pPr>
        <w:spacing w:after="0" w:line="135" w:lineRule="exact"/>
        <w:rPr>
          <w:sz w:val="20"/>
          <w:szCs w:val="20"/>
          <w:color w:val="auto"/>
        </w:rPr>
      </w:pPr>
    </w:p>
    <w:p>
      <w:pPr>
        <w:ind w:left="7320"/>
        <w:spacing w:after="0"/>
        <w:rPr>
          <w:sz w:val="20"/>
          <w:szCs w:val="20"/>
          <w:color w:val="auto"/>
        </w:rPr>
      </w:pPr>
      <w:r>
        <w:rPr>
          <w:rFonts w:ascii="Arial" w:cs="Arial" w:eastAsia="Arial" w:hAnsi="Arial"/>
          <w:sz w:val="15"/>
          <w:szCs w:val="15"/>
          <w:color w:val="auto"/>
        </w:rPr>
        <w:t>/s/ Elias J. Sabo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12700</wp:posOffset>
            </wp:positionV>
            <wp:extent cx="24688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24" w:lineRule="exact"/>
        <w:rPr>
          <w:sz w:val="20"/>
          <w:szCs w:val="20"/>
          <w:color w:val="auto"/>
        </w:rPr>
      </w:pPr>
    </w:p>
    <w:p>
      <w:pPr>
        <w:ind w:left="7320"/>
        <w:spacing w:after="0"/>
        <w:rPr>
          <w:sz w:val="20"/>
          <w:szCs w:val="20"/>
          <w:color w:val="auto"/>
        </w:rPr>
      </w:pPr>
      <w:r>
        <w:rPr>
          <w:rFonts w:ascii="Arial" w:cs="Arial" w:eastAsia="Arial" w:hAnsi="Arial"/>
          <w:sz w:val="15"/>
          <w:szCs w:val="15"/>
          <w:color w:val="auto"/>
        </w:rPr>
        <w:t>Elias J. Sabo</w:t>
      </w:r>
    </w:p>
    <w:p>
      <w:pPr>
        <w:spacing w:after="0" w:line="6" w:lineRule="exact"/>
        <w:rPr>
          <w:sz w:val="20"/>
          <w:szCs w:val="20"/>
          <w:color w:val="auto"/>
        </w:rPr>
      </w:pPr>
    </w:p>
    <w:p>
      <w:pPr>
        <w:ind w:left="7320"/>
        <w:spacing w:after="0"/>
        <w:rPr>
          <w:sz w:val="20"/>
          <w:szCs w:val="20"/>
          <w:color w:val="auto"/>
        </w:rPr>
      </w:pPr>
      <w:r>
        <w:rPr>
          <w:rFonts w:ascii="Arial" w:cs="Arial" w:eastAsia="Arial" w:hAnsi="Arial"/>
          <w:sz w:val="15"/>
          <w:szCs w:val="15"/>
          <w:i w:val="1"/>
          <w:iCs w:val="1"/>
          <w:color w:val="auto"/>
        </w:rPr>
        <w:t>Chief Executive Officer of</w:t>
      </w:r>
    </w:p>
    <w:p>
      <w:pPr>
        <w:ind w:left="7320"/>
        <w:spacing w:after="0" w:line="206" w:lineRule="auto"/>
        <w:rPr>
          <w:sz w:val="20"/>
          <w:szCs w:val="20"/>
          <w:color w:val="auto"/>
        </w:rPr>
      </w:pPr>
      <w:r>
        <w:rPr>
          <w:rFonts w:ascii="Arial" w:cs="Arial" w:eastAsia="Arial" w:hAnsi="Arial"/>
          <w:sz w:val="15"/>
          <w:szCs w:val="15"/>
          <w:i w:val="1"/>
          <w:iCs w:val="1"/>
          <w:color w:val="auto"/>
        </w:rPr>
        <w:t>Compass Group Diversified Holdings LLC</w:t>
      </w:r>
    </w:p>
    <w:p>
      <w:pPr>
        <w:ind w:left="7320"/>
        <w:spacing w:after="0"/>
        <w:rPr>
          <w:sz w:val="20"/>
          <w:szCs w:val="20"/>
          <w:color w:val="auto"/>
        </w:rPr>
      </w:pPr>
      <w:r>
        <w:rPr>
          <w:rFonts w:ascii="Arial" w:cs="Arial" w:eastAsia="Arial" w:hAnsi="Arial"/>
          <w:sz w:val="15"/>
          <w:szCs w:val="15"/>
          <w:color w:val="auto"/>
        </w:rPr>
        <w:t>(Principal Executive Officer)</w:t>
      </w:r>
    </w:p>
    <w:p>
      <w:pPr>
        <w:sectPr>
          <w:pgSz w:w="11900" w:h="16838" w:orient="portrait"/>
          <w:cols w:equalWidth="0" w:num="1">
            <w:col w:w="11240"/>
          </w:cols>
          <w:pgMar w:left="320" w:top="883" w:right="339" w:bottom="1440" w:gutter="0" w:footer="0" w:header="0"/>
        </w:sectPr>
      </w:pPr>
    </w:p>
    <w:bookmarkStart w:id="74" w:name="page75"/>
    <w:bookmarkEnd w:id="74"/>
    <w:p>
      <w:pPr>
        <w:jc w:val="right"/>
        <w:spacing w:after="0"/>
        <w:rPr>
          <w:sz w:val="20"/>
          <w:szCs w:val="20"/>
          <w:color w:val="auto"/>
        </w:rPr>
      </w:pPr>
      <w:r>
        <w:rPr>
          <w:rFonts w:ascii="Arial" w:cs="Arial" w:eastAsia="Arial" w:hAnsi="Arial"/>
          <w:sz w:val="17"/>
          <w:szCs w:val="17"/>
          <w:b w:val="1"/>
          <w:bCs w:val="1"/>
          <w:color w:val="auto"/>
        </w:rPr>
        <w:t>Exhibit 31.2</w:t>
      </w:r>
    </w:p>
    <w:p>
      <w:pPr>
        <w:spacing w:after="0" w:line="223" w:lineRule="exact"/>
        <w:rPr>
          <w:sz w:val="20"/>
          <w:szCs w:val="20"/>
          <w:color w:val="auto"/>
        </w:rPr>
      </w:pPr>
    </w:p>
    <w:p>
      <w:pPr>
        <w:ind w:left="2000"/>
        <w:spacing w:after="0"/>
        <w:rPr>
          <w:sz w:val="20"/>
          <w:szCs w:val="20"/>
          <w:color w:val="auto"/>
        </w:rPr>
      </w:pPr>
      <w:r>
        <w:rPr>
          <w:rFonts w:ascii="Arial" w:cs="Arial" w:eastAsia="Arial" w:hAnsi="Arial"/>
          <w:sz w:val="17"/>
          <w:szCs w:val="17"/>
          <w:b w:val="1"/>
          <w:bCs w:val="1"/>
          <w:color w:val="auto"/>
        </w:rPr>
        <w:t>CERTIFICATIONS PURSUANT TO SECTION 302 OF THE SARBANES-OXLEY ACT OF 2002</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I, Ryan J. Faulkingham, certify that:</w:t>
      </w:r>
    </w:p>
    <w:p>
      <w:pPr>
        <w:spacing w:after="0" w:line="223" w:lineRule="exact"/>
        <w:rPr>
          <w:sz w:val="20"/>
          <w:szCs w:val="20"/>
          <w:color w:val="auto"/>
        </w:rPr>
      </w:pPr>
    </w:p>
    <w:p>
      <w:pPr>
        <w:ind w:left="660" w:right="80" w:hanging="328"/>
        <w:spacing w:after="0" w:line="259" w:lineRule="auto"/>
        <w:tabs>
          <w:tab w:leader="none" w:pos="654" w:val="left"/>
        </w:tabs>
        <w:numPr>
          <w:ilvl w:val="0"/>
          <w:numId w:val="37"/>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Compass Diversified Holdings and Compass Group Diversified Holdings LLC (each, the “registrant”);</w:t>
      </w:r>
    </w:p>
    <w:p>
      <w:pPr>
        <w:spacing w:after="0" w:line="199" w:lineRule="exact"/>
        <w:rPr>
          <w:rFonts w:ascii="Arial" w:cs="Arial" w:eastAsia="Arial" w:hAnsi="Arial"/>
          <w:sz w:val="17"/>
          <w:szCs w:val="17"/>
          <w:color w:val="auto"/>
        </w:rPr>
      </w:pPr>
    </w:p>
    <w:p>
      <w:pPr>
        <w:ind w:left="660" w:right="20" w:hanging="328"/>
        <w:spacing w:after="0" w:line="254" w:lineRule="auto"/>
        <w:tabs>
          <w:tab w:leader="none" w:pos="654" w:val="left"/>
        </w:tabs>
        <w:numPr>
          <w:ilvl w:val="0"/>
          <w:numId w:val="37"/>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Arial" w:cs="Arial" w:eastAsia="Arial" w:hAnsi="Arial"/>
          <w:sz w:val="17"/>
          <w:szCs w:val="17"/>
          <w:color w:val="auto"/>
        </w:rPr>
      </w:pPr>
    </w:p>
    <w:p>
      <w:pPr>
        <w:ind w:left="660" w:right="380" w:hanging="328"/>
        <w:spacing w:after="0" w:line="259" w:lineRule="auto"/>
        <w:tabs>
          <w:tab w:leader="none" w:pos="654" w:val="left"/>
        </w:tabs>
        <w:numPr>
          <w:ilvl w:val="0"/>
          <w:numId w:val="3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9" w:lineRule="exact"/>
        <w:rPr>
          <w:rFonts w:ascii="Arial" w:cs="Arial" w:eastAsia="Arial" w:hAnsi="Arial"/>
          <w:sz w:val="17"/>
          <w:szCs w:val="17"/>
          <w:color w:val="auto"/>
        </w:rPr>
      </w:pPr>
    </w:p>
    <w:p>
      <w:pPr>
        <w:ind w:left="660" w:right="60" w:hanging="328"/>
        <w:spacing w:after="0" w:line="254" w:lineRule="auto"/>
        <w:tabs>
          <w:tab w:leader="none" w:pos="654"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Arial" w:cs="Arial" w:eastAsia="Arial" w:hAnsi="Arial"/>
          <w:sz w:val="17"/>
          <w:szCs w:val="17"/>
          <w:color w:val="auto"/>
        </w:rPr>
      </w:pPr>
    </w:p>
    <w:p>
      <w:pPr>
        <w:ind w:left="1300" w:right="180" w:hanging="320"/>
        <w:spacing w:after="0" w:line="254" w:lineRule="auto"/>
        <w:tabs>
          <w:tab w:leader="none" w:pos="1290" w:val="left"/>
        </w:tabs>
        <w:numPr>
          <w:ilvl w:val="1"/>
          <w:numId w:val="3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Arial" w:cs="Arial" w:eastAsia="Arial" w:hAnsi="Arial"/>
          <w:sz w:val="17"/>
          <w:szCs w:val="17"/>
          <w:color w:val="auto"/>
        </w:rPr>
      </w:pPr>
    </w:p>
    <w:p>
      <w:pPr>
        <w:ind w:left="1300" w:right="40" w:hanging="320"/>
        <w:spacing w:after="0" w:line="254" w:lineRule="auto"/>
        <w:tabs>
          <w:tab w:leader="none" w:pos="1290" w:val="left"/>
        </w:tabs>
        <w:numPr>
          <w:ilvl w:val="1"/>
          <w:numId w:val="3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Arial" w:cs="Arial" w:eastAsia="Arial" w:hAnsi="Arial"/>
          <w:sz w:val="17"/>
          <w:szCs w:val="17"/>
          <w:color w:val="auto"/>
        </w:rPr>
      </w:pPr>
    </w:p>
    <w:p>
      <w:pPr>
        <w:ind w:left="1300" w:right="80" w:hanging="320"/>
        <w:spacing w:after="0" w:line="254" w:lineRule="auto"/>
        <w:tabs>
          <w:tab w:leader="none" w:pos="1294" w:val="left"/>
        </w:tabs>
        <w:numPr>
          <w:ilvl w:val="1"/>
          <w:numId w:val="3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2" w:lineRule="exact"/>
        <w:rPr>
          <w:rFonts w:ascii="Arial" w:cs="Arial" w:eastAsia="Arial" w:hAnsi="Arial"/>
          <w:sz w:val="17"/>
          <w:szCs w:val="17"/>
          <w:color w:val="auto"/>
        </w:rPr>
      </w:pPr>
    </w:p>
    <w:p>
      <w:pPr>
        <w:ind w:left="1300" w:right="300" w:hanging="320"/>
        <w:spacing w:after="0" w:line="254" w:lineRule="auto"/>
        <w:tabs>
          <w:tab w:leader="none" w:pos="1290" w:val="left"/>
        </w:tabs>
        <w:numPr>
          <w:ilvl w:val="1"/>
          <w:numId w:val="3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Arial" w:cs="Arial" w:eastAsia="Arial" w:hAnsi="Arial"/>
          <w:sz w:val="17"/>
          <w:szCs w:val="17"/>
          <w:color w:val="auto"/>
        </w:rPr>
      </w:pPr>
    </w:p>
    <w:p>
      <w:pPr>
        <w:ind w:left="660" w:right="100" w:hanging="328"/>
        <w:spacing w:after="0" w:line="259" w:lineRule="auto"/>
        <w:tabs>
          <w:tab w:leader="none" w:pos="654"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9" w:lineRule="exact"/>
        <w:rPr>
          <w:rFonts w:ascii="Arial" w:cs="Arial" w:eastAsia="Arial" w:hAnsi="Arial"/>
          <w:sz w:val="17"/>
          <w:szCs w:val="17"/>
          <w:color w:val="auto"/>
        </w:rPr>
      </w:pPr>
    </w:p>
    <w:p>
      <w:pPr>
        <w:ind w:left="1300" w:right="160" w:hanging="320"/>
        <w:spacing w:after="0" w:line="259" w:lineRule="auto"/>
        <w:tabs>
          <w:tab w:leader="none" w:pos="1290" w:val="left"/>
        </w:tabs>
        <w:numPr>
          <w:ilvl w:val="1"/>
          <w:numId w:val="3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9" w:lineRule="exact"/>
        <w:rPr>
          <w:rFonts w:ascii="Arial" w:cs="Arial" w:eastAsia="Arial" w:hAnsi="Arial"/>
          <w:sz w:val="17"/>
          <w:szCs w:val="17"/>
          <w:color w:val="auto"/>
        </w:rPr>
      </w:pPr>
    </w:p>
    <w:p>
      <w:pPr>
        <w:ind w:left="1300" w:right="380" w:hanging="320"/>
        <w:spacing w:after="0" w:line="259" w:lineRule="auto"/>
        <w:tabs>
          <w:tab w:leader="none" w:pos="1290" w:val="left"/>
        </w:tabs>
        <w:numPr>
          <w:ilvl w:val="1"/>
          <w:numId w:val="37"/>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color w:val="auto"/>
        </w:rPr>
        <w:t>October 28, 2020</w:t>
      </w:r>
    </w:p>
    <w:p>
      <w:pPr>
        <w:spacing w:after="0" w:line="142" w:lineRule="exact"/>
        <w:rPr>
          <w:sz w:val="20"/>
          <w:szCs w:val="20"/>
          <w:color w:val="auto"/>
        </w:rPr>
      </w:pPr>
    </w:p>
    <w:p>
      <w:pPr>
        <w:ind w:left="6500"/>
        <w:spacing w:after="0"/>
        <w:rPr>
          <w:sz w:val="20"/>
          <w:szCs w:val="20"/>
          <w:color w:val="auto"/>
        </w:rPr>
      </w:pPr>
      <w:r>
        <w:rPr>
          <w:rFonts w:ascii="Arial" w:cs="Arial" w:eastAsia="Arial" w:hAnsi="Arial"/>
          <w:sz w:val="17"/>
          <w:szCs w:val="17"/>
          <w:color w:val="auto"/>
        </w:rPr>
        <w:t>/s/ Ryan J. Faulkingham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8255</wp:posOffset>
            </wp:positionV>
            <wp:extent cx="300037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14" w:lineRule="exact"/>
        <w:rPr>
          <w:sz w:val="20"/>
          <w:szCs w:val="20"/>
          <w:color w:val="auto"/>
        </w:rPr>
      </w:pPr>
    </w:p>
    <w:p>
      <w:pPr>
        <w:ind w:left="6500"/>
        <w:spacing w:after="0"/>
        <w:rPr>
          <w:sz w:val="20"/>
          <w:szCs w:val="20"/>
          <w:color w:val="auto"/>
        </w:rPr>
      </w:pPr>
      <w:r>
        <w:rPr>
          <w:rFonts w:ascii="Arial" w:cs="Arial" w:eastAsia="Arial" w:hAnsi="Arial"/>
          <w:sz w:val="17"/>
          <w:szCs w:val="17"/>
          <w:color w:val="auto"/>
        </w:rPr>
        <w:t>Ryan J. Faulkingham</w:t>
      </w:r>
    </w:p>
    <w:p>
      <w:pPr>
        <w:ind w:left="6500"/>
        <w:spacing w:after="0" w:line="224" w:lineRule="auto"/>
        <w:rPr>
          <w:sz w:val="20"/>
          <w:szCs w:val="20"/>
          <w:color w:val="auto"/>
        </w:rPr>
      </w:pPr>
      <w:r>
        <w:rPr>
          <w:rFonts w:ascii="Arial" w:cs="Arial" w:eastAsia="Arial" w:hAnsi="Arial"/>
          <w:sz w:val="17"/>
          <w:szCs w:val="17"/>
          <w:i w:val="1"/>
          <w:iCs w:val="1"/>
          <w:color w:val="auto"/>
        </w:rPr>
        <w:t>Regular Trustee of Compass Diversified Holdings and Chief</w:t>
      </w:r>
    </w:p>
    <w:p>
      <w:pPr>
        <w:ind w:left="6500"/>
        <w:spacing w:after="0" w:line="199" w:lineRule="auto"/>
        <w:rPr>
          <w:sz w:val="20"/>
          <w:szCs w:val="20"/>
          <w:color w:val="auto"/>
        </w:rPr>
      </w:pPr>
      <w:r>
        <w:rPr>
          <w:rFonts w:ascii="Arial" w:cs="Arial" w:eastAsia="Arial" w:hAnsi="Arial"/>
          <w:sz w:val="17"/>
          <w:szCs w:val="17"/>
          <w:i w:val="1"/>
          <w:iCs w:val="1"/>
          <w:color w:val="auto"/>
        </w:rPr>
        <w:t>Financial Officer of</w:t>
      </w:r>
    </w:p>
    <w:p>
      <w:pPr>
        <w:ind w:left="6500"/>
        <w:spacing w:after="0" w:line="198" w:lineRule="auto"/>
        <w:rPr>
          <w:sz w:val="20"/>
          <w:szCs w:val="20"/>
          <w:color w:val="auto"/>
        </w:rPr>
      </w:pPr>
      <w:r>
        <w:rPr>
          <w:rFonts w:ascii="Arial" w:cs="Arial" w:eastAsia="Arial" w:hAnsi="Arial"/>
          <w:sz w:val="17"/>
          <w:szCs w:val="17"/>
          <w:i w:val="1"/>
          <w:iCs w:val="1"/>
          <w:color w:val="auto"/>
        </w:rPr>
        <w:t>Compass Group Diversified Holdings LLC</w:t>
      </w:r>
    </w:p>
    <w:p>
      <w:pPr>
        <w:spacing w:after="0" w:line="1" w:lineRule="exact"/>
        <w:rPr>
          <w:sz w:val="20"/>
          <w:szCs w:val="20"/>
          <w:color w:val="auto"/>
        </w:rPr>
      </w:pPr>
    </w:p>
    <w:p>
      <w:pPr>
        <w:ind w:left="6500"/>
        <w:spacing w:after="0"/>
        <w:rPr>
          <w:sz w:val="20"/>
          <w:szCs w:val="20"/>
          <w:color w:val="auto"/>
        </w:rPr>
      </w:pPr>
      <w:r>
        <w:rPr>
          <w:rFonts w:ascii="Arial" w:cs="Arial" w:eastAsia="Arial" w:hAnsi="Arial"/>
          <w:sz w:val="17"/>
          <w:szCs w:val="17"/>
          <w:color w:val="auto"/>
        </w:rPr>
        <w:t>(Principal Financial and Accounting Officer</w:t>
      </w:r>
      <w:r>
        <w:rPr>
          <w:rFonts w:ascii="Arial" w:cs="Arial" w:eastAsia="Arial" w:hAnsi="Arial"/>
          <w:sz w:val="17"/>
          <w:szCs w:val="17"/>
          <w:i w:val="1"/>
          <w:iCs w:val="1"/>
          <w:color w:val="auto"/>
        </w:rPr>
        <w:t>)</w:t>
      </w:r>
    </w:p>
    <w:p>
      <w:pPr>
        <w:sectPr>
          <w:pgSz w:w="11900" w:h="16838" w:orient="portrait"/>
          <w:cols w:equalWidth="0" w:num="1">
            <w:col w:w="11240"/>
          </w:cols>
          <w:pgMar w:left="320" w:top="883" w:right="339" w:bottom="1440" w:gutter="0" w:footer="0" w:header="0"/>
        </w:sectPr>
      </w:pPr>
    </w:p>
    <w:bookmarkStart w:id="75" w:name="page76"/>
    <w:bookmarkEnd w:id="75"/>
    <w:p>
      <w:pPr>
        <w:jc w:val="right"/>
        <w:spacing w:after="0"/>
        <w:rPr>
          <w:sz w:val="20"/>
          <w:szCs w:val="20"/>
          <w:color w:val="auto"/>
        </w:rPr>
      </w:pPr>
      <w:r>
        <w:rPr>
          <w:rFonts w:ascii="Arial" w:cs="Arial" w:eastAsia="Arial" w:hAnsi="Arial"/>
          <w:sz w:val="17"/>
          <w:szCs w:val="17"/>
          <w:b w:val="1"/>
          <w:bCs w:val="1"/>
          <w:color w:val="auto"/>
        </w:rPr>
        <w:t>Exhibit 32.1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 PURSUANT TO 18 U.S.C. SECTION 1350,</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AS ADOPTED PURSUANT 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SECTION 906 OF THE SARBANES-OXLEY ACT OF 2002</w:t>
      </w:r>
    </w:p>
    <w:p>
      <w:pPr>
        <w:spacing w:after="0" w:line="223" w:lineRule="exact"/>
        <w:rPr>
          <w:sz w:val="20"/>
          <w:szCs w:val="20"/>
          <w:color w:val="auto"/>
        </w:rPr>
      </w:pPr>
    </w:p>
    <w:p>
      <w:pPr>
        <w:ind w:right="500" w:firstLine="445"/>
        <w:spacing w:after="0" w:line="252" w:lineRule="auto"/>
        <w:rPr>
          <w:sz w:val="20"/>
          <w:szCs w:val="20"/>
          <w:color w:val="auto"/>
        </w:rPr>
      </w:pPr>
      <w:r>
        <w:rPr>
          <w:rFonts w:ascii="Arial" w:cs="Arial" w:eastAsia="Arial" w:hAnsi="Arial"/>
          <w:sz w:val="17"/>
          <w:szCs w:val="17"/>
          <w:color w:val="auto"/>
        </w:rPr>
        <w:t>In connection with the Quarterly Report of COMPASS GROUP DIVERSIFIED HOLDINGS LLC on Form 10-Q for the period ended September 30, 2020 as filed with the Securities and Exchange Commission on the date hereof (the “Report”), I, Elias J. Sabo, Chief Executive Officer of Compass Group Diversified Holdings LLC, certify, pursuant to 18 U.S.C. Section 1350, as adopted pursuant to Section 906 of the Sarbanes-Oxley Act of 2002, that to my knowledge:</w:t>
      </w:r>
    </w:p>
    <w:p>
      <w:pPr>
        <w:spacing w:after="0" w:line="138" w:lineRule="exact"/>
        <w:rPr>
          <w:sz w:val="20"/>
          <w:szCs w:val="20"/>
          <w:color w:val="auto"/>
        </w:rPr>
      </w:pPr>
    </w:p>
    <w:p>
      <w:pPr>
        <w:ind w:left="560" w:hanging="309"/>
        <w:spacing w:after="0"/>
        <w:tabs>
          <w:tab w:leader="none" w:pos="5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42" w:lineRule="exact"/>
        <w:rPr>
          <w:rFonts w:ascii="Arial" w:cs="Arial" w:eastAsia="Arial" w:hAnsi="Arial"/>
          <w:sz w:val="17"/>
          <w:szCs w:val="17"/>
          <w:color w:val="auto"/>
        </w:rPr>
      </w:pPr>
    </w:p>
    <w:p>
      <w:pPr>
        <w:ind w:left="580" w:right="140" w:hanging="329"/>
        <w:spacing w:after="0" w:line="259" w:lineRule="auto"/>
        <w:tabs>
          <w:tab w:leader="none" w:pos="573"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Compass Group Diversified Holdings LLC.</w:t>
      </w:r>
    </w:p>
    <w:p>
      <w:pPr>
        <w:spacing w:after="0" w:line="17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6940" w:type="dxa"/>
            <w:vAlign w:val="bottom"/>
          </w:tcPr>
          <w:p>
            <w:pPr>
              <w:spacing w:after="0"/>
              <w:rPr>
                <w:sz w:val="20"/>
                <w:szCs w:val="20"/>
                <w:color w:val="auto"/>
              </w:rPr>
            </w:pPr>
            <w:r>
              <w:rPr>
                <w:rFonts w:ascii="Arial" w:cs="Arial" w:eastAsia="Arial" w:hAnsi="Arial"/>
                <w:sz w:val="17"/>
                <w:szCs w:val="17"/>
                <w:color w:val="auto"/>
              </w:rPr>
              <w:t>Dated:   October 28, 2020</w:t>
            </w:r>
          </w:p>
        </w:tc>
        <w:tc>
          <w:tcPr>
            <w:tcW w:w="42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Elias J. Sabo</w:t>
            </w:r>
          </w:p>
        </w:tc>
      </w:tr>
      <w:tr>
        <w:trPr>
          <w:trHeight w:val="208"/>
        </w:trPr>
        <w:tc>
          <w:tcPr>
            <w:tcW w:w="694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7"/>
                <w:szCs w:val="17"/>
                <w:color w:val="auto"/>
              </w:rPr>
              <w:t>Elias J. Sabo</w:t>
            </w:r>
          </w:p>
        </w:tc>
      </w:tr>
      <w:tr>
        <w:trPr>
          <w:trHeight w:val="173"/>
        </w:trPr>
        <w:tc>
          <w:tcPr>
            <w:tcW w:w="6940" w:type="dxa"/>
            <w:vAlign w:val="bottom"/>
          </w:tcPr>
          <w:p>
            <w:pPr>
              <w:spacing w:after="0"/>
              <w:rPr>
                <w:sz w:val="15"/>
                <w:szCs w:val="15"/>
                <w:color w:val="auto"/>
              </w:rPr>
            </w:pPr>
          </w:p>
        </w:tc>
        <w:tc>
          <w:tcPr>
            <w:tcW w:w="4220" w:type="dxa"/>
            <w:vAlign w:val="bottom"/>
          </w:tcPr>
          <w:p>
            <w:pPr>
              <w:ind w:left="20"/>
              <w:spacing w:after="0" w:line="173" w:lineRule="exact"/>
              <w:rPr>
                <w:sz w:val="20"/>
                <w:szCs w:val="20"/>
                <w:color w:val="auto"/>
              </w:rPr>
            </w:pPr>
            <w:r>
              <w:rPr>
                <w:rFonts w:ascii="Arial" w:cs="Arial" w:eastAsia="Arial" w:hAnsi="Arial"/>
                <w:sz w:val="17"/>
                <w:szCs w:val="17"/>
                <w:color w:val="auto"/>
              </w:rPr>
              <w:t>Chief Executive Officer,</w:t>
            </w:r>
          </w:p>
        </w:tc>
      </w:tr>
      <w:tr>
        <w:trPr>
          <w:trHeight w:val="205"/>
        </w:trPr>
        <w:tc>
          <w:tcPr>
            <w:tcW w:w="6940" w:type="dxa"/>
            <w:vAlign w:val="bottom"/>
          </w:tcPr>
          <w:p>
            <w:pPr>
              <w:spacing w:after="0"/>
              <w:rPr>
                <w:sz w:val="17"/>
                <w:szCs w:val="17"/>
                <w:color w:val="auto"/>
              </w:rPr>
            </w:pPr>
          </w:p>
        </w:tc>
        <w:tc>
          <w:tcPr>
            <w:tcW w:w="4220" w:type="dxa"/>
            <w:vAlign w:val="bottom"/>
          </w:tcPr>
          <w:p>
            <w:pPr>
              <w:ind w:left="20"/>
              <w:spacing w:after="0"/>
              <w:rPr>
                <w:sz w:val="20"/>
                <w:szCs w:val="20"/>
                <w:color w:val="auto"/>
              </w:rPr>
            </w:pPr>
            <w:r>
              <w:rPr>
                <w:rFonts w:ascii="Arial" w:cs="Arial" w:eastAsia="Arial" w:hAnsi="Arial"/>
                <w:sz w:val="17"/>
                <w:szCs w:val="17"/>
                <w:color w:val="auto"/>
              </w:rPr>
              <w:t>Compass Group Diversified Holdings LLC</w:t>
            </w:r>
          </w:p>
        </w:tc>
      </w:tr>
    </w:tbl>
    <w:p>
      <w:pPr>
        <w:spacing w:after="0" w:line="214" w:lineRule="exact"/>
        <w:rPr>
          <w:sz w:val="20"/>
          <w:szCs w:val="20"/>
          <w:color w:val="auto"/>
        </w:rPr>
      </w:pPr>
    </w:p>
    <w:p>
      <w:pPr>
        <w:ind w:right="40" w:firstLine="445"/>
        <w:spacing w:after="0" w:line="250" w:lineRule="auto"/>
        <w:rPr>
          <w:sz w:val="20"/>
          <w:szCs w:val="20"/>
          <w:color w:val="auto"/>
        </w:rPr>
      </w:pPr>
      <w:r>
        <w:rPr>
          <w:rFonts w:ascii="Arial" w:cs="Arial" w:eastAsia="Arial" w:hAnsi="Arial"/>
          <w:sz w:val="17"/>
          <w:szCs w:val="17"/>
          <w:color w:val="auto"/>
        </w:rPr>
        <w:t>The foregoing certification is being furnished to accompany Compass Group Diversified Holdings LLC’s Quarterly Report on Form 10-Q for the quarterly period ended September 30, 2020 solely pursuant to Section 906 of the Sarbanes-Oxley Act of 2002 and shall not be deemed filed as part of the Report or as a separate disclosure document and shall not be deemed incorporated by reference into any other filing of Compass Group Diversified Holdings LLC that incorporates the Report by reference. A signed original of this written certification required by Section 906 has been provided to Compass Group Diversified Holdings LLC and will be retained by Compass Group Diversified Holdings LLC and furnished to the Securities and Exchange Commission or its staff upon request.</w:t>
      </w:r>
    </w:p>
    <w:p>
      <w:pPr>
        <w:sectPr>
          <w:pgSz w:w="11900" w:h="16838" w:orient="portrait"/>
          <w:cols w:equalWidth="0" w:num="1">
            <w:col w:w="11240"/>
          </w:cols>
          <w:pgMar w:left="320" w:top="883" w:right="339" w:bottom="1440" w:gutter="0" w:footer="0" w:header="0"/>
        </w:sectPr>
      </w:pPr>
    </w:p>
    <w:bookmarkStart w:id="76" w:name="page77"/>
    <w:bookmarkEnd w:id="76"/>
    <w:p>
      <w:pPr>
        <w:jc w:val="right"/>
        <w:spacing w:after="0"/>
        <w:rPr>
          <w:sz w:val="20"/>
          <w:szCs w:val="20"/>
          <w:color w:val="auto"/>
        </w:rPr>
      </w:pPr>
      <w:r>
        <w:rPr>
          <w:rFonts w:ascii="Arial" w:cs="Arial" w:eastAsia="Arial" w:hAnsi="Arial"/>
          <w:sz w:val="17"/>
          <w:szCs w:val="17"/>
          <w:b w:val="1"/>
          <w:bCs w:val="1"/>
          <w:color w:val="auto"/>
        </w:rPr>
        <w:t>Exhibit 32.2</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 PURSUANT TO 18 U.S.C. SECTION 1350,</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AS ADOPTED PURSUANT 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SECTION 906 OF THE SARBANES-OXLEY ACT OF 2002</w:t>
      </w:r>
    </w:p>
    <w:p>
      <w:pPr>
        <w:spacing w:after="0" w:line="223" w:lineRule="exact"/>
        <w:rPr>
          <w:sz w:val="20"/>
          <w:szCs w:val="20"/>
          <w:color w:val="auto"/>
        </w:rPr>
      </w:pPr>
    </w:p>
    <w:p>
      <w:pPr>
        <w:ind w:right="120" w:firstLine="445"/>
        <w:spacing w:after="0" w:line="252" w:lineRule="auto"/>
        <w:rPr>
          <w:sz w:val="20"/>
          <w:szCs w:val="20"/>
          <w:color w:val="auto"/>
        </w:rPr>
      </w:pPr>
      <w:r>
        <w:rPr>
          <w:rFonts w:ascii="Arial" w:cs="Arial" w:eastAsia="Arial" w:hAnsi="Arial"/>
          <w:sz w:val="17"/>
          <w:szCs w:val="17"/>
          <w:color w:val="auto"/>
        </w:rPr>
        <w:t>In connection with the Quarterly Report of COMPASS DIVERSIFIED HOLDINGS and COMPASS GROUP DIVERSIFIED HOLDINGS LLC on Form 10-Q for the period ended September 30, 2020 as filed with the Securities and Exchange Commission on the date hereof (the “Report”), I, Ryan J. Faulkingham, Regular Trustee of Compass Diversified Holdings and Chief Financial Officer of Compass Group Diversified Holdings LLC, certify, pursuant to 18 U.S.C. Section 1350, as adopted pursuant to Section 906 of the Sarbanes-Oxley Act of 2002, that to my knowledge:</w:t>
      </w:r>
    </w:p>
    <w:p>
      <w:pPr>
        <w:spacing w:after="0" w:line="138" w:lineRule="exact"/>
        <w:rPr>
          <w:sz w:val="20"/>
          <w:szCs w:val="20"/>
          <w:color w:val="auto"/>
        </w:rPr>
      </w:pPr>
    </w:p>
    <w:p>
      <w:pPr>
        <w:ind w:left="560" w:hanging="309"/>
        <w:spacing w:after="0"/>
        <w:tabs>
          <w:tab w:leader="none" w:pos="5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42" w:lineRule="exact"/>
        <w:rPr>
          <w:rFonts w:ascii="Arial" w:cs="Arial" w:eastAsia="Arial" w:hAnsi="Arial"/>
          <w:sz w:val="17"/>
          <w:szCs w:val="17"/>
          <w:color w:val="auto"/>
        </w:rPr>
      </w:pPr>
    </w:p>
    <w:p>
      <w:pPr>
        <w:ind w:left="580" w:right="140" w:hanging="329"/>
        <w:spacing w:after="0" w:line="259" w:lineRule="auto"/>
        <w:tabs>
          <w:tab w:leader="none" w:pos="573"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Compass Diversified Holdings and Compass Group Diversified Holdings LLC.</w:t>
      </w:r>
    </w:p>
    <w:p>
      <w:pPr>
        <w:spacing w:after="0" w:line="17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6940" w:type="dxa"/>
            <w:vAlign w:val="bottom"/>
          </w:tcPr>
          <w:p>
            <w:pPr>
              <w:spacing w:after="0"/>
              <w:rPr>
                <w:sz w:val="20"/>
                <w:szCs w:val="20"/>
                <w:color w:val="auto"/>
              </w:rPr>
            </w:pPr>
            <w:r>
              <w:rPr>
                <w:rFonts w:ascii="Arial" w:cs="Arial" w:eastAsia="Arial" w:hAnsi="Arial"/>
                <w:sz w:val="17"/>
                <w:szCs w:val="17"/>
                <w:color w:val="auto"/>
              </w:rPr>
              <w:t>Dated:   October 28, 2020</w:t>
            </w:r>
          </w:p>
        </w:tc>
        <w:tc>
          <w:tcPr>
            <w:tcW w:w="42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Ryan J. Faulkingham</w:t>
            </w:r>
          </w:p>
        </w:tc>
      </w:tr>
      <w:tr>
        <w:trPr>
          <w:trHeight w:val="208"/>
        </w:trPr>
        <w:tc>
          <w:tcPr>
            <w:tcW w:w="694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7"/>
                <w:szCs w:val="17"/>
                <w:color w:val="auto"/>
              </w:rPr>
              <w:t>Ryan J. Faulkingham</w:t>
            </w:r>
          </w:p>
        </w:tc>
      </w:tr>
      <w:tr>
        <w:trPr>
          <w:trHeight w:val="173"/>
        </w:trPr>
        <w:tc>
          <w:tcPr>
            <w:tcW w:w="6940" w:type="dxa"/>
            <w:vAlign w:val="bottom"/>
          </w:tcPr>
          <w:p>
            <w:pPr>
              <w:spacing w:after="0"/>
              <w:rPr>
                <w:sz w:val="15"/>
                <w:szCs w:val="15"/>
                <w:color w:val="auto"/>
              </w:rPr>
            </w:pPr>
          </w:p>
        </w:tc>
        <w:tc>
          <w:tcPr>
            <w:tcW w:w="4220" w:type="dxa"/>
            <w:vAlign w:val="bottom"/>
          </w:tcPr>
          <w:p>
            <w:pPr>
              <w:ind w:left="20"/>
              <w:spacing w:after="0" w:line="173" w:lineRule="exact"/>
              <w:rPr>
                <w:sz w:val="20"/>
                <w:szCs w:val="20"/>
                <w:color w:val="auto"/>
              </w:rPr>
            </w:pPr>
            <w:r>
              <w:rPr>
                <w:rFonts w:ascii="Arial" w:cs="Arial" w:eastAsia="Arial" w:hAnsi="Arial"/>
                <w:sz w:val="17"/>
                <w:szCs w:val="17"/>
                <w:color w:val="auto"/>
              </w:rPr>
              <w:t>Regular Trustee, Compass Diversified Holdings and</w:t>
            </w:r>
          </w:p>
        </w:tc>
      </w:tr>
      <w:tr>
        <w:trPr>
          <w:trHeight w:val="162"/>
        </w:trPr>
        <w:tc>
          <w:tcPr>
            <w:tcW w:w="6940" w:type="dxa"/>
            <w:vAlign w:val="bottom"/>
          </w:tcPr>
          <w:p>
            <w:pPr>
              <w:spacing w:after="0"/>
              <w:rPr>
                <w:sz w:val="14"/>
                <w:szCs w:val="14"/>
                <w:color w:val="auto"/>
              </w:rPr>
            </w:pPr>
          </w:p>
        </w:tc>
        <w:tc>
          <w:tcPr>
            <w:tcW w:w="4220" w:type="dxa"/>
            <w:vAlign w:val="bottom"/>
          </w:tcPr>
          <w:p>
            <w:pPr>
              <w:ind w:left="20"/>
              <w:spacing w:after="0" w:line="162" w:lineRule="exact"/>
              <w:rPr>
                <w:sz w:val="20"/>
                <w:szCs w:val="20"/>
                <w:color w:val="auto"/>
              </w:rPr>
            </w:pPr>
            <w:r>
              <w:rPr>
                <w:rFonts w:ascii="Arial" w:cs="Arial" w:eastAsia="Arial" w:hAnsi="Arial"/>
                <w:sz w:val="17"/>
                <w:szCs w:val="17"/>
                <w:color w:val="auto"/>
              </w:rPr>
              <w:t>Chief Financial Officer,</w:t>
            </w:r>
          </w:p>
        </w:tc>
      </w:tr>
      <w:tr>
        <w:trPr>
          <w:trHeight w:val="205"/>
        </w:trPr>
        <w:tc>
          <w:tcPr>
            <w:tcW w:w="6940" w:type="dxa"/>
            <w:vAlign w:val="bottom"/>
          </w:tcPr>
          <w:p>
            <w:pPr>
              <w:spacing w:after="0"/>
              <w:rPr>
                <w:sz w:val="17"/>
                <w:szCs w:val="17"/>
                <w:color w:val="auto"/>
              </w:rPr>
            </w:pPr>
          </w:p>
        </w:tc>
        <w:tc>
          <w:tcPr>
            <w:tcW w:w="4220" w:type="dxa"/>
            <w:vAlign w:val="bottom"/>
          </w:tcPr>
          <w:p>
            <w:pPr>
              <w:ind w:left="20"/>
              <w:spacing w:after="0"/>
              <w:rPr>
                <w:sz w:val="20"/>
                <w:szCs w:val="20"/>
                <w:color w:val="auto"/>
              </w:rPr>
            </w:pPr>
            <w:r>
              <w:rPr>
                <w:rFonts w:ascii="Arial" w:cs="Arial" w:eastAsia="Arial" w:hAnsi="Arial"/>
                <w:sz w:val="17"/>
                <w:szCs w:val="17"/>
                <w:color w:val="auto"/>
              </w:rPr>
              <w:t>Compass Group Diversified Holdings LLC</w:t>
            </w:r>
          </w:p>
        </w:tc>
      </w:tr>
    </w:tbl>
    <w:p>
      <w:pPr>
        <w:spacing w:after="0" w:line="214" w:lineRule="exact"/>
        <w:rPr>
          <w:sz w:val="20"/>
          <w:szCs w:val="20"/>
          <w:color w:val="auto"/>
        </w:rPr>
      </w:pPr>
    </w:p>
    <w:p>
      <w:pPr>
        <w:ind w:right="160" w:firstLine="445"/>
        <w:spacing w:after="0" w:line="250" w:lineRule="auto"/>
        <w:rPr>
          <w:sz w:val="20"/>
          <w:szCs w:val="20"/>
          <w:color w:val="auto"/>
        </w:rPr>
      </w:pPr>
      <w:r>
        <w:rPr>
          <w:rFonts w:ascii="Arial" w:cs="Arial" w:eastAsia="Arial" w:hAnsi="Arial"/>
          <w:sz w:val="17"/>
          <w:szCs w:val="17"/>
          <w:color w:val="auto"/>
        </w:rPr>
        <w:t>The foregoing certification is being furnished to accompany Compass Diversified Holdings’ and Compass Group Diversified Holdings LLC’s Quarterly Report on Form 10-Q for the quarterly period ended September 30, 2020 solely pursuant to Section 906 of the Sarbanes-Oxley Act of 2002 and shall not be deemed filed as part of the Report or as a separate disclosure document and shall not be deemed incorporated by reference into any other filing of Compass Diversified Holdings and Compass Group Diversified Holdings LLC that incorporates the Report by reference. A signed original of this written certification required by Section 906 has been provided to Compass Diversified Holdings and Compass Group Diversified Holdings LLC and will be retained by Compass Diversified Holdings and Compass Group Diversified Holdings LLC and furnished to the Securities and Exchange Commission or its staff upon request.</w:t>
      </w:r>
    </w:p>
    <w:sectPr>
      <w:pgSz w:w="11900" w:h="16838" w:orient="portrait"/>
      <w:cols w:equalWidth="0" w:num="1">
        <w:col w:w="11240"/>
      </w:cols>
      <w:pgMar w:left="320" w:top="88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1)"/>
      <w:numFmt w:val="decimal"/>
      <w:start w:val="1"/>
    </w:lvl>
  </w:abstractNum>
  <w:abstractNum w:abstractNumId="5">
    <w:nsid w:val="2443A858"/>
    <w:multiLevelType w:val="hybridMultilevel"/>
    <w:lvl w:ilvl="0">
      <w:lvlJc w:val="left"/>
      <w:lvlText w:val="(%1)"/>
      <w:numFmt w:val="decimal"/>
      <w:start w:val="1"/>
    </w:lvl>
  </w:abstractNum>
  <w:abstractNum w:abstractNumId="6">
    <w:nsid w:val="2D1D5AE9"/>
    <w:multiLevelType w:val="hybridMultilevel"/>
    <w:lvl w:ilvl="0">
      <w:lvlJc w:val="left"/>
      <w:lvlText w:val="(%1)"/>
      <w:numFmt w:val="decimal"/>
      <w:start w:val="1"/>
    </w:lvl>
  </w:abstractNum>
  <w:abstractNum w:abstractNumId="7">
    <w:nsid w:val="6763845E"/>
    <w:multiLevelType w:val="hybridMultilevel"/>
    <w:lvl w:ilvl="0">
      <w:lvlJc w:val="left"/>
      <w:lvlText w:val="(%1)"/>
      <w:numFmt w:val="decimal"/>
      <w:start w:val="1"/>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
      <w:numFmt w:val="bullet"/>
      <w:start w:val="1"/>
    </w:lvl>
  </w:abstractNum>
  <w:abstractNum w:abstractNumId="10">
    <w:nsid w:val="79838CB2"/>
    <w:multiLevelType w:val="hybridMultilevel"/>
    <w:lvl w:ilvl="0">
      <w:lvlJc w:val="left"/>
      <w:lvlText w:val="(%1)"/>
      <w:numFmt w:val="decimal"/>
      <w:start w:val="1"/>
    </w:lvl>
  </w:abstractNum>
  <w:abstractNum w:abstractNumId="11">
    <w:nsid w:val="4353D0CD"/>
    <w:multiLevelType w:val="hybridMultilevel"/>
    <w:lvl w:ilvl="0">
      <w:lvlJc w:val="left"/>
      <w:lvlText w:val="(%1)"/>
      <w:numFmt w:val="decimal"/>
      <w:start w:val="1"/>
    </w:lvl>
  </w:abstractNum>
  <w:abstractNum w:abstractNumId="12">
    <w:nsid w:val="B03E0C6"/>
    <w:multiLevelType w:val="hybridMultilevel"/>
    <w:lvl w:ilvl="0">
      <w:lvlJc w:val="left"/>
      <w:lvlText w:val="(%1)"/>
      <w:numFmt w:val="decimal"/>
      <w:start w:val="1"/>
    </w:lvl>
  </w:abstractNum>
  <w:abstractNum w:abstractNumId="13">
    <w:nsid w:val="189A769B"/>
    <w:multiLevelType w:val="hybridMultilevel"/>
    <w:lvl w:ilvl="0">
      <w:lvlJc w:val="left"/>
      <w:lvlText w:val="(%1)"/>
      <w:numFmt w:val="decimal"/>
      <w:start w:val="1"/>
    </w:lvl>
  </w:abstractNum>
  <w:abstractNum w:abstractNumId="14">
    <w:nsid w:val="54E49EB4"/>
    <w:multiLevelType w:val="hybridMultilevel"/>
    <w:lvl w:ilvl="0">
      <w:lvlJc w:val="left"/>
      <w:lvlText w:val="(%1)"/>
      <w:numFmt w:val="lowerRoman"/>
      <w:start w:val="2"/>
    </w:lvl>
  </w:abstractNum>
  <w:abstractNum w:abstractNumId="15">
    <w:nsid w:val="71F32454"/>
    <w:multiLevelType w:val="hybridMultilevel"/>
    <w:lvl w:ilvl="0">
      <w:lvlJc w:val="left"/>
      <w:lvlText w:val="(%1)"/>
      <w:numFmt w:val="decimal"/>
      <w:start w:val="1"/>
    </w:lvl>
  </w:abstractNum>
  <w:abstractNum w:abstractNumId="16">
    <w:nsid w:val="2CA88611"/>
    <w:multiLevelType w:val="hybridMultilevel"/>
    <w:lvl w:ilvl="0">
      <w:lvlJc w:val="left"/>
      <w:lvlText w:val="(%1)"/>
      <w:numFmt w:val="decimal"/>
      <w:start w:val="1"/>
    </w:lvl>
  </w:abstractNum>
  <w:abstractNum w:abstractNumId="17">
    <w:nsid w:val="836C40E"/>
    <w:multiLevelType w:val="hybridMultilevel"/>
    <w:lvl w:ilvl="0">
      <w:lvlJc w:val="left"/>
      <w:lvlText w:val="(%1)"/>
      <w:numFmt w:val="decimal"/>
      <w:start w:val="1"/>
    </w:lvl>
  </w:abstractNum>
  <w:abstractNum w:abstractNumId="18">
    <w:nsid w:val="2901D82"/>
    <w:multiLevelType w:val="hybridMultilevel"/>
    <w:lvl w:ilvl="0">
      <w:lvlJc w:val="left"/>
      <w:lvlText w:val="$"/>
      <w:numFmt w:val="bullet"/>
      <w:start w:val="1"/>
    </w:lvl>
  </w:abstractNum>
  <w:abstractNum w:abstractNumId="19">
    <w:nsid w:val="3A95F874"/>
    <w:multiLevelType w:val="hybridMultilevel"/>
    <w:lvl w:ilvl="0">
      <w:lvlJc w:val="left"/>
      <w:lvlText w:val="$"/>
      <w:numFmt w:val="bullet"/>
      <w:start w:val="1"/>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1)"/>
      <w:numFmt w:val="decimal"/>
      <w:start w:val="1"/>
    </w:lvl>
  </w:abstractNum>
  <w:abstractNum w:abstractNumId="22">
    <w:nsid w:val="7C3DBD3D"/>
    <w:multiLevelType w:val="hybridMultilevel"/>
    <w:lvl w:ilvl="0">
      <w:lvlJc w:val="left"/>
      <w:lvlText w:val="(%1)"/>
      <w:numFmt w:val="decimal"/>
      <w:start w:val="1"/>
    </w:lvl>
  </w:abstractNum>
  <w:abstractNum w:abstractNumId="23">
    <w:nsid w:val="737B8DDC"/>
    <w:multiLevelType w:val="hybridMultilevel"/>
    <w:lvl w:ilvl="0">
      <w:lvlJc w:val="left"/>
      <w:lvlText w:val="•"/>
      <w:numFmt w:val="bullet"/>
      <w:start w:val="1"/>
    </w:lvl>
  </w:abstractNum>
  <w:abstractNum w:abstractNumId="24">
    <w:nsid w:val="6CEAF087"/>
    <w:multiLevelType w:val="hybridMultilevel"/>
    <w:lvl w:ilvl="0">
      <w:lvlJc w:val="left"/>
      <w:lvlText w:val="•"/>
      <w:numFmt w:val="bullet"/>
      <w:start w:val="1"/>
    </w:lvl>
  </w:abstractNum>
  <w:abstractNum w:abstractNumId="25">
    <w:nsid w:val="22221A70"/>
    <w:multiLevelType w:val="hybridMultilevel"/>
    <w:lvl w:ilvl="0">
      <w:lvlJc w:val="left"/>
      <w:lvlText w:val="(%1)"/>
      <w:numFmt w:val="decimal"/>
      <w:start w:val="1"/>
    </w:lvl>
  </w:abstractNum>
  <w:abstractNum w:abstractNumId="26">
    <w:nsid w:val="4516DDE9"/>
    <w:multiLevelType w:val="hybridMultilevel"/>
    <w:lvl w:ilvl="0">
      <w:lvlJc w:val="left"/>
      <w:lvlText w:val="%1"/>
      <w:numFmt w:val="lowerLetter"/>
      <w:start w:val="45"/>
    </w:lvl>
  </w:abstractNum>
  <w:abstractNum w:abstractNumId="27">
    <w:nsid w:val="3006C83E"/>
    <w:multiLevelType w:val="hybridMultilevel"/>
    <w:lvl w:ilvl="0">
      <w:lvlJc w:val="left"/>
      <w:lvlText w:val="%1"/>
      <w:numFmt w:val="lowerLetter"/>
      <w:start w:val="45"/>
    </w:lvl>
  </w:abstractNum>
  <w:abstractNum w:abstractNumId="28">
    <w:nsid w:val="614FD4A1"/>
    <w:multiLevelType w:val="hybridMultilevel"/>
    <w:lvl w:ilvl="0">
      <w:lvlJc w:val="left"/>
      <w:lvlText w:val="(%1)"/>
      <w:numFmt w:val="decimal"/>
      <w:start w:val="1"/>
    </w:lvl>
  </w:abstractNum>
  <w:abstractNum w:abstractNumId="29">
    <w:nsid w:val="419AC241"/>
    <w:multiLevelType w:val="hybridMultilevel"/>
    <w:lvl w:ilvl="0">
      <w:lvlJc w:val="left"/>
      <w:lvlText w:val="(%1)"/>
      <w:numFmt w:val="decimal"/>
      <w:start w:val="1"/>
    </w:lvl>
  </w:abstractNum>
  <w:abstractNum w:abstractNumId="30">
    <w:nsid w:val="5577F8E1"/>
    <w:multiLevelType w:val="hybridMultilevel"/>
    <w:lvl w:ilvl="0">
      <w:lvlJc w:val="left"/>
      <w:lvlText w:val="(%1)"/>
      <w:numFmt w:val="decimal"/>
      <w:start w:val="1"/>
    </w:lvl>
  </w:abstractNum>
  <w:abstractNum w:abstractNumId="31">
    <w:nsid w:val="440BADFC"/>
    <w:multiLevelType w:val="hybridMultilevel"/>
    <w:lvl w:ilvl="0">
      <w:lvlJc w:val="left"/>
      <w:lvlText w:val="*"/>
      <w:numFmt w:val="bullet"/>
      <w:start w:val="1"/>
    </w:lvl>
  </w:abstractNum>
  <w:abstractNum w:abstractNumId="32">
    <w:nsid w:val="5072367"/>
    <w:multiLevelType w:val="hybridMultilevel"/>
    <w:lvl w:ilvl="0">
      <w:lvlJc w:val="left"/>
      <w:lvlText w:val="+"/>
      <w:numFmt w:val="bullet"/>
      <w:start w:val="1"/>
    </w:lvl>
  </w:abstractNum>
  <w:abstractNum w:abstractNumId="33">
    <w:nsid w:val="3804823E"/>
    <w:multiLevelType w:val="hybridMultilevel"/>
    <w:lvl w:ilvl="0">
      <w:lvlJc w:val="left"/>
      <w:lvlText w:val="*"/>
      <w:numFmt w:val="bullet"/>
      <w:start w:val="1"/>
    </w:lvl>
  </w:abstractNum>
  <w:abstractNum w:abstractNumId="34">
    <w:nsid w:val="77465F01"/>
    <w:multiLevelType w:val="hybridMultilevel"/>
    <w:lvl w:ilvl="0">
      <w:lvlJc w:val="left"/>
      <w:lvlText w:val="+"/>
      <w:numFmt w:val="bullet"/>
      <w:start w:val="1"/>
    </w:lvl>
  </w:abstractNum>
  <w:abstractNum w:abstractNumId="35">
    <w:nsid w:val="7724C67E"/>
    <w:multiLevelType w:val="hybridMultilevel"/>
    <w:lvl w:ilvl="0">
      <w:lvlJc w:val="left"/>
      <w:lvlText w:val="%1."/>
      <w:numFmt w:val="decimal"/>
      <w:start w:val="1"/>
    </w:lvl>
    <w:lvl w:ilvl="1">
      <w:lvlJc w:val="left"/>
      <w:lvlText w:val="%2)"/>
      <w:numFmt w:val="lowerLetter"/>
      <w:start w:val="1"/>
    </w:lvl>
  </w:abstractNum>
  <w:abstractNum w:abstractNumId="36">
    <w:nsid w:val="5C482A97"/>
    <w:multiLevelType w:val="hybridMultilevel"/>
    <w:lvl w:ilvl="0">
      <w:lvlJc w:val="left"/>
      <w:lvlText w:val="%1."/>
      <w:numFmt w:val="decimal"/>
      <w:start w:val="1"/>
    </w:lvl>
    <w:lvl w:ilvl="1">
      <w:lvlJc w:val="left"/>
      <w:lvlText w:val="%2)"/>
      <w:numFmt w:val="lowerLetter"/>
      <w:start w:val="1"/>
    </w:lvl>
  </w:abstractNum>
  <w:abstractNum w:abstractNumId="37">
    <w:nsid w:val="2463B9EA"/>
    <w:multiLevelType w:val="hybridMultilevel"/>
    <w:lvl w:ilvl="0">
      <w:lvlJc w:val="left"/>
      <w:lvlText w:val="(%1)"/>
      <w:numFmt w:val="decimal"/>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2020-10-28T15:36:23Z</dcterms:created>
  <dcterms:modified xsi:type="dcterms:W3CDTF">2020-10-28T15:36:23Z</dcterms:modified>
</cp:coreProperties>
</file>