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Sawtelle Zachary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RIVERSIDE AVENUE, SECOND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WESTPORT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Compass Diversified Holdings</w:t>
              </w:r>
            </w:hyperlink>
            <w:r>
              <w:rPr/>
              <w:t xml:space="preserve"> [ </w:t>
            </w:r>
            <w:r>
              <w:rPr>
                <w:rFonts w:ascii="Times;serif" w:hAnsi="Times;serif"/>
                <w:color w:val="0000FF"/>
                <w:sz w:val="24"/>
                <w:shd w:fill="FFFFFF" w:val="clear"/>
              </w:rPr>
              <w:t>CODI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 (a)</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08/13/2026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1"/>
        <w:gridCol w:w="912"/>
        <w:gridCol w:w="782"/>
        <w:gridCol w:w="605"/>
        <w:gridCol w:w="343"/>
        <w:gridCol w:w="964"/>
        <w:gridCol w:w="435"/>
        <w:gridCol w:w="981"/>
        <w:gridCol w:w="1134"/>
        <w:gridCol w:w="978"/>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8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Shares</w:t>
            </w:r>
            <w:r>
              <w:rPr>
                <w:rFonts w:ascii="Times;serif" w:hAnsi="Times;serif"/>
                <w:color w:val="008000"/>
                <w:position w:val="7"/>
                <w:sz w:val="16"/>
                <w:sz w:val="20"/>
                <w:shd w:fill="FFFFFF" w:val="clear"/>
              </w:rPr>
              <w:t>(1)</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17,000</w:t>
            </w:r>
            <w:r>
              <w:rPr>
                <w:rFonts w:ascii="Times;serif" w:hAnsi="Times;serif"/>
                <w:color w:val="008000"/>
                <w:position w:val="7"/>
                <w:sz w:val="16"/>
                <w:sz w:val="20"/>
                <w:shd w:fill="FFFFFF" w:val="clear"/>
              </w:rPr>
              <w:t>(2)</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12.4204</w:t>
            </w:r>
            <w:r>
              <w:rPr>
                <w:rFonts w:ascii="Times;serif" w:hAnsi="Times;serif"/>
                <w:color w:val="008000"/>
                <w:position w:val="7"/>
                <w:sz w:val="16"/>
                <w:sz w:val="20"/>
                <w:shd w:fill="FFFFFF" w:val="clear"/>
              </w:rPr>
              <w:t>(2)(3)</w:t>
            </w:r>
          </w:p>
        </w:tc>
        <w:tc>
          <w:tcPr>
            <w:tcW w:w="11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73,588</w:t>
            </w:r>
            <w:r>
              <w:rPr>
                <w:rFonts w:ascii="Times;serif" w:hAnsi="Times;serif"/>
                <w:color w:val="008000"/>
                <w:position w:val="7"/>
                <w:sz w:val="16"/>
                <w:sz w:val="20"/>
                <w:shd w:fill="FFFFFF" w:val="clear"/>
              </w:rPr>
              <w:t>(2)</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Common Share represents one undivided beneficial interest in Compass Diversified Holdings (the "Trust") property and corresponds to one underlying trust common interest of Compass Group Diversified Holdings LLC held by the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08/13/2026, the Reporting Person filed a Form 4 that inadvertently reported the purchase of 7,000 Common Shares, when in fact, 17,000 Common Shares of the Issuer were purchased.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purchased in multiple transactions at prices ranging from $12.39 to $12.45, inclusive. Full information regarding the number of shares purchased at each separate price will be provided upon request by the SEC staff, the issuer, or any security holder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(a) Mr. Sawtelle is the Chief Operating Officer of Compass Group Diversified Holdings LLC, Sponsor of the Trust.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Zachary T. Sawtelle, by Carrie W. Ryan and Stephen Keller as attorneys-in-fact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0248" TargetMode="External"/><Relationship Id="rId5" Type="http://schemas.openxmlformats.org/officeDocument/2006/relationships/hyperlink" Target="http://www.sec.gov/cgi-bin/browse-edgar?action=getcompany&amp;CIK=00013451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714</Words>
  <Characters>3902</Characters>
  <CharactersWithSpaces>4545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