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243205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-156210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100330</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3900" w:right="2200" w:hanging="3865"/>
        <w:spacing w:after="0" w:line="308" w:lineRule="auto"/>
        <w:tabs>
          <w:tab w:leader="none" w:pos="71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2020</w:t>
      </w: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128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3280" w:type="dxa"/>
            <w:vAlign w:val="bottom"/>
            <w:gridSpan w:val="3"/>
          </w:tcPr>
          <w:p>
            <w:pPr>
              <w:ind w:left="60"/>
              <w:spacing w:after="0"/>
              <w:rPr>
                <w:sz w:val="20"/>
                <w:szCs w:val="20"/>
                <w:color w:val="auto"/>
              </w:rPr>
            </w:pPr>
            <w:r>
              <w:rPr>
                <w:rFonts w:ascii="Arial" w:cs="Arial" w:eastAsia="Arial" w:hAnsi="Arial"/>
                <w:sz w:val="16"/>
                <w:szCs w:val="16"/>
                <w:b w:val="1"/>
                <w:bCs w:val="1"/>
                <w:color w:val="auto"/>
              </w:rPr>
              <w:t>For the transition period from</w:t>
            </w:r>
          </w:p>
        </w:tc>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to</w:t>
            </w:r>
          </w:p>
        </w:tc>
      </w:tr>
      <w:tr>
        <w:trPr>
          <w:trHeight w:val="142"/>
        </w:trPr>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60" w:type="dxa"/>
            <w:vAlign w:val="bottom"/>
          </w:tcPr>
          <w:p>
            <w:pPr>
              <w:spacing w:after="0"/>
              <w:rPr>
                <w:sz w:val="12"/>
                <w:szCs w:val="12"/>
                <w:color w:val="auto"/>
              </w:rPr>
            </w:pPr>
          </w:p>
        </w:tc>
      </w:tr>
      <w:tr>
        <w:trPr>
          <w:trHeight w:val="453"/>
        </w:trPr>
        <w:tc>
          <w:tcPr>
            <w:tcW w:w="2100" w:type="dxa"/>
            <w:vAlign w:val="bottom"/>
          </w:tcPr>
          <w:p>
            <w:pPr>
              <w:spacing w:after="0"/>
              <w:rPr>
                <w:sz w:val="24"/>
                <w:szCs w:val="24"/>
                <w:color w:val="auto"/>
              </w:rPr>
            </w:pPr>
          </w:p>
        </w:tc>
        <w:tc>
          <w:tcPr>
            <w:tcW w:w="6080" w:type="dxa"/>
            <w:vAlign w:val="bottom"/>
            <w:gridSpan w:val="7"/>
          </w:tcPr>
          <w:p>
            <w:pPr>
              <w:jc w:val="center"/>
              <w:ind w:right="1508"/>
              <w:spacing w:after="0"/>
              <w:rPr>
                <w:sz w:val="20"/>
                <w:szCs w:val="20"/>
                <w:color w:val="auto"/>
              </w:rPr>
            </w:pPr>
            <w:r>
              <w:rPr>
                <w:rFonts w:ascii="Arial" w:cs="Arial" w:eastAsia="Arial" w:hAnsi="Arial"/>
                <w:sz w:val="22"/>
                <w:szCs w:val="22"/>
                <w:b w:val="1"/>
                <w:bCs w:val="1"/>
                <w:color w:val="auto"/>
                <w:w w:val="97"/>
              </w:rPr>
              <w:t>COMPASS DIVERSIFIED HOLDINGS</w:t>
            </w:r>
          </w:p>
        </w:tc>
      </w:tr>
      <w:tr>
        <w:trPr>
          <w:trHeight w:val="225"/>
        </w:trPr>
        <w:tc>
          <w:tcPr>
            <w:tcW w:w="2100" w:type="dxa"/>
            <w:vAlign w:val="bottom"/>
          </w:tcPr>
          <w:p>
            <w:pPr>
              <w:spacing w:after="0"/>
              <w:rPr>
                <w:sz w:val="19"/>
                <w:szCs w:val="19"/>
                <w:color w:val="auto"/>
              </w:rPr>
            </w:pPr>
          </w:p>
        </w:tc>
        <w:tc>
          <w:tcPr>
            <w:tcW w:w="6080" w:type="dxa"/>
            <w:vAlign w:val="bottom"/>
            <w:gridSpan w:val="7"/>
          </w:tcPr>
          <w:p>
            <w:pPr>
              <w:jc w:val="center"/>
              <w:ind w:right="1528"/>
              <w:spacing w:after="0"/>
              <w:rPr>
                <w:sz w:val="20"/>
                <w:szCs w:val="20"/>
                <w:color w:val="auto"/>
              </w:rPr>
            </w:pPr>
            <w:r>
              <w:rPr>
                <w:rFonts w:ascii="Arial" w:cs="Arial" w:eastAsia="Arial" w:hAnsi="Arial"/>
                <w:sz w:val="17"/>
                <w:szCs w:val="17"/>
                <w:b w:val="1"/>
                <w:bCs w:val="1"/>
                <w:color w:val="auto"/>
              </w:rPr>
              <w:t>(Exact name of registrant as specified in its charter)</w:t>
            </w:r>
          </w:p>
        </w:tc>
      </w:tr>
      <w:tr>
        <w:trPr>
          <w:trHeight w:val="343"/>
        </w:trPr>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Delaware</w:t>
            </w:r>
          </w:p>
        </w:tc>
        <w:tc>
          <w:tcPr>
            <w:tcW w:w="3280" w:type="dxa"/>
            <w:vAlign w:val="bottom"/>
            <w:gridSpan w:val="3"/>
          </w:tcPr>
          <w:p>
            <w:pPr>
              <w:jc w:val="center"/>
              <w:ind w:left="916"/>
              <w:spacing w:after="0"/>
              <w:rPr>
                <w:sz w:val="20"/>
                <w:szCs w:val="20"/>
                <w:color w:val="auto"/>
              </w:rPr>
            </w:pPr>
            <w:r>
              <w:rPr>
                <w:rFonts w:ascii="Arial" w:cs="Arial" w:eastAsia="Arial" w:hAnsi="Arial"/>
                <w:sz w:val="14"/>
                <w:szCs w:val="14"/>
                <w:b w:val="1"/>
                <w:bCs w:val="1"/>
                <w:color w:val="auto"/>
              </w:rPr>
              <w:t>001-34927</w:t>
            </w:r>
          </w:p>
        </w:tc>
        <w:tc>
          <w:tcPr>
            <w:tcW w:w="2800" w:type="dxa"/>
            <w:vAlign w:val="bottom"/>
            <w:gridSpan w:val="4"/>
          </w:tcPr>
          <w:p>
            <w:pPr>
              <w:jc w:val="center"/>
              <w:ind w:left="1205"/>
              <w:spacing w:after="0"/>
              <w:rPr>
                <w:sz w:val="20"/>
                <w:szCs w:val="20"/>
                <w:color w:val="auto"/>
              </w:rPr>
            </w:pPr>
            <w:r>
              <w:rPr>
                <w:rFonts w:ascii="Arial" w:cs="Arial" w:eastAsia="Arial" w:hAnsi="Arial"/>
                <w:sz w:val="14"/>
                <w:szCs w:val="14"/>
                <w:b w:val="1"/>
                <w:bCs w:val="1"/>
                <w:color w:val="auto"/>
              </w:rPr>
              <w:t>57-6218917</w:t>
            </w:r>
          </w:p>
        </w:tc>
      </w:tr>
      <w:tr>
        <w:trPr>
          <w:trHeight w:val="242"/>
        </w:trPr>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(State or other jurisdiction of</w:t>
            </w:r>
          </w:p>
        </w:tc>
        <w:tc>
          <w:tcPr>
            <w:tcW w:w="440" w:type="dxa"/>
            <w:vAlign w:val="bottom"/>
          </w:tcPr>
          <w:p>
            <w:pPr>
              <w:spacing w:after="0"/>
              <w:rPr>
                <w:sz w:val="21"/>
                <w:szCs w:val="21"/>
                <w:color w:val="auto"/>
              </w:rPr>
            </w:pPr>
          </w:p>
        </w:tc>
        <w:tc>
          <w:tcPr>
            <w:tcW w:w="284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rPr>
              <w:t>(Commission</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tcPr>
          <w:p>
            <w:pPr>
              <w:jc w:val="center"/>
              <w:ind w:left="6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incorporation or organization)</w:t>
            </w:r>
          </w:p>
        </w:tc>
        <w:tc>
          <w:tcPr>
            <w:tcW w:w="440" w:type="dxa"/>
            <w:vAlign w:val="bottom"/>
          </w:tcPr>
          <w:p>
            <w:pPr>
              <w:spacing w:after="0"/>
              <w:rPr>
                <w:sz w:val="16"/>
                <w:szCs w:val="16"/>
                <w:color w:val="auto"/>
              </w:rPr>
            </w:pPr>
          </w:p>
        </w:tc>
        <w:tc>
          <w:tcPr>
            <w:tcW w:w="28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file number)</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jc w:val="center"/>
              <w:ind w:left="68"/>
              <w:spacing w:after="0"/>
              <w:rPr>
                <w:sz w:val="20"/>
                <w:szCs w:val="20"/>
                <w:color w:val="auto"/>
              </w:rPr>
            </w:pPr>
            <w:r>
              <w:rPr>
                <w:rFonts w:ascii="Arial" w:cs="Arial" w:eastAsia="Arial" w:hAnsi="Arial"/>
                <w:sz w:val="14"/>
                <w:szCs w:val="14"/>
                <w:b w:val="1"/>
                <w:bCs w:val="1"/>
                <w:color w:val="auto"/>
              </w:rPr>
              <w:t>identification number)</w:t>
            </w:r>
          </w:p>
        </w:tc>
      </w:tr>
      <w:tr>
        <w:trPr>
          <w:trHeight w:val="147"/>
        </w:trPr>
        <w:tc>
          <w:tcPr>
            <w:tcW w:w="2540" w:type="dxa"/>
            <w:vAlign w:val="bottom"/>
            <w:gridSpan w:val="2"/>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399"/>
        </w:trPr>
        <w:tc>
          <w:tcPr>
            <w:tcW w:w="8180" w:type="dxa"/>
            <w:vAlign w:val="bottom"/>
            <w:gridSpan w:val="8"/>
          </w:tcPr>
          <w:p>
            <w:pPr>
              <w:jc w:val="center"/>
              <w:ind w:left="443"/>
              <w:spacing w:after="0"/>
              <w:rPr>
                <w:sz w:val="20"/>
                <w:szCs w:val="20"/>
                <w:color w:val="auto"/>
              </w:rPr>
            </w:pPr>
            <w:r>
              <w:rPr>
                <w:rFonts w:ascii="Arial" w:cs="Arial" w:eastAsia="Arial" w:hAnsi="Arial"/>
                <w:sz w:val="22"/>
                <w:szCs w:val="22"/>
                <w:b w:val="1"/>
                <w:bCs w:val="1"/>
                <w:color w:val="auto"/>
                <w:w w:val="97"/>
              </w:rPr>
              <w:t>COMPASS GROUP DIVERSIFIED HOLDINGS LLC</w:t>
            </w:r>
          </w:p>
        </w:tc>
      </w:tr>
      <w:tr>
        <w:trPr>
          <w:trHeight w:val="225"/>
        </w:trPr>
        <w:tc>
          <w:tcPr>
            <w:tcW w:w="2100" w:type="dxa"/>
            <w:vAlign w:val="bottom"/>
          </w:tcPr>
          <w:p>
            <w:pPr>
              <w:spacing w:after="0"/>
              <w:rPr>
                <w:sz w:val="19"/>
                <w:szCs w:val="19"/>
                <w:color w:val="auto"/>
              </w:rPr>
            </w:pPr>
          </w:p>
        </w:tc>
        <w:tc>
          <w:tcPr>
            <w:tcW w:w="6080" w:type="dxa"/>
            <w:vAlign w:val="bottom"/>
            <w:gridSpan w:val="7"/>
          </w:tcPr>
          <w:p>
            <w:pPr>
              <w:jc w:val="center"/>
              <w:ind w:right="1528"/>
              <w:spacing w:after="0"/>
              <w:rPr>
                <w:sz w:val="20"/>
                <w:szCs w:val="20"/>
                <w:color w:val="auto"/>
              </w:rPr>
            </w:pPr>
            <w:r>
              <w:rPr>
                <w:rFonts w:ascii="Arial" w:cs="Arial" w:eastAsia="Arial" w:hAnsi="Arial"/>
                <w:sz w:val="17"/>
                <w:szCs w:val="17"/>
                <w:b w:val="1"/>
                <w:bCs w:val="1"/>
                <w:color w:val="auto"/>
              </w:rPr>
              <w:t>(Exact name of registrant as specified in its charter)</w:t>
            </w:r>
          </w:p>
        </w:tc>
      </w:tr>
      <w:tr>
        <w:trPr>
          <w:trHeight w:val="343"/>
        </w:trPr>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Delaware</w:t>
            </w:r>
          </w:p>
        </w:tc>
        <w:tc>
          <w:tcPr>
            <w:tcW w:w="3280" w:type="dxa"/>
            <w:vAlign w:val="bottom"/>
            <w:gridSpan w:val="3"/>
          </w:tcPr>
          <w:p>
            <w:pPr>
              <w:jc w:val="center"/>
              <w:ind w:left="916"/>
              <w:spacing w:after="0"/>
              <w:rPr>
                <w:sz w:val="20"/>
                <w:szCs w:val="20"/>
                <w:color w:val="auto"/>
              </w:rPr>
            </w:pPr>
            <w:r>
              <w:rPr>
                <w:rFonts w:ascii="Arial" w:cs="Arial" w:eastAsia="Arial" w:hAnsi="Arial"/>
                <w:sz w:val="14"/>
                <w:szCs w:val="14"/>
                <w:b w:val="1"/>
                <w:bCs w:val="1"/>
                <w:color w:val="auto"/>
              </w:rPr>
              <w:t>001-34926</w:t>
            </w:r>
          </w:p>
        </w:tc>
        <w:tc>
          <w:tcPr>
            <w:tcW w:w="2800" w:type="dxa"/>
            <w:vAlign w:val="bottom"/>
            <w:gridSpan w:val="4"/>
          </w:tcPr>
          <w:p>
            <w:pPr>
              <w:jc w:val="center"/>
              <w:ind w:left="1205"/>
              <w:spacing w:after="0"/>
              <w:rPr>
                <w:sz w:val="20"/>
                <w:szCs w:val="20"/>
                <w:color w:val="auto"/>
              </w:rPr>
            </w:pPr>
            <w:r>
              <w:rPr>
                <w:rFonts w:ascii="Arial" w:cs="Arial" w:eastAsia="Arial" w:hAnsi="Arial"/>
                <w:sz w:val="14"/>
                <w:szCs w:val="14"/>
                <w:b w:val="1"/>
                <w:bCs w:val="1"/>
                <w:color w:val="auto"/>
              </w:rPr>
              <w:t>20-3812051</w:t>
            </w:r>
          </w:p>
        </w:tc>
      </w:tr>
      <w:tr>
        <w:trPr>
          <w:trHeight w:val="242"/>
        </w:trPr>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(State or other jurisdiction of</w:t>
            </w:r>
          </w:p>
        </w:tc>
        <w:tc>
          <w:tcPr>
            <w:tcW w:w="440" w:type="dxa"/>
            <w:vAlign w:val="bottom"/>
          </w:tcPr>
          <w:p>
            <w:pPr>
              <w:spacing w:after="0"/>
              <w:rPr>
                <w:sz w:val="21"/>
                <w:szCs w:val="21"/>
                <w:color w:val="auto"/>
              </w:rPr>
            </w:pPr>
          </w:p>
        </w:tc>
        <w:tc>
          <w:tcPr>
            <w:tcW w:w="284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rPr>
              <w:t>(Commission</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tcPr>
          <w:p>
            <w:pPr>
              <w:jc w:val="center"/>
              <w:ind w:left="6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incorporation or organization)</w:t>
            </w:r>
          </w:p>
        </w:tc>
        <w:tc>
          <w:tcPr>
            <w:tcW w:w="440" w:type="dxa"/>
            <w:vAlign w:val="bottom"/>
          </w:tcPr>
          <w:p>
            <w:pPr>
              <w:spacing w:after="0"/>
              <w:rPr>
                <w:sz w:val="16"/>
                <w:szCs w:val="16"/>
                <w:color w:val="auto"/>
              </w:rPr>
            </w:pPr>
          </w:p>
        </w:tc>
        <w:tc>
          <w:tcPr>
            <w:tcW w:w="28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file number)</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jc w:val="center"/>
              <w:ind w:left="68"/>
              <w:spacing w:after="0"/>
              <w:rPr>
                <w:sz w:val="20"/>
                <w:szCs w:val="20"/>
                <w:color w:val="auto"/>
              </w:rPr>
            </w:pPr>
            <w:r>
              <w:rPr>
                <w:rFonts w:ascii="Arial" w:cs="Arial" w:eastAsia="Arial" w:hAnsi="Arial"/>
                <w:sz w:val="14"/>
                <w:szCs w:val="14"/>
                <w:b w:val="1"/>
                <w:bCs w:val="1"/>
                <w:color w:val="auto"/>
              </w:rPr>
              <w:t>identification number)</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301 Riverside Avenue, Second Floor, Westport, CT 06880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b w:val="1"/>
          <w:bCs w:val="1"/>
          <w:color w:val="auto"/>
        </w:rPr>
        <w:t>203</w:t>
      </w:r>
      <w:r>
        <w:rPr>
          <w:rFonts w:ascii="Arial" w:cs="Arial" w:eastAsia="Arial" w:hAnsi="Arial"/>
          <w:sz w:val="18"/>
          <w:szCs w:val="18"/>
          <w:color w:val="auto"/>
        </w:rPr>
        <w:t xml:space="preserve">) </w:t>
      </w:r>
      <w:r>
        <w:rPr>
          <w:rFonts w:ascii="Arial" w:cs="Arial" w:eastAsia="Arial" w:hAnsi="Arial"/>
          <w:sz w:val="16"/>
          <w:szCs w:val="16"/>
          <w:b w:val="1"/>
          <w:bCs w:val="1"/>
          <w:color w:val="auto"/>
        </w:rPr>
        <w:t>221-1703</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94615</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21" w:lineRule="exact"/>
        <w:rPr>
          <w:sz w:val="24"/>
          <w:szCs w:val="24"/>
          <w:color w:val="auto"/>
        </w:rPr>
      </w:pPr>
    </w:p>
    <w:tbl>
      <w:tblPr>
        <w:tblLayout w:type="fixed"/>
        <w:tblInd w:w="70" w:type="dxa"/>
        <w:tblCellMar>
          <w:top w:w="0" w:type="dxa"/>
          <w:left w:w="0" w:type="dxa"/>
          <w:bottom w:w="0" w:type="dxa"/>
          <w:right w:w="0" w:type="dxa"/>
        </w:tblCellMar>
      </w:tblPr>
      <w:tr>
        <w:trPr>
          <w:trHeight w:val="189"/>
        </w:trPr>
        <w:tc>
          <w:tcPr>
            <w:tcW w:w="5700" w:type="dxa"/>
            <w:vAlign w:val="bottom"/>
            <w:tcBorders>
              <w:top w:val="single" w:sz="8" w:color="auto"/>
              <w:left w:val="single" w:sz="8" w:color="auto"/>
            </w:tcBorders>
          </w:tcPr>
          <w:p>
            <w:pPr>
              <w:spacing w:after="0"/>
              <w:rPr>
                <w:sz w:val="16"/>
                <w:szCs w:val="16"/>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Trading</w:t>
            </w:r>
          </w:p>
        </w:tc>
        <w:tc>
          <w:tcPr>
            <w:tcW w:w="39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00" w:type="dxa"/>
            <w:vAlign w:val="bottom"/>
            <w:tcBorders>
              <w:left w:val="single" w:sz="8" w:color="auto"/>
              <w:bottom w:val="single" w:sz="8" w:color="auto"/>
            </w:tcBorders>
          </w:tcPr>
          <w:p>
            <w:pPr>
              <w:ind w:left="2260"/>
              <w:spacing w:after="0"/>
              <w:rPr>
                <w:sz w:val="20"/>
                <w:szCs w:val="20"/>
                <w:color w:val="auto"/>
              </w:rPr>
            </w:pPr>
            <w:r>
              <w:rPr>
                <w:rFonts w:ascii="Arial" w:cs="Arial" w:eastAsia="Arial" w:hAnsi="Arial"/>
                <w:sz w:val="14"/>
                <w:szCs w:val="14"/>
                <w:b w:val="1"/>
                <w:bCs w:val="1"/>
                <w:color w:val="auto"/>
              </w:rPr>
              <w:t>Title of Each Class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396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64"/>
        </w:trPr>
        <w:tc>
          <w:tcPr>
            <w:tcW w:w="57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CODI</w:t>
            </w:r>
          </w:p>
        </w:tc>
        <w:tc>
          <w:tcPr>
            <w:tcW w:w="396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3"/>
        </w:trPr>
        <w:tc>
          <w:tcPr>
            <w:tcW w:w="57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Series A Preferred Shares representing beneficial interests in Compass Diversified</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rPr>
              <w:t>CODI PR A</w:t>
            </w:r>
          </w:p>
        </w:tc>
        <w:tc>
          <w:tcPr>
            <w:tcW w:w="3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57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00" w:type="dxa"/>
            <w:vAlign w:val="bottom"/>
            <w:vMerge w:val="continue"/>
          </w:tcPr>
          <w:p>
            <w:pPr>
              <w:spacing w:after="0"/>
              <w:rPr>
                <w:sz w:val="7"/>
                <w:szCs w:val="7"/>
                <w:color w:val="auto"/>
              </w:rPr>
            </w:pPr>
          </w:p>
        </w:tc>
        <w:tc>
          <w:tcPr>
            <w:tcW w:w="396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87"/>
        </w:trPr>
        <w:tc>
          <w:tcPr>
            <w:tcW w:w="5700" w:type="dxa"/>
            <w:vAlign w:val="bottom"/>
            <w:tcBorders>
              <w:left w:val="single" w:sz="8" w:color="auto"/>
              <w:bottom w:val="single" w:sz="8" w:color="auto"/>
            </w:tcBorders>
            <w:vMerge w:val="continue"/>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39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57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Series B Preferred Shares representing beneficial interests in Compass Diversified</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rPr>
              <w:t>CODI PR B</w:t>
            </w:r>
          </w:p>
        </w:tc>
        <w:tc>
          <w:tcPr>
            <w:tcW w:w="3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57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00" w:type="dxa"/>
            <w:vAlign w:val="bottom"/>
            <w:vMerge w:val="continue"/>
          </w:tcPr>
          <w:p>
            <w:pPr>
              <w:spacing w:after="0"/>
              <w:rPr>
                <w:sz w:val="7"/>
                <w:szCs w:val="7"/>
                <w:color w:val="auto"/>
              </w:rPr>
            </w:pPr>
          </w:p>
        </w:tc>
        <w:tc>
          <w:tcPr>
            <w:tcW w:w="396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87"/>
        </w:trPr>
        <w:tc>
          <w:tcPr>
            <w:tcW w:w="5700" w:type="dxa"/>
            <w:vAlign w:val="bottom"/>
            <w:tcBorders>
              <w:left w:val="single" w:sz="8" w:color="auto"/>
              <w:bottom w:val="single" w:sz="8" w:color="auto"/>
            </w:tcBorders>
            <w:vMerge w:val="continue"/>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39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570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Series C Preferred Shares representing beneficial interests in Compass Diversified</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rPr>
              <w:t>CODI PR C</w:t>
            </w:r>
          </w:p>
        </w:tc>
        <w:tc>
          <w:tcPr>
            <w:tcW w:w="3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57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00" w:type="dxa"/>
            <w:vAlign w:val="bottom"/>
            <w:vMerge w:val="continue"/>
          </w:tcPr>
          <w:p>
            <w:pPr>
              <w:spacing w:after="0"/>
              <w:rPr>
                <w:sz w:val="7"/>
                <w:szCs w:val="7"/>
                <w:color w:val="auto"/>
              </w:rPr>
            </w:pPr>
          </w:p>
        </w:tc>
        <w:tc>
          <w:tcPr>
            <w:tcW w:w="396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87"/>
        </w:trPr>
        <w:tc>
          <w:tcPr>
            <w:tcW w:w="5700" w:type="dxa"/>
            <w:vAlign w:val="bottom"/>
            <w:tcBorders>
              <w:left w:val="single" w:sz="8" w:color="auto"/>
              <w:bottom w:val="single" w:sz="8" w:color="auto"/>
            </w:tcBorders>
            <w:vMerge w:val="continue"/>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39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48" w:lineRule="exact"/>
        <w:rPr>
          <w:sz w:val="24"/>
          <w:szCs w:val="24"/>
          <w:color w:val="auto"/>
        </w:rPr>
      </w:pPr>
    </w:p>
    <w:p>
      <w:pPr>
        <w:ind w:right="280"/>
        <w:spacing w:after="0" w:line="28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96" w:lineRule="exact"/>
        <w:tabs>
          <w:tab w:leader="none" w:pos="700" w:val="left"/>
          <w:tab w:leader="none" w:pos="136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72" w:lineRule="exact"/>
        <w:rPr>
          <w:sz w:val="24"/>
          <w:szCs w:val="24"/>
          <w:color w:val="auto"/>
        </w:rPr>
      </w:pPr>
    </w:p>
    <w:p>
      <w:pPr>
        <w:ind w:right="660"/>
        <w:spacing w:after="0" w:line="21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21" w:lineRule="exact"/>
        <w:rPr>
          <w:sz w:val="24"/>
          <w:szCs w:val="24"/>
          <w:color w:val="auto"/>
        </w:rPr>
      </w:pPr>
    </w:p>
    <w:p>
      <w:pPr>
        <w:ind w:right="200"/>
        <w:spacing w:after="0" w:line="3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512" w:right="359" w:bottom="1440" w:gutter="0" w:footer="0" w:header="0"/>
        </w:sectPr>
      </w:pPr>
    </w:p>
    <w:p>
      <w:pPr>
        <w:spacing w:after="0" w:line="168" w:lineRule="exact"/>
        <w:rPr>
          <w:sz w:val="24"/>
          <w:szCs w:val="24"/>
          <w:color w:val="auto"/>
        </w:rPr>
      </w:pPr>
    </w:p>
    <w:p>
      <w:pPr>
        <w:jc w:val="center"/>
        <w:ind w:left="7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5" w:lineRule="exact"/>
        <w:rPr>
          <w:sz w:val="24"/>
          <w:szCs w:val="24"/>
          <w:color w:val="auto"/>
        </w:rPr>
      </w:pPr>
    </w:p>
    <w:p>
      <w:pPr>
        <w:sectPr>
          <w:pgSz w:w="11900" w:h="16838" w:orient="portrait"/>
          <w:cols w:equalWidth="0" w:num="6">
            <w:col w:w="2980" w:space="720"/>
            <w:col w:w="80" w:space="500"/>
            <w:col w:w="1820" w:space="720"/>
            <w:col w:w="120" w:space="200"/>
            <w:col w:w="1580" w:space="720"/>
            <w:col w:w="1780"/>
          </w:cols>
          <w:pgMar w:left="320" w:top="512" w:right="359" w:bottom="1440" w:gutter="0" w:footer="0" w:header="0"/>
          <w:type w:val="continuous"/>
        </w:sectPr>
      </w:pPr>
    </w:p>
    <w:p>
      <w:pPr>
        <w:spacing w:after="0" w:line="53" w:lineRule="exact"/>
        <w:rPr>
          <w:sz w:val="24"/>
          <w:szCs w:val="24"/>
          <w:color w:val="auto"/>
        </w:rPr>
      </w:pPr>
    </w:p>
    <w:p>
      <w:pPr>
        <w:ind w:left="1140"/>
        <w:spacing w:after="0" w:line="181" w:lineRule="exact"/>
        <w:tabs>
          <w:tab w:leader="none" w:pos="3680" w:val="left"/>
          <w:tab w:leader="none" w:pos="4260" w:val="left"/>
        </w:tabs>
        <w:rPr>
          <w:sz w:val="20"/>
          <w:szCs w:val="20"/>
          <w:color w:val="auto"/>
        </w:rPr>
      </w:pP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38" w:orient="portrait"/>
          <w:cols w:equalWidth="0" w:num="2">
            <w:col w:w="6100" w:space="720"/>
            <w:col w:w="4400"/>
          </w:cols>
          <w:pgMar w:left="320" w:top="512" w:right="359" w:bottom="1440" w:gutter="0" w:footer="0" w:header="0"/>
          <w:type w:val="continuous"/>
        </w:sectPr>
      </w:pPr>
    </w:p>
    <w:p>
      <w:pPr>
        <w:ind w:right="280"/>
        <w:spacing w:after="0" w:line="21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tabs>
          <w:tab w:leader="none" w:pos="7360" w:val="left"/>
          <w:tab w:leader="none" w:pos="8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267" w:lineRule="exact"/>
        <w:rPr>
          <w:sz w:val="24"/>
          <w:szCs w:val="24"/>
          <w:color w:val="auto"/>
        </w:rPr>
      </w:pPr>
    </w:p>
    <w:p>
      <w:pPr>
        <w:ind w:left="2060"/>
        <w:spacing w:after="0"/>
        <w:rPr>
          <w:sz w:val="20"/>
          <w:szCs w:val="20"/>
          <w:color w:val="auto"/>
        </w:rPr>
      </w:pPr>
      <w:r>
        <w:rPr>
          <w:rFonts w:ascii="Arial" w:cs="Arial" w:eastAsia="Arial" w:hAnsi="Arial"/>
          <w:sz w:val="15"/>
          <w:szCs w:val="15"/>
          <w:color w:val="auto"/>
        </w:rPr>
        <w:t>As of July 28, 2020, there were 64,900,000 Trust common shares of Compass Diversified Holdings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175260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89535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5"/>
        </w:trPr>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520" w:type="dxa"/>
            <w:vAlign w:val="bottom"/>
            <w:gridSpan w:val="2"/>
          </w:tcPr>
          <w:p>
            <w:pPr>
              <w:jc w:val="center"/>
              <w:ind w:right="1700"/>
              <w:spacing w:after="0"/>
              <w:rPr>
                <w:sz w:val="20"/>
                <w:szCs w:val="20"/>
                <w:color w:val="auto"/>
              </w:rPr>
            </w:pPr>
            <w:r>
              <w:rPr>
                <w:rFonts w:ascii="Arial" w:cs="Arial" w:eastAsia="Arial" w:hAnsi="Arial"/>
                <w:sz w:val="22"/>
                <w:szCs w:val="22"/>
                <w:b w:val="1"/>
                <w:bCs w:val="1"/>
                <w:color w:val="auto"/>
                <w:w w:val="97"/>
              </w:rPr>
              <w:t>COMPASS DIVERSIFIED HOLDINGS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520" w:type="dxa"/>
            <w:vAlign w:val="bottom"/>
            <w:gridSpan w:val="2"/>
          </w:tcPr>
          <w:p>
            <w:pPr>
              <w:jc w:val="center"/>
              <w:ind w:right="1700"/>
              <w:spacing w:after="0"/>
              <w:rPr>
                <w:sz w:val="20"/>
                <w:szCs w:val="20"/>
                <w:color w:val="auto"/>
              </w:rPr>
            </w:pPr>
            <w:r>
              <w:rPr>
                <w:rFonts w:ascii="Arial" w:cs="Arial" w:eastAsia="Arial" w:hAnsi="Arial"/>
                <w:sz w:val="20"/>
                <w:szCs w:val="20"/>
                <w:b w:val="1"/>
                <w:bCs w:val="1"/>
                <w:color w:val="auto"/>
                <w:w w:val="98"/>
              </w:rPr>
              <w:t>QUARTERLY REPORT ON FORM 10-Q</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520" w:type="dxa"/>
            <w:vAlign w:val="bottom"/>
            <w:gridSpan w:val="2"/>
          </w:tcPr>
          <w:p>
            <w:pPr>
              <w:jc w:val="center"/>
              <w:ind w:right="1720"/>
              <w:spacing w:after="0"/>
              <w:rPr>
                <w:sz w:val="20"/>
                <w:szCs w:val="20"/>
                <w:color w:val="auto"/>
              </w:rPr>
            </w:pPr>
            <w:r>
              <w:rPr>
                <w:rFonts w:ascii="Arial" w:cs="Arial" w:eastAsia="Arial" w:hAnsi="Arial"/>
                <w:sz w:val="20"/>
                <w:szCs w:val="20"/>
                <w:b w:val="1"/>
                <w:bCs w:val="1"/>
                <w:color w:val="auto"/>
                <w:w w:val="99"/>
              </w:rPr>
              <w:t>For the period ended June 30, 2020</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520" w:type="dxa"/>
            <w:vAlign w:val="bottom"/>
            <w:gridSpan w:val="2"/>
          </w:tcPr>
          <w:p>
            <w:pPr>
              <w:jc w:val="center"/>
              <w:ind w:right="172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98"/>
              </w:rPr>
              <w:t>Page</w:t>
            </w: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239"/>
        </w:trPr>
        <w:tc>
          <w:tcPr>
            <w:tcW w:w="10200" w:type="dxa"/>
            <w:vAlign w:val="bottom"/>
            <w:gridSpan w:val="4"/>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FORWARD-LOOKING STATEMENTS</w:t>
              </w:r>
            </w:hyperlink>
          </w:p>
        </w:tc>
        <w:tc>
          <w:tcPr>
            <w:tcW w:w="1000" w:type="dxa"/>
            <w:vAlign w:val="bottom"/>
          </w:tcPr>
          <w:p>
            <w:pPr>
              <w:jc w:val="center"/>
              <w:spacing w:after="0"/>
              <w:rPr>
                <w:rFonts w:ascii="Arial" w:cs="Arial" w:eastAsia="Arial" w:hAnsi="Arial"/>
                <w:sz w:val="17"/>
                <w:szCs w:val="17"/>
                <w:u w:val="single" w:color="auto"/>
                <w:color w:val="0000EE"/>
                <w:w w:val="84"/>
              </w:rPr>
            </w:pPr>
            <w:hyperlink w:anchor="page4">
              <w:r>
                <w:rPr>
                  <w:rFonts w:ascii="Arial" w:cs="Arial" w:eastAsia="Arial" w:hAnsi="Arial"/>
                  <w:sz w:val="17"/>
                  <w:szCs w:val="17"/>
                  <w:u w:val="single" w:color="auto"/>
                  <w:color w:val="0000EE"/>
                  <w:w w:val="84"/>
                </w:rPr>
                <w:t>4</w:t>
              </w:r>
            </w:hyperlink>
          </w:p>
        </w:tc>
        <w:tc>
          <w:tcPr>
            <w:tcW w:w="0" w:type="dxa"/>
            <w:vAlign w:val="bottom"/>
          </w:tcPr>
          <w:p>
            <w:pPr>
              <w:spacing w:after="0"/>
              <w:rPr>
                <w:sz w:val="1"/>
                <w:szCs w:val="1"/>
                <w:color w:val="auto"/>
              </w:rPr>
            </w:pPr>
          </w:p>
        </w:tc>
      </w:tr>
      <w:tr>
        <w:trPr>
          <w:trHeight w:val="364"/>
        </w:trPr>
        <w:tc>
          <w:tcPr>
            <w:tcW w:w="10200" w:type="dxa"/>
            <w:vAlign w:val="bottom"/>
            <w:gridSpan w:val="4"/>
          </w:tcPr>
          <w:p>
            <w:pPr>
              <w:spacing w:after="0"/>
              <w:rPr>
                <w:sz w:val="20"/>
                <w:szCs w:val="20"/>
                <w:color w:val="auto"/>
              </w:rPr>
            </w:pPr>
            <w:r>
              <w:rPr>
                <w:rFonts w:ascii="Arial" w:cs="Arial" w:eastAsia="Arial" w:hAnsi="Arial"/>
                <w:sz w:val="17"/>
                <w:szCs w:val="17"/>
                <w:b w:val="1"/>
                <w:bCs w:val="1"/>
                <w:color w:val="auto"/>
              </w:rPr>
              <w:t>PART I. FINANCIAL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80" w:type="dxa"/>
            <w:vAlign w:val="bottom"/>
          </w:tcPr>
          <w:p>
            <w:pPr>
              <w:spacing w:after="0"/>
              <w:rPr>
                <w:sz w:val="20"/>
                <w:szCs w:val="20"/>
                <w:color w:val="auto"/>
              </w:rPr>
            </w:pPr>
            <w:r>
              <w:rPr>
                <w:rFonts w:ascii="Arial" w:cs="Arial" w:eastAsia="Arial" w:hAnsi="Arial"/>
                <w:sz w:val="17"/>
                <w:szCs w:val="17"/>
                <w:color w:val="auto"/>
              </w:rPr>
              <w:t>ITEM 1.</w:t>
            </w:r>
          </w:p>
        </w:tc>
        <w:tc>
          <w:tcPr>
            <w:tcW w:w="8620" w:type="dxa"/>
            <w:vAlign w:val="bottom"/>
            <w:gridSpan w:val="3"/>
          </w:tcPr>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FINANCIAL STATEMENTS (UNAUDITED)</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CONDENSED CONSOLIDATED BALANCE SHEETS</w:t>
              </w:r>
            </w:hyperlink>
          </w:p>
        </w:tc>
        <w:tc>
          <w:tcPr>
            <w:tcW w:w="1000" w:type="dxa"/>
            <w:vAlign w:val="bottom"/>
          </w:tcPr>
          <w:p>
            <w:pPr>
              <w:jc w:val="center"/>
              <w:spacing w:after="0"/>
              <w:rPr>
                <w:rFonts w:ascii="Arial" w:cs="Arial" w:eastAsia="Arial" w:hAnsi="Arial"/>
                <w:sz w:val="17"/>
                <w:szCs w:val="17"/>
                <w:u w:val="single" w:color="auto"/>
                <w:color w:val="0000EE"/>
                <w:w w:val="84"/>
              </w:rPr>
            </w:pPr>
            <w:hyperlink w:anchor="page5">
              <w:r>
                <w:rPr>
                  <w:rFonts w:ascii="Arial" w:cs="Arial" w:eastAsia="Arial" w:hAnsi="Arial"/>
                  <w:sz w:val="17"/>
                  <w:szCs w:val="17"/>
                  <w:u w:val="single" w:color="auto"/>
                  <w:color w:val="0000EE"/>
                  <w:w w:val="84"/>
                </w:rPr>
                <w:t>5</w:t>
              </w:r>
            </w:hyperlink>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CONDENSED CONSOLIDATED STATEMENTS OF OPERATIONS</w:t>
              </w:r>
            </w:hyperlink>
          </w:p>
        </w:tc>
        <w:tc>
          <w:tcPr>
            <w:tcW w:w="1000" w:type="dxa"/>
            <w:vAlign w:val="bottom"/>
          </w:tcPr>
          <w:p>
            <w:pPr>
              <w:jc w:val="center"/>
              <w:spacing w:after="0"/>
              <w:rPr>
                <w:rFonts w:ascii="Arial" w:cs="Arial" w:eastAsia="Arial" w:hAnsi="Arial"/>
                <w:sz w:val="17"/>
                <w:szCs w:val="17"/>
                <w:u w:val="single" w:color="auto"/>
                <w:color w:val="0000EE"/>
                <w:w w:val="84"/>
              </w:rPr>
            </w:pPr>
            <w:hyperlink w:anchor="page6">
              <w:r>
                <w:rPr>
                  <w:rFonts w:ascii="Arial" w:cs="Arial" w:eastAsia="Arial" w:hAnsi="Arial"/>
                  <w:sz w:val="17"/>
                  <w:szCs w:val="17"/>
                  <w:u w:val="single" w:color="auto"/>
                  <w:color w:val="0000EE"/>
                  <w:w w:val="84"/>
                </w:rPr>
                <w:t>6</w:t>
              </w:r>
            </w:hyperlink>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CONDENSED CONSOLIDATED STATEMENTS OF COMPREHENSIVE INCOME (LOSS)</w:t>
              </w:r>
            </w:hyperlink>
          </w:p>
        </w:tc>
        <w:tc>
          <w:tcPr>
            <w:tcW w:w="1000" w:type="dxa"/>
            <w:vAlign w:val="bottom"/>
          </w:tcPr>
          <w:p>
            <w:pPr>
              <w:jc w:val="center"/>
              <w:spacing w:after="0"/>
              <w:rPr>
                <w:rFonts w:ascii="Arial" w:cs="Arial" w:eastAsia="Arial" w:hAnsi="Arial"/>
                <w:sz w:val="17"/>
                <w:szCs w:val="17"/>
                <w:u w:val="single" w:color="auto"/>
                <w:color w:val="0000EE"/>
                <w:w w:val="84"/>
              </w:rPr>
            </w:pPr>
            <w:hyperlink w:anchor="page7">
              <w:r>
                <w:rPr>
                  <w:rFonts w:ascii="Arial" w:cs="Arial" w:eastAsia="Arial" w:hAnsi="Arial"/>
                  <w:sz w:val="17"/>
                  <w:szCs w:val="17"/>
                  <w:u w:val="single" w:color="auto"/>
                  <w:color w:val="0000EE"/>
                  <w:w w:val="84"/>
                </w:rPr>
                <w:t>7</w:t>
              </w:r>
            </w:hyperlink>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CONDENSED CONSOLIDATED STATEMENTS OF STOCKHOLDERS' EQUITY</w:t>
              </w:r>
            </w:hyperlink>
          </w:p>
        </w:tc>
        <w:tc>
          <w:tcPr>
            <w:tcW w:w="1000" w:type="dxa"/>
            <w:vAlign w:val="bottom"/>
          </w:tcPr>
          <w:p>
            <w:pPr>
              <w:jc w:val="center"/>
              <w:spacing w:after="0"/>
              <w:rPr>
                <w:rFonts w:ascii="Arial" w:cs="Arial" w:eastAsia="Arial" w:hAnsi="Arial"/>
                <w:sz w:val="17"/>
                <w:szCs w:val="17"/>
                <w:u w:val="single" w:color="auto"/>
                <w:color w:val="0000EE"/>
                <w:w w:val="84"/>
              </w:rPr>
            </w:pPr>
            <w:hyperlink w:anchor="page8">
              <w:r>
                <w:rPr>
                  <w:rFonts w:ascii="Arial" w:cs="Arial" w:eastAsia="Arial" w:hAnsi="Arial"/>
                  <w:sz w:val="17"/>
                  <w:szCs w:val="17"/>
                  <w:u w:val="single" w:color="auto"/>
                  <w:color w:val="0000EE"/>
                  <w:w w:val="84"/>
                </w:rPr>
                <w:t>8</w:t>
              </w:r>
            </w:hyperlink>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CONDENSED CONSOLIDATED STATEMENTS OF CASH FLOWS</w:t>
              </w:r>
            </w:hyperlink>
          </w:p>
        </w:tc>
        <w:tc>
          <w:tcPr>
            <w:tcW w:w="1000" w:type="dxa"/>
            <w:vAlign w:val="bottom"/>
          </w:tcPr>
          <w:p>
            <w:pPr>
              <w:jc w:val="center"/>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10</w:t>
              </w:r>
            </w:hyperlink>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7"/>
                <w:szCs w:val="17"/>
                <w:u w:val="single" w:color="auto"/>
                <w:color w:val="0000EE"/>
              </w:rPr>
            </w:pPr>
            <w:hyperlink w:anchor="page12">
              <w:r>
                <w:rPr>
                  <w:rFonts w:ascii="Arial" w:cs="Arial" w:eastAsia="Arial" w:hAnsi="Arial"/>
                  <w:sz w:val="17"/>
                  <w:szCs w:val="17"/>
                  <w:u w:val="single" w:color="auto"/>
                  <w:color w:val="0000EE"/>
                </w:rPr>
                <w:t>NOTES TO CONDENSED CONSOLIDATED FINANCIAL STATEMENTS</w:t>
              </w:r>
            </w:hyperlink>
          </w:p>
        </w:tc>
        <w:tc>
          <w:tcPr>
            <w:tcW w:w="1000" w:type="dxa"/>
            <w:vAlign w:val="bottom"/>
          </w:tcPr>
          <w:p>
            <w:pPr>
              <w:jc w:val="center"/>
              <w:spacing w:after="0"/>
              <w:rPr>
                <w:rFonts w:ascii="Arial" w:cs="Arial" w:eastAsia="Arial" w:hAnsi="Arial"/>
                <w:sz w:val="17"/>
                <w:szCs w:val="17"/>
                <w:u w:val="single" w:color="auto"/>
                <w:color w:val="0000EE"/>
              </w:rPr>
            </w:pPr>
            <w:hyperlink w:anchor="page12">
              <w:r>
                <w:rPr>
                  <w:rFonts w:ascii="Arial" w:cs="Arial" w:eastAsia="Arial" w:hAnsi="Arial"/>
                  <w:sz w:val="17"/>
                  <w:szCs w:val="17"/>
                  <w:u w:val="single" w:color="auto"/>
                  <w:color w:val="0000EE"/>
                </w:rPr>
                <w:t>12</w:t>
              </w:r>
            </w:hyperlink>
          </w:p>
        </w:tc>
        <w:tc>
          <w:tcPr>
            <w:tcW w:w="0" w:type="dxa"/>
            <w:vAlign w:val="bottom"/>
          </w:tcPr>
          <w:p>
            <w:pPr>
              <w:spacing w:after="0"/>
              <w:rPr>
                <w:sz w:val="1"/>
                <w:szCs w:val="1"/>
                <w:color w:val="auto"/>
              </w:rPr>
            </w:pPr>
          </w:p>
        </w:tc>
      </w:tr>
      <w:tr>
        <w:trPr>
          <w:trHeight w:val="382"/>
        </w:trPr>
        <w:tc>
          <w:tcPr>
            <w:tcW w:w="1580" w:type="dxa"/>
            <w:vAlign w:val="bottom"/>
          </w:tcPr>
          <w:p>
            <w:pPr>
              <w:spacing w:after="0"/>
              <w:rPr>
                <w:sz w:val="20"/>
                <w:szCs w:val="20"/>
                <w:color w:val="auto"/>
              </w:rPr>
            </w:pPr>
            <w:r>
              <w:rPr>
                <w:rFonts w:ascii="Arial" w:cs="Arial" w:eastAsia="Arial" w:hAnsi="Arial"/>
                <w:sz w:val="17"/>
                <w:szCs w:val="17"/>
                <w:color w:val="auto"/>
              </w:rPr>
              <w:t>ITEM 2.</w:t>
            </w:r>
          </w:p>
        </w:tc>
        <w:tc>
          <w:tcPr>
            <w:tcW w:w="8620" w:type="dxa"/>
            <w:vAlign w:val="bottom"/>
            <w:gridSpan w:val="3"/>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MANAGEMENT'S DISCUSSION AND ANALYSIS OF FINANCIAL CONDITION AND RESULTS OF</w:t>
              </w:r>
            </w:hyperlink>
          </w:p>
        </w:tc>
        <w:tc>
          <w:tcPr>
            <w:tcW w:w="1000" w:type="dxa"/>
            <w:vAlign w:val="bottom"/>
            <w:vMerge w:val="restart"/>
          </w:tcPr>
          <w:p>
            <w:pPr>
              <w:jc w:val="center"/>
              <w:spacing w:after="0"/>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36</w:t>
              </w:r>
            </w:hyperlink>
          </w:p>
        </w:tc>
        <w:tc>
          <w:tcPr>
            <w:tcW w:w="0" w:type="dxa"/>
            <w:vAlign w:val="bottom"/>
          </w:tcPr>
          <w:p>
            <w:pPr>
              <w:spacing w:after="0"/>
              <w:rPr>
                <w:sz w:val="1"/>
                <w:szCs w:val="1"/>
                <w:color w:val="auto"/>
              </w:rPr>
            </w:pPr>
          </w:p>
        </w:tc>
      </w:tr>
      <w:tr>
        <w:trPr>
          <w:trHeight w:val="111"/>
        </w:trPr>
        <w:tc>
          <w:tcPr>
            <w:tcW w:w="1580" w:type="dxa"/>
            <w:vAlign w:val="bottom"/>
          </w:tcPr>
          <w:p>
            <w:pPr>
              <w:spacing w:after="0"/>
              <w:rPr>
                <w:sz w:val="9"/>
                <w:szCs w:val="9"/>
                <w:color w:val="auto"/>
              </w:rPr>
            </w:pPr>
          </w:p>
        </w:tc>
        <w:tc>
          <w:tcPr>
            <w:tcW w:w="7500" w:type="dxa"/>
            <w:vAlign w:val="bottom"/>
            <w:tcBorders>
              <w:top w:val="single" w:sz="8" w:color="0000EE"/>
            </w:tcBorders>
            <w:gridSpan w:val="2"/>
            <w:vMerge w:val="restart"/>
          </w:tcPr>
          <w:p>
            <w:pPr>
              <w:spacing w:after="0" w:line="169" w:lineRule="exact"/>
              <w:rPr>
                <w:rFonts w:ascii="Arial" w:cs="Arial" w:eastAsia="Arial" w:hAnsi="Arial"/>
                <w:sz w:val="17"/>
                <w:szCs w:val="17"/>
                <w:color w:val="0000EE"/>
              </w:rPr>
            </w:pPr>
            <w:hyperlink w:anchor="page36">
              <w:r>
                <w:rPr>
                  <w:rFonts w:ascii="Arial" w:cs="Arial" w:eastAsia="Arial" w:hAnsi="Arial"/>
                  <w:sz w:val="17"/>
                  <w:szCs w:val="17"/>
                  <w:color w:val="0000EE"/>
                </w:rPr>
                <w:t>OPERATIONS</w:t>
              </w:r>
            </w:hyperlink>
          </w:p>
        </w:tc>
        <w:tc>
          <w:tcPr>
            <w:tcW w:w="1120" w:type="dxa"/>
            <w:vAlign w:val="bottom"/>
            <w:vMerge w:val="restart"/>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580" w:type="dxa"/>
            <w:vAlign w:val="bottom"/>
          </w:tcPr>
          <w:p>
            <w:pPr>
              <w:spacing w:after="0"/>
              <w:rPr>
                <w:sz w:val="5"/>
                <w:szCs w:val="5"/>
                <w:color w:val="auto"/>
              </w:rPr>
            </w:pPr>
          </w:p>
        </w:tc>
        <w:tc>
          <w:tcPr>
            <w:tcW w:w="750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7"/>
                <w:szCs w:val="17"/>
                <w:color w:val="auto"/>
              </w:rPr>
              <w:t>ITEM 3.</w:t>
            </w:r>
          </w:p>
        </w:tc>
        <w:tc>
          <w:tcPr>
            <w:tcW w:w="1100" w:type="dxa"/>
            <w:vAlign w:val="bottom"/>
            <w:shd w:val="clear" w:color="auto" w:fill="0000EE"/>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580" w:type="dxa"/>
            <w:vAlign w:val="bottom"/>
            <w:vMerge w:val="continue"/>
          </w:tcPr>
          <w:p>
            <w:pPr>
              <w:spacing w:after="0"/>
              <w:rPr>
                <w:sz w:val="24"/>
                <w:szCs w:val="24"/>
                <w:color w:val="auto"/>
              </w:rPr>
            </w:pPr>
          </w:p>
        </w:tc>
        <w:tc>
          <w:tcPr>
            <w:tcW w:w="8620" w:type="dxa"/>
            <w:vAlign w:val="bottom"/>
            <w:gridSpan w:val="3"/>
          </w:tcPr>
          <w:p>
            <w:pPr>
              <w:spacing w:after="0"/>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QUANTITATIVE AND QUALITATIVE DISCLOSURES ABOUT MARKET RISK</w:t>
              </w:r>
            </w:hyperlink>
          </w:p>
        </w:tc>
        <w:tc>
          <w:tcPr>
            <w:tcW w:w="1000" w:type="dxa"/>
            <w:vAlign w:val="bottom"/>
          </w:tcPr>
          <w:p>
            <w:pPr>
              <w:jc w:val="center"/>
              <w:spacing w:after="0"/>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66</w:t>
              </w:r>
            </w:hyperlink>
          </w:p>
        </w:tc>
        <w:tc>
          <w:tcPr>
            <w:tcW w:w="0" w:type="dxa"/>
            <w:vAlign w:val="bottom"/>
          </w:tcPr>
          <w:p>
            <w:pPr>
              <w:spacing w:after="0"/>
              <w:rPr>
                <w:sz w:val="1"/>
                <w:szCs w:val="1"/>
                <w:color w:val="auto"/>
              </w:rPr>
            </w:pPr>
          </w:p>
        </w:tc>
      </w:tr>
      <w:tr>
        <w:trPr>
          <w:trHeight w:val="392"/>
        </w:trPr>
        <w:tc>
          <w:tcPr>
            <w:tcW w:w="1580" w:type="dxa"/>
            <w:vAlign w:val="bottom"/>
          </w:tcPr>
          <w:p>
            <w:pPr>
              <w:spacing w:after="0"/>
              <w:rPr>
                <w:sz w:val="20"/>
                <w:szCs w:val="20"/>
                <w:color w:val="auto"/>
              </w:rPr>
            </w:pPr>
            <w:r>
              <w:rPr>
                <w:rFonts w:ascii="Arial" w:cs="Arial" w:eastAsia="Arial" w:hAnsi="Arial"/>
                <w:sz w:val="17"/>
                <w:szCs w:val="17"/>
                <w:color w:val="auto"/>
              </w:rPr>
              <w:t>ITEM 4.</w:t>
            </w:r>
          </w:p>
        </w:tc>
        <w:tc>
          <w:tcPr>
            <w:tcW w:w="8620" w:type="dxa"/>
            <w:vAlign w:val="bottom"/>
            <w:gridSpan w:val="3"/>
          </w:tcPr>
          <w:p>
            <w:pPr>
              <w:spacing w:after="0"/>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CONTROLS AND PROCEDURES</w:t>
              </w:r>
            </w:hyperlink>
          </w:p>
        </w:tc>
        <w:tc>
          <w:tcPr>
            <w:tcW w:w="1000" w:type="dxa"/>
            <w:vAlign w:val="bottom"/>
          </w:tcPr>
          <w:p>
            <w:pPr>
              <w:jc w:val="center"/>
              <w:spacing w:after="0"/>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66</w:t>
              </w:r>
            </w:hyperlink>
          </w:p>
        </w:tc>
        <w:tc>
          <w:tcPr>
            <w:tcW w:w="0" w:type="dxa"/>
            <w:vAlign w:val="bottom"/>
          </w:tcPr>
          <w:p>
            <w:pPr>
              <w:spacing w:after="0"/>
              <w:rPr>
                <w:sz w:val="1"/>
                <w:szCs w:val="1"/>
                <w:color w:val="auto"/>
              </w:rPr>
            </w:pPr>
          </w:p>
        </w:tc>
      </w:tr>
      <w:tr>
        <w:trPr>
          <w:trHeight w:val="594"/>
        </w:trPr>
        <w:tc>
          <w:tcPr>
            <w:tcW w:w="10200" w:type="dxa"/>
            <w:vAlign w:val="bottom"/>
            <w:gridSpan w:val="4"/>
          </w:tcPr>
          <w:p>
            <w:pPr>
              <w:spacing w:after="0"/>
              <w:rPr>
                <w:sz w:val="20"/>
                <w:szCs w:val="20"/>
                <w:color w:val="auto"/>
              </w:rPr>
            </w:pPr>
            <w:r>
              <w:rPr>
                <w:rFonts w:ascii="Arial" w:cs="Arial" w:eastAsia="Arial" w:hAnsi="Arial"/>
                <w:sz w:val="17"/>
                <w:szCs w:val="17"/>
                <w:b w:val="1"/>
                <w:bCs w:val="1"/>
                <w:color w:val="auto"/>
              </w:rPr>
              <w:t>PART II. OTHER INFORMATION</w:t>
            </w:r>
          </w:p>
        </w:tc>
        <w:tc>
          <w:tcPr>
            <w:tcW w:w="1000" w:type="dxa"/>
            <w:vAlign w:val="bottom"/>
          </w:tcPr>
          <w:p>
            <w:pPr>
              <w:jc w:val="center"/>
              <w:spacing w:after="0"/>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67</w:t>
              </w:r>
            </w:hyperlink>
          </w:p>
        </w:tc>
        <w:tc>
          <w:tcPr>
            <w:tcW w:w="0" w:type="dxa"/>
            <w:vAlign w:val="bottom"/>
          </w:tcPr>
          <w:p>
            <w:pPr>
              <w:spacing w:after="0"/>
              <w:rPr>
                <w:sz w:val="1"/>
                <w:szCs w:val="1"/>
                <w:color w:val="auto"/>
              </w:rPr>
            </w:pPr>
          </w:p>
        </w:tc>
      </w:tr>
      <w:tr>
        <w:trPr>
          <w:trHeight w:val="270"/>
        </w:trPr>
        <w:tc>
          <w:tcPr>
            <w:tcW w:w="1580" w:type="dxa"/>
            <w:vAlign w:val="bottom"/>
          </w:tcPr>
          <w:p>
            <w:pPr>
              <w:spacing w:after="0"/>
              <w:rPr>
                <w:sz w:val="20"/>
                <w:szCs w:val="20"/>
                <w:color w:val="auto"/>
              </w:rPr>
            </w:pPr>
            <w:r>
              <w:rPr>
                <w:rFonts w:ascii="Arial" w:cs="Arial" w:eastAsia="Arial" w:hAnsi="Arial"/>
                <w:sz w:val="17"/>
                <w:szCs w:val="17"/>
                <w:color w:val="auto"/>
              </w:rPr>
              <w:t>ITEM 1.</w:t>
            </w:r>
          </w:p>
        </w:tc>
        <w:tc>
          <w:tcPr>
            <w:tcW w:w="8620" w:type="dxa"/>
            <w:vAlign w:val="bottom"/>
            <w:gridSpan w:val="3"/>
          </w:tcPr>
          <w:p>
            <w:pPr>
              <w:spacing w:after="0"/>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LEGAL PROCEEDINGS</w:t>
              </w:r>
            </w:hyperlink>
          </w:p>
        </w:tc>
        <w:tc>
          <w:tcPr>
            <w:tcW w:w="1000" w:type="dxa"/>
            <w:vAlign w:val="bottom"/>
          </w:tcPr>
          <w:p>
            <w:pPr>
              <w:jc w:val="center"/>
              <w:spacing w:after="0"/>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67</w:t>
              </w:r>
            </w:hyperlink>
          </w:p>
        </w:tc>
        <w:tc>
          <w:tcPr>
            <w:tcW w:w="0" w:type="dxa"/>
            <w:vAlign w:val="bottom"/>
          </w:tcPr>
          <w:p>
            <w:pPr>
              <w:spacing w:after="0"/>
              <w:rPr>
                <w:sz w:val="1"/>
                <w:szCs w:val="1"/>
                <w:color w:val="auto"/>
              </w:rPr>
            </w:pPr>
          </w:p>
        </w:tc>
      </w:tr>
      <w:tr>
        <w:trPr>
          <w:trHeight w:val="391"/>
        </w:trPr>
        <w:tc>
          <w:tcPr>
            <w:tcW w:w="1580" w:type="dxa"/>
            <w:vAlign w:val="bottom"/>
          </w:tcPr>
          <w:p>
            <w:pPr>
              <w:spacing w:after="0"/>
              <w:rPr>
                <w:sz w:val="20"/>
                <w:szCs w:val="20"/>
                <w:color w:val="auto"/>
              </w:rPr>
            </w:pPr>
            <w:r>
              <w:rPr>
                <w:rFonts w:ascii="Arial" w:cs="Arial" w:eastAsia="Arial" w:hAnsi="Arial"/>
                <w:sz w:val="17"/>
                <w:szCs w:val="17"/>
                <w:color w:val="auto"/>
              </w:rPr>
              <w:t>ITEM 1A.</w:t>
            </w:r>
          </w:p>
        </w:tc>
        <w:tc>
          <w:tcPr>
            <w:tcW w:w="8620" w:type="dxa"/>
            <w:vAlign w:val="bottom"/>
            <w:gridSpan w:val="3"/>
          </w:tcPr>
          <w:p>
            <w:pPr>
              <w:spacing w:after="0"/>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RISK FACTORS</w:t>
              </w:r>
            </w:hyperlink>
          </w:p>
        </w:tc>
        <w:tc>
          <w:tcPr>
            <w:tcW w:w="1000" w:type="dxa"/>
            <w:vAlign w:val="bottom"/>
          </w:tcPr>
          <w:p>
            <w:pPr>
              <w:jc w:val="center"/>
              <w:spacing w:after="0"/>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67</w:t>
              </w:r>
            </w:hyperlink>
          </w:p>
        </w:tc>
        <w:tc>
          <w:tcPr>
            <w:tcW w:w="0" w:type="dxa"/>
            <w:vAlign w:val="bottom"/>
          </w:tcPr>
          <w:p>
            <w:pPr>
              <w:spacing w:after="0"/>
              <w:rPr>
                <w:sz w:val="1"/>
                <w:szCs w:val="1"/>
                <w:color w:val="auto"/>
              </w:rPr>
            </w:pPr>
          </w:p>
        </w:tc>
      </w:tr>
      <w:tr>
        <w:trPr>
          <w:trHeight w:val="392"/>
        </w:trPr>
        <w:tc>
          <w:tcPr>
            <w:tcW w:w="1580" w:type="dxa"/>
            <w:vAlign w:val="bottom"/>
          </w:tcPr>
          <w:p>
            <w:pPr>
              <w:spacing w:after="0"/>
              <w:rPr>
                <w:sz w:val="20"/>
                <w:szCs w:val="20"/>
                <w:color w:val="auto"/>
              </w:rPr>
            </w:pPr>
            <w:r>
              <w:rPr>
                <w:rFonts w:ascii="Arial" w:cs="Arial" w:eastAsia="Arial" w:hAnsi="Arial"/>
                <w:sz w:val="17"/>
                <w:szCs w:val="17"/>
                <w:color w:val="auto"/>
              </w:rPr>
              <w:t>ITEM 6.</w:t>
            </w:r>
          </w:p>
        </w:tc>
        <w:tc>
          <w:tcPr>
            <w:tcW w:w="8620" w:type="dxa"/>
            <w:vAlign w:val="bottom"/>
            <w:gridSpan w:val="3"/>
          </w:tcPr>
          <w:p>
            <w:pPr>
              <w:spacing w:after="0"/>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EXHIBITS</w:t>
              </w:r>
            </w:hyperlink>
          </w:p>
        </w:tc>
        <w:tc>
          <w:tcPr>
            <w:tcW w:w="1000" w:type="dxa"/>
            <w:vAlign w:val="bottom"/>
          </w:tcPr>
          <w:p>
            <w:pPr>
              <w:jc w:val="center"/>
              <w:spacing w:after="0"/>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68</w:t>
              </w:r>
            </w:hyperlink>
          </w:p>
        </w:tc>
        <w:tc>
          <w:tcPr>
            <w:tcW w:w="0" w:type="dxa"/>
            <w:vAlign w:val="bottom"/>
          </w:tcPr>
          <w:p>
            <w:pPr>
              <w:spacing w:after="0"/>
              <w:rPr>
                <w:sz w:val="1"/>
                <w:szCs w:val="1"/>
                <w:color w:val="auto"/>
              </w:rPr>
            </w:pPr>
          </w:p>
        </w:tc>
      </w:tr>
      <w:tr>
        <w:trPr>
          <w:trHeight w:val="392"/>
        </w:trPr>
        <w:tc>
          <w:tcPr>
            <w:tcW w:w="1580" w:type="dxa"/>
            <w:vAlign w:val="bottom"/>
          </w:tcPr>
          <w:p>
            <w:pPr>
              <w:spacing w:after="0"/>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SIGNATURES</w:t>
              </w:r>
            </w:hyperlink>
          </w:p>
        </w:tc>
        <w:tc>
          <w:tcPr>
            <w:tcW w:w="11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jc w:val="center"/>
              <w:spacing w:after="0"/>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69</w:t>
              </w:r>
            </w:hyperlink>
          </w:p>
        </w:tc>
        <w:tc>
          <w:tcPr>
            <w:tcW w:w="0" w:type="dxa"/>
            <w:vAlign w:val="bottom"/>
          </w:tcPr>
          <w:p>
            <w:pPr>
              <w:spacing w:after="0"/>
              <w:rPr>
                <w:sz w:val="1"/>
                <w:szCs w:val="1"/>
                <w:color w:val="auto"/>
              </w:rPr>
            </w:pPr>
          </w:p>
        </w:tc>
      </w:tr>
      <w:tr>
        <w:trPr>
          <w:trHeight w:val="646"/>
        </w:trPr>
        <w:tc>
          <w:tcPr>
            <w:tcW w:w="1580" w:type="dxa"/>
            <w:vAlign w:val="bottom"/>
          </w:tcPr>
          <w:p>
            <w:pPr>
              <w:spacing w:after="0"/>
              <w:rPr>
                <w:sz w:val="24"/>
                <w:szCs w:val="24"/>
                <w:color w:val="auto"/>
              </w:rPr>
            </w:pPr>
          </w:p>
        </w:tc>
        <w:tc>
          <w:tcPr>
            <w:tcW w:w="7500" w:type="dxa"/>
            <w:vAlign w:val="bottom"/>
            <w:gridSpan w:val="2"/>
          </w:tcPr>
          <w:p>
            <w:pPr>
              <w:jc w:val="center"/>
              <w:ind w:left="415"/>
              <w:spacing w:after="0"/>
              <w:rPr>
                <w:sz w:val="20"/>
                <w:szCs w:val="20"/>
                <w:color w:val="auto"/>
              </w:rPr>
            </w:pPr>
            <w:r>
              <w:rPr>
                <w:rFonts w:ascii="Arial" w:cs="Arial" w:eastAsia="Arial" w:hAnsi="Arial"/>
                <w:sz w:val="16"/>
                <w:szCs w:val="16"/>
                <w:color w:val="auto"/>
                <w:w w:val="89"/>
              </w:rPr>
              <w:t>2</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TO READER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In reading this Quarterly Report on Form 10-Q, references to:</w:t>
      </w:r>
    </w:p>
    <w:p>
      <w:pPr>
        <w:spacing w:after="0" w:line="77" w:lineRule="exact"/>
        <w:rPr>
          <w:sz w:val="20"/>
          <w:szCs w:val="20"/>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and "Holdings" refer to Compass Diversified Holdings;</w:t>
      </w:r>
    </w:p>
    <w:p>
      <w:pPr>
        <w:spacing w:after="0" w:line="76"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 to Compass Group Diversified Holdings LLC;</w:t>
      </w:r>
    </w:p>
    <w:p>
      <w:pPr>
        <w:spacing w:after="0" w:line="76" w:lineRule="exact"/>
        <w:rPr>
          <w:rFonts w:ascii="Arial" w:cs="Arial" w:eastAsia="Arial" w:hAnsi="Arial"/>
          <w:sz w:val="18"/>
          <w:szCs w:val="18"/>
          <w:color w:val="auto"/>
        </w:rPr>
      </w:pPr>
    </w:p>
    <w:p>
      <w:pPr>
        <w:ind w:left="640" w:right="660" w:hanging="322"/>
        <w:spacing w:after="0" w:line="261"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"businesses," "operating segments," "subsidiaries" and "reporting units" refer to, collectively, the businesses controlled by the Company;</w:t>
      </w:r>
    </w:p>
    <w:p>
      <w:pPr>
        <w:spacing w:after="0" w:line="49"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"Manager" refer to Compass Group Management LLC ("CGM");</w:t>
      </w:r>
    </w:p>
    <w:p>
      <w:pPr>
        <w:spacing w:after="0" w:line="76"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Agreement" refer to the Second Amended and Restated Trust Agreement of the Trust dated as of December 6, 2016;</w:t>
      </w:r>
    </w:p>
    <w:p>
      <w:pPr>
        <w:spacing w:after="0" w:line="76"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"2014 Credit Facility" refer to the credit agreement, as amended, entered into on June 14, 2014 with a group of lenders led by Bank of America N.A. as administrative agent, as amended from time to time, which provides for a Revolving Credit Facility and a Term Loan;</w:t>
      </w:r>
    </w:p>
    <w:p>
      <w:pPr>
        <w:spacing w:after="0" w:line="5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"2018 Credit Facility" refer to the amended and restated credit agreement entered into on April 18, 2018 among the Company, the Lenders from time to time party thereto (the "Lenders"), Bank of America, N.A., as Administrative Agent, Swing Line Lender and L/C Issuer (the "agent") and other agents party thereto, as further amended.</w:t>
      </w:r>
    </w:p>
    <w:p>
      <w:pPr>
        <w:spacing w:after="0" w:line="53" w:lineRule="exact"/>
        <w:rPr>
          <w:rFonts w:ascii="Arial" w:cs="Arial" w:eastAsia="Arial" w:hAnsi="Arial"/>
          <w:sz w:val="18"/>
          <w:szCs w:val="18"/>
          <w:color w:val="auto"/>
        </w:rPr>
      </w:pPr>
    </w:p>
    <w:p>
      <w:pPr>
        <w:ind w:left="660" w:hanging="328"/>
        <w:spacing w:after="0" w:line="261"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"2018 Revolving Credit Facility" refers to the $600 million in revolving loans, swing line loans and letters of credit provided by the 2018 Credit Facility that matures in 2023;</w:t>
      </w:r>
    </w:p>
    <w:p>
      <w:pPr>
        <w:spacing w:after="0" w:line="49"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Term Loan" refer to the $500 million term loan provided by the 2018 Credit Facility;</w:t>
      </w:r>
    </w:p>
    <w:p>
      <w:pPr>
        <w:spacing w:after="0" w:line="76" w:lineRule="exact"/>
        <w:rPr>
          <w:rFonts w:ascii="Arial" w:cs="Arial" w:eastAsia="Arial" w:hAnsi="Arial"/>
          <w:sz w:val="18"/>
          <w:szCs w:val="18"/>
          <w:color w:val="auto"/>
        </w:rPr>
      </w:pPr>
    </w:p>
    <w:p>
      <w:pPr>
        <w:ind w:left="640" w:right="740" w:hanging="322"/>
        <w:spacing w:after="0" w:line="261"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Agreement" refer to the fifth amended and restated operating agreement of the Company dated as of December 6, 2016; and</w:t>
      </w:r>
    </w:p>
    <w:p>
      <w:pPr>
        <w:spacing w:after="0" w:line="49"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 to the Trust, the Company and the businesses together.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contains both historical and forward-looking statements. We may, in some cases, use words such as "project," "predict," "believe," "anticipate," "plan," "expect," "estimate," "intend," "should," "would," "could," "potentially," "may," or other words that convey uncertainty of future events or outcomes to identify these forward-looking statements. All statements other than statements of historical or current fact are “forward-looking statements” for purposes of federal and state securities laws. Forward looking statements include, among other things, (i) statements about our expectations for our results of operation, net income, adjusted EBITDA, liquidity, capital resources and ability to make quarterly distributions and (ii) our plans, strategies and objectives for future operations, including our planned capital expenditures. Forward-looking statements in this Quarterly Report on Form 10-Q are subject to a number of risks and uncertainties, such as those disclosed or incorporated by reference in our filings with the SEC. Important factors that could cause our actual results, performance and achievements to differ materially from those estimates or projections contained in our forward-looking statements include, among other things:</w:t>
      </w:r>
    </w:p>
    <w:p>
      <w:pPr>
        <w:spacing w:after="0" w:line="157" w:lineRule="exact"/>
        <w:rPr>
          <w:sz w:val="20"/>
          <w:szCs w:val="20"/>
          <w:color w:val="auto"/>
        </w:rPr>
      </w:pPr>
    </w:p>
    <w:p>
      <w:pPr>
        <w:jc w:val="both"/>
        <w:ind w:left="500" w:hanging="330"/>
        <w:spacing w:after="0" w:line="256"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adverse impact on the U.S. and global economy, including the markets in which we operate, of the novel coronavirus, which causes the Coronavirus disease 2019 (COVID-19) global pandemic, and the impact in the near, medium and long-term on our business, results of operations, financial position, liquidity or cash flows;</w:t>
      </w:r>
    </w:p>
    <w:p>
      <w:pPr>
        <w:spacing w:after="0" w:line="3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operate our businesses on a combined basis, and to effectively integrate and improve future acquisitions;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remove CGM and CGM’s right to resign;</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organizational structure, which may limit our ability to meet our dividend and distribution policy;</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and comply with the terms of our indebtedness;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cash flow available for distribution and reinvestment and our ability to make distributions in the future to our shareholders;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the management fee and profit allocation if and when due;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and finance future acquisitions;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acquisition and management strategies;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environment in which our businesses operate;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in the industries in which our businesses operate;</w:t>
      </w:r>
    </w:p>
    <w:p>
      <w:pPr>
        <w:spacing w:after="0" w:line="63" w:lineRule="exact"/>
        <w:rPr>
          <w:rFonts w:ascii="Arial" w:cs="Arial" w:eastAsia="Arial" w:hAnsi="Arial"/>
          <w:sz w:val="18"/>
          <w:szCs w:val="18"/>
          <w:color w:val="auto"/>
        </w:rPr>
      </w:pPr>
    </w:p>
    <w:p>
      <w:pPr>
        <w:ind w:left="500" w:right="20" w:hanging="330"/>
        <w:spacing w:after="0" w:line="261"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or business conditions or economic or demographic trends in the United States and other countries in which we have a presence, including changes in interest rates and inflation;</w:t>
      </w:r>
    </w:p>
    <w:p>
      <w:pPr>
        <w:spacing w:after="0" w:line="35"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risks affecting the business or operations of our businesses;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and CGM’s ability to retain or replace qualified employees of our businesses and CGM;</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effects of legal and administrative proceedings, settlements, investigations and claims; and</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extraordinary or force majeure events affecting the business or operations of our businesses.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these risks, uncertainties and assumptions, you should not place undue reliance on any forward-looking statements. The forward-looking events discussed in this Quarterly Report on Form 10-Q may not occur. These forward-looking statements are made as of the date of this Quarterly Report on Form 10-Q. We undertake no obligation to publicly update or revise any forward-looking statements to reflect subsequent events or circumstances, whether as a result of new information, future events or otherwise, except as required by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ind w:left="240"/>
              <w:spacing w:after="0"/>
              <w:rPr>
                <w:sz w:val="20"/>
                <w:szCs w:val="20"/>
                <w:color w:val="auto"/>
              </w:rPr>
            </w:pPr>
            <w:r>
              <w:rPr>
                <w:rFonts w:ascii="Arial" w:cs="Arial" w:eastAsia="Arial" w:hAnsi="Arial"/>
                <w:sz w:val="15"/>
                <w:szCs w:val="15"/>
                <w:b w:val="1"/>
                <w:bCs w:val="1"/>
                <w:color w:val="auto"/>
              </w:rPr>
              <w:t>June 30,</w:t>
            </w:r>
          </w:p>
        </w:tc>
        <w:tc>
          <w:tcPr>
            <w:tcW w:w="220" w:type="dxa"/>
            <w:vAlign w:val="bottom"/>
          </w:tcPr>
          <w:p>
            <w:pPr>
              <w:spacing w:after="0"/>
              <w:rPr>
                <w:sz w:val="14"/>
                <w:szCs w:val="14"/>
                <w:color w:val="auto"/>
              </w:rPr>
            </w:pPr>
          </w:p>
        </w:tc>
        <w:tc>
          <w:tcPr>
            <w:tcW w:w="1460" w:type="dxa"/>
            <w:vAlign w:val="bottom"/>
          </w:tcPr>
          <w:p>
            <w:pPr>
              <w:jc w:val="right"/>
              <w:ind w:right="306"/>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1"/>
        </w:trPr>
        <w:tc>
          <w:tcPr>
            <w:tcW w:w="77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06"/>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06"/>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262"/>
        </w:trPr>
        <w:tc>
          <w:tcPr>
            <w:tcW w:w="77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2"/>
                <w:szCs w:val="22"/>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7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Assets</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40"/>
              <w:spacing w:after="0"/>
              <w:rPr>
                <w:sz w:val="20"/>
                <w:szCs w:val="20"/>
                <w:color w:val="auto"/>
              </w:rPr>
            </w:pPr>
            <w:r>
              <w:rPr>
                <w:rFonts w:ascii="Arial" w:cs="Arial" w:eastAsia="Arial" w:hAnsi="Arial"/>
                <w:sz w:val="15"/>
                <w:szCs w:val="15"/>
                <w:color w:val="auto"/>
              </w:rPr>
              <w:t>Current assets:</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7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w:t>
            </w:r>
          </w:p>
        </w:tc>
        <w:tc>
          <w:tcPr>
            <w:tcW w:w="28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4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205,228</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46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100,314</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40"/>
              <w:spacing w:after="0"/>
              <w:rPr>
                <w:sz w:val="20"/>
                <w:szCs w:val="20"/>
                <w:color w:val="auto"/>
              </w:rPr>
            </w:pPr>
            <w:r>
              <w:rPr>
                <w:rFonts w:ascii="Arial" w:cs="Arial" w:eastAsia="Arial" w:hAnsi="Arial"/>
                <w:sz w:val="15"/>
                <w:szCs w:val="15"/>
                <w:color w:val="auto"/>
              </w:rPr>
              <w:t>Accounts receivable, net</w:t>
            </w:r>
          </w:p>
        </w:tc>
        <w:tc>
          <w:tcPr>
            <w:tcW w:w="280" w:type="dxa"/>
            <w:vAlign w:val="bottom"/>
          </w:tcPr>
          <w:p>
            <w:pPr>
              <w:spacing w:after="0"/>
              <w:rPr>
                <w:sz w:val="17"/>
                <w:szCs w:val="17"/>
                <w:color w:val="auto"/>
              </w:rPr>
            </w:pPr>
          </w:p>
        </w:tc>
        <w:tc>
          <w:tcPr>
            <w:tcW w:w="1400" w:type="dxa"/>
            <w:vAlign w:val="bottom"/>
            <w:vMerge w:val="restart"/>
          </w:tcPr>
          <w:p>
            <w:pPr>
              <w:jc w:val="right"/>
              <w:ind w:right="26"/>
              <w:spacing w:after="0"/>
              <w:rPr>
                <w:sz w:val="20"/>
                <w:szCs w:val="20"/>
                <w:color w:val="auto"/>
              </w:rPr>
            </w:pPr>
            <w:r>
              <w:rPr>
                <w:rFonts w:ascii="Arial" w:cs="Arial" w:eastAsia="Arial" w:hAnsi="Arial"/>
                <w:sz w:val="15"/>
                <w:szCs w:val="15"/>
                <w:color w:val="auto"/>
              </w:rPr>
              <w:t>192,177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vMerge w:val="restart"/>
          </w:tcPr>
          <w:p>
            <w:pPr>
              <w:jc w:val="right"/>
              <w:ind w:right="26"/>
              <w:spacing w:after="0"/>
              <w:rPr>
                <w:sz w:val="20"/>
                <w:szCs w:val="20"/>
                <w:color w:val="auto"/>
              </w:rPr>
            </w:pPr>
            <w:r>
              <w:rPr>
                <w:rFonts w:ascii="Arial" w:cs="Arial" w:eastAsia="Arial" w:hAnsi="Arial"/>
                <w:sz w:val="15"/>
                <w:szCs w:val="15"/>
                <w:color w:val="auto"/>
              </w:rPr>
              <w:t>191,405</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Inventories</w:t>
            </w:r>
          </w:p>
        </w:tc>
        <w:tc>
          <w:tcPr>
            <w:tcW w:w="28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317,301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317,306</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4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Pr>
          <w:p>
            <w:pPr>
              <w:spacing w:after="0"/>
              <w:rPr>
                <w:sz w:val="17"/>
                <w:szCs w:val="17"/>
                <w:color w:val="auto"/>
              </w:rPr>
            </w:pPr>
          </w:p>
        </w:tc>
        <w:tc>
          <w:tcPr>
            <w:tcW w:w="1400" w:type="dxa"/>
            <w:vAlign w:val="bottom"/>
            <w:vMerge w:val="restart"/>
          </w:tcPr>
          <w:p>
            <w:pPr>
              <w:jc w:val="right"/>
              <w:ind w:right="26"/>
              <w:spacing w:after="0"/>
              <w:rPr>
                <w:sz w:val="20"/>
                <w:szCs w:val="20"/>
                <w:color w:val="auto"/>
              </w:rPr>
            </w:pPr>
            <w:r>
              <w:rPr>
                <w:rFonts w:ascii="Arial" w:cs="Arial" w:eastAsia="Arial" w:hAnsi="Arial"/>
                <w:sz w:val="15"/>
                <w:szCs w:val="15"/>
                <w:color w:val="auto"/>
              </w:rPr>
              <w:t>33,281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vMerge w:val="restart"/>
          </w:tcPr>
          <w:p>
            <w:pPr>
              <w:jc w:val="right"/>
              <w:ind w:right="26"/>
              <w:spacing w:after="0"/>
              <w:rPr>
                <w:sz w:val="20"/>
                <w:szCs w:val="20"/>
                <w:color w:val="auto"/>
              </w:rPr>
            </w:pPr>
            <w:r>
              <w:rPr>
                <w:rFonts w:ascii="Arial" w:cs="Arial" w:eastAsia="Arial" w:hAnsi="Arial"/>
                <w:sz w:val="15"/>
                <w:szCs w:val="15"/>
                <w:color w:val="auto"/>
              </w:rPr>
              <w:t>35,247</w:t>
            </w:r>
          </w:p>
        </w:tc>
        <w:tc>
          <w:tcPr>
            <w:tcW w:w="0" w:type="dxa"/>
            <w:vAlign w:val="bottom"/>
          </w:tcPr>
          <w:p>
            <w:pPr>
              <w:spacing w:after="0"/>
              <w:rPr>
                <w:sz w:val="1"/>
                <w:szCs w:val="1"/>
                <w:color w:val="auto"/>
              </w:rPr>
            </w:pPr>
          </w:p>
        </w:tc>
      </w:tr>
      <w:tr>
        <w:trPr>
          <w:trHeight w:val="59"/>
        </w:trPr>
        <w:tc>
          <w:tcPr>
            <w:tcW w:w="77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current assets</w:t>
            </w:r>
          </w:p>
        </w:tc>
        <w:tc>
          <w:tcPr>
            <w:tcW w:w="28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747,987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644,272</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40"/>
              <w:spacing w:after="0"/>
              <w:rPr>
                <w:sz w:val="20"/>
                <w:szCs w:val="20"/>
                <w:color w:val="auto"/>
              </w:rPr>
            </w:pPr>
            <w:r>
              <w:rPr>
                <w:rFonts w:ascii="Arial" w:cs="Arial" w:eastAsia="Arial" w:hAnsi="Arial"/>
                <w:sz w:val="15"/>
                <w:szCs w:val="15"/>
                <w:color w:val="auto"/>
              </w:rPr>
              <w:t>Property, plant and equipment, net</w:t>
            </w:r>
          </w:p>
        </w:tc>
        <w:tc>
          <w:tcPr>
            <w:tcW w:w="280" w:type="dxa"/>
            <w:vAlign w:val="bottom"/>
          </w:tcPr>
          <w:p>
            <w:pPr>
              <w:spacing w:after="0"/>
              <w:rPr>
                <w:sz w:val="17"/>
                <w:szCs w:val="17"/>
                <w:color w:val="auto"/>
              </w:rPr>
            </w:pPr>
          </w:p>
        </w:tc>
        <w:tc>
          <w:tcPr>
            <w:tcW w:w="1400" w:type="dxa"/>
            <w:vAlign w:val="bottom"/>
            <w:vMerge w:val="restart"/>
          </w:tcPr>
          <w:p>
            <w:pPr>
              <w:jc w:val="right"/>
              <w:ind w:right="26"/>
              <w:spacing w:after="0"/>
              <w:rPr>
                <w:sz w:val="20"/>
                <w:szCs w:val="20"/>
                <w:color w:val="auto"/>
              </w:rPr>
            </w:pPr>
            <w:r>
              <w:rPr>
                <w:rFonts w:ascii="Arial" w:cs="Arial" w:eastAsia="Arial" w:hAnsi="Arial"/>
                <w:sz w:val="15"/>
                <w:szCs w:val="15"/>
                <w:color w:val="auto"/>
              </w:rPr>
              <w:t>150,229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vMerge w:val="restart"/>
          </w:tcPr>
          <w:p>
            <w:pPr>
              <w:jc w:val="right"/>
              <w:ind w:right="26"/>
              <w:spacing w:after="0"/>
              <w:rPr>
                <w:sz w:val="20"/>
                <w:szCs w:val="20"/>
                <w:color w:val="auto"/>
              </w:rPr>
            </w:pPr>
            <w:r>
              <w:rPr>
                <w:rFonts w:ascii="Arial" w:cs="Arial" w:eastAsia="Arial" w:hAnsi="Arial"/>
                <w:sz w:val="15"/>
                <w:szCs w:val="15"/>
                <w:color w:val="auto"/>
              </w:rPr>
              <w:t>146,428</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Goodwill</w:t>
            </w:r>
          </w:p>
        </w:tc>
        <w:tc>
          <w:tcPr>
            <w:tcW w:w="28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506,252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438,519</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40"/>
              <w:spacing w:after="0"/>
              <w:rPr>
                <w:sz w:val="20"/>
                <w:szCs w:val="20"/>
                <w:color w:val="auto"/>
              </w:rPr>
            </w:pPr>
            <w:r>
              <w:rPr>
                <w:rFonts w:ascii="Arial" w:cs="Arial" w:eastAsia="Arial" w:hAnsi="Arial"/>
                <w:sz w:val="15"/>
                <w:szCs w:val="15"/>
                <w:color w:val="auto"/>
              </w:rPr>
              <w:t>Intangible assets, net</w:t>
            </w:r>
          </w:p>
        </w:tc>
        <w:tc>
          <w:tcPr>
            <w:tcW w:w="280" w:type="dxa"/>
            <w:vAlign w:val="bottom"/>
          </w:tcPr>
          <w:p>
            <w:pPr>
              <w:spacing w:after="0"/>
              <w:rPr>
                <w:sz w:val="17"/>
                <w:szCs w:val="17"/>
                <w:color w:val="auto"/>
              </w:rPr>
            </w:pPr>
          </w:p>
        </w:tc>
        <w:tc>
          <w:tcPr>
            <w:tcW w:w="1400" w:type="dxa"/>
            <w:vAlign w:val="bottom"/>
            <w:vMerge w:val="restart"/>
          </w:tcPr>
          <w:p>
            <w:pPr>
              <w:jc w:val="right"/>
              <w:ind w:right="26"/>
              <w:spacing w:after="0"/>
              <w:rPr>
                <w:sz w:val="20"/>
                <w:szCs w:val="20"/>
                <w:color w:val="auto"/>
              </w:rPr>
            </w:pPr>
            <w:r>
              <w:rPr>
                <w:rFonts w:ascii="Arial" w:cs="Arial" w:eastAsia="Arial" w:hAnsi="Arial"/>
                <w:sz w:val="15"/>
                <w:szCs w:val="15"/>
                <w:color w:val="auto"/>
              </w:rPr>
              <w:t>633,331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vMerge w:val="restart"/>
          </w:tcPr>
          <w:p>
            <w:pPr>
              <w:jc w:val="right"/>
              <w:ind w:right="26"/>
              <w:spacing w:after="0"/>
              <w:rPr>
                <w:sz w:val="20"/>
                <w:szCs w:val="20"/>
                <w:color w:val="auto"/>
              </w:rPr>
            </w:pPr>
            <w:r>
              <w:rPr>
                <w:rFonts w:ascii="Arial" w:cs="Arial" w:eastAsia="Arial" w:hAnsi="Arial"/>
                <w:sz w:val="15"/>
                <w:szCs w:val="15"/>
                <w:color w:val="auto"/>
              </w:rPr>
              <w:t>561,946</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non-current assets</w:t>
            </w:r>
          </w:p>
        </w:tc>
        <w:tc>
          <w:tcPr>
            <w:tcW w:w="28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103,725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100,727</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Total assets</w:t>
            </w: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2,141,524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1,891,892</w:t>
            </w:r>
          </w:p>
        </w:tc>
        <w:tc>
          <w:tcPr>
            <w:tcW w:w="0" w:type="dxa"/>
            <w:vAlign w:val="bottom"/>
          </w:tcPr>
          <w:p>
            <w:pPr>
              <w:spacing w:after="0"/>
              <w:rPr>
                <w:sz w:val="1"/>
                <w:szCs w:val="1"/>
                <w:color w:val="auto"/>
              </w:rPr>
            </w:pPr>
          </w:p>
        </w:tc>
      </w:tr>
      <w:tr>
        <w:trPr>
          <w:trHeight w:val="215"/>
        </w:trPr>
        <w:tc>
          <w:tcPr>
            <w:tcW w:w="7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sectPr>
          <w:pgSz w:w="11900" w:h="16838" w:orient="portrait"/>
          <w:cols w:equalWidth="0" w:num="1">
            <w:col w:w="11240"/>
          </w:cols>
          <w:pgMar w:left="320" w:top="333" w:right="339" w:bottom="1440" w:gutter="0" w:footer="0" w:header="0"/>
        </w:sectPr>
      </w:pPr>
    </w:p>
    <w:tbl>
      <w:tblPr>
        <w:tblLayout w:type="fixed"/>
        <w:tblInd w:w="40" w:type="dxa"/>
        <w:tblCellMar>
          <w:top w:w="0" w:type="dxa"/>
          <w:left w:w="0" w:type="dxa"/>
          <w:bottom w:w="0" w:type="dxa"/>
          <w:right w:w="0" w:type="dxa"/>
        </w:tblCellMar>
      </w:tblPr>
      <w:tr>
        <w:trPr>
          <w:trHeight w:val="196"/>
        </w:trPr>
        <w:tc>
          <w:tcPr>
            <w:tcW w:w="5100" w:type="dxa"/>
            <w:vAlign w:val="bottom"/>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5"/>
                <w:szCs w:val="15"/>
                <w:color w:val="auto"/>
              </w:rPr>
              <w:t>Current liabilities:</w:t>
            </w: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5"/>
                <w:szCs w:val="15"/>
                <w:color w:val="auto"/>
              </w:rPr>
              <w:t>Accounts payable</w:t>
            </w:r>
          </w:p>
        </w:tc>
        <w:tc>
          <w:tcPr>
            <w:tcW w:w="2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2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5"/>
                <w:szCs w:val="15"/>
                <w:color w:val="auto"/>
              </w:rPr>
              <w:t>Accrued expenses</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5"/>
                <w:szCs w:val="15"/>
                <w:color w:val="auto"/>
              </w:rPr>
              <w:t>Due to related party</w:t>
            </w: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5"/>
                <w:szCs w:val="15"/>
                <w:color w:val="auto"/>
              </w:rPr>
              <w:t>Other current liabilities</w:t>
            </w: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00" w:type="dxa"/>
            <w:vAlign w:val="bottom"/>
          </w:tcPr>
          <w:p>
            <w:pPr>
              <w:ind w:left="340"/>
              <w:spacing w:after="0"/>
              <w:rPr>
                <w:sz w:val="20"/>
                <w:szCs w:val="20"/>
                <w:color w:val="auto"/>
              </w:rPr>
            </w:pPr>
            <w:r>
              <w:rPr>
                <w:rFonts w:ascii="Arial" w:cs="Arial" w:eastAsia="Arial" w:hAnsi="Arial"/>
                <w:sz w:val="15"/>
                <w:szCs w:val="15"/>
                <w:color w:val="auto"/>
              </w:rPr>
              <w:t>Total current liabilities</w:t>
            </w: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5"/>
                <w:szCs w:val="15"/>
                <w:color w:val="auto"/>
              </w:rPr>
              <w:t>Deferred income taxes</w:t>
            </w: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5"/>
                <w:szCs w:val="15"/>
                <w:color w:val="auto"/>
              </w:rPr>
              <w:t>Long-term debt</w:t>
            </w: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5"/>
                <w:szCs w:val="15"/>
                <w:color w:val="auto"/>
              </w:rPr>
              <w:t>Other non-current liabilities</w:t>
            </w: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00" w:type="dxa"/>
            <w:vAlign w:val="bottom"/>
          </w:tcPr>
          <w:p>
            <w:pPr>
              <w:spacing w:after="0"/>
              <w:rPr>
                <w:sz w:val="20"/>
                <w:szCs w:val="20"/>
                <w:color w:val="auto"/>
              </w:rPr>
            </w:pPr>
            <w:r>
              <w:rPr>
                <w:rFonts w:ascii="Arial" w:cs="Arial" w:eastAsia="Arial" w:hAnsi="Arial"/>
                <w:sz w:val="15"/>
                <w:szCs w:val="15"/>
                <w:b w:val="1"/>
                <w:bCs w:val="1"/>
                <w:color w:val="auto"/>
              </w:rPr>
              <w:t>Total liabilities</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00" w:type="dxa"/>
            <w:vAlign w:val="bottom"/>
          </w:tcPr>
          <w:p>
            <w:pPr>
              <w:spacing w:after="0"/>
              <w:rPr>
                <w:sz w:val="20"/>
                <w:szCs w:val="20"/>
                <w:color w:val="auto"/>
              </w:rPr>
            </w:pPr>
            <w:r>
              <w:rPr>
                <w:rFonts w:ascii="Arial" w:cs="Arial" w:eastAsia="Arial" w:hAnsi="Arial"/>
                <w:sz w:val="15"/>
                <w:szCs w:val="15"/>
                <w:color w:val="auto"/>
              </w:rPr>
              <w:t>Commitments and contingencies</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-1956435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-1613535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-1270635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-927735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11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11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96" w:lineRule="exact"/>
        <w:rPr>
          <w:sz w:val="20"/>
          <w:szCs w:val="20"/>
          <w:color w:val="auto"/>
        </w:rPr>
      </w:pPr>
    </w:p>
    <w:p>
      <w:pPr>
        <w:ind w:left="40" w:right="340"/>
        <w:spacing w:after="0" w:line="236" w:lineRule="auto"/>
        <w:rPr>
          <w:sz w:val="20"/>
          <w:szCs w:val="20"/>
          <w:color w:val="auto"/>
        </w:rPr>
      </w:pPr>
      <w:r>
        <w:rPr>
          <w:rFonts w:ascii="Arial" w:cs="Arial" w:eastAsia="Arial" w:hAnsi="Arial"/>
          <w:sz w:val="15"/>
          <w:szCs w:val="15"/>
          <w:color w:val="auto"/>
        </w:rPr>
        <w:t>Trust preferred shares, 50,000 authorized; 12,600 shares issued and outstanding at June 30, 2020 and December 31, 2019</w:t>
      </w:r>
    </w:p>
    <w:p>
      <w:pPr>
        <w:spacing w:after="0" w:line="39" w:lineRule="exact"/>
        <w:rPr>
          <w:sz w:val="20"/>
          <w:szCs w:val="20"/>
          <w:color w:val="auto"/>
        </w:rPr>
      </w:pPr>
    </w:p>
    <w:p>
      <w:pPr>
        <w:ind w:left="180" w:right="340"/>
        <w:spacing w:after="0" w:line="236" w:lineRule="auto"/>
        <w:rPr>
          <w:sz w:val="20"/>
          <w:szCs w:val="20"/>
          <w:color w:val="auto"/>
        </w:rPr>
      </w:pPr>
      <w:r>
        <w:rPr>
          <w:rFonts w:ascii="Arial" w:cs="Arial" w:eastAsia="Arial" w:hAnsi="Arial"/>
          <w:sz w:val="15"/>
          <w:szCs w:val="15"/>
          <w:color w:val="auto"/>
        </w:rPr>
        <w:t>Series A preferred shares, no par value; 4,000 shares issued and outstanding at June 30,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9" w:lineRule="exact"/>
        <w:rPr>
          <w:sz w:val="20"/>
          <w:szCs w:val="20"/>
          <w:color w:val="auto"/>
        </w:rPr>
      </w:pPr>
    </w:p>
    <w:p>
      <w:pPr>
        <w:ind w:left="180" w:right="340"/>
        <w:spacing w:after="0" w:line="236" w:lineRule="auto"/>
        <w:rPr>
          <w:sz w:val="20"/>
          <w:szCs w:val="20"/>
          <w:color w:val="auto"/>
        </w:rPr>
      </w:pPr>
      <w:r>
        <w:rPr>
          <w:rFonts w:ascii="Arial" w:cs="Arial" w:eastAsia="Arial" w:hAnsi="Arial"/>
          <w:sz w:val="15"/>
          <w:szCs w:val="15"/>
          <w:color w:val="auto"/>
        </w:rPr>
        <w:t>Series B preferred shares, no par value; 4,000 shares issued and outstanding at June 30, 2020 and December 31, 2019</w:t>
      </w:r>
    </w:p>
    <w:p>
      <w:pPr>
        <w:spacing w:after="0" w:line="39" w:lineRule="exact"/>
        <w:rPr>
          <w:sz w:val="20"/>
          <w:szCs w:val="20"/>
          <w:color w:val="auto"/>
        </w:rPr>
      </w:pPr>
    </w:p>
    <w:p>
      <w:pPr>
        <w:ind w:left="180" w:right="340"/>
        <w:spacing w:after="0" w:line="236" w:lineRule="auto"/>
        <w:rPr>
          <w:sz w:val="20"/>
          <w:szCs w:val="20"/>
          <w:color w:val="auto"/>
        </w:rPr>
      </w:pPr>
      <w:r>
        <w:rPr>
          <w:rFonts w:ascii="Arial" w:cs="Arial" w:eastAsia="Arial" w:hAnsi="Arial"/>
          <w:sz w:val="15"/>
          <w:szCs w:val="15"/>
          <w:color w:val="auto"/>
        </w:rPr>
        <w:t>Series C preferred shares, no par value; 4,600 shares issued and outstanding at June 30,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9" w:lineRule="exact"/>
        <w:rPr>
          <w:sz w:val="20"/>
          <w:szCs w:val="20"/>
          <w:color w:val="auto"/>
        </w:rPr>
      </w:pPr>
    </w:p>
    <w:p>
      <w:pPr>
        <w:ind w:left="40" w:right="340"/>
        <w:spacing w:after="0" w:line="236" w:lineRule="auto"/>
        <w:rPr>
          <w:sz w:val="20"/>
          <w:szCs w:val="20"/>
          <w:color w:val="auto"/>
        </w:rPr>
      </w:pPr>
      <w:r>
        <w:rPr>
          <w:rFonts w:ascii="Arial" w:cs="Arial" w:eastAsia="Arial" w:hAnsi="Arial"/>
          <w:sz w:val="15"/>
          <w:szCs w:val="15"/>
          <w:color w:val="auto"/>
        </w:rPr>
        <w:t>Trust common shares, no par value, 500,000 authorized; 64,900 shares issued and outstanding at June 30, 2020 and 59,900 shares issued and outstanding at December 31, 2019</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Accumulated deficit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Total stockholders’ equity attributable to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Noncontrolling interest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7"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5"/>
          <w:szCs w:val="15"/>
          <w:b w:val="1"/>
          <w:bCs w:val="1"/>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178"/>
        </w:trPr>
        <w:tc>
          <w:tcPr>
            <w:tcW w:w="760" w:type="dxa"/>
            <w:vAlign w:val="bottom"/>
          </w:tcPr>
          <w:p>
            <w:pPr>
              <w:jc w:val="right"/>
              <w:ind w:right="146"/>
              <w:spacing w:after="0"/>
              <w:rPr>
                <w:sz w:val="20"/>
                <w:szCs w:val="20"/>
                <w:color w:val="auto"/>
              </w:rPr>
            </w:pPr>
            <w:r>
              <w:rPr>
                <w:rFonts w:ascii="Arial" w:cs="Arial" w:eastAsia="Arial" w:hAnsi="Arial"/>
                <w:sz w:val="15"/>
                <w:szCs w:val="15"/>
                <w:color w:val="auto"/>
              </w:rPr>
              <w:t>78,514</w:t>
            </w:r>
          </w:p>
        </w:tc>
        <w:tc>
          <w:tcPr>
            <w:tcW w:w="560" w:type="dxa"/>
            <w:vAlign w:val="bottom"/>
          </w:tcPr>
          <w:p>
            <w:pPr>
              <w:jc w:val="right"/>
              <w:ind w:right="38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70,089</w:t>
            </w:r>
          </w:p>
        </w:tc>
      </w:tr>
      <w:tr>
        <w:trPr>
          <w:trHeight w:val="270"/>
        </w:trPr>
        <w:tc>
          <w:tcPr>
            <w:tcW w:w="760" w:type="dxa"/>
            <w:vAlign w:val="bottom"/>
          </w:tcPr>
          <w:p>
            <w:pPr>
              <w:jc w:val="right"/>
              <w:ind w:right="146"/>
              <w:spacing w:after="0"/>
              <w:rPr>
                <w:sz w:val="20"/>
                <w:szCs w:val="20"/>
                <w:color w:val="auto"/>
              </w:rPr>
            </w:pPr>
            <w:r>
              <w:rPr>
                <w:rFonts w:ascii="Arial" w:cs="Arial" w:eastAsia="Arial" w:hAnsi="Arial"/>
                <w:sz w:val="15"/>
                <w:szCs w:val="15"/>
                <w:color w:val="auto"/>
                <w:w w:val="95"/>
              </w:rPr>
              <w:t>124,116</w:t>
            </w:r>
          </w:p>
        </w:tc>
        <w:tc>
          <w:tcPr>
            <w:tcW w:w="560" w:type="dxa"/>
            <w:vAlign w:val="bottom"/>
          </w:tcPr>
          <w:p>
            <w:pPr>
              <w:spacing w:after="0"/>
              <w:rPr>
                <w:sz w:val="23"/>
                <w:szCs w:val="23"/>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108,768</w:t>
            </w:r>
          </w:p>
        </w:tc>
      </w:tr>
      <w:tr>
        <w:trPr>
          <w:trHeight w:val="270"/>
        </w:trPr>
        <w:tc>
          <w:tcPr>
            <w:tcW w:w="760" w:type="dxa"/>
            <w:vAlign w:val="bottom"/>
          </w:tcPr>
          <w:p>
            <w:pPr>
              <w:jc w:val="right"/>
              <w:ind w:right="146"/>
              <w:spacing w:after="0"/>
              <w:rPr>
                <w:sz w:val="20"/>
                <w:szCs w:val="20"/>
                <w:color w:val="auto"/>
              </w:rPr>
            </w:pPr>
            <w:r>
              <w:rPr>
                <w:rFonts w:ascii="Arial" w:cs="Arial" w:eastAsia="Arial" w:hAnsi="Arial"/>
                <w:sz w:val="15"/>
                <w:szCs w:val="15"/>
                <w:color w:val="auto"/>
              </w:rPr>
              <w:t>4,186</w:t>
            </w:r>
          </w:p>
        </w:tc>
        <w:tc>
          <w:tcPr>
            <w:tcW w:w="560" w:type="dxa"/>
            <w:vAlign w:val="bottom"/>
          </w:tcPr>
          <w:p>
            <w:pPr>
              <w:spacing w:after="0"/>
              <w:rPr>
                <w:sz w:val="23"/>
                <w:szCs w:val="23"/>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8,049</w:t>
            </w:r>
          </w:p>
        </w:tc>
      </w:tr>
      <w:tr>
        <w:trPr>
          <w:trHeight w:val="275"/>
        </w:trPr>
        <w:tc>
          <w:tcPr>
            <w:tcW w:w="760" w:type="dxa"/>
            <w:vAlign w:val="bottom"/>
          </w:tcPr>
          <w:p>
            <w:pPr>
              <w:jc w:val="right"/>
              <w:ind w:right="146"/>
              <w:spacing w:after="0"/>
              <w:rPr>
                <w:sz w:val="20"/>
                <w:szCs w:val="20"/>
                <w:color w:val="auto"/>
              </w:rPr>
            </w:pPr>
            <w:r>
              <w:rPr>
                <w:rFonts w:ascii="Arial" w:cs="Arial" w:eastAsia="Arial" w:hAnsi="Arial"/>
                <w:sz w:val="15"/>
                <w:szCs w:val="15"/>
                <w:color w:val="auto"/>
              </w:rPr>
              <w:t>24,006</w:t>
            </w:r>
          </w:p>
        </w:tc>
        <w:tc>
          <w:tcPr>
            <w:tcW w:w="5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22,573</w:t>
            </w:r>
          </w:p>
        </w:tc>
      </w:tr>
      <w:tr>
        <w:trPr>
          <w:trHeight w:val="245"/>
        </w:trPr>
        <w:tc>
          <w:tcPr>
            <w:tcW w:w="760" w:type="dxa"/>
            <w:vAlign w:val="bottom"/>
          </w:tcPr>
          <w:p>
            <w:pPr>
              <w:jc w:val="right"/>
              <w:ind w:right="146"/>
              <w:spacing w:after="0"/>
              <w:rPr>
                <w:sz w:val="20"/>
                <w:szCs w:val="20"/>
                <w:color w:val="auto"/>
              </w:rPr>
            </w:pPr>
            <w:r>
              <w:rPr>
                <w:rFonts w:ascii="Arial" w:cs="Arial" w:eastAsia="Arial" w:hAnsi="Arial"/>
                <w:sz w:val="15"/>
                <w:szCs w:val="15"/>
                <w:color w:val="auto"/>
                <w:w w:val="95"/>
              </w:rPr>
              <w:t>230,822</w:t>
            </w:r>
          </w:p>
        </w:tc>
        <w:tc>
          <w:tcPr>
            <w:tcW w:w="56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209,479</w:t>
            </w:r>
          </w:p>
        </w:tc>
      </w:tr>
      <w:tr>
        <w:trPr>
          <w:trHeight w:val="270"/>
        </w:trPr>
        <w:tc>
          <w:tcPr>
            <w:tcW w:w="760" w:type="dxa"/>
            <w:vAlign w:val="bottom"/>
          </w:tcPr>
          <w:p>
            <w:pPr>
              <w:jc w:val="right"/>
              <w:ind w:right="146"/>
              <w:spacing w:after="0"/>
              <w:rPr>
                <w:sz w:val="20"/>
                <w:szCs w:val="20"/>
                <w:color w:val="auto"/>
              </w:rPr>
            </w:pPr>
            <w:r>
              <w:rPr>
                <w:rFonts w:ascii="Arial" w:cs="Arial" w:eastAsia="Arial" w:hAnsi="Arial"/>
                <w:sz w:val="15"/>
                <w:szCs w:val="15"/>
                <w:color w:val="auto"/>
              </w:rPr>
              <w:t>28,342</w:t>
            </w:r>
          </w:p>
        </w:tc>
        <w:tc>
          <w:tcPr>
            <w:tcW w:w="560" w:type="dxa"/>
            <w:vAlign w:val="bottom"/>
          </w:tcPr>
          <w:p>
            <w:pPr>
              <w:spacing w:after="0"/>
              <w:rPr>
                <w:sz w:val="23"/>
                <w:szCs w:val="23"/>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33,039</w:t>
            </w:r>
          </w:p>
        </w:tc>
      </w:tr>
      <w:tr>
        <w:trPr>
          <w:trHeight w:val="270"/>
        </w:trPr>
        <w:tc>
          <w:tcPr>
            <w:tcW w:w="760" w:type="dxa"/>
            <w:vAlign w:val="bottom"/>
          </w:tcPr>
          <w:p>
            <w:pPr>
              <w:jc w:val="right"/>
              <w:ind w:right="146"/>
              <w:spacing w:after="0"/>
              <w:rPr>
                <w:sz w:val="20"/>
                <w:szCs w:val="20"/>
                <w:color w:val="auto"/>
              </w:rPr>
            </w:pPr>
            <w:r>
              <w:rPr>
                <w:rFonts w:ascii="Arial" w:cs="Arial" w:eastAsia="Arial" w:hAnsi="Arial"/>
                <w:sz w:val="15"/>
                <w:szCs w:val="15"/>
                <w:color w:val="auto"/>
                <w:w w:val="95"/>
              </w:rPr>
              <w:t>591,787</w:t>
            </w:r>
          </w:p>
        </w:tc>
        <w:tc>
          <w:tcPr>
            <w:tcW w:w="560" w:type="dxa"/>
            <w:vAlign w:val="bottom"/>
          </w:tcPr>
          <w:p>
            <w:pPr>
              <w:spacing w:after="0"/>
              <w:rPr>
                <w:sz w:val="23"/>
                <w:szCs w:val="23"/>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394,445</w:t>
            </w:r>
          </w:p>
        </w:tc>
      </w:tr>
      <w:tr>
        <w:trPr>
          <w:trHeight w:val="275"/>
        </w:trPr>
        <w:tc>
          <w:tcPr>
            <w:tcW w:w="760" w:type="dxa"/>
            <w:vAlign w:val="bottom"/>
          </w:tcPr>
          <w:p>
            <w:pPr>
              <w:jc w:val="right"/>
              <w:ind w:right="146"/>
              <w:spacing w:after="0"/>
              <w:rPr>
                <w:sz w:val="20"/>
                <w:szCs w:val="20"/>
                <w:color w:val="auto"/>
              </w:rPr>
            </w:pPr>
            <w:r>
              <w:rPr>
                <w:rFonts w:ascii="Arial" w:cs="Arial" w:eastAsia="Arial" w:hAnsi="Arial"/>
                <w:sz w:val="15"/>
                <w:szCs w:val="15"/>
                <w:color w:val="auto"/>
              </w:rPr>
              <w:t>93,691</w:t>
            </w:r>
          </w:p>
        </w:tc>
        <w:tc>
          <w:tcPr>
            <w:tcW w:w="5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89,054</w:t>
            </w:r>
          </w:p>
        </w:tc>
      </w:tr>
      <w:tr>
        <w:trPr>
          <w:trHeight w:val="245"/>
        </w:trPr>
        <w:tc>
          <w:tcPr>
            <w:tcW w:w="760" w:type="dxa"/>
            <w:vAlign w:val="bottom"/>
          </w:tcPr>
          <w:p>
            <w:pPr>
              <w:jc w:val="right"/>
              <w:ind w:right="146"/>
              <w:spacing w:after="0"/>
              <w:rPr>
                <w:sz w:val="20"/>
                <w:szCs w:val="20"/>
                <w:color w:val="auto"/>
              </w:rPr>
            </w:pPr>
            <w:r>
              <w:rPr>
                <w:rFonts w:ascii="Arial" w:cs="Arial" w:eastAsia="Arial" w:hAnsi="Arial"/>
                <w:sz w:val="15"/>
                <w:szCs w:val="15"/>
                <w:color w:val="auto"/>
                <w:w w:val="95"/>
              </w:rPr>
              <w:t>944,642</w:t>
            </w:r>
          </w:p>
        </w:tc>
        <w:tc>
          <w:tcPr>
            <w:tcW w:w="56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726,017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-164465</wp:posOffset>
            </wp:positionV>
            <wp:extent cx="10718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-850265</wp:posOffset>
            </wp:positionV>
            <wp:extent cx="10718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0" w:type="dxa"/>
            <w:vAlign w:val="bottom"/>
          </w:tcPr>
          <w:p>
            <w:pPr>
              <w:jc w:val="right"/>
              <w:ind w:right="146"/>
              <w:spacing w:after="0"/>
              <w:rPr>
                <w:sz w:val="20"/>
                <w:szCs w:val="20"/>
                <w:color w:val="auto"/>
              </w:rPr>
            </w:pPr>
            <w:r>
              <w:rPr>
                <w:rFonts w:ascii="Arial" w:cs="Arial" w:eastAsia="Arial" w:hAnsi="Arial"/>
                <w:sz w:val="15"/>
                <w:szCs w:val="15"/>
                <w:color w:val="auto"/>
              </w:rPr>
              <w:t>96,417</w:t>
            </w:r>
          </w:p>
        </w:tc>
        <w:tc>
          <w:tcPr>
            <w:tcW w:w="500" w:type="dxa"/>
            <w:vAlign w:val="bottom"/>
          </w:tcPr>
          <w:p>
            <w:pPr>
              <w:spacing w:after="0"/>
              <w:rPr>
                <w:sz w:val="15"/>
                <w:szCs w:val="15"/>
                <w:color w:val="auto"/>
              </w:rPr>
            </w:pPr>
          </w:p>
        </w:tc>
        <w:tc>
          <w:tcPr>
            <w:tcW w:w="1180" w:type="dxa"/>
            <w:vAlign w:val="bottom"/>
          </w:tcPr>
          <w:p>
            <w:pPr>
              <w:jc w:val="right"/>
              <w:ind w:right="26"/>
              <w:spacing w:after="0"/>
              <w:rPr>
                <w:sz w:val="20"/>
                <w:szCs w:val="20"/>
                <w:color w:val="auto"/>
              </w:rPr>
            </w:pPr>
            <w:r>
              <w:rPr>
                <w:rFonts w:ascii="Arial" w:cs="Arial" w:eastAsia="Arial" w:hAnsi="Arial"/>
                <w:sz w:val="15"/>
                <w:szCs w:val="15"/>
                <w:color w:val="auto"/>
              </w:rPr>
              <w:t>96,417</w:t>
            </w:r>
          </w:p>
        </w:tc>
      </w:tr>
      <w:tr>
        <w:trPr>
          <w:trHeight w:val="378"/>
        </w:trPr>
        <w:tc>
          <w:tcPr>
            <w:tcW w:w="880" w:type="dxa"/>
            <w:vAlign w:val="bottom"/>
          </w:tcPr>
          <w:p>
            <w:pPr>
              <w:jc w:val="right"/>
              <w:ind w:right="146"/>
              <w:spacing w:after="0"/>
              <w:rPr>
                <w:sz w:val="20"/>
                <w:szCs w:val="20"/>
                <w:color w:val="auto"/>
              </w:rPr>
            </w:pPr>
            <w:r>
              <w:rPr>
                <w:rFonts w:ascii="Arial" w:cs="Arial" w:eastAsia="Arial" w:hAnsi="Arial"/>
                <w:sz w:val="15"/>
                <w:szCs w:val="15"/>
                <w:color w:val="auto"/>
              </w:rPr>
              <w:t>96,504</w:t>
            </w:r>
          </w:p>
        </w:tc>
        <w:tc>
          <w:tcPr>
            <w:tcW w:w="500" w:type="dxa"/>
            <w:vAlign w:val="bottom"/>
          </w:tcPr>
          <w:p>
            <w:pPr>
              <w:spacing w:after="0"/>
              <w:rPr>
                <w:sz w:val="24"/>
                <w:szCs w:val="24"/>
                <w:color w:val="auto"/>
              </w:rPr>
            </w:pPr>
          </w:p>
        </w:tc>
        <w:tc>
          <w:tcPr>
            <w:tcW w:w="1180" w:type="dxa"/>
            <w:vAlign w:val="bottom"/>
          </w:tcPr>
          <w:p>
            <w:pPr>
              <w:jc w:val="right"/>
              <w:ind w:right="26"/>
              <w:spacing w:after="0"/>
              <w:rPr>
                <w:sz w:val="20"/>
                <w:szCs w:val="20"/>
                <w:color w:val="auto"/>
              </w:rPr>
            </w:pPr>
            <w:r>
              <w:rPr>
                <w:rFonts w:ascii="Arial" w:cs="Arial" w:eastAsia="Arial" w:hAnsi="Arial"/>
                <w:sz w:val="15"/>
                <w:szCs w:val="15"/>
                <w:color w:val="auto"/>
              </w:rPr>
              <w:t>96,504</w:t>
            </w:r>
          </w:p>
        </w:tc>
      </w:tr>
      <w:tr>
        <w:trPr>
          <w:trHeight w:val="378"/>
        </w:trPr>
        <w:tc>
          <w:tcPr>
            <w:tcW w:w="880" w:type="dxa"/>
            <w:vAlign w:val="bottom"/>
          </w:tcPr>
          <w:p>
            <w:pPr>
              <w:jc w:val="right"/>
              <w:ind w:right="146"/>
              <w:spacing w:after="0"/>
              <w:rPr>
                <w:sz w:val="20"/>
                <w:szCs w:val="20"/>
                <w:color w:val="auto"/>
              </w:rPr>
            </w:pPr>
            <w:r>
              <w:rPr>
                <w:rFonts w:ascii="Arial" w:cs="Arial" w:eastAsia="Arial" w:hAnsi="Arial"/>
                <w:sz w:val="15"/>
                <w:szCs w:val="15"/>
                <w:color w:val="auto"/>
              </w:rPr>
              <w:t>110,997</w:t>
            </w:r>
          </w:p>
        </w:tc>
        <w:tc>
          <w:tcPr>
            <w:tcW w:w="500" w:type="dxa"/>
            <w:vAlign w:val="bottom"/>
          </w:tcPr>
          <w:p>
            <w:pPr>
              <w:spacing w:after="0"/>
              <w:rPr>
                <w:sz w:val="24"/>
                <w:szCs w:val="24"/>
                <w:color w:val="auto"/>
              </w:rPr>
            </w:pPr>
          </w:p>
        </w:tc>
        <w:tc>
          <w:tcPr>
            <w:tcW w:w="1180" w:type="dxa"/>
            <w:vAlign w:val="bottom"/>
          </w:tcPr>
          <w:p>
            <w:pPr>
              <w:jc w:val="right"/>
              <w:ind w:right="26"/>
              <w:spacing w:after="0"/>
              <w:rPr>
                <w:sz w:val="20"/>
                <w:szCs w:val="20"/>
                <w:color w:val="auto"/>
              </w:rPr>
            </w:pPr>
            <w:r>
              <w:rPr>
                <w:rFonts w:ascii="Arial" w:cs="Arial" w:eastAsia="Arial" w:hAnsi="Arial"/>
                <w:sz w:val="15"/>
                <w:szCs w:val="15"/>
                <w:color w:val="auto"/>
              </w:rPr>
              <w:t>110,997</w:t>
            </w:r>
          </w:p>
        </w:tc>
      </w:tr>
      <w:tr>
        <w:trPr>
          <w:trHeight w:val="378"/>
        </w:trPr>
        <w:tc>
          <w:tcPr>
            <w:tcW w:w="880" w:type="dxa"/>
            <w:vAlign w:val="bottom"/>
          </w:tcPr>
          <w:p>
            <w:pPr>
              <w:jc w:val="right"/>
              <w:ind w:right="146"/>
              <w:spacing w:after="0"/>
              <w:rPr>
                <w:sz w:val="20"/>
                <w:szCs w:val="20"/>
                <w:color w:val="auto"/>
              </w:rPr>
            </w:pPr>
            <w:r>
              <w:rPr>
                <w:rFonts w:ascii="Arial" w:cs="Arial" w:eastAsia="Arial" w:hAnsi="Arial"/>
                <w:sz w:val="15"/>
                <w:szCs w:val="15"/>
                <w:color w:val="auto"/>
                <w:w w:val="95"/>
              </w:rPr>
              <w:t>1,008,588</w:t>
            </w:r>
          </w:p>
        </w:tc>
        <w:tc>
          <w:tcPr>
            <w:tcW w:w="500" w:type="dxa"/>
            <w:vAlign w:val="bottom"/>
          </w:tcPr>
          <w:p>
            <w:pPr>
              <w:spacing w:after="0"/>
              <w:rPr>
                <w:sz w:val="24"/>
                <w:szCs w:val="24"/>
                <w:color w:val="auto"/>
              </w:rPr>
            </w:pPr>
          </w:p>
        </w:tc>
        <w:tc>
          <w:tcPr>
            <w:tcW w:w="1180" w:type="dxa"/>
            <w:vAlign w:val="bottom"/>
          </w:tcPr>
          <w:p>
            <w:pPr>
              <w:jc w:val="right"/>
              <w:ind w:right="26"/>
              <w:spacing w:after="0"/>
              <w:rPr>
                <w:sz w:val="20"/>
                <w:szCs w:val="20"/>
                <w:color w:val="auto"/>
              </w:rPr>
            </w:pPr>
            <w:r>
              <w:rPr>
                <w:rFonts w:ascii="Arial" w:cs="Arial" w:eastAsia="Arial" w:hAnsi="Arial"/>
                <w:sz w:val="15"/>
                <w:szCs w:val="15"/>
                <w:color w:val="auto"/>
              </w:rPr>
              <w:t>924,680</w:t>
            </w:r>
          </w:p>
        </w:tc>
      </w:tr>
      <w:tr>
        <w:trPr>
          <w:trHeight w:val="270"/>
        </w:trPr>
        <w:tc>
          <w:tcPr>
            <w:tcW w:w="880" w:type="dxa"/>
            <w:vAlign w:val="bottom"/>
          </w:tcPr>
          <w:p>
            <w:pPr>
              <w:jc w:val="right"/>
              <w:ind w:right="106"/>
              <w:spacing w:after="0"/>
              <w:rPr>
                <w:sz w:val="20"/>
                <w:szCs w:val="20"/>
                <w:color w:val="auto"/>
              </w:rPr>
            </w:pPr>
            <w:r>
              <w:rPr>
                <w:rFonts w:ascii="Arial" w:cs="Arial" w:eastAsia="Arial" w:hAnsi="Arial"/>
                <w:sz w:val="15"/>
                <w:szCs w:val="15"/>
                <w:color w:val="auto"/>
              </w:rPr>
              <w:t>(5,528)</w:t>
            </w: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(3,933)</w:t>
            </w:r>
          </w:p>
        </w:tc>
      </w:tr>
      <w:tr>
        <w:trPr>
          <w:trHeight w:val="275"/>
        </w:trPr>
        <w:tc>
          <w:tcPr>
            <w:tcW w:w="880" w:type="dxa"/>
            <w:vAlign w:val="bottom"/>
          </w:tcPr>
          <w:p>
            <w:pPr>
              <w:jc w:val="right"/>
              <w:ind w:right="106"/>
              <w:spacing w:after="0"/>
              <w:rPr>
                <w:sz w:val="20"/>
                <w:szCs w:val="20"/>
                <w:color w:val="auto"/>
              </w:rPr>
            </w:pPr>
            <w:r>
              <w:rPr>
                <w:rFonts w:ascii="Arial" w:cs="Arial" w:eastAsia="Arial" w:hAnsi="Arial"/>
                <w:sz w:val="15"/>
                <w:szCs w:val="15"/>
                <w:color w:val="auto"/>
              </w:rPr>
              <w:t>(177,912)</w:t>
            </w:r>
          </w:p>
        </w:tc>
        <w:tc>
          <w:tcPr>
            <w:tcW w:w="5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(109,338)</w:t>
            </w:r>
          </w:p>
        </w:tc>
      </w:tr>
      <w:tr>
        <w:trPr>
          <w:trHeight w:val="245"/>
        </w:trPr>
        <w:tc>
          <w:tcPr>
            <w:tcW w:w="880" w:type="dxa"/>
            <w:vAlign w:val="bottom"/>
          </w:tcPr>
          <w:p>
            <w:pPr>
              <w:jc w:val="right"/>
              <w:ind w:right="146"/>
              <w:spacing w:after="0"/>
              <w:rPr>
                <w:sz w:val="20"/>
                <w:szCs w:val="20"/>
                <w:color w:val="auto"/>
              </w:rPr>
            </w:pPr>
            <w:r>
              <w:rPr>
                <w:rFonts w:ascii="Arial" w:cs="Arial" w:eastAsia="Arial" w:hAnsi="Arial"/>
                <w:sz w:val="15"/>
                <w:szCs w:val="15"/>
                <w:color w:val="auto"/>
                <w:w w:val="95"/>
              </w:rPr>
              <w:t>1,129,066</w:t>
            </w:r>
          </w:p>
        </w:tc>
        <w:tc>
          <w:tcPr>
            <w:tcW w:w="500" w:type="dxa"/>
            <w:vAlign w:val="bottom"/>
          </w:tcPr>
          <w:p>
            <w:pPr>
              <w:spacing w:after="0"/>
              <w:rPr>
                <w:sz w:val="21"/>
                <w:szCs w:val="21"/>
                <w:color w:val="auto"/>
              </w:rPr>
            </w:pPr>
          </w:p>
        </w:tc>
        <w:tc>
          <w:tcPr>
            <w:tcW w:w="1180" w:type="dxa"/>
            <w:vAlign w:val="bottom"/>
          </w:tcPr>
          <w:p>
            <w:pPr>
              <w:jc w:val="right"/>
              <w:ind w:right="26"/>
              <w:spacing w:after="0"/>
              <w:rPr>
                <w:sz w:val="20"/>
                <w:szCs w:val="20"/>
                <w:color w:val="auto"/>
              </w:rPr>
            </w:pPr>
            <w:r>
              <w:rPr>
                <w:rFonts w:ascii="Arial" w:cs="Arial" w:eastAsia="Arial" w:hAnsi="Arial"/>
                <w:sz w:val="15"/>
                <w:szCs w:val="15"/>
                <w:color w:val="auto"/>
              </w:rPr>
              <w:t>1,115,327</w:t>
            </w:r>
          </w:p>
        </w:tc>
      </w:tr>
      <w:tr>
        <w:trPr>
          <w:trHeight w:val="275"/>
        </w:trPr>
        <w:tc>
          <w:tcPr>
            <w:tcW w:w="880" w:type="dxa"/>
            <w:vAlign w:val="bottom"/>
          </w:tcPr>
          <w:p>
            <w:pPr>
              <w:jc w:val="right"/>
              <w:ind w:right="146"/>
              <w:spacing w:after="0"/>
              <w:rPr>
                <w:sz w:val="20"/>
                <w:szCs w:val="20"/>
                <w:color w:val="auto"/>
              </w:rPr>
            </w:pPr>
            <w:r>
              <w:rPr>
                <w:rFonts w:ascii="Arial" w:cs="Arial" w:eastAsia="Arial" w:hAnsi="Arial"/>
                <w:sz w:val="15"/>
                <w:szCs w:val="15"/>
                <w:color w:val="auto"/>
              </w:rPr>
              <w:t>67,816</w:t>
            </w:r>
          </w:p>
        </w:tc>
        <w:tc>
          <w:tcPr>
            <w:tcW w:w="5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50,548</w:t>
            </w:r>
          </w:p>
        </w:tc>
      </w:tr>
      <w:tr>
        <w:trPr>
          <w:trHeight w:val="250"/>
        </w:trPr>
        <w:tc>
          <w:tcPr>
            <w:tcW w:w="880" w:type="dxa"/>
            <w:vAlign w:val="bottom"/>
          </w:tcPr>
          <w:p>
            <w:pPr>
              <w:jc w:val="right"/>
              <w:ind w:right="146"/>
              <w:spacing w:after="0"/>
              <w:rPr>
                <w:sz w:val="20"/>
                <w:szCs w:val="20"/>
                <w:color w:val="auto"/>
              </w:rPr>
            </w:pPr>
            <w:r>
              <w:rPr>
                <w:rFonts w:ascii="Arial" w:cs="Arial" w:eastAsia="Arial" w:hAnsi="Arial"/>
                <w:sz w:val="15"/>
                <w:szCs w:val="15"/>
                <w:color w:val="auto"/>
                <w:w w:val="95"/>
              </w:rPr>
              <w:t>1,196,882</w:t>
            </w:r>
          </w:p>
        </w:tc>
        <w:tc>
          <w:tcPr>
            <w:tcW w:w="5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1,165,875</w:t>
            </w:r>
          </w:p>
        </w:tc>
      </w:tr>
      <w:tr>
        <w:trPr>
          <w:trHeight w:val="236"/>
        </w:trPr>
        <w:tc>
          <w:tcPr>
            <w:tcW w:w="880" w:type="dxa"/>
            <w:vAlign w:val="bottom"/>
          </w:tcPr>
          <w:p>
            <w:pPr>
              <w:jc w:val="right"/>
              <w:ind w:right="146"/>
              <w:spacing w:after="0"/>
              <w:rPr>
                <w:sz w:val="20"/>
                <w:szCs w:val="20"/>
                <w:color w:val="auto"/>
              </w:rPr>
            </w:pPr>
            <w:r>
              <w:rPr>
                <w:rFonts w:ascii="Arial" w:cs="Arial" w:eastAsia="Arial" w:hAnsi="Arial"/>
                <w:sz w:val="15"/>
                <w:szCs w:val="15"/>
                <w:color w:val="auto"/>
                <w:w w:val="95"/>
              </w:rPr>
              <w:t>2,141,524</w:t>
            </w:r>
          </w:p>
        </w:tc>
        <w:tc>
          <w:tcPr>
            <w:tcW w:w="5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1,891,892</w:t>
            </w:r>
          </w:p>
        </w:tc>
      </w:tr>
      <w:tr>
        <w:trPr>
          <w:trHeight w:val="20"/>
        </w:trPr>
        <w:tc>
          <w:tcPr>
            <w:tcW w:w="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-8255</wp:posOffset>
            </wp:positionV>
            <wp:extent cx="10718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-359410</wp:posOffset>
            </wp:positionV>
            <wp:extent cx="10718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-702310</wp:posOffset>
            </wp:positionV>
            <wp:extent cx="10718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333" w:right="339" w:bottom="1440" w:gutter="0" w:footer="0" w:header="0"/>
          <w:type w:val="continuous"/>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240"/>
          </w:cols>
          <w:pgMar w:left="320" w:top="333" w:right="339" w:bottom="1440" w:gutter="0" w:footer="0" w:header="0"/>
          <w:type w:val="continuous"/>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333" w:right="339" w:bottom="1440" w:gutter="0" w:footer="0" w:header="0"/>
          <w:type w:val="continuous"/>
        </w:sectPr>
      </w:pPr>
    </w:p>
    <w:bookmarkStart w:id="5" w:name="page6"/>
    <w:bookmarkEnd w:id="5"/>
    <w:p>
      <w:pPr>
        <w:jc w:val="center"/>
        <w:ind w:right="40"/>
        <w:spacing w:after="0"/>
        <w:rPr>
          <w:sz w:val="20"/>
          <w:szCs w:val="20"/>
          <w:color w:val="auto"/>
        </w:rPr>
      </w:pPr>
      <w:r>
        <w:rPr>
          <w:rFonts w:ascii="Arial" w:cs="Arial" w:eastAsia="Arial" w:hAnsi="Arial"/>
          <w:sz w:val="15"/>
          <w:szCs w:val="15"/>
          <w:b w:val="1"/>
          <w:bCs w:val="1"/>
          <w:color w:val="auto"/>
        </w:rPr>
        <w:t>COMPASS DIVERSIFIED HOLDINGS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4"/>
                <w:szCs w:val="14"/>
                <w:color w:val="auto"/>
              </w:rPr>
            </w:pPr>
          </w:p>
        </w:tc>
        <w:tc>
          <w:tcPr>
            <w:tcW w:w="1840" w:type="dxa"/>
            <w:vAlign w:val="bottom"/>
            <w:gridSpan w:val="4"/>
          </w:tcPr>
          <w:p>
            <w:pPr>
              <w:jc w:val="right"/>
              <w:ind w:right="304"/>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06"/>
        </w:trPr>
        <w:tc>
          <w:tcPr>
            <w:tcW w:w="6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92"/>
        </w:trPr>
        <w:tc>
          <w:tcPr>
            <w:tcW w:w="6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333,627</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336,084</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7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667,076</w:t>
            </w: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9"/>
              </w:rPr>
              <w:t>674,941</w:t>
            </w:r>
          </w:p>
        </w:tc>
        <w:tc>
          <w:tcPr>
            <w:tcW w:w="0" w:type="dxa"/>
            <w:vAlign w:val="bottom"/>
          </w:tcPr>
          <w:p>
            <w:pPr>
              <w:spacing w:after="0"/>
              <w:rPr>
                <w:sz w:val="1"/>
                <w:szCs w:val="1"/>
                <w:color w:val="auto"/>
              </w:rPr>
            </w:pPr>
          </w:p>
        </w:tc>
      </w:tr>
      <w:tr>
        <w:trPr>
          <w:trHeight w:val="62"/>
        </w:trPr>
        <w:tc>
          <w:tcPr>
            <w:tcW w:w="658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8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180" w:type="dxa"/>
            <w:vAlign w:val="bottom"/>
          </w:tcPr>
          <w:p>
            <w:pPr>
              <w:spacing w:after="0"/>
              <w:rPr>
                <w:sz w:val="18"/>
                <w:szCs w:val="18"/>
                <w:color w:val="auto"/>
              </w:rPr>
            </w:pP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auto"/>
              </w:rPr>
              <w:t>216,224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vMerge w:val="restart"/>
          </w:tcPr>
          <w:p>
            <w:pPr>
              <w:jc w:val="right"/>
              <w:ind w:right="24"/>
              <w:spacing w:after="0"/>
              <w:rPr>
                <w:sz w:val="20"/>
                <w:szCs w:val="20"/>
                <w:color w:val="auto"/>
              </w:rPr>
            </w:pPr>
            <w:r>
              <w:rPr>
                <w:rFonts w:ascii="Arial" w:cs="Arial" w:eastAsia="Arial" w:hAnsi="Arial"/>
                <w:sz w:val="15"/>
                <w:szCs w:val="15"/>
                <w:color w:val="auto"/>
              </w:rPr>
              <w:t>213,521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restart"/>
          </w:tcPr>
          <w:p>
            <w:pPr>
              <w:jc w:val="right"/>
              <w:ind w:right="24"/>
              <w:spacing w:after="0"/>
              <w:rPr>
                <w:sz w:val="20"/>
                <w:szCs w:val="20"/>
                <w:color w:val="auto"/>
              </w:rPr>
            </w:pPr>
            <w:r>
              <w:rPr>
                <w:rFonts w:ascii="Arial" w:cs="Arial" w:eastAsia="Arial" w:hAnsi="Arial"/>
                <w:sz w:val="15"/>
                <w:szCs w:val="15"/>
                <w:color w:val="auto"/>
              </w:rPr>
              <w:t>430,185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vMerge w:val="restart"/>
          </w:tcPr>
          <w:p>
            <w:pPr>
              <w:jc w:val="right"/>
              <w:ind w:right="44"/>
              <w:spacing w:after="0"/>
              <w:rPr>
                <w:sz w:val="20"/>
                <w:szCs w:val="20"/>
                <w:color w:val="auto"/>
              </w:rPr>
            </w:pPr>
            <w:r>
              <w:rPr>
                <w:rFonts w:ascii="Arial" w:cs="Arial" w:eastAsia="Arial" w:hAnsi="Arial"/>
                <w:sz w:val="15"/>
                <w:szCs w:val="15"/>
                <w:color w:val="auto"/>
                <w:w w:val="99"/>
              </w:rPr>
              <w:t>432,823</w:t>
            </w:r>
          </w:p>
        </w:tc>
        <w:tc>
          <w:tcPr>
            <w:tcW w:w="0" w:type="dxa"/>
            <w:vAlign w:val="bottom"/>
          </w:tcPr>
          <w:p>
            <w:pPr>
              <w:spacing w:after="0"/>
              <w:rPr>
                <w:sz w:val="1"/>
                <w:szCs w:val="1"/>
                <w:color w:val="auto"/>
              </w:rPr>
            </w:pPr>
          </w:p>
        </w:tc>
      </w:tr>
      <w:tr>
        <w:trPr>
          <w:trHeight w:val="58"/>
        </w:trPr>
        <w:tc>
          <w:tcPr>
            <w:tcW w:w="65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Gross profit</w:t>
            </w:r>
          </w:p>
        </w:tc>
        <w:tc>
          <w:tcPr>
            <w:tcW w:w="1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117,403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122,563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236,891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9"/>
              </w:rPr>
              <w:t>242,118</w:t>
            </w:r>
          </w:p>
        </w:tc>
        <w:tc>
          <w:tcPr>
            <w:tcW w:w="0" w:type="dxa"/>
            <w:vAlign w:val="bottom"/>
          </w:tcPr>
          <w:p>
            <w:pPr>
              <w:spacing w:after="0"/>
              <w:rPr>
                <w:sz w:val="1"/>
                <w:szCs w:val="1"/>
                <w:color w:val="auto"/>
              </w:rPr>
            </w:pPr>
          </w:p>
        </w:tc>
      </w:tr>
      <w:tr>
        <w:trPr>
          <w:trHeight w:val="62"/>
        </w:trPr>
        <w:tc>
          <w:tcPr>
            <w:tcW w:w="6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8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Selling, general and administrative expense</w:t>
            </w:r>
          </w:p>
        </w:tc>
        <w:tc>
          <w:tcPr>
            <w:tcW w:w="1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84,014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80,312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167,814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9"/>
              </w:rPr>
              <w:t>161,709</w:t>
            </w:r>
          </w:p>
        </w:tc>
        <w:tc>
          <w:tcPr>
            <w:tcW w:w="0" w:type="dxa"/>
            <w:vAlign w:val="bottom"/>
          </w:tcPr>
          <w:p>
            <w:pPr>
              <w:spacing w:after="0"/>
              <w:rPr>
                <w:sz w:val="1"/>
                <w:szCs w:val="1"/>
                <w:color w:val="auto"/>
              </w:rPr>
            </w:pPr>
          </w:p>
        </w:tc>
      </w:tr>
      <w:tr>
        <w:trPr>
          <w:trHeight w:val="62"/>
        </w:trPr>
        <w:tc>
          <w:tcPr>
            <w:tcW w:w="6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80" w:type="dxa"/>
            <w:vAlign w:val="bottom"/>
          </w:tcPr>
          <w:p>
            <w:pPr>
              <w:ind w:left="360"/>
              <w:spacing w:after="0"/>
              <w:rPr>
                <w:sz w:val="20"/>
                <w:szCs w:val="20"/>
                <w:color w:val="auto"/>
              </w:rPr>
            </w:pPr>
            <w:r>
              <w:rPr>
                <w:rFonts w:ascii="Arial" w:cs="Arial" w:eastAsia="Arial" w:hAnsi="Arial"/>
                <w:sz w:val="15"/>
                <w:szCs w:val="15"/>
                <w:color w:val="auto"/>
              </w:rPr>
              <w:t>Management fees</w:t>
            </w:r>
          </w:p>
        </w:tc>
        <w:tc>
          <w:tcPr>
            <w:tcW w:w="180" w:type="dxa"/>
            <w:vAlign w:val="bottom"/>
          </w:tcPr>
          <w:p>
            <w:pPr>
              <w:spacing w:after="0"/>
              <w:rPr>
                <w:sz w:val="18"/>
                <w:szCs w:val="18"/>
                <w:color w:val="auto"/>
              </w:rPr>
            </w:pP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auto"/>
              </w:rPr>
              <w:t>5,157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vMerge w:val="restart"/>
          </w:tcPr>
          <w:p>
            <w:pPr>
              <w:jc w:val="right"/>
              <w:ind w:right="24"/>
              <w:spacing w:after="0"/>
              <w:rPr>
                <w:sz w:val="20"/>
                <w:szCs w:val="20"/>
                <w:color w:val="auto"/>
              </w:rPr>
            </w:pPr>
            <w:r>
              <w:rPr>
                <w:rFonts w:ascii="Arial" w:cs="Arial" w:eastAsia="Arial" w:hAnsi="Arial"/>
                <w:sz w:val="15"/>
                <w:szCs w:val="15"/>
                <w:color w:val="auto"/>
              </w:rPr>
              <w:t>8,521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restart"/>
          </w:tcPr>
          <w:p>
            <w:pPr>
              <w:jc w:val="right"/>
              <w:ind w:right="24"/>
              <w:spacing w:after="0"/>
              <w:rPr>
                <w:sz w:val="20"/>
                <w:szCs w:val="20"/>
                <w:color w:val="auto"/>
              </w:rPr>
            </w:pPr>
            <w:r>
              <w:rPr>
                <w:rFonts w:ascii="Arial" w:cs="Arial" w:eastAsia="Arial" w:hAnsi="Arial"/>
                <w:sz w:val="15"/>
                <w:szCs w:val="15"/>
                <w:color w:val="auto"/>
              </w:rPr>
              <w:t>13,777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vMerge w:val="restart"/>
          </w:tcPr>
          <w:p>
            <w:pPr>
              <w:jc w:val="right"/>
              <w:ind w:right="44"/>
              <w:spacing w:after="0"/>
              <w:rPr>
                <w:sz w:val="20"/>
                <w:szCs w:val="20"/>
                <w:color w:val="auto"/>
              </w:rPr>
            </w:pPr>
            <w:r>
              <w:rPr>
                <w:rFonts w:ascii="Arial" w:cs="Arial" w:eastAsia="Arial" w:hAnsi="Arial"/>
                <w:sz w:val="15"/>
                <w:szCs w:val="15"/>
                <w:color w:val="auto"/>
              </w:rPr>
              <w:t>19,478</w:t>
            </w:r>
          </w:p>
        </w:tc>
        <w:tc>
          <w:tcPr>
            <w:tcW w:w="0" w:type="dxa"/>
            <w:vAlign w:val="bottom"/>
          </w:tcPr>
          <w:p>
            <w:pPr>
              <w:spacing w:after="0"/>
              <w:rPr>
                <w:sz w:val="1"/>
                <w:szCs w:val="1"/>
                <w:color w:val="auto"/>
              </w:rPr>
            </w:pPr>
          </w:p>
        </w:tc>
      </w:tr>
      <w:tr>
        <w:trPr>
          <w:trHeight w:val="58"/>
        </w:trPr>
        <w:tc>
          <w:tcPr>
            <w:tcW w:w="6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Amortization expense</w:t>
            </w:r>
          </w:p>
        </w:tc>
        <w:tc>
          <w:tcPr>
            <w:tcW w:w="1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14,779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13,522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28,284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27,112</w:t>
            </w:r>
          </w:p>
        </w:tc>
        <w:tc>
          <w:tcPr>
            <w:tcW w:w="0" w:type="dxa"/>
            <w:vAlign w:val="bottom"/>
          </w:tcPr>
          <w:p>
            <w:pPr>
              <w:spacing w:after="0"/>
              <w:rPr>
                <w:sz w:val="1"/>
                <w:szCs w:val="1"/>
                <w:color w:val="auto"/>
              </w:rPr>
            </w:pPr>
          </w:p>
        </w:tc>
      </w:tr>
      <w:tr>
        <w:trPr>
          <w:trHeight w:val="62"/>
        </w:trPr>
        <w:tc>
          <w:tcPr>
            <w:tcW w:w="658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80" w:type="dxa"/>
            <w:vAlign w:val="bottom"/>
          </w:tcPr>
          <w:p>
            <w:pPr>
              <w:ind w:left="20"/>
              <w:spacing w:after="0"/>
              <w:rPr>
                <w:sz w:val="20"/>
                <w:szCs w:val="20"/>
                <w:color w:val="auto"/>
              </w:rPr>
            </w:pPr>
            <w:r>
              <w:rPr>
                <w:rFonts w:ascii="Arial" w:cs="Arial" w:eastAsia="Arial" w:hAnsi="Arial"/>
                <w:sz w:val="15"/>
                <w:szCs w:val="15"/>
                <w:b w:val="1"/>
                <w:bCs w:val="1"/>
                <w:color w:val="auto"/>
              </w:rPr>
              <w:t>Operating income</w:t>
            </w:r>
          </w:p>
        </w:tc>
        <w:tc>
          <w:tcPr>
            <w:tcW w:w="180" w:type="dxa"/>
            <w:vAlign w:val="bottom"/>
          </w:tcPr>
          <w:p>
            <w:pPr>
              <w:spacing w:after="0"/>
              <w:rPr>
                <w:sz w:val="16"/>
                <w:szCs w:val="16"/>
                <w:color w:val="auto"/>
              </w:rPr>
            </w:pP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auto"/>
              </w:rPr>
              <w:t>13,453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restart"/>
          </w:tcPr>
          <w:p>
            <w:pPr>
              <w:jc w:val="right"/>
              <w:ind w:right="24"/>
              <w:spacing w:after="0"/>
              <w:rPr>
                <w:sz w:val="20"/>
                <w:szCs w:val="20"/>
                <w:color w:val="auto"/>
              </w:rPr>
            </w:pPr>
            <w:r>
              <w:rPr>
                <w:rFonts w:ascii="Arial" w:cs="Arial" w:eastAsia="Arial" w:hAnsi="Arial"/>
                <w:sz w:val="15"/>
                <w:szCs w:val="15"/>
                <w:color w:val="auto"/>
              </w:rPr>
              <w:t>20,208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ind w:right="24"/>
              <w:spacing w:after="0"/>
              <w:rPr>
                <w:sz w:val="20"/>
                <w:szCs w:val="20"/>
                <w:color w:val="auto"/>
              </w:rPr>
            </w:pPr>
            <w:r>
              <w:rPr>
                <w:rFonts w:ascii="Arial" w:cs="Arial" w:eastAsia="Arial" w:hAnsi="Arial"/>
                <w:sz w:val="15"/>
                <w:szCs w:val="15"/>
                <w:color w:val="auto"/>
              </w:rPr>
              <w:t>27,016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restart"/>
          </w:tcPr>
          <w:p>
            <w:pPr>
              <w:jc w:val="right"/>
              <w:ind w:right="44"/>
              <w:spacing w:after="0"/>
              <w:rPr>
                <w:sz w:val="20"/>
                <w:szCs w:val="20"/>
                <w:color w:val="auto"/>
              </w:rPr>
            </w:pPr>
            <w:r>
              <w:rPr>
                <w:rFonts w:ascii="Arial" w:cs="Arial" w:eastAsia="Arial" w:hAnsi="Arial"/>
                <w:sz w:val="15"/>
                <w:szCs w:val="15"/>
                <w:color w:val="auto"/>
              </w:rPr>
              <w:t>33,819</w:t>
            </w:r>
          </w:p>
        </w:tc>
        <w:tc>
          <w:tcPr>
            <w:tcW w:w="0" w:type="dxa"/>
            <w:vAlign w:val="bottom"/>
          </w:tcPr>
          <w:p>
            <w:pPr>
              <w:spacing w:after="0"/>
              <w:rPr>
                <w:sz w:val="1"/>
                <w:szCs w:val="1"/>
                <w:color w:val="auto"/>
              </w:rPr>
            </w:pPr>
          </w:p>
        </w:tc>
      </w:tr>
      <w:tr>
        <w:trPr>
          <w:trHeight w:val="58"/>
        </w:trPr>
        <w:tc>
          <w:tcPr>
            <w:tcW w:w="6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80" w:type="dxa"/>
            <w:vAlign w:val="bottom"/>
          </w:tcPr>
          <w:p>
            <w:pPr>
              <w:ind w:left="360"/>
              <w:spacing w:after="0"/>
              <w:rPr>
                <w:sz w:val="20"/>
                <w:szCs w:val="20"/>
                <w:color w:val="auto"/>
              </w:rPr>
            </w:pPr>
            <w:r>
              <w:rPr>
                <w:rFonts w:ascii="Arial" w:cs="Arial" w:eastAsia="Arial" w:hAnsi="Arial"/>
                <w:sz w:val="15"/>
                <w:szCs w:val="15"/>
                <w:color w:val="auto"/>
              </w:rPr>
              <w:t>Interest expense, net</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(11,174)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(18,445)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(19,771)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(36,899)</w:t>
            </w:r>
          </w:p>
        </w:tc>
        <w:tc>
          <w:tcPr>
            <w:tcW w:w="0" w:type="dxa"/>
            <w:vAlign w:val="bottom"/>
          </w:tcPr>
          <w:p>
            <w:pPr>
              <w:spacing w:after="0"/>
              <w:rPr>
                <w:sz w:val="1"/>
                <w:szCs w:val="1"/>
                <w:color w:val="auto"/>
              </w:rPr>
            </w:pPr>
          </w:p>
        </w:tc>
      </w:tr>
      <w:tr>
        <w:trPr>
          <w:trHeight w:val="58"/>
        </w:trPr>
        <w:tc>
          <w:tcPr>
            <w:tcW w:w="6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Loss on sale of securities (refer to Note C)</w:t>
            </w:r>
          </w:p>
        </w:tc>
        <w:tc>
          <w:tcPr>
            <w:tcW w:w="18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(5,300)</w:t>
            </w:r>
          </w:p>
        </w:tc>
        <w:tc>
          <w:tcPr>
            <w:tcW w:w="0" w:type="dxa"/>
            <w:vAlign w:val="bottom"/>
          </w:tcPr>
          <w:p>
            <w:pPr>
              <w:spacing w:after="0"/>
              <w:rPr>
                <w:sz w:val="1"/>
                <w:szCs w:val="1"/>
                <w:color w:val="auto"/>
              </w:rPr>
            </w:pPr>
          </w:p>
        </w:tc>
      </w:tr>
      <w:tr>
        <w:trPr>
          <w:trHeight w:val="62"/>
        </w:trPr>
        <w:tc>
          <w:tcPr>
            <w:tcW w:w="6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80" w:type="dxa"/>
            <w:vAlign w:val="bottom"/>
          </w:tcPr>
          <w:p>
            <w:pPr>
              <w:ind w:left="360"/>
              <w:spacing w:after="0"/>
              <w:rPr>
                <w:sz w:val="20"/>
                <w:szCs w:val="20"/>
                <w:color w:val="auto"/>
              </w:rPr>
            </w:pPr>
            <w:r>
              <w:rPr>
                <w:rFonts w:ascii="Arial" w:cs="Arial" w:eastAsia="Arial" w:hAnsi="Arial"/>
                <w:sz w:val="15"/>
                <w:szCs w:val="15"/>
                <w:color w:val="auto"/>
              </w:rPr>
              <w:t>Amortization of debt issuance costs</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(610)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(928)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(1,135)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(1,855)</w:t>
            </w:r>
          </w:p>
        </w:tc>
        <w:tc>
          <w:tcPr>
            <w:tcW w:w="0" w:type="dxa"/>
            <w:vAlign w:val="bottom"/>
          </w:tcPr>
          <w:p>
            <w:pPr>
              <w:spacing w:after="0"/>
              <w:rPr>
                <w:sz w:val="1"/>
                <w:szCs w:val="1"/>
                <w:color w:val="auto"/>
              </w:rPr>
            </w:pPr>
          </w:p>
        </w:tc>
      </w:tr>
      <w:tr>
        <w:trPr>
          <w:trHeight w:val="58"/>
        </w:trPr>
        <w:tc>
          <w:tcPr>
            <w:tcW w:w="6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income (expense), net</w:t>
            </w:r>
          </w:p>
        </w:tc>
        <w:tc>
          <w:tcPr>
            <w:tcW w:w="1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(524)</w:t>
            </w:r>
          </w:p>
        </w:tc>
        <w:tc>
          <w:tcPr>
            <w:tcW w:w="0" w:type="dxa"/>
            <w:vAlign w:val="bottom"/>
          </w:tcPr>
          <w:p>
            <w:pPr>
              <w:spacing w:after="0"/>
              <w:rPr>
                <w:sz w:val="1"/>
                <w:szCs w:val="1"/>
                <w:color w:val="auto"/>
              </w:rPr>
            </w:pPr>
          </w:p>
        </w:tc>
      </w:tr>
      <w:tr>
        <w:trPr>
          <w:trHeight w:val="62"/>
        </w:trPr>
        <w:tc>
          <w:tcPr>
            <w:tcW w:w="658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80" w:type="dxa"/>
            <w:vAlign w:val="bottom"/>
          </w:tcPr>
          <w:p>
            <w:pPr>
              <w:ind w:left="20"/>
              <w:spacing w:after="0"/>
              <w:rPr>
                <w:sz w:val="20"/>
                <w:szCs w:val="20"/>
                <w:color w:val="auto"/>
              </w:rPr>
            </w:pPr>
            <w:r>
              <w:rPr>
                <w:rFonts w:ascii="Arial" w:cs="Arial" w:eastAsia="Arial" w:hAnsi="Arial"/>
                <w:sz w:val="15"/>
                <w:szCs w:val="15"/>
                <w:b w:val="1"/>
                <w:bCs w:val="1"/>
                <w:color w:val="auto"/>
              </w:rPr>
              <w:t>Income (loss) from continuing operations before income taxes</w:t>
            </w: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(717)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restart"/>
          </w:tcPr>
          <w:p>
            <w:pPr>
              <w:jc w:val="right"/>
              <w:ind w:right="24"/>
              <w:spacing w:after="0"/>
              <w:rPr>
                <w:sz w:val="20"/>
                <w:szCs w:val="20"/>
                <w:color w:val="auto"/>
              </w:rPr>
            </w:pPr>
            <w:r>
              <w:rPr>
                <w:rFonts w:ascii="Arial" w:cs="Arial" w:eastAsia="Arial" w:hAnsi="Arial"/>
                <w:sz w:val="15"/>
                <w:szCs w:val="15"/>
                <w:color w:val="auto"/>
              </w:rPr>
              <w:t>745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ind w:right="24"/>
              <w:spacing w:after="0"/>
              <w:rPr>
                <w:sz w:val="20"/>
                <w:szCs w:val="20"/>
                <w:color w:val="auto"/>
              </w:rPr>
            </w:pPr>
            <w:r>
              <w:rPr>
                <w:rFonts w:ascii="Arial" w:cs="Arial" w:eastAsia="Arial" w:hAnsi="Arial"/>
                <w:sz w:val="15"/>
                <w:szCs w:val="15"/>
                <w:color w:val="auto"/>
              </w:rPr>
              <w:t>4,385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(10,759)</w:t>
            </w:r>
          </w:p>
        </w:tc>
        <w:tc>
          <w:tcPr>
            <w:tcW w:w="0" w:type="dxa"/>
            <w:vAlign w:val="bottom"/>
          </w:tcPr>
          <w:p>
            <w:pPr>
              <w:spacing w:after="0"/>
              <w:rPr>
                <w:sz w:val="1"/>
                <w:szCs w:val="1"/>
                <w:color w:val="auto"/>
              </w:rPr>
            </w:pPr>
          </w:p>
        </w:tc>
      </w:tr>
      <w:tr>
        <w:trPr>
          <w:trHeight w:val="58"/>
        </w:trPr>
        <w:tc>
          <w:tcPr>
            <w:tcW w:w="6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Provision for income taxes</w:t>
            </w:r>
          </w:p>
        </w:tc>
        <w:tc>
          <w:tcPr>
            <w:tcW w:w="1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6,649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4,551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6,871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5,975</w:t>
            </w:r>
          </w:p>
        </w:tc>
        <w:tc>
          <w:tcPr>
            <w:tcW w:w="0" w:type="dxa"/>
            <w:vAlign w:val="bottom"/>
          </w:tcPr>
          <w:p>
            <w:pPr>
              <w:spacing w:after="0"/>
              <w:rPr>
                <w:sz w:val="1"/>
                <w:szCs w:val="1"/>
                <w:color w:val="auto"/>
              </w:rPr>
            </w:pPr>
          </w:p>
        </w:tc>
      </w:tr>
      <w:tr>
        <w:trPr>
          <w:trHeight w:val="62"/>
        </w:trPr>
        <w:tc>
          <w:tcPr>
            <w:tcW w:w="658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80" w:type="dxa"/>
            <w:vAlign w:val="bottom"/>
          </w:tcPr>
          <w:p>
            <w:pPr>
              <w:ind w:left="20"/>
              <w:spacing w:after="0"/>
              <w:rPr>
                <w:sz w:val="20"/>
                <w:szCs w:val="20"/>
                <w:color w:val="auto"/>
              </w:rPr>
            </w:pPr>
            <w:r>
              <w:rPr>
                <w:rFonts w:ascii="Arial" w:cs="Arial" w:eastAsia="Arial" w:hAnsi="Arial"/>
                <w:sz w:val="15"/>
                <w:szCs w:val="15"/>
                <w:b w:val="1"/>
                <w:bCs w:val="1"/>
                <w:color w:val="auto"/>
              </w:rPr>
              <w:t>Loss from continuing operations</w:t>
            </w: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(7,366)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(3,806)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(2,486)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(16,734)</w:t>
            </w:r>
          </w:p>
        </w:tc>
        <w:tc>
          <w:tcPr>
            <w:tcW w:w="0" w:type="dxa"/>
            <w:vAlign w:val="bottom"/>
          </w:tcPr>
          <w:p>
            <w:pPr>
              <w:spacing w:after="0"/>
              <w:rPr>
                <w:sz w:val="1"/>
                <w:szCs w:val="1"/>
                <w:color w:val="auto"/>
              </w:rPr>
            </w:pPr>
          </w:p>
        </w:tc>
      </w:tr>
      <w:tr>
        <w:trPr>
          <w:trHeight w:val="58"/>
        </w:trPr>
        <w:tc>
          <w:tcPr>
            <w:tcW w:w="6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Income from discontinued operations, net of income tax</w:t>
            </w:r>
          </w:p>
        </w:tc>
        <w:tc>
          <w:tcPr>
            <w:tcW w:w="18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15,474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16,901</w:t>
            </w:r>
          </w:p>
        </w:tc>
        <w:tc>
          <w:tcPr>
            <w:tcW w:w="0" w:type="dxa"/>
            <w:vAlign w:val="bottom"/>
          </w:tcPr>
          <w:p>
            <w:pPr>
              <w:spacing w:after="0"/>
              <w:rPr>
                <w:sz w:val="1"/>
                <w:szCs w:val="1"/>
                <w:color w:val="auto"/>
              </w:rPr>
            </w:pPr>
          </w:p>
        </w:tc>
      </w:tr>
      <w:tr>
        <w:trPr>
          <w:trHeight w:val="62"/>
        </w:trPr>
        <w:tc>
          <w:tcPr>
            <w:tcW w:w="6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80" w:type="dxa"/>
            <w:vAlign w:val="bottom"/>
          </w:tcPr>
          <w:p>
            <w:pPr>
              <w:ind w:left="360"/>
              <w:spacing w:after="0"/>
              <w:rPr>
                <w:sz w:val="20"/>
                <w:szCs w:val="20"/>
                <w:color w:val="auto"/>
              </w:rPr>
            </w:pPr>
            <w:r>
              <w:rPr>
                <w:rFonts w:ascii="Arial" w:cs="Arial" w:eastAsia="Arial" w:hAnsi="Arial"/>
                <w:sz w:val="15"/>
                <w:szCs w:val="15"/>
                <w:color w:val="auto"/>
              </w:rPr>
              <w:t>Gain on sale of discontinued operations</w:t>
            </w:r>
          </w:p>
        </w:tc>
        <w:tc>
          <w:tcPr>
            <w:tcW w:w="180" w:type="dxa"/>
            <w:vAlign w:val="bottom"/>
          </w:tcPr>
          <w:p>
            <w:pPr>
              <w:spacing w:after="0"/>
              <w:rPr>
                <w:sz w:val="18"/>
                <w:szCs w:val="18"/>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680" w:type="dxa"/>
            <w:vAlign w:val="bottom"/>
            <w:vMerge w:val="restart"/>
          </w:tcPr>
          <w:p>
            <w:pPr>
              <w:jc w:val="right"/>
              <w:ind w:right="24"/>
              <w:spacing w:after="0"/>
              <w:rPr>
                <w:sz w:val="20"/>
                <w:szCs w:val="20"/>
                <w:color w:val="auto"/>
              </w:rPr>
            </w:pPr>
            <w:r>
              <w:rPr>
                <w:rFonts w:ascii="Arial" w:cs="Arial" w:eastAsia="Arial" w:hAnsi="Arial"/>
                <w:sz w:val="15"/>
                <w:szCs w:val="15"/>
                <w:color w:val="auto"/>
              </w:rPr>
              <w:t>206,505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680" w:type="dxa"/>
            <w:vAlign w:val="bottom"/>
            <w:vMerge w:val="restart"/>
          </w:tcPr>
          <w:p>
            <w:pPr>
              <w:jc w:val="right"/>
              <w:ind w:right="44"/>
              <w:spacing w:after="0"/>
              <w:rPr>
                <w:sz w:val="20"/>
                <w:szCs w:val="20"/>
                <w:color w:val="auto"/>
              </w:rPr>
            </w:pPr>
            <w:r>
              <w:rPr>
                <w:rFonts w:ascii="Arial" w:cs="Arial" w:eastAsia="Arial" w:hAnsi="Arial"/>
                <w:sz w:val="15"/>
                <w:szCs w:val="15"/>
                <w:color w:val="auto"/>
                <w:w w:val="99"/>
              </w:rPr>
              <w:t>328,164</w:t>
            </w:r>
          </w:p>
        </w:tc>
        <w:tc>
          <w:tcPr>
            <w:tcW w:w="0" w:type="dxa"/>
            <w:vAlign w:val="bottom"/>
          </w:tcPr>
          <w:p>
            <w:pPr>
              <w:spacing w:after="0"/>
              <w:rPr>
                <w:sz w:val="1"/>
                <w:szCs w:val="1"/>
                <w:color w:val="auto"/>
              </w:rPr>
            </w:pPr>
          </w:p>
        </w:tc>
      </w:tr>
      <w:tr>
        <w:trPr>
          <w:trHeight w:val="58"/>
        </w:trPr>
        <w:tc>
          <w:tcPr>
            <w:tcW w:w="6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w:t>
            </w: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(7,366)</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218,173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(2,486)</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9"/>
              </w:rPr>
              <w:t>328,331</w:t>
            </w:r>
          </w:p>
        </w:tc>
        <w:tc>
          <w:tcPr>
            <w:tcW w:w="0" w:type="dxa"/>
            <w:vAlign w:val="bottom"/>
          </w:tcPr>
          <w:p>
            <w:pPr>
              <w:spacing w:after="0"/>
              <w:rPr>
                <w:sz w:val="1"/>
                <w:szCs w:val="1"/>
                <w:color w:val="auto"/>
              </w:rPr>
            </w:pPr>
          </w:p>
        </w:tc>
      </w:tr>
      <w:tr>
        <w:trPr>
          <w:trHeight w:val="62"/>
        </w:trPr>
        <w:tc>
          <w:tcPr>
            <w:tcW w:w="6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80" w:type="dxa"/>
            <w:vAlign w:val="bottom"/>
          </w:tcPr>
          <w:p>
            <w:pPr>
              <w:ind w:left="360"/>
              <w:spacing w:after="0"/>
              <w:rPr>
                <w:sz w:val="20"/>
                <w:szCs w:val="20"/>
                <w:color w:val="auto"/>
              </w:rPr>
            </w:pPr>
            <w:r>
              <w:rPr>
                <w:rFonts w:ascii="Arial" w:cs="Arial" w:eastAsia="Arial" w:hAnsi="Arial"/>
                <w:sz w:val="15"/>
                <w:szCs w:val="15"/>
                <w:color w:val="auto"/>
              </w:rPr>
              <w:t>Less: Net income from continuing operations attributable to noncontrolling interest</w:t>
            </w:r>
          </w:p>
        </w:tc>
        <w:tc>
          <w:tcPr>
            <w:tcW w:w="180" w:type="dxa"/>
            <w:vAlign w:val="bottom"/>
          </w:tcPr>
          <w:p>
            <w:pPr>
              <w:spacing w:after="0"/>
              <w:rPr>
                <w:sz w:val="18"/>
                <w:szCs w:val="18"/>
                <w:color w:val="auto"/>
              </w:rPr>
            </w:pP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auto"/>
              </w:rPr>
              <w:t>1,071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vMerge w:val="restart"/>
          </w:tcPr>
          <w:p>
            <w:pPr>
              <w:jc w:val="right"/>
              <w:ind w:right="24"/>
              <w:spacing w:after="0"/>
              <w:rPr>
                <w:sz w:val="20"/>
                <w:szCs w:val="20"/>
                <w:color w:val="auto"/>
              </w:rPr>
            </w:pPr>
            <w:r>
              <w:rPr>
                <w:rFonts w:ascii="Arial" w:cs="Arial" w:eastAsia="Arial" w:hAnsi="Arial"/>
                <w:sz w:val="15"/>
                <w:szCs w:val="15"/>
                <w:color w:val="auto"/>
              </w:rPr>
              <w:t>1,387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restart"/>
          </w:tcPr>
          <w:p>
            <w:pPr>
              <w:jc w:val="right"/>
              <w:ind w:right="24"/>
              <w:spacing w:after="0"/>
              <w:rPr>
                <w:sz w:val="20"/>
                <w:szCs w:val="20"/>
                <w:color w:val="auto"/>
              </w:rPr>
            </w:pPr>
            <w:r>
              <w:rPr>
                <w:rFonts w:ascii="Arial" w:cs="Arial" w:eastAsia="Arial" w:hAnsi="Arial"/>
                <w:sz w:val="15"/>
                <w:szCs w:val="15"/>
                <w:color w:val="auto"/>
              </w:rPr>
              <w:t>2,286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vMerge w:val="restart"/>
          </w:tcPr>
          <w:p>
            <w:pPr>
              <w:jc w:val="right"/>
              <w:ind w:right="44"/>
              <w:spacing w:after="0"/>
              <w:rPr>
                <w:sz w:val="20"/>
                <w:szCs w:val="20"/>
                <w:color w:val="auto"/>
              </w:rPr>
            </w:pPr>
            <w:r>
              <w:rPr>
                <w:rFonts w:ascii="Arial" w:cs="Arial" w:eastAsia="Arial" w:hAnsi="Arial"/>
                <w:sz w:val="15"/>
                <w:szCs w:val="15"/>
                <w:color w:val="auto"/>
              </w:rPr>
              <w:t>2,755</w:t>
            </w:r>
          </w:p>
        </w:tc>
        <w:tc>
          <w:tcPr>
            <w:tcW w:w="0" w:type="dxa"/>
            <w:vAlign w:val="bottom"/>
          </w:tcPr>
          <w:p>
            <w:pPr>
              <w:spacing w:after="0"/>
              <w:rPr>
                <w:sz w:val="1"/>
                <w:szCs w:val="1"/>
                <w:color w:val="auto"/>
              </w:rPr>
            </w:pPr>
          </w:p>
        </w:tc>
      </w:tr>
      <w:tr>
        <w:trPr>
          <w:trHeight w:val="58"/>
        </w:trPr>
        <w:tc>
          <w:tcPr>
            <w:tcW w:w="6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Less: Net loss from discontinued operations attributable to noncontrolling interest</w:t>
            </w:r>
          </w:p>
        </w:tc>
        <w:tc>
          <w:tcPr>
            <w:tcW w:w="18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(266)</w:t>
            </w:r>
          </w:p>
        </w:tc>
        <w:tc>
          <w:tcPr>
            <w:tcW w:w="0" w:type="dxa"/>
            <w:vAlign w:val="bottom"/>
          </w:tcPr>
          <w:p>
            <w:pPr>
              <w:spacing w:after="0"/>
              <w:rPr>
                <w:sz w:val="1"/>
                <w:szCs w:val="1"/>
                <w:color w:val="auto"/>
              </w:rPr>
            </w:pPr>
          </w:p>
        </w:tc>
      </w:tr>
      <w:tr>
        <w:trPr>
          <w:trHeight w:val="62"/>
        </w:trPr>
        <w:tc>
          <w:tcPr>
            <w:tcW w:w="6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5"/>
                <w:szCs w:val="15"/>
                <w:b w:val="1"/>
                <w:bCs w:val="1"/>
                <w:color w:val="auto"/>
              </w:rPr>
              <w:t>Net income (loss) attributable to Holdings</w:t>
            </w: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(8,437)</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216,534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(4,772)</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9"/>
              </w:rPr>
              <w:t>325,842</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Amounts attributable to Holdings</w:t>
            </w: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6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6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Loss from continuing operations</w:t>
            </w: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(8,437)</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(5,193)</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(4,772)</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(19,489)</w:t>
            </w:r>
          </w:p>
        </w:tc>
        <w:tc>
          <w:tcPr>
            <w:tcW w:w="0" w:type="dxa"/>
            <w:vAlign w:val="bottom"/>
          </w:tcPr>
          <w:p>
            <w:pPr>
              <w:spacing w:after="0"/>
              <w:rPr>
                <w:sz w:val="1"/>
                <w:szCs w:val="1"/>
                <w:color w:val="auto"/>
              </w:rPr>
            </w:pPr>
          </w:p>
        </w:tc>
      </w:tr>
      <w:tr>
        <w:trPr>
          <w:trHeight w:val="62"/>
        </w:trPr>
        <w:tc>
          <w:tcPr>
            <w:tcW w:w="658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80" w:type="dxa"/>
            <w:vAlign w:val="bottom"/>
          </w:tcPr>
          <w:p>
            <w:pPr>
              <w:ind w:left="360"/>
              <w:spacing w:after="0"/>
              <w:rPr>
                <w:sz w:val="20"/>
                <w:szCs w:val="20"/>
                <w:color w:val="auto"/>
              </w:rPr>
            </w:pPr>
            <w:r>
              <w:rPr>
                <w:rFonts w:ascii="Arial" w:cs="Arial" w:eastAsia="Arial" w:hAnsi="Arial"/>
                <w:sz w:val="15"/>
                <w:szCs w:val="15"/>
                <w:color w:val="auto"/>
              </w:rPr>
              <w:t>Income from discontinued operations, net of income tax</w:t>
            </w:r>
          </w:p>
        </w:tc>
        <w:tc>
          <w:tcPr>
            <w:tcW w:w="180" w:type="dxa"/>
            <w:vAlign w:val="bottom"/>
          </w:tcPr>
          <w:p>
            <w:pPr>
              <w:spacing w:after="0"/>
              <w:rPr>
                <w:sz w:val="18"/>
                <w:szCs w:val="18"/>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680" w:type="dxa"/>
            <w:vAlign w:val="bottom"/>
            <w:vMerge w:val="restart"/>
          </w:tcPr>
          <w:p>
            <w:pPr>
              <w:jc w:val="right"/>
              <w:ind w:right="24"/>
              <w:spacing w:after="0"/>
              <w:rPr>
                <w:sz w:val="20"/>
                <w:szCs w:val="20"/>
                <w:color w:val="auto"/>
              </w:rPr>
            </w:pPr>
            <w:r>
              <w:rPr>
                <w:rFonts w:ascii="Arial" w:cs="Arial" w:eastAsia="Arial" w:hAnsi="Arial"/>
                <w:sz w:val="15"/>
                <w:szCs w:val="15"/>
                <w:color w:val="auto"/>
              </w:rPr>
              <w:t>15,222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680" w:type="dxa"/>
            <w:vAlign w:val="bottom"/>
            <w:vMerge w:val="restart"/>
          </w:tcPr>
          <w:p>
            <w:pPr>
              <w:jc w:val="right"/>
              <w:ind w:right="44"/>
              <w:spacing w:after="0"/>
              <w:rPr>
                <w:sz w:val="20"/>
                <w:szCs w:val="20"/>
                <w:color w:val="auto"/>
              </w:rPr>
            </w:pPr>
            <w:r>
              <w:rPr>
                <w:rFonts w:ascii="Arial" w:cs="Arial" w:eastAsia="Arial" w:hAnsi="Arial"/>
                <w:sz w:val="15"/>
                <w:szCs w:val="15"/>
                <w:color w:val="auto"/>
              </w:rPr>
              <w:t>17,167</w:t>
            </w:r>
          </w:p>
        </w:tc>
        <w:tc>
          <w:tcPr>
            <w:tcW w:w="0" w:type="dxa"/>
            <w:vAlign w:val="bottom"/>
          </w:tcPr>
          <w:p>
            <w:pPr>
              <w:spacing w:after="0"/>
              <w:rPr>
                <w:sz w:val="1"/>
                <w:szCs w:val="1"/>
                <w:color w:val="auto"/>
              </w:rPr>
            </w:pPr>
          </w:p>
        </w:tc>
      </w:tr>
      <w:tr>
        <w:trPr>
          <w:trHeight w:val="58"/>
        </w:trPr>
        <w:tc>
          <w:tcPr>
            <w:tcW w:w="6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Gain on sale of discontinued operations, net of income tax</w:t>
            </w:r>
          </w:p>
        </w:tc>
        <w:tc>
          <w:tcPr>
            <w:tcW w:w="18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206,505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9"/>
              </w:rPr>
              <w:t>328,164</w:t>
            </w:r>
          </w:p>
        </w:tc>
        <w:tc>
          <w:tcPr>
            <w:tcW w:w="0" w:type="dxa"/>
            <w:vAlign w:val="bottom"/>
          </w:tcPr>
          <w:p>
            <w:pPr>
              <w:spacing w:after="0"/>
              <w:rPr>
                <w:sz w:val="1"/>
                <w:szCs w:val="1"/>
                <w:color w:val="auto"/>
              </w:rPr>
            </w:pPr>
          </w:p>
        </w:tc>
      </w:tr>
      <w:tr>
        <w:trPr>
          <w:trHeight w:val="62"/>
        </w:trPr>
        <w:tc>
          <w:tcPr>
            <w:tcW w:w="6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60"/>
              <w:spacing w:after="0"/>
              <w:rPr>
                <w:sz w:val="20"/>
                <w:szCs w:val="20"/>
                <w:color w:val="auto"/>
              </w:rPr>
            </w:pPr>
            <w:r>
              <w:rPr>
                <w:rFonts w:ascii="Arial" w:cs="Arial" w:eastAsia="Arial" w:hAnsi="Arial"/>
                <w:sz w:val="15"/>
                <w:szCs w:val="15"/>
                <w:color w:val="auto"/>
              </w:rPr>
              <w:t>Net income (loss) attributable to Holdings</w:t>
            </w: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(8,437)</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216,534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(4,772)</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9"/>
              </w:rPr>
              <w:t>325,842</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Basic income (loss) per common share attributable to Holdings (refer to Note J)</w:t>
            </w: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6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Continuing operations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(0.64)</w:t>
            </w:r>
          </w:p>
        </w:tc>
        <w:tc>
          <w:tcPr>
            <w:tcW w:w="0" w:type="dxa"/>
            <w:vAlign w:val="bottom"/>
          </w:tcPr>
          <w:p>
            <w:pPr>
              <w:spacing w:after="0"/>
              <w:rPr>
                <w:sz w:val="1"/>
                <w:szCs w:val="1"/>
                <w:color w:val="auto"/>
              </w:rPr>
            </w:pPr>
          </w:p>
        </w:tc>
      </w:tr>
      <w:tr>
        <w:trPr>
          <w:trHeight w:val="266"/>
        </w:trPr>
        <w:tc>
          <w:tcPr>
            <w:tcW w:w="6580" w:type="dxa"/>
            <w:vAlign w:val="bottom"/>
          </w:tcPr>
          <w:p>
            <w:pPr>
              <w:ind w:left="20"/>
              <w:spacing w:after="0"/>
              <w:rPr>
                <w:sz w:val="20"/>
                <w:szCs w:val="20"/>
                <w:color w:val="auto"/>
              </w:rPr>
            </w:pPr>
            <w:r>
              <w:rPr>
                <w:rFonts w:ascii="Arial" w:cs="Arial" w:eastAsia="Arial" w:hAnsi="Arial"/>
                <w:sz w:val="15"/>
                <w:szCs w:val="15"/>
                <w:color w:val="auto"/>
              </w:rPr>
              <w:t>Discontinued operations</w:t>
            </w:r>
          </w:p>
        </w:tc>
        <w:tc>
          <w:tcPr>
            <w:tcW w:w="1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3.70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5.77</w:t>
            </w:r>
          </w:p>
        </w:tc>
        <w:tc>
          <w:tcPr>
            <w:tcW w:w="0" w:type="dxa"/>
            <w:vAlign w:val="bottom"/>
          </w:tcPr>
          <w:p>
            <w:pPr>
              <w:spacing w:after="0"/>
              <w:rPr>
                <w:sz w:val="1"/>
                <w:szCs w:val="1"/>
                <w:color w:val="auto"/>
              </w:rPr>
            </w:pPr>
          </w:p>
        </w:tc>
      </w:tr>
      <w:tr>
        <w:trPr>
          <w:trHeight w:val="236"/>
        </w:trPr>
        <w:tc>
          <w:tcPr>
            <w:tcW w:w="65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5.13</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weighted average number of shares of common shares outstanding</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62,844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59,900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61,364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59,900</w:t>
            </w:r>
          </w:p>
        </w:tc>
        <w:tc>
          <w:tcPr>
            <w:tcW w:w="0" w:type="dxa"/>
            <w:vAlign w:val="bottom"/>
          </w:tcPr>
          <w:p>
            <w:pPr>
              <w:spacing w:after="0"/>
              <w:rPr>
                <w:sz w:val="1"/>
                <w:szCs w:val="1"/>
                <w:color w:val="auto"/>
              </w:rPr>
            </w:pPr>
          </w:p>
        </w:tc>
      </w:tr>
      <w:tr>
        <w:trPr>
          <w:trHeight w:val="270"/>
        </w:trPr>
        <w:tc>
          <w:tcPr>
            <w:tcW w:w="65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distributions declared per Trust common share (refer to Note J)</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0.36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0.36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0.72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0.72</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760"/>
          </w:cols>
          <w:pgMar w:left="580" w:top="334" w:right="5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COMPREHENSIVE INCOME (LOSS)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00"/>
          </w:cols>
          <w:pgMar w:left="36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104775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 (loss)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46990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Foreign currency translation adjustments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Foreign currency amounts reclassified from accumulated other comprehensive income (loss)</w:t>
      </w:r>
    </w:p>
    <w:p>
      <w:pPr>
        <w:ind w:left="340"/>
        <w:spacing w:after="0"/>
        <w:rPr>
          <w:sz w:val="20"/>
          <w:szCs w:val="20"/>
          <w:color w:val="auto"/>
        </w:rPr>
      </w:pPr>
      <w:r>
        <w:rPr>
          <w:rFonts w:ascii="Arial" w:cs="Arial" w:eastAsia="Arial" w:hAnsi="Arial"/>
          <w:sz w:val="15"/>
          <w:szCs w:val="15"/>
          <w:color w:val="auto"/>
        </w:rPr>
        <w:t>that increase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12700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Disposition of Manitoba Harvest</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Pension benefit liability,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29845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Other comprehensive income (loss)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Total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46990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Less: Net income attributable to noncontrolling interests</w:t>
      </w:r>
    </w:p>
    <w:p>
      <w:pPr>
        <w:spacing w:after="0" w:line="125" w:lineRule="exact"/>
        <w:rPr>
          <w:sz w:val="20"/>
          <w:szCs w:val="20"/>
          <w:color w:val="auto"/>
        </w:rPr>
      </w:pPr>
    </w:p>
    <w:p>
      <w:pPr>
        <w:ind w:right="1560"/>
        <w:spacing w:after="0" w:line="429" w:lineRule="auto"/>
        <w:rPr>
          <w:sz w:val="20"/>
          <w:szCs w:val="20"/>
          <w:color w:val="auto"/>
        </w:rPr>
      </w:pPr>
      <w:r>
        <w:rPr>
          <w:rFonts w:ascii="Arial" w:cs="Arial" w:eastAsia="Arial" w:hAnsi="Arial"/>
          <w:sz w:val="15"/>
          <w:szCs w:val="15"/>
          <w:color w:val="auto"/>
        </w:rPr>
        <w:t xml:space="preserve">Less: Other comprehensive loss attributable to noncontrolling interests </w:t>
      </w:r>
      <w:r>
        <w:rPr>
          <w:rFonts w:ascii="Arial" w:cs="Arial" w:eastAsia="Arial" w:hAnsi="Arial"/>
          <w:sz w:val="15"/>
          <w:szCs w:val="15"/>
          <w:b w:val="1"/>
          <w:bCs w:val="1"/>
          <w:color w:val="auto"/>
        </w:rPr>
        <w:t>Total comprehensive income (loss) attributable to Holdings,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-251460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020" w:type="dxa"/>
            <w:vAlign w:val="bottom"/>
            <w:gridSpan w:val="5"/>
          </w:tcPr>
          <w:p>
            <w:pPr>
              <w:ind w:left="10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4"/>
                <w:szCs w:val="14"/>
                <w:color w:val="auto"/>
              </w:rPr>
            </w:pPr>
          </w:p>
        </w:tc>
        <w:tc>
          <w:tcPr>
            <w:tcW w:w="1900" w:type="dxa"/>
            <w:vAlign w:val="bottom"/>
            <w:gridSpan w:val="4"/>
          </w:tcPr>
          <w:p>
            <w:pPr>
              <w:jc w:val="right"/>
              <w:ind w:right="344"/>
              <w:spacing w:after="0"/>
              <w:rPr>
                <w:sz w:val="20"/>
                <w:szCs w:val="20"/>
                <w:color w:val="auto"/>
              </w:rPr>
            </w:pPr>
            <w:r>
              <w:rPr>
                <w:rFonts w:ascii="Arial" w:cs="Arial" w:eastAsia="Arial" w:hAnsi="Arial"/>
                <w:sz w:val="15"/>
                <w:szCs w:val="15"/>
                <w:b w:val="1"/>
                <w:bCs w:val="1"/>
                <w:color w:val="auto"/>
              </w:rPr>
              <w:t>Six months ended</w:t>
            </w:r>
          </w:p>
        </w:tc>
      </w:tr>
      <w:tr>
        <w:trPr>
          <w:trHeight w:val="206"/>
        </w:trPr>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700" w:type="dxa"/>
            <w:vAlign w:val="bottom"/>
            <w:tcBorders>
              <w:bottom w:val="single" w:sz="8" w:color="auto"/>
            </w:tcBorders>
          </w:tcPr>
          <w:p>
            <w:pPr>
              <w:spacing w:after="0"/>
              <w:rPr>
                <w:sz w:val="17"/>
                <w:szCs w:val="17"/>
                <w:color w:val="auto"/>
              </w:rPr>
            </w:pPr>
          </w:p>
        </w:tc>
      </w:tr>
      <w:tr>
        <w:trPr>
          <w:trHeight w:val="263"/>
        </w:trPr>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2019</w:t>
            </w:r>
          </w:p>
        </w:tc>
      </w:tr>
      <w:tr>
        <w:trPr>
          <w:trHeight w:val="381"/>
        </w:trPr>
        <w:tc>
          <w:tcPr>
            <w:tcW w:w="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(7,366)</w:t>
            </w:r>
          </w:p>
        </w:tc>
        <w:tc>
          <w:tcPr>
            <w:tcW w:w="100" w:type="dxa"/>
            <w:vAlign w:val="bottom"/>
          </w:tcPr>
          <w:p>
            <w:pPr>
              <w:spacing w:after="0"/>
              <w:rPr>
                <w:sz w:val="24"/>
                <w:szCs w:val="24"/>
                <w:color w:val="auto"/>
              </w:rPr>
            </w:pPr>
          </w:p>
        </w:tc>
        <w:tc>
          <w:tcPr>
            <w:tcW w:w="3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218,173</w:t>
            </w:r>
          </w:p>
        </w:tc>
        <w:tc>
          <w:tcPr>
            <w:tcW w:w="100" w:type="dxa"/>
            <w:vAlign w:val="bottom"/>
          </w:tcPr>
          <w:p>
            <w:pPr>
              <w:spacing w:after="0"/>
              <w:rPr>
                <w:sz w:val="24"/>
                <w:szCs w:val="24"/>
                <w:color w:val="auto"/>
              </w:rPr>
            </w:pP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(2,486)</w:t>
            </w:r>
          </w:p>
        </w:tc>
        <w:tc>
          <w:tcPr>
            <w:tcW w:w="100" w:type="dxa"/>
            <w:vAlign w:val="bottom"/>
          </w:tcPr>
          <w:p>
            <w:pPr>
              <w:spacing w:after="0"/>
              <w:rPr>
                <w:sz w:val="24"/>
                <w:szCs w:val="24"/>
                <w:color w:val="auto"/>
              </w:rPr>
            </w:pPr>
          </w:p>
        </w:tc>
        <w:tc>
          <w:tcPr>
            <w:tcW w:w="3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328,331</w:t>
            </w:r>
          </w:p>
        </w:tc>
      </w:tr>
      <w:tr>
        <w:trPr>
          <w:trHeight w:val="540"/>
        </w:trPr>
        <w:tc>
          <w:tcPr>
            <w:tcW w:w="220" w:type="dxa"/>
            <w:vAlign w:val="bottom"/>
          </w:tcPr>
          <w:p>
            <w:pPr>
              <w:spacing w:after="0"/>
              <w:rPr>
                <w:sz w:val="24"/>
                <w:szCs w:val="24"/>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167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(1,951)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253</w:t>
            </w:r>
          </w:p>
        </w:tc>
      </w:tr>
      <w:tr>
        <w:trPr>
          <w:trHeight w:val="648"/>
        </w:trPr>
        <w:tc>
          <w:tcPr>
            <w:tcW w:w="22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4,791</w:t>
            </w:r>
          </w:p>
        </w:tc>
      </w:tr>
      <w:tr>
        <w:trPr>
          <w:trHeight w:val="274"/>
        </w:trPr>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(671)</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356</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(780)</w:t>
            </w:r>
          </w:p>
        </w:tc>
      </w:tr>
      <w:tr>
        <w:trPr>
          <w:trHeight w:val="250"/>
        </w:trPr>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4,264</w:t>
            </w:r>
          </w:p>
        </w:tc>
      </w:tr>
      <w:tr>
        <w:trPr>
          <w:trHeight w:val="246"/>
        </w:trPr>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(7,437)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217,178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(4,081)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332,595</w:t>
            </w:r>
          </w:p>
        </w:tc>
      </w:tr>
      <w:tr>
        <w:trPr>
          <w:trHeight w:val="270"/>
        </w:trPr>
        <w:tc>
          <w:tcPr>
            <w:tcW w:w="220" w:type="dxa"/>
            <w:vAlign w:val="bottom"/>
          </w:tcPr>
          <w:p>
            <w:pPr>
              <w:spacing w:after="0"/>
              <w:rPr>
                <w:sz w:val="23"/>
                <w:szCs w:val="23"/>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1,071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1,639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2,286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2,489</w:t>
            </w:r>
          </w:p>
        </w:tc>
      </w:tr>
      <w:tr>
        <w:trPr>
          <w:trHeight w:val="274"/>
        </w:trPr>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r>
      <w:tr>
        <w:trPr>
          <w:trHeight w:val="236"/>
        </w:trPr>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(8,503)</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215,571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(6,345)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330,136</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ectPr>
          <w:pgSz w:w="11900" w:h="16838" w:orient="portrait"/>
          <w:cols w:equalWidth="0" w:num="2">
            <w:col w:w="6620" w:space="200"/>
            <w:col w:w="4380"/>
          </w:cols>
          <w:pgMar w:left="360" w:top="333" w:right="339" w:bottom="1440" w:gutter="0" w:footer="0" w:header="0"/>
          <w:type w:val="continuous"/>
        </w:sect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00"/>
          </w:cols>
          <w:pgMar w:left="360" w:top="333"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Non-</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2380" w:type="dxa"/>
            <w:vAlign w:val="bottom"/>
            <w:gridSpan w:val="7"/>
            <w:vMerge w:val="restart"/>
          </w:tcPr>
          <w:p>
            <w:pPr>
              <w:ind w:left="420"/>
              <w:spacing w:after="0"/>
              <w:rPr>
                <w:sz w:val="20"/>
                <w:szCs w:val="20"/>
                <w:color w:val="auto"/>
              </w:rPr>
            </w:pPr>
            <w:r>
              <w:rPr>
                <w:rFonts w:ascii="Arial" w:cs="Arial" w:eastAsia="Arial" w:hAnsi="Arial"/>
                <w:sz w:val="13"/>
                <w:szCs w:val="13"/>
                <w:b w:val="1"/>
                <w:bCs w:val="1"/>
                <w:color w:val="auto"/>
              </w:rPr>
              <w:t>Trust Preferred Shares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Controlling</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840" w:type="dxa"/>
            <w:vAlign w:val="bottom"/>
            <w:vMerge w:val="continue"/>
          </w:tcPr>
          <w:p>
            <w:pPr>
              <w:spacing w:after="0"/>
              <w:rPr>
                <w:sz w:val="13"/>
                <w:szCs w:val="13"/>
                <w:color w:val="auto"/>
              </w:rPr>
            </w:pPr>
          </w:p>
        </w:tc>
        <w:tc>
          <w:tcPr>
            <w:tcW w:w="2380" w:type="dxa"/>
            <w:vAlign w:val="bottom"/>
            <w:gridSpan w:val="7"/>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8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rPr>
              <w:t>Trust</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760" w:type="dxa"/>
            <w:vAlign w:val="bottom"/>
            <w:gridSpan w:val="2"/>
          </w:tcPr>
          <w:p>
            <w:pPr>
              <w:ind w:left="120"/>
              <w:spacing w:after="0" w:line="126" w:lineRule="exact"/>
              <w:rPr>
                <w:sz w:val="20"/>
                <w:szCs w:val="20"/>
                <w:color w:val="auto"/>
              </w:rPr>
            </w:pPr>
            <w:r>
              <w:rPr>
                <w:rFonts w:ascii="Arial" w:cs="Arial" w:eastAsia="Arial" w:hAnsi="Arial"/>
                <w:sz w:val="13"/>
                <w:szCs w:val="13"/>
                <w:b w:val="1"/>
                <w:bCs w:val="1"/>
                <w:color w:val="auto"/>
              </w:rPr>
              <w:t>Non-</w:t>
            </w:r>
          </w:p>
        </w:tc>
        <w:tc>
          <w:tcPr>
            <w:tcW w:w="980" w:type="dxa"/>
            <w:vAlign w:val="bottom"/>
            <w:gridSpan w:val="3"/>
          </w:tcPr>
          <w:p>
            <w:pPr>
              <w:jc w:val="center"/>
              <w:ind w:right="100"/>
              <w:spacing w:after="0" w:line="126" w:lineRule="exact"/>
              <w:rPr>
                <w:sz w:val="20"/>
                <w:szCs w:val="20"/>
                <w:color w:val="auto"/>
              </w:rPr>
            </w:pPr>
            <w:r>
              <w:rPr>
                <w:rFonts w:ascii="Arial" w:cs="Arial" w:eastAsia="Arial" w:hAnsi="Arial"/>
                <w:sz w:val="13"/>
                <w:szCs w:val="13"/>
                <w:b w:val="1"/>
                <w:bCs w:val="1"/>
                <w:color w:val="auto"/>
              </w:rPr>
              <w:t>Attributable</w:t>
            </w:r>
          </w:p>
        </w:tc>
        <w:tc>
          <w:tcPr>
            <w:tcW w:w="200" w:type="dxa"/>
            <w:vAlign w:val="bottom"/>
          </w:tcPr>
          <w:p>
            <w:pPr>
              <w:spacing w:after="0"/>
              <w:rPr>
                <w:sz w:val="10"/>
                <w:szCs w:val="10"/>
                <w:color w:val="auto"/>
              </w:rPr>
            </w:pPr>
          </w:p>
        </w:tc>
        <w:tc>
          <w:tcPr>
            <w:tcW w:w="800" w:type="dxa"/>
            <w:vAlign w:val="bottom"/>
          </w:tcPr>
          <w:p>
            <w:pPr>
              <w:jc w:val="center"/>
              <w:ind w:right="110"/>
              <w:spacing w:after="0" w:line="126"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Series A</w:t>
            </w:r>
          </w:p>
        </w:tc>
        <w:tc>
          <w:tcPr>
            <w:tcW w:w="100" w:type="dxa"/>
            <w:vAlign w:val="bottom"/>
            <w:vMerge w:val="restart"/>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Series B</w:t>
            </w:r>
          </w:p>
        </w:tc>
        <w:tc>
          <w:tcPr>
            <w:tcW w:w="120" w:type="dxa"/>
            <w:vAlign w:val="bottom"/>
            <w:vMerge w:val="restart"/>
          </w:tcPr>
          <w:p>
            <w:pPr>
              <w:spacing w:after="0"/>
              <w:rPr>
                <w:sz w:val="12"/>
                <w:szCs w:val="12"/>
                <w:color w:val="auto"/>
              </w:rPr>
            </w:pPr>
          </w:p>
        </w:tc>
        <w:tc>
          <w:tcPr>
            <w:tcW w:w="7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Series C</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Common</w:t>
            </w: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16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Attributable</w:t>
            </w: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to Disc.</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6"/>
        </w:trPr>
        <w:tc>
          <w:tcPr>
            <w:tcW w:w="184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rPr>
              <w:t>Loss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to Holdings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rPr>
              <w:t>Ops.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 April 1, 2019</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w w:val="99"/>
              </w:rPr>
              <w:t>$ 96,417</w:t>
            </w:r>
          </w:p>
        </w:tc>
        <w:tc>
          <w:tcPr>
            <w:tcW w:w="1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w w:val="99"/>
              </w:rPr>
              <w:t>$ 96,504</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924,680</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(165,490)</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(3,517)</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948,594</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42,979</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9,208</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1,000,781</w:t>
            </w:r>
          </w:p>
        </w:tc>
        <w:tc>
          <w:tcPr>
            <w:tcW w:w="0" w:type="dxa"/>
            <w:vAlign w:val="bottom"/>
          </w:tcPr>
          <w:p>
            <w:pPr>
              <w:spacing w:after="0"/>
              <w:rPr>
                <w:sz w:val="1"/>
                <w:szCs w:val="1"/>
                <w:color w:val="auto"/>
              </w:rPr>
            </w:pPr>
          </w:p>
        </w:tc>
      </w:tr>
      <w:tr>
        <w:trPr>
          <w:trHeight w:val="66"/>
        </w:trPr>
        <w:tc>
          <w:tcPr>
            <w:tcW w:w="184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8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4"/>
                <w:szCs w:val="14"/>
                <w:color w:val="auto"/>
              </w:rPr>
              <w:t>216,534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216,534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4"/>
                <w:szCs w:val="14"/>
                <w:color w:val="auto"/>
              </w:rPr>
              <w:t>1,387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218,173</w:t>
            </w:r>
          </w:p>
        </w:tc>
        <w:tc>
          <w:tcPr>
            <w:tcW w:w="0" w:type="dxa"/>
            <w:vAlign w:val="bottom"/>
          </w:tcPr>
          <w:p>
            <w:pPr>
              <w:spacing w:after="0"/>
              <w:rPr>
                <w:sz w:val="1"/>
                <w:szCs w:val="1"/>
                <w:color w:val="auto"/>
              </w:rPr>
            </w:pPr>
          </w:p>
        </w:tc>
      </w:tr>
      <w:tr>
        <w:trPr>
          <w:trHeight w:val="60"/>
        </w:trPr>
        <w:tc>
          <w:tcPr>
            <w:tcW w:w="18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94"/>
        </w:trPr>
        <w:tc>
          <w:tcPr>
            <w:tcW w:w="1840" w:type="dxa"/>
            <w:vAlign w:val="bottom"/>
          </w:tcPr>
          <w:p>
            <w:pPr>
              <w:ind w:left="20"/>
              <w:spacing w:after="0"/>
              <w:rPr>
                <w:sz w:val="20"/>
                <w:szCs w:val="20"/>
                <w:color w:val="auto"/>
              </w:rPr>
            </w:pPr>
            <w:r>
              <w:rPr>
                <w:rFonts w:ascii="Arial" w:cs="Arial" w:eastAsia="Arial" w:hAnsi="Arial"/>
                <w:sz w:val="14"/>
                <w:szCs w:val="14"/>
                <w:color w:val="auto"/>
              </w:rPr>
              <w:t>Option activity attributable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rPr>
                <w:sz w:val="20"/>
                <w:szCs w:val="20"/>
                <w:color w:val="auto"/>
              </w:rPr>
            </w:pPr>
            <w:r>
              <w:rPr>
                <w:rFonts w:ascii="Arial" w:cs="Arial" w:eastAsia="Arial" w:hAnsi="Arial"/>
                <w:sz w:val="14"/>
                <w:szCs w:val="14"/>
                <w:color w:val="auto"/>
              </w:rPr>
              <w:t>to noncontrolling</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40" w:type="dxa"/>
            <w:vAlign w:val="bottom"/>
          </w:tcPr>
          <w:p>
            <w:pPr>
              <w:ind w:left="20"/>
              <w:spacing w:after="0"/>
              <w:rPr>
                <w:sz w:val="20"/>
                <w:szCs w:val="20"/>
                <w:color w:val="auto"/>
              </w:rPr>
            </w:pPr>
            <w:r>
              <w:rPr>
                <w:rFonts w:ascii="Arial" w:cs="Arial" w:eastAsia="Arial" w:hAnsi="Arial"/>
                <w:sz w:val="14"/>
                <w:szCs w:val="14"/>
                <w:color w:val="auto"/>
              </w:rPr>
              <w:t>shareholders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3,063</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subsidiary stock</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 exercise</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4"/>
        </w:trPr>
        <w:tc>
          <w:tcPr>
            <w:tcW w:w="1840" w:type="dxa"/>
            <w:vAlign w:val="bottom"/>
          </w:tcPr>
          <w:p>
            <w:pPr>
              <w:ind w:left="20"/>
              <w:spacing w:after="0"/>
              <w:rPr>
                <w:sz w:val="20"/>
                <w:szCs w:val="20"/>
                <w:color w:val="auto"/>
              </w:rPr>
            </w:pPr>
            <w:r>
              <w:rPr>
                <w:rFonts w:ascii="Arial" w:cs="Arial" w:eastAsia="Arial" w:hAnsi="Arial"/>
                <w:sz w:val="14"/>
                <w:szCs w:val="14"/>
                <w:color w:val="auto"/>
              </w:rPr>
              <w:t>Purchase of noncontrolling</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840" w:type="dxa"/>
            <w:vAlign w:val="bottom"/>
          </w:tcPr>
          <w:p>
            <w:pPr>
              <w:ind w:left="20"/>
              <w:spacing w:after="0"/>
              <w:rPr>
                <w:sz w:val="20"/>
                <w:szCs w:val="20"/>
                <w:color w:val="auto"/>
              </w:rPr>
            </w:pPr>
            <w:r>
              <w:rPr>
                <w:rFonts w:ascii="Arial" w:cs="Arial" w:eastAsia="Arial" w:hAnsi="Arial"/>
                <w:sz w:val="14"/>
                <w:szCs w:val="14"/>
                <w:color w:val="auto"/>
              </w:rPr>
              <w:t>interest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1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Disposition of Clean Earth</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(10,922)</w:t>
            </w:r>
          </w:p>
        </w:tc>
        <w:tc>
          <w:tcPr>
            <w:tcW w:w="0" w:type="dxa"/>
            <w:vAlign w:val="bottom"/>
          </w:tcPr>
          <w:p>
            <w:pPr>
              <w:spacing w:after="0"/>
              <w:rPr>
                <w:sz w:val="1"/>
                <w:szCs w:val="1"/>
                <w:color w:val="auto"/>
              </w:rPr>
            </w:pPr>
          </w:p>
        </w:tc>
      </w:tr>
      <w:tr>
        <w:trPr>
          <w:trHeight w:val="66"/>
        </w:trPr>
        <w:tc>
          <w:tcPr>
            <w:tcW w:w="184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1840" w:type="dxa"/>
            <w:vAlign w:val="bottom"/>
          </w:tcPr>
          <w:p>
            <w:pPr>
              <w:ind w:left="20"/>
              <w:spacing w:after="0"/>
              <w:rPr>
                <w:sz w:val="20"/>
                <w:szCs w:val="20"/>
                <w:color w:val="auto"/>
              </w:rPr>
            </w:pPr>
            <w:r>
              <w:rPr>
                <w:rFonts w:ascii="Arial" w:cs="Arial" w:eastAsia="Arial" w:hAnsi="Arial"/>
                <w:sz w:val="14"/>
                <w:szCs w:val="14"/>
                <w:color w:val="auto"/>
              </w:rPr>
              <w:t>Distributions paid -</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840" w:type="dxa"/>
            <w:vAlign w:val="bottom"/>
          </w:tcPr>
          <w:p>
            <w:pPr>
              <w:ind w:left="20"/>
              <w:spacing w:after="0"/>
              <w:rPr>
                <w:sz w:val="20"/>
                <w:szCs w:val="20"/>
                <w:color w:val="auto"/>
              </w:rPr>
            </w:pPr>
            <w:r>
              <w:rPr>
                <w:rFonts w:ascii="Arial" w:cs="Arial" w:eastAsia="Arial" w:hAnsi="Arial"/>
                <w:sz w:val="14"/>
                <w:szCs w:val="14"/>
                <w:color w:val="auto"/>
              </w:rPr>
              <w:t>Allocation interests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(7,983)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(7,983)</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paid - Trust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0" w:type="dxa"/>
            <w:vAlign w:val="bottom"/>
          </w:tcPr>
          <w:p>
            <w:pPr>
              <w:spacing w:after="0"/>
              <w:rPr>
                <w:sz w:val="1"/>
                <w:szCs w:val="1"/>
                <w:color w:val="auto"/>
              </w:rPr>
            </w:pPr>
          </w:p>
        </w:tc>
      </w:tr>
      <w:tr>
        <w:trPr>
          <w:trHeight w:val="194"/>
        </w:trPr>
        <w:tc>
          <w:tcPr>
            <w:tcW w:w="1840" w:type="dxa"/>
            <w:vAlign w:val="bottom"/>
          </w:tcPr>
          <w:p>
            <w:pPr>
              <w:ind w:left="20"/>
              <w:spacing w:after="0"/>
              <w:rPr>
                <w:sz w:val="20"/>
                <w:szCs w:val="20"/>
                <w:color w:val="auto"/>
              </w:rPr>
            </w:pPr>
            <w:r>
              <w:rPr>
                <w:rFonts w:ascii="Arial" w:cs="Arial" w:eastAsia="Arial" w:hAnsi="Arial"/>
                <w:sz w:val="14"/>
                <w:szCs w:val="14"/>
                <w:color w:val="auto"/>
              </w:rPr>
              <w:t>Distributions paid - Trust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Preferred Shares</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(3,782)</w:t>
            </w:r>
          </w:p>
        </w:tc>
        <w:tc>
          <w:tcPr>
            <w:tcW w:w="0" w:type="dxa"/>
            <w:vAlign w:val="bottom"/>
          </w:tcPr>
          <w:p>
            <w:pPr>
              <w:spacing w:after="0"/>
              <w:rPr>
                <w:sz w:val="1"/>
                <w:szCs w:val="1"/>
                <w:color w:val="auto"/>
              </w:rPr>
            </w:pPr>
          </w:p>
        </w:tc>
      </w:tr>
      <w:tr>
        <w:trPr>
          <w:trHeight w:val="236"/>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 June 30, 2019</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9"/>
              </w:rPr>
              <w:t>$ 96,417</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9"/>
              </w:rPr>
              <w:t>$ 96,504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924,680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17,715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(4,512)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1,130,804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45,977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1,176,781</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Balance — April 1, 2020</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840" w:type="dxa"/>
            <w:vAlign w:val="bottom"/>
            <w:vMerge w:val="continue"/>
          </w:tcPr>
          <w:p>
            <w:pPr>
              <w:spacing w:after="0"/>
              <w:rPr>
                <w:sz w:val="24"/>
                <w:szCs w:val="24"/>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w w:val="99"/>
              </w:rPr>
              <w:t>$ 96,417</w:t>
            </w:r>
          </w:p>
        </w:tc>
        <w:tc>
          <w:tcPr>
            <w:tcW w:w="100" w:type="dxa"/>
            <w:vAlign w:val="bottom"/>
          </w:tcPr>
          <w:p>
            <w:pPr>
              <w:spacing w:after="0"/>
              <w:rPr>
                <w:sz w:val="24"/>
                <w:szCs w:val="24"/>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w w:val="99"/>
              </w:rPr>
              <w:t>$ 96,504</w:t>
            </w:r>
          </w:p>
        </w:tc>
        <w:tc>
          <w:tcPr>
            <w:tcW w:w="1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30"/>
              <w:spacing w:after="0"/>
              <w:rPr>
                <w:sz w:val="20"/>
                <w:szCs w:val="20"/>
                <w:color w:val="auto"/>
              </w:rPr>
            </w:pPr>
            <w:r>
              <w:rPr>
                <w:rFonts w:ascii="Arial" w:cs="Arial" w:eastAsia="Arial" w:hAnsi="Arial"/>
                <w:sz w:val="14"/>
                <w:szCs w:val="14"/>
                <w:color w:val="auto"/>
                <w:w w:val="98"/>
              </w:rPr>
              <w:t>110,997</w:t>
            </w:r>
          </w:p>
        </w:tc>
        <w:tc>
          <w:tcPr>
            <w:tcW w:w="1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51"/>
              <w:spacing w:after="0"/>
              <w:rPr>
                <w:sz w:val="20"/>
                <w:szCs w:val="20"/>
                <w:color w:val="auto"/>
              </w:rPr>
            </w:pPr>
            <w:r>
              <w:rPr>
                <w:rFonts w:ascii="Arial" w:cs="Arial" w:eastAsia="Arial" w:hAnsi="Arial"/>
                <w:sz w:val="14"/>
                <w:szCs w:val="14"/>
                <w:color w:val="auto"/>
              </w:rPr>
              <w:t>924,680</w:t>
            </w:r>
          </w:p>
        </w:tc>
        <w:tc>
          <w:tcPr>
            <w:tcW w:w="100" w:type="dxa"/>
            <w:vAlign w:val="bottom"/>
          </w:tcPr>
          <w:p>
            <w:pPr>
              <w:spacing w:after="0"/>
              <w:rPr>
                <w:sz w:val="24"/>
                <w:szCs w:val="24"/>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(141,866)</w:t>
            </w:r>
          </w:p>
        </w:tc>
        <w:tc>
          <w:tcPr>
            <w:tcW w:w="120" w:type="dxa"/>
            <w:vAlign w:val="bottom"/>
          </w:tcPr>
          <w:p>
            <w:pPr>
              <w:spacing w:after="0"/>
              <w:rPr>
                <w:sz w:val="24"/>
                <w:szCs w:val="24"/>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ind w:right="11"/>
              <w:spacing w:after="0"/>
              <w:rPr>
                <w:sz w:val="20"/>
                <w:szCs w:val="20"/>
                <w:color w:val="auto"/>
              </w:rPr>
            </w:pPr>
            <w:r>
              <w:rPr>
                <w:rFonts w:ascii="Arial" w:cs="Arial" w:eastAsia="Arial" w:hAnsi="Arial"/>
                <w:sz w:val="14"/>
                <w:szCs w:val="14"/>
                <w:color w:val="auto"/>
              </w:rPr>
              <w:t>(5,457)</w:t>
            </w:r>
          </w:p>
        </w:tc>
        <w:tc>
          <w:tcPr>
            <w:tcW w:w="100" w:type="dxa"/>
            <w:vAlign w:val="bottom"/>
          </w:tcPr>
          <w:p>
            <w:pPr>
              <w:spacing w:after="0"/>
              <w:rPr>
                <w:sz w:val="24"/>
                <w:szCs w:val="24"/>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1,081,275</w:t>
            </w:r>
          </w:p>
        </w:tc>
        <w:tc>
          <w:tcPr>
            <w:tcW w:w="100" w:type="dxa"/>
            <w:vAlign w:val="bottom"/>
          </w:tcPr>
          <w:p>
            <w:pPr>
              <w:spacing w:after="0"/>
              <w:rPr>
                <w:sz w:val="24"/>
                <w:szCs w:val="24"/>
                <w:color w:val="auto"/>
              </w:rPr>
            </w:pPr>
          </w:p>
        </w:tc>
        <w:tc>
          <w:tcPr>
            <w:tcW w:w="120" w:type="dxa"/>
            <w:vAlign w:val="bottom"/>
            <w:vMerge w:val="restart"/>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ind w:right="50"/>
              <w:spacing w:after="0"/>
              <w:rPr>
                <w:sz w:val="20"/>
                <w:szCs w:val="20"/>
                <w:color w:val="auto"/>
              </w:rPr>
            </w:pPr>
            <w:r>
              <w:rPr>
                <w:rFonts w:ascii="Arial" w:cs="Arial" w:eastAsia="Arial" w:hAnsi="Arial"/>
                <w:sz w:val="14"/>
                <w:szCs w:val="14"/>
                <w:color w:val="auto"/>
              </w:rPr>
              <w:t>53,808</w:t>
            </w:r>
          </w:p>
        </w:tc>
        <w:tc>
          <w:tcPr>
            <w:tcW w:w="10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1,135,083</w:t>
            </w:r>
          </w:p>
        </w:tc>
        <w:tc>
          <w:tcPr>
            <w:tcW w:w="0" w:type="dxa"/>
            <w:vAlign w:val="bottom"/>
          </w:tcPr>
          <w:p>
            <w:pPr>
              <w:spacing w:after="0"/>
              <w:rPr>
                <w:sz w:val="1"/>
                <w:szCs w:val="1"/>
                <w:color w:val="auto"/>
              </w:rPr>
            </w:pPr>
          </w:p>
        </w:tc>
      </w:tr>
      <w:tr>
        <w:trPr>
          <w:trHeight w:val="60"/>
        </w:trPr>
        <w:tc>
          <w:tcPr>
            <w:tcW w:w="18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(7,366)</w:t>
            </w:r>
          </w:p>
        </w:tc>
        <w:tc>
          <w:tcPr>
            <w:tcW w:w="0" w:type="dxa"/>
            <w:vAlign w:val="bottom"/>
          </w:tcPr>
          <w:p>
            <w:pPr>
              <w:spacing w:after="0"/>
              <w:rPr>
                <w:sz w:val="1"/>
                <w:szCs w:val="1"/>
                <w:color w:val="auto"/>
              </w:rPr>
            </w:pPr>
          </w:p>
        </w:tc>
      </w:tr>
      <w:tr>
        <w:trPr>
          <w:trHeight w:val="194"/>
        </w:trPr>
        <w:tc>
          <w:tcPr>
            <w:tcW w:w="184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840" w:type="dxa"/>
            <w:vAlign w:val="bottom"/>
          </w:tcPr>
          <w:p>
            <w:pPr>
              <w:ind w:left="20"/>
              <w:spacing w:after="0"/>
              <w:rPr>
                <w:sz w:val="20"/>
                <w:szCs w:val="20"/>
                <w:color w:val="auto"/>
              </w:rPr>
            </w:pPr>
            <w:r>
              <w:rPr>
                <w:rFonts w:ascii="Arial" w:cs="Arial" w:eastAsia="Arial" w:hAnsi="Arial"/>
                <w:sz w:val="14"/>
                <w:szCs w:val="14"/>
                <w:color w:val="auto"/>
              </w:rPr>
              <w:t>net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trust common</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net of offering costs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83,908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83,908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83,908</w:t>
            </w:r>
          </w:p>
        </w:tc>
        <w:tc>
          <w:tcPr>
            <w:tcW w:w="0" w:type="dxa"/>
            <w:vAlign w:val="bottom"/>
          </w:tcPr>
          <w:p>
            <w:pPr>
              <w:spacing w:after="0"/>
              <w:rPr>
                <w:sz w:val="1"/>
                <w:szCs w:val="1"/>
                <w:color w:val="auto"/>
              </w:rPr>
            </w:pPr>
          </w:p>
        </w:tc>
      </w:tr>
      <w:tr>
        <w:trPr>
          <w:trHeight w:val="194"/>
        </w:trPr>
        <w:tc>
          <w:tcPr>
            <w:tcW w:w="1840" w:type="dxa"/>
            <w:vAlign w:val="bottom"/>
          </w:tcPr>
          <w:p>
            <w:pPr>
              <w:ind w:left="20"/>
              <w:spacing w:after="0"/>
              <w:rPr>
                <w:sz w:val="20"/>
                <w:szCs w:val="20"/>
                <w:color w:val="auto"/>
              </w:rPr>
            </w:pPr>
            <w:r>
              <w:rPr>
                <w:rFonts w:ascii="Arial" w:cs="Arial" w:eastAsia="Arial" w:hAnsi="Arial"/>
                <w:sz w:val="14"/>
                <w:szCs w:val="14"/>
                <w:color w:val="auto"/>
              </w:rPr>
              <w:t>Option activity attributable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rPr>
                <w:sz w:val="20"/>
                <w:szCs w:val="20"/>
                <w:color w:val="auto"/>
              </w:rPr>
            </w:pPr>
            <w:r>
              <w:rPr>
                <w:rFonts w:ascii="Arial" w:cs="Arial" w:eastAsia="Arial" w:hAnsi="Arial"/>
                <w:sz w:val="14"/>
                <w:szCs w:val="14"/>
                <w:color w:val="auto"/>
              </w:rPr>
              <w:t>to noncontrolling</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40" w:type="dxa"/>
            <w:vAlign w:val="bottom"/>
          </w:tcPr>
          <w:p>
            <w:pPr>
              <w:ind w:left="20"/>
              <w:spacing w:after="0"/>
              <w:rPr>
                <w:sz w:val="20"/>
                <w:szCs w:val="20"/>
                <w:color w:val="auto"/>
              </w:rPr>
            </w:pPr>
            <w:r>
              <w:rPr>
                <w:rFonts w:ascii="Arial" w:cs="Arial" w:eastAsia="Arial" w:hAnsi="Arial"/>
                <w:sz w:val="14"/>
                <w:szCs w:val="14"/>
                <w:color w:val="auto"/>
              </w:rPr>
              <w:t>shareholders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1,890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1,890</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subsidiary stock</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 exercise</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94"/>
        </w:trPr>
        <w:tc>
          <w:tcPr>
            <w:tcW w:w="1840" w:type="dxa"/>
            <w:vAlign w:val="bottom"/>
          </w:tcPr>
          <w:p>
            <w:pPr>
              <w:ind w:left="20"/>
              <w:spacing w:after="0"/>
              <w:rPr>
                <w:sz w:val="20"/>
                <w:szCs w:val="20"/>
                <w:color w:val="auto"/>
              </w:rPr>
            </w:pPr>
            <w:r>
              <w:rPr>
                <w:rFonts w:ascii="Arial" w:cs="Arial" w:eastAsia="Arial" w:hAnsi="Arial"/>
                <w:sz w:val="14"/>
                <w:szCs w:val="14"/>
                <w:color w:val="auto"/>
              </w:rPr>
              <w:t>Purchase of noncontrolling</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840" w:type="dxa"/>
            <w:vAlign w:val="bottom"/>
          </w:tcPr>
          <w:p>
            <w:pPr>
              <w:ind w:left="20"/>
              <w:spacing w:after="0"/>
              <w:rPr>
                <w:sz w:val="20"/>
                <w:szCs w:val="20"/>
                <w:color w:val="auto"/>
              </w:rPr>
            </w:pPr>
            <w:r>
              <w:rPr>
                <w:rFonts w:ascii="Arial" w:cs="Arial" w:eastAsia="Arial" w:hAnsi="Arial"/>
                <w:sz w:val="14"/>
                <w:szCs w:val="14"/>
                <w:color w:val="auto"/>
              </w:rPr>
              <w:t>interest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Marucci</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Sports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11,127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11,127</w:t>
            </w:r>
          </w:p>
        </w:tc>
        <w:tc>
          <w:tcPr>
            <w:tcW w:w="0" w:type="dxa"/>
            <w:vAlign w:val="bottom"/>
          </w:tcPr>
          <w:p>
            <w:pPr>
              <w:spacing w:after="0"/>
              <w:rPr>
                <w:sz w:val="1"/>
                <w:szCs w:val="1"/>
                <w:color w:val="auto"/>
              </w:rPr>
            </w:pPr>
          </w:p>
        </w:tc>
      </w:tr>
      <w:tr>
        <w:trPr>
          <w:trHeight w:val="194"/>
        </w:trPr>
        <w:tc>
          <w:tcPr>
            <w:tcW w:w="1840" w:type="dxa"/>
            <w:vAlign w:val="bottom"/>
          </w:tcPr>
          <w:p>
            <w:pPr>
              <w:ind w:left="20"/>
              <w:spacing w:after="0"/>
              <w:rPr>
                <w:sz w:val="20"/>
                <w:szCs w:val="20"/>
                <w:color w:val="auto"/>
              </w:rPr>
            </w:pPr>
            <w:r>
              <w:rPr>
                <w:rFonts w:ascii="Arial" w:cs="Arial" w:eastAsia="Arial" w:hAnsi="Arial"/>
                <w:sz w:val="14"/>
                <w:szCs w:val="14"/>
                <w:color w:val="auto"/>
              </w:rPr>
              <w:t>Distributions paid - Trust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84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(21,564)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(21,564)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(21,564)</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paid - Trust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(6,045)</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(6,045)</w:t>
            </w: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Balance — June 30, 2020</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w w:val="99"/>
              </w:rPr>
              <w:t>$ 96,417</w:t>
            </w:r>
          </w:p>
        </w:tc>
        <w:tc>
          <w:tcPr>
            <w:tcW w:w="1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w w:val="99"/>
              </w:rPr>
              <w:t>$ 96,504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w w:val="98"/>
              </w:rPr>
              <w:t>110,997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w w:val="96"/>
              </w:rPr>
              <w:t>1,008,588</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(177,912)</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(5,528)</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1,129,066</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67,816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1,196,882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00"/>
          </w:cols>
          <w:pgMar w:left="340" w:top="333"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vMerge w:val="restart"/>
          </w:tcPr>
          <w:p>
            <w:pPr>
              <w:ind w:left="40"/>
              <w:spacing w:after="0"/>
              <w:rPr>
                <w:sz w:val="20"/>
                <w:szCs w:val="20"/>
                <w:color w:val="auto"/>
              </w:rPr>
            </w:pPr>
            <w:r>
              <w:rPr>
                <w:rFonts w:ascii="Arial" w:cs="Arial" w:eastAsia="Arial" w:hAnsi="Arial"/>
                <w:sz w:val="13"/>
                <w:szCs w:val="13"/>
                <w:i w:val="1"/>
                <w:iCs w:val="1"/>
                <w:color w:val="auto"/>
              </w:rPr>
              <w:t>(in thousands)</w:t>
            </w:r>
          </w:p>
        </w:tc>
        <w:tc>
          <w:tcPr>
            <w:tcW w:w="2340" w:type="dxa"/>
            <w:vAlign w:val="bottom"/>
            <w:gridSpan w:val="7"/>
            <w:vMerge w:val="restart"/>
          </w:tcPr>
          <w:p>
            <w:pPr>
              <w:ind w:left="400"/>
              <w:spacing w:after="0"/>
              <w:rPr>
                <w:sz w:val="20"/>
                <w:szCs w:val="20"/>
                <w:color w:val="auto"/>
              </w:rPr>
            </w:pPr>
            <w:r>
              <w:rPr>
                <w:rFonts w:ascii="Arial" w:cs="Arial" w:eastAsia="Arial" w:hAnsi="Arial"/>
                <w:sz w:val="13"/>
                <w:szCs w:val="13"/>
                <w:b w:val="1"/>
                <w:bCs w:val="1"/>
                <w:color w:val="auto"/>
              </w:rPr>
              <w:t>Trust Preferred Shares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Controlling</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840" w:type="dxa"/>
            <w:vAlign w:val="bottom"/>
            <w:vMerge w:val="continue"/>
          </w:tcPr>
          <w:p>
            <w:pPr>
              <w:spacing w:after="0"/>
              <w:rPr>
                <w:sz w:val="13"/>
                <w:szCs w:val="13"/>
                <w:color w:val="auto"/>
              </w:rPr>
            </w:pPr>
          </w:p>
        </w:tc>
        <w:tc>
          <w:tcPr>
            <w:tcW w:w="2340" w:type="dxa"/>
            <w:vAlign w:val="bottom"/>
            <w:gridSpan w:val="7"/>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8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rPr>
              <w:t>Trust</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0"/>
                <w:szCs w:val="10"/>
                <w:color w:val="auto"/>
              </w:rPr>
            </w:pPr>
          </w:p>
        </w:tc>
        <w:tc>
          <w:tcPr>
            <w:tcW w:w="88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76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rPr>
              <w:t>Non-</w:t>
            </w:r>
          </w:p>
        </w:tc>
        <w:tc>
          <w:tcPr>
            <w:tcW w:w="980" w:type="dxa"/>
            <w:vAlign w:val="bottom"/>
            <w:gridSpan w:val="3"/>
          </w:tcPr>
          <w:p>
            <w:pPr>
              <w:jc w:val="center"/>
              <w:ind w:right="100"/>
              <w:spacing w:after="0" w:line="126" w:lineRule="exact"/>
              <w:rPr>
                <w:sz w:val="20"/>
                <w:szCs w:val="20"/>
                <w:color w:val="auto"/>
              </w:rPr>
            </w:pPr>
            <w:r>
              <w:rPr>
                <w:rFonts w:ascii="Arial" w:cs="Arial" w:eastAsia="Arial" w:hAnsi="Arial"/>
                <w:sz w:val="13"/>
                <w:szCs w:val="13"/>
                <w:b w:val="1"/>
                <w:bCs w:val="1"/>
                <w:color w:val="auto"/>
              </w:rPr>
              <w:t>Attributable</w:t>
            </w:r>
          </w:p>
        </w:tc>
        <w:tc>
          <w:tcPr>
            <w:tcW w:w="180" w:type="dxa"/>
            <w:vAlign w:val="bottom"/>
          </w:tcPr>
          <w:p>
            <w:pPr>
              <w:spacing w:after="0"/>
              <w:rPr>
                <w:sz w:val="10"/>
                <w:szCs w:val="10"/>
                <w:color w:val="auto"/>
              </w:rPr>
            </w:pPr>
          </w:p>
        </w:tc>
        <w:tc>
          <w:tcPr>
            <w:tcW w:w="800" w:type="dxa"/>
            <w:vAlign w:val="bottom"/>
          </w:tcPr>
          <w:p>
            <w:pPr>
              <w:jc w:val="right"/>
              <w:ind w:right="270"/>
              <w:spacing w:after="0" w:line="12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Series A</w:t>
            </w: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Series B</w:t>
            </w: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Series C</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Common</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180" w:type="dxa"/>
            <w:vAlign w:val="bottom"/>
            <w:gridSpan w:val="3"/>
          </w:tcPr>
          <w:p>
            <w:pPr>
              <w:ind w:left="40"/>
              <w:spacing w:after="0"/>
              <w:rPr>
                <w:sz w:val="20"/>
                <w:szCs w:val="20"/>
                <w:color w:val="auto"/>
              </w:rPr>
            </w:pPr>
            <w:r>
              <w:rPr>
                <w:rFonts w:ascii="Arial" w:cs="Arial" w:eastAsia="Arial" w:hAnsi="Arial"/>
                <w:sz w:val="13"/>
                <w:szCs w:val="13"/>
                <w:b w:val="1"/>
                <w:bCs w:val="1"/>
                <w:color w:val="auto"/>
              </w:rPr>
              <w:t>Comprehensive</w:t>
            </w:r>
          </w:p>
        </w:tc>
        <w:tc>
          <w:tcPr>
            <w:tcW w:w="1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Attributable</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Controlling</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to Disc.</w:t>
            </w: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Loss</w:t>
            </w:r>
          </w:p>
        </w:tc>
        <w:tc>
          <w:tcPr>
            <w:tcW w:w="1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to Holdings</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Ops.</w:t>
            </w:r>
          </w:p>
        </w:tc>
        <w:tc>
          <w:tcPr>
            <w:tcW w:w="180" w:type="dxa"/>
            <w:vAlign w:val="bottom"/>
          </w:tcPr>
          <w:p>
            <w:pPr>
              <w:spacing w:after="0"/>
              <w:rPr>
                <w:sz w:val="16"/>
                <w:szCs w:val="16"/>
                <w:color w:val="auto"/>
              </w:rPr>
            </w:pPr>
          </w:p>
        </w:tc>
        <w:tc>
          <w:tcPr>
            <w:tcW w:w="800" w:type="dxa"/>
            <w:vAlign w:val="bottom"/>
          </w:tcPr>
          <w:p>
            <w:pPr>
              <w:jc w:val="right"/>
              <w:ind w:right="21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 January 1,</w:t>
            </w: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2019</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9"/>
              </w:rPr>
              <w:t>$ 96,417</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9"/>
              </w:rPr>
              <w:t>$ 96,504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924,680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(249,453)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859,372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39,922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20,048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919,342</w:t>
            </w:r>
          </w:p>
        </w:tc>
        <w:tc>
          <w:tcPr>
            <w:tcW w:w="0" w:type="dxa"/>
            <w:vAlign w:val="bottom"/>
          </w:tcPr>
          <w:p>
            <w:pPr>
              <w:spacing w:after="0"/>
              <w:rPr>
                <w:sz w:val="1"/>
                <w:szCs w:val="1"/>
                <w:color w:val="auto"/>
              </w:rPr>
            </w:pPr>
          </w:p>
        </w:tc>
      </w:tr>
      <w:tr>
        <w:trPr>
          <w:trHeight w:val="204"/>
        </w:trPr>
        <w:tc>
          <w:tcPr>
            <w:tcW w:w="18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4"/>
                <w:szCs w:val="14"/>
                <w:color w:val="auto"/>
              </w:rPr>
              <w:t>325,842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325,842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restart"/>
          </w:tcPr>
          <w:p>
            <w:pPr>
              <w:jc w:val="right"/>
              <w:ind w:right="30"/>
              <w:spacing w:after="0"/>
              <w:rPr>
                <w:sz w:val="20"/>
                <w:szCs w:val="20"/>
                <w:color w:val="auto"/>
              </w:rPr>
            </w:pPr>
            <w:r>
              <w:rPr>
                <w:rFonts w:ascii="Arial" w:cs="Arial" w:eastAsia="Arial" w:hAnsi="Arial"/>
                <w:sz w:val="14"/>
                <w:szCs w:val="14"/>
                <w:color w:val="auto"/>
              </w:rPr>
              <w:t>2,755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328,331</w:t>
            </w:r>
          </w:p>
        </w:tc>
        <w:tc>
          <w:tcPr>
            <w:tcW w:w="0" w:type="dxa"/>
            <w:vAlign w:val="bottom"/>
          </w:tcPr>
          <w:p>
            <w:pPr>
              <w:spacing w:after="0"/>
              <w:rPr>
                <w:sz w:val="1"/>
                <w:szCs w:val="1"/>
                <w:color w:val="auto"/>
              </w:rPr>
            </w:pPr>
          </w:p>
        </w:tc>
      </w:tr>
      <w:tr>
        <w:trPr>
          <w:trHeight w:val="60"/>
        </w:trPr>
        <w:tc>
          <w:tcPr>
            <w:tcW w:w="18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net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4,264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4,264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4,264</w:t>
            </w:r>
          </w:p>
        </w:tc>
        <w:tc>
          <w:tcPr>
            <w:tcW w:w="0" w:type="dxa"/>
            <w:vAlign w:val="bottom"/>
          </w:tcPr>
          <w:p>
            <w:pPr>
              <w:spacing w:after="0"/>
              <w:rPr>
                <w:sz w:val="1"/>
                <w:szCs w:val="1"/>
                <w:color w:val="auto"/>
              </w:rPr>
            </w:pPr>
          </w:p>
        </w:tc>
      </w:tr>
      <w:tr>
        <w:trPr>
          <w:trHeight w:val="194"/>
        </w:trPr>
        <w:tc>
          <w:tcPr>
            <w:tcW w:w="1840" w:type="dxa"/>
            <w:vAlign w:val="bottom"/>
          </w:tcPr>
          <w:p>
            <w:pPr>
              <w:ind w:left="40"/>
              <w:spacing w:after="0"/>
              <w:rPr>
                <w:sz w:val="20"/>
                <w:szCs w:val="20"/>
                <w:color w:val="auto"/>
              </w:rPr>
            </w:pPr>
            <w:r>
              <w:rPr>
                <w:rFonts w:ascii="Arial" w:cs="Arial" w:eastAsia="Arial" w:hAnsi="Arial"/>
                <w:sz w:val="14"/>
                <w:szCs w:val="14"/>
                <w:color w:val="auto"/>
              </w:rPr>
              <w:t>Option activity attributable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40"/>
              <w:spacing w:after="0"/>
              <w:rPr>
                <w:sz w:val="20"/>
                <w:szCs w:val="20"/>
                <w:color w:val="auto"/>
              </w:rPr>
            </w:pPr>
            <w:r>
              <w:rPr>
                <w:rFonts w:ascii="Arial" w:cs="Arial" w:eastAsia="Arial" w:hAnsi="Arial"/>
                <w:sz w:val="14"/>
                <w:szCs w:val="14"/>
                <w:color w:val="auto"/>
              </w:rPr>
              <w:t>to noncontrolling</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40" w:type="dxa"/>
            <w:vAlign w:val="bottom"/>
          </w:tcPr>
          <w:p>
            <w:pPr>
              <w:ind w:left="40"/>
              <w:spacing w:after="0"/>
              <w:rPr>
                <w:sz w:val="20"/>
                <w:szCs w:val="20"/>
                <w:color w:val="auto"/>
              </w:rPr>
            </w:pPr>
            <w:r>
              <w:rPr>
                <w:rFonts w:ascii="Arial" w:cs="Arial" w:eastAsia="Arial" w:hAnsi="Arial"/>
                <w:sz w:val="14"/>
                <w:szCs w:val="14"/>
                <w:color w:val="auto"/>
              </w:rPr>
              <w:t>shareholders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3,329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1,939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5,268</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subsidiary stock</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 exercise</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4"/>
        </w:trPr>
        <w:tc>
          <w:tcPr>
            <w:tcW w:w="1840" w:type="dxa"/>
            <w:vAlign w:val="bottom"/>
          </w:tcPr>
          <w:p>
            <w:pPr>
              <w:ind w:left="40"/>
              <w:spacing w:after="0"/>
              <w:rPr>
                <w:sz w:val="20"/>
                <w:szCs w:val="20"/>
                <w:color w:val="auto"/>
              </w:rPr>
            </w:pPr>
            <w:r>
              <w:rPr>
                <w:rFonts w:ascii="Arial" w:cs="Arial" w:eastAsia="Arial" w:hAnsi="Arial"/>
                <w:sz w:val="14"/>
                <w:szCs w:val="14"/>
                <w:color w:val="auto"/>
              </w:rPr>
              <w:t>Purchase of noncontrolling</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840" w:type="dxa"/>
            <w:vAlign w:val="bottom"/>
          </w:tcPr>
          <w:p>
            <w:pPr>
              <w:ind w:left="40"/>
              <w:spacing w:after="0"/>
              <w:rPr>
                <w:sz w:val="20"/>
                <w:szCs w:val="20"/>
                <w:color w:val="auto"/>
              </w:rPr>
            </w:pPr>
            <w:r>
              <w:rPr>
                <w:rFonts w:ascii="Arial" w:cs="Arial" w:eastAsia="Arial" w:hAnsi="Arial"/>
                <w:sz w:val="14"/>
                <w:szCs w:val="14"/>
                <w:color w:val="auto"/>
              </w:rPr>
              <w:t>interest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Disposition of Manitoba</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Harvest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(10,799)</w:t>
            </w:r>
          </w:p>
        </w:tc>
        <w:tc>
          <w:tcPr>
            <w:tcW w:w="0" w:type="dxa"/>
            <w:vAlign w:val="bottom"/>
          </w:tcPr>
          <w:p>
            <w:pPr>
              <w:spacing w:after="0"/>
              <w:rPr>
                <w:sz w:val="1"/>
                <w:szCs w:val="1"/>
                <w:color w:val="auto"/>
              </w:rPr>
            </w:pPr>
          </w:p>
        </w:tc>
      </w:tr>
      <w:tr>
        <w:trPr>
          <w:trHeight w:val="204"/>
        </w:trPr>
        <w:tc>
          <w:tcPr>
            <w:tcW w:w="1840" w:type="dxa"/>
            <w:vAlign w:val="bottom"/>
          </w:tcPr>
          <w:p>
            <w:pPr>
              <w:ind w:left="40"/>
              <w:spacing w:after="0"/>
              <w:rPr>
                <w:sz w:val="20"/>
                <w:szCs w:val="20"/>
                <w:color w:val="auto"/>
              </w:rPr>
            </w:pPr>
            <w:r>
              <w:rPr>
                <w:rFonts w:ascii="Arial" w:cs="Arial" w:eastAsia="Arial" w:hAnsi="Arial"/>
                <w:sz w:val="14"/>
                <w:szCs w:val="14"/>
                <w:color w:val="auto"/>
              </w:rPr>
              <w:t>Disposition of Clean Earth</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(10,922)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(10,922)</w:t>
            </w:r>
          </w:p>
        </w:tc>
        <w:tc>
          <w:tcPr>
            <w:tcW w:w="0" w:type="dxa"/>
            <w:vAlign w:val="bottom"/>
          </w:tcPr>
          <w:p>
            <w:pPr>
              <w:spacing w:after="0"/>
              <w:rPr>
                <w:sz w:val="1"/>
                <w:szCs w:val="1"/>
                <w:color w:val="auto"/>
              </w:rPr>
            </w:pPr>
          </w:p>
        </w:tc>
      </w:tr>
      <w:tr>
        <w:trPr>
          <w:trHeight w:val="60"/>
        </w:trPr>
        <w:tc>
          <w:tcPr>
            <w:tcW w:w="18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Allocation interests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w:t>
            </w:r>
          </w:p>
        </w:tc>
        <w:tc>
          <w:tcPr>
            <w:tcW w:w="0" w:type="dxa"/>
            <w:vAlign w:val="bottom"/>
          </w:tcPr>
          <w:p>
            <w:pPr>
              <w:spacing w:after="0"/>
              <w:rPr>
                <w:sz w:val="1"/>
                <w:szCs w:val="1"/>
                <w:color w:val="auto"/>
              </w:rPr>
            </w:pPr>
          </w:p>
        </w:tc>
      </w:tr>
      <w:tr>
        <w:trPr>
          <w:trHeight w:val="194"/>
        </w:trPr>
        <w:tc>
          <w:tcPr>
            <w:tcW w:w="1840" w:type="dxa"/>
            <w:vAlign w:val="bottom"/>
          </w:tcPr>
          <w:p>
            <w:pPr>
              <w:ind w:left="40"/>
              <w:spacing w:after="0"/>
              <w:rPr>
                <w:sz w:val="20"/>
                <w:szCs w:val="20"/>
                <w:color w:val="auto"/>
              </w:rPr>
            </w:pPr>
            <w:r>
              <w:rPr>
                <w:rFonts w:ascii="Arial" w:cs="Arial" w:eastAsia="Arial" w:hAnsi="Arial"/>
                <w:sz w:val="14"/>
                <w:szCs w:val="14"/>
                <w:color w:val="auto"/>
              </w:rPr>
              <w:t>Distributions paid - Trust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840" w:type="dxa"/>
            <w:vAlign w:val="bottom"/>
          </w:tcPr>
          <w:p>
            <w:pPr>
              <w:ind w:left="40"/>
              <w:spacing w:after="0"/>
              <w:rPr>
                <w:sz w:val="20"/>
                <w:szCs w:val="20"/>
                <w:color w:val="auto"/>
              </w:rPr>
            </w:pPr>
            <w:r>
              <w:rPr>
                <w:rFonts w:ascii="Arial" w:cs="Arial" w:eastAsia="Arial" w:hAnsi="Arial"/>
                <w:sz w:val="14"/>
                <w:szCs w:val="14"/>
                <w:color w:val="auto"/>
              </w:rPr>
              <w:t>Common Shares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(43,128)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(43,128)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(43,128)</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 Trust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Shares</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(7,563)</w:t>
            </w:r>
          </w:p>
        </w:tc>
        <w:tc>
          <w:tcPr>
            <w:tcW w:w="0" w:type="dxa"/>
            <w:vAlign w:val="bottom"/>
          </w:tcPr>
          <w:p>
            <w:pPr>
              <w:spacing w:after="0"/>
              <w:rPr>
                <w:sz w:val="1"/>
                <w:szCs w:val="1"/>
                <w:color w:val="auto"/>
              </w:rPr>
            </w:pPr>
          </w:p>
        </w:tc>
      </w:tr>
      <w:tr>
        <w:trPr>
          <w:trHeight w:val="231"/>
        </w:trPr>
        <w:tc>
          <w:tcPr>
            <w:tcW w:w="1840" w:type="dxa"/>
            <w:vAlign w:val="bottom"/>
          </w:tcPr>
          <w:p>
            <w:pPr>
              <w:ind w:left="40"/>
              <w:spacing w:after="0"/>
              <w:rPr>
                <w:sz w:val="20"/>
                <w:szCs w:val="20"/>
                <w:color w:val="auto"/>
              </w:rPr>
            </w:pPr>
            <w:r>
              <w:rPr>
                <w:rFonts w:ascii="Arial" w:cs="Arial" w:eastAsia="Arial" w:hAnsi="Arial"/>
                <w:sz w:val="14"/>
                <w:szCs w:val="14"/>
                <w:b w:val="1"/>
                <w:bCs w:val="1"/>
                <w:color w:val="auto"/>
              </w:rPr>
              <w:t>Balance — June 30, 2019</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w w:val="99"/>
              </w:rPr>
              <w:t>$ 96,417</w:t>
            </w:r>
          </w:p>
        </w:tc>
        <w:tc>
          <w:tcPr>
            <w:tcW w:w="10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w w:val="99"/>
              </w:rPr>
              <w:t>$ 96,504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924,680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17,715</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(4,512)</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1,130,804</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45,977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1,176,781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January 1,</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2020</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9"/>
              </w:rPr>
              <w:t>$ 96,417</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9"/>
              </w:rPr>
              <w:t>$ 96,504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8"/>
              </w:rPr>
              <w:t>110,997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924,680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1,115,327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50,548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1,165,875</w:t>
            </w:r>
          </w:p>
        </w:tc>
        <w:tc>
          <w:tcPr>
            <w:tcW w:w="0" w:type="dxa"/>
            <w:vAlign w:val="bottom"/>
          </w:tcPr>
          <w:p>
            <w:pPr>
              <w:spacing w:after="0"/>
              <w:rPr>
                <w:sz w:val="1"/>
                <w:szCs w:val="1"/>
                <w:color w:val="auto"/>
              </w:rPr>
            </w:pP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2,286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(2,486)</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loss,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94"/>
        </w:trPr>
        <w:tc>
          <w:tcPr>
            <w:tcW w:w="1840" w:type="dxa"/>
            <w:vAlign w:val="bottom"/>
          </w:tcPr>
          <w:p>
            <w:pPr>
              <w:ind w:left="40"/>
              <w:spacing w:after="0"/>
              <w:rPr>
                <w:sz w:val="20"/>
                <w:szCs w:val="20"/>
                <w:color w:val="auto"/>
              </w:rPr>
            </w:pPr>
            <w:r>
              <w:rPr>
                <w:rFonts w:ascii="Arial" w:cs="Arial" w:eastAsia="Arial" w:hAnsi="Arial"/>
                <w:sz w:val="14"/>
                <w:szCs w:val="14"/>
                <w:color w:val="auto"/>
              </w:rPr>
              <w:t>Issuance of trust common</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840" w:type="dxa"/>
            <w:vAlign w:val="bottom"/>
          </w:tcPr>
          <w:p>
            <w:pPr>
              <w:ind w:left="40"/>
              <w:spacing w:after="0"/>
              <w:rPr>
                <w:sz w:val="20"/>
                <w:szCs w:val="20"/>
                <w:color w:val="auto"/>
              </w:rPr>
            </w:pPr>
            <w:r>
              <w:rPr>
                <w:rFonts w:ascii="Arial" w:cs="Arial" w:eastAsia="Arial" w:hAnsi="Arial"/>
                <w:sz w:val="14"/>
                <w:szCs w:val="14"/>
                <w:color w:val="auto"/>
              </w:rPr>
              <w:t>shares, net of offering costs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83,908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83,908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83,908</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 activity attributable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 noncontrolling</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194"/>
        </w:trPr>
        <w:tc>
          <w:tcPr>
            <w:tcW w:w="1840" w:type="dxa"/>
            <w:vAlign w:val="bottom"/>
          </w:tcPr>
          <w:p>
            <w:pPr>
              <w:ind w:left="40"/>
              <w:spacing w:after="0"/>
              <w:rPr>
                <w:sz w:val="20"/>
                <w:szCs w:val="20"/>
                <w:color w:val="auto"/>
              </w:rPr>
            </w:pPr>
            <w:r>
              <w:rPr>
                <w:rFonts w:ascii="Arial" w:cs="Arial" w:eastAsia="Arial" w:hAnsi="Arial"/>
                <w:sz w:val="14"/>
                <w:szCs w:val="14"/>
                <w:color w:val="auto"/>
              </w:rPr>
              <w:t>Effect of subsidiary stock</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840" w:type="dxa"/>
            <w:vAlign w:val="bottom"/>
          </w:tcPr>
          <w:p>
            <w:pPr>
              <w:ind w:left="40"/>
              <w:spacing w:after="0"/>
              <w:rPr>
                <w:sz w:val="20"/>
                <w:szCs w:val="20"/>
                <w:color w:val="auto"/>
              </w:rPr>
            </w:pPr>
            <w:r>
              <w:rPr>
                <w:rFonts w:ascii="Arial" w:cs="Arial" w:eastAsia="Arial" w:hAnsi="Arial"/>
                <w:sz w:val="14"/>
                <w:szCs w:val="14"/>
                <w:color w:val="auto"/>
              </w:rPr>
              <w:t>option exercise</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noncontrolling</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94"/>
        </w:trPr>
        <w:tc>
          <w:tcPr>
            <w:tcW w:w="1840" w:type="dxa"/>
            <w:vAlign w:val="bottom"/>
          </w:tcPr>
          <w:p>
            <w:pPr>
              <w:ind w:left="40"/>
              <w:spacing w:after="0"/>
              <w:rPr>
                <w:sz w:val="20"/>
                <w:szCs w:val="20"/>
                <w:color w:val="auto"/>
              </w:rPr>
            </w:pPr>
            <w:r>
              <w:rPr>
                <w:rFonts w:ascii="Arial" w:cs="Arial" w:eastAsia="Arial" w:hAnsi="Arial"/>
                <w:sz w:val="14"/>
                <w:szCs w:val="14"/>
                <w:color w:val="auto"/>
              </w:rPr>
              <w:t>Acquisition of Marucci</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840" w:type="dxa"/>
            <w:vAlign w:val="bottom"/>
          </w:tcPr>
          <w:p>
            <w:pPr>
              <w:ind w:left="40"/>
              <w:spacing w:after="0"/>
              <w:rPr>
                <w:sz w:val="20"/>
                <w:szCs w:val="20"/>
                <w:color w:val="auto"/>
              </w:rPr>
            </w:pPr>
            <w:r>
              <w:rPr>
                <w:rFonts w:ascii="Arial" w:cs="Arial" w:eastAsia="Arial" w:hAnsi="Arial"/>
                <w:sz w:val="14"/>
                <w:szCs w:val="14"/>
                <w:color w:val="auto"/>
              </w:rPr>
              <w:t>Sports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11,127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11,127</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Allocation Interests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0" w:type="dxa"/>
            <w:vAlign w:val="bottom"/>
          </w:tcPr>
          <w:p>
            <w:pPr>
              <w:spacing w:after="0"/>
              <w:rPr>
                <w:sz w:val="1"/>
                <w:szCs w:val="1"/>
                <w:color w:val="auto"/>
              </w:rPr>
            </w:pPr>
          </w:p>
        </w:tc>
      </w:tr>
      <w:tr>
        <w:trPr>
          <w:trHeight w:val="194"/>
        </w:trPr>
        <w:tc>
          <w:tcPr>
            <w:tcW w:w="1840" w:type="dxa"/>
            <w:vAlign w:val="bottom"/>
          </w:tcPr>
          <w:p>
            <w:pPr>
              <w:ind w:left="40"/>
              <w:spacing w:after="0"/>
              <w:rPr>
                <w:sz w:val="20"/>
                <w:szCs w:val="20"/>
                <w:color w:val="auto"/>
              </w:rPr>
            </w:pPr>
            <w:r>
              <w:rPr>
                <w:rFonts w:ascii="Arial" w:cs="Arial" w:eastAsia="Arial" w:hAnsi="Arial"/>
                <w:sz w:val="14"/>
                <w:szCs w:val="14"/>
                <w:color w:val="auto"/>
              </w:rPr>
              <w:t>Distributions paid - Trust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840" w:type="dxa"/>
            <w:vAlign w:val="bottom"/>
          </w:tcPr>
          <w:p>
            <w:pPr>
              <w:ind w:left="40"/>
              <w:spacing w:after="0"/>
              <w:rPr>
                <w:sz w:val="20"/>
                <w:szCs w:val="20"/>
                <w:color w:val="auto"/>
              </w:rPr>
            </w:pPr>
            <w:r>
              <w:rPr>
                <w:rFonts w:ascii="Arial" w:cs="Arial" w:eastAsia="Arial" w:hAnsi="Arial"/>
                <w:sz w:val="14"/>
                <w:szCs w:val="14"/>
                <w:color w:val="auto"/>
              </w:rPr>
              <w:t>Common Shares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(43,128)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(43,128)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(43,128)</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 Trust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Shares</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(11,587)</w:t>
            </w:r>
          </w:p>
        </w:tc>
        <w:tc>
          <w:tcPr>
            <w:tcW w:w="0" w:type="dxa"/>
            <w:vAlign w:val="bottom"/>
          </w:tcPr>
          <w:p>
            <w:pPr>
              <w:spacing w:after="0"/>
              <w:rPr>
                <w:sz w:val="1"/>
                <w:szCs w:val="1"/>
                <w:color w:val="auto"/>
              </w:rPr>
            </w:pPr>
          </w:p>
        </w:tc>
      </w:tr>
      <w:tr>
        <w:trPr>
          <w:trHeight w:val="231"/>
        </w:trPr>
        <w:tc>
          <w:tcPr>
            <w:tcW w:w="1840" w:type="dxa"/>
            <w:vAlign w:val="bottom"/>
          </w:tcPr>
          <w:p>
            <w:pPr>
              <w:ind w:left="40"/>
              <w:spacing w:after="0"/>
              <w:rPr>
                <w:sz w:val="20"/>
                <w:szCs w:val="20"/>
                <w:color w:val="auto"/>
              </w:rPr>
            </w:pPr>
            <w:r>
              <w:rPr>
                <w:rFonts w:ascii="Arial" w:cs="Arial" w:eastAsia="Arial" w:hAnsi="Arial"/>
                <w:sz w:val="14"/>
                <w:szCs w:val="14"/>
                <w:b w:val="1"/>
                <w:bCs w:val="1"/>
                <w:color w:val="auto"/>
              </w:rPr>
              <w:t>Balance — June 30, 2020</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w w:val="99"/>
              </w:rPr>
              <w:t>$ 96,417</w:t>
            </w:r>
          </w:p>
        </w:tc>
        <w:tc>
          <w:tcPr>
            <w:tcW w:w="10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w w:val="99"/>
              </w:rPr>
              <w:t>$ 96,504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w w:val="98"/>
              </w:rPr>
              <w:t>110,997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w w:val="96"/>
              </w:rPr>
              <w:t>1,008,588</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(177,912)</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(5,528)</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1,129,066</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67,816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1,196,882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40"/>
          </w:cols>
          <w:pgMar w:left="320" w:top="500"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9" w:lineRule="exact"/>
        <w:rPr>
          <w:sz w:val="20"/>
          <w:szCs w:val="20"/>
          <w:color w:val="auto"/>
        </w:rPr>
      </w:pPr>
    </w:p>
    <w:p>
      <w:pPr>
        <w:ind w:left="8400"/>
        <w:spacing w:after="0"/>
        <w:rPr>
          <w:sz w:val="20"/>
          <w:szCs w:val="20"/>
          <w:color w:val="auto"/>
        </w:rPr>
      </w:pPr>
      <w:r>
        <w:rPr>
          <w:rFonts w:ascii="Arial" w:cs="Arial" w:eastAsia="Arial" w:hAnsi="Arial"/>
          <w:sz w:val="15"/>
          <w:szCs w:val="15"/>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4939665</wp:posOffset>
            </wp:positionH>
            <wp:positionV relativeFrom="paragraph">
              <wp:posOffset>24130</wp:posOffset>
            </wp:positionV>
            <wp:extent cx="20231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160"/>
              <w:spacing w:after="0"/>
              <w:rPr>
                <w:sz w:val="20"/>
                <w:szCs w:val="20"/>
                <w:color w:val="auto"/>
              </w:rPr>
            </w:pPr>
            <w:r>
              <w:rPr>
                <w:rFonts w:ascii="Arial" w:cs="Arial" w:eastAsia="Arial" w:hAnsi="Arial"/>
                <w:sz w:val="15"/>
                <w:szCs w:val="15"/>
                <w:color w:val="auto"/>
              </w:rPr>
              <w:t>Net income (loss)</w:t>
            </w:r>
          </w:p>
        </w:tc>
        <w:tc>
          <w:tcPr>
            <w:tcW w:w="360" w:type="dxa"/>
            <w:vAlign w:val="bottom"/>
            <w:vMerge w:val="restart"/>
          </w:tcPr>
          <w:p>
            <w:pPr>
              <w:jc w:val="right"/>
              <w:ind w:right="164"/>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(2,486)</w:t>
            </w:r>
          </w:p>
        </w:tc>
        <w:tc>
          <w:tcPr>
            <w:tcW w:w="100" w:type="dxa"/>
            <w:vAlign w:val="bottom"/>
          </w:tcPr>
          <w:p>
            <w:pPr>
              <w:spacing w:after="0"/>
              <w:rPr>
                <w:sz w:val="18"/>
                <w:szCs w:val="18"/>
                <w:color w:val="auto"/>
              </w:rPr>
            </w:pPr>
          </w:p>
        </w:tc>
        <w:tc>
          <w:tcPr>
            <w:tcW w:w="360" w:type="dxa"/>
            <w:vAlign w:val="bottom"/>
            <w:vMerge w:val="restart"/>
          </w:tcPr>
          <w:p>
            <w:pPr>
              <w:jc w:val="right"/>
              <w:ind w:right="164"/>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328,331</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from discontinued operations, net of income tax</w:t>
            </w:r>
          </w:p>
        </w:tc>
        <w:tc>
          <w:tcPr>
            <w:tcW w:w="36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16,901</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160"/>
              <w:spacing w:after="0"/>
              <w:rPr>
                <w:sz w:val="20"/>
                <w:szCs w:val="20"/>
                <w:color w:val="auto"/>
              </w:rPr>
            </w:pPr>
            <w:r>
              <w:rPr>
                <w:rFonts w:ascii="Arial" w:cs="Arial" w:eastAsia="Arial" w:hAnsi="Arial"/>
                <w:sz w:val="15"/>
                <w:szCs w:val="15"/>
                <w:color w:val="auto"/>
              </w:rPr>
              <w:t>Gain on sale of discontinued operations</w:t>
            </w:r>
          </w:p>
        </w:tc>
        <w:tc>
          <w:tcPr>
            <w:tcW w:w="360" w:type="dxa"/>
            <w:vAlign w:val="bottom"/>
          </w:tcPr>
          <w:p>
            <w:pPr>
              <w:spacing w:after="0"/>
              <w:rPr>
                <w:sz w:val="18"/>
                <w:szCs w:val="18"/>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328,164</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7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Loss from continuing operations</w:t>
            </w:r>
          </w:p>
        </w:tc>
        <w:tc>
          <w:tcPr>
            <w:tcW w:w="3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(2,486)</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(16,734)</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7780" w:type="dxa"/>
            <w:vAlign w:val="bottom"/>
          </w:tcPr>
          <w:p>
            <w:pPr>
              <w:ind w:left="160"/>
              <w:spacing w:after="0"/>
              <w:rPr>
                <w:sz w:val="20"/>
                <w:szCs w:val="20"/>
                <w:color w:val="auto"/>
              </w:rPr>
            </w:pPr>
            <w:r>
              <w:rPr>
                <w:rFonts w:ascii="Arial" w:cs="Arial" w:eastAsia="Arial" w:hAnsi="Arial"/>
                <w:sz w:val="15"/>
                <w:szCs w:val="15"/>
                <w:color w:val="auto"/>
              </w:rPr>
              <w:t>Adjustments to reconcile net income (loss) to net cash provided by (used in) operating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7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77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Depreciation expense</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16,902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16,225</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480"/>
              <w:spacing w:after="0"/>
              <w:rPr>
                <w:sz w:val="20"/>
                <w:szCs w:val="20"/>
                <w:color w:val="auto"/>
              </w:rPr>
            </w:pPr>
            <w:r>
              <w:rPr>
                <w:rFonts w:ascii="Arial" w:cs="Arial" w:eastAsia="Arial" w:hAnsi="Arial"/>
                <w:sz w:val="15"/>
                <w:szCs w:val="15"/>
                <w:color w:val="auto"/>
              </w:rPr>
              <w:t>Amortization expense</w:t>
            </w: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31,284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27,112</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Amortization of debt issuance costs, discount and premium</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1,079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2,159</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480"/>
              <w:spacing w:after="0"/>
              <w:rPr>
                <w:sz w:val="20"/>
                <w:szCs w:val="20"/>
                <w:color w:val="auto"/>
              </w:rPr>
            </w:pPr>
            <w:r>
              <w:rPr>
                <w:rFonts w:ascii="Arial" w:cs="Arial" w:eastAsia="Arial" w:hAnsi="Arial"/>
                <w:sz w:val="15"/>
                <w:szCs w:val="15"/>
                <w:color w:val="auto"/>
              </w:rPr>
              <w:t>Unrealized loss on interest rate swap</w:t>
            </w:r>
          </w:p>
        </w:tc>
        <w:tc>
          <w:tcPr>
            <w:tcW w:w="360" w:type="dxa"/>
            <w:vAlign w:val="bottom"/>
          </w:tcPr>
          <w:p>
            <w:pPr>
              <w:spacing w:after="0"/>
              <w:rPr>
                <w:sz w:val="18"/>
                <w:szCs w:val="18"/>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3,350</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Noncontrolling stockholder stock based compensation</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3,945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3,329</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480"/>
              <w:spacing w:after="0"/>
              <w:rPr>
                <w:sz w:val="20"/>
                <w:szCs w:val="20"/>
                <w:color w:val="auto"/>
              </w:rPr>
            </w:pPr>
            <w:r>
              <w:rPr>
                <w:rFonts w:ascii="Arial" w:cs="Arial" w:eastAsia="Arial" w:hAnsi="Arial"/>
                <w:sz w:val="15"/>
                <w:szCs w:val="15"/>
                <w:color w:val="auto"/>
              </w:rPr>
              <w:t>Provision for loss on receivables</w:t>
            </w: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2,519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498</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Deferred taxes</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480"/>
              <w:spacing w:after="0"/>
              <w:rPr>
                <w:sz w:val="20"/>
                <w:szCs w:val="20"/>
                <w:color w:val="auto"/>
              </w:rPr>
            </w:pPr>
            <w:r>
              <w:rPr>
                <w:rFonts w:ascii="Arial" w:cs="Arial" w:eastAsia="Arial" w:hAnsi="Arial"/>
                <w:sz w:val="15"/>
                <w:szCs w:val="15"/>
                <w:color w:val="auto"/>
              </w:rPr>
              <w:t>Other</w:t>
            </w: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1,155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427</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Changes in operating assets and liabilities, net of acquisitions: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480"/>
              <w:spacing w:after="0"/>
              <w:rPr>
                <w:sz w:val="20"/>
                <w:szCs w:val="20"/>
                <w:color w:val="auto"/>
              </w:rPr>
            </w:pPr>
            <w:r>
              <w:rPr>
                <w:rFonts w:ascii="Arial" w:cs="Arial" w:eastAsia="Arial" w:hAnsi="Arial"/>
                <w:sz w:val="15"/>
                <w:szCs w:val="15"/>
                <w:color w:val="auto"/>
              </w:rPr>
              <w:t>Accounts receivable</w:t>
            </w: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8,780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16,492</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Inventories</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11,236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(19,778)</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480"/>
              <w:spacing w:after="0"/>
              <w:rPr>
                <w:sz w:val="20"/>
                <w:szCs w:val="20"/>
                <w:color w:val="auto"/>
              </w:rPr>
            </w:pPr>
            <w:r>
              <w:rPr>
                <w:rFonts w:ascii="Arial" w:cs="Arial" w:eastAsia="Arial" w:hAnsi="Arial"/>
                <w:sz w:val="15"/>
                <w:szCs w:val="15"/>
                <w:color w:val="auto"/>
              </w:rPr>
              <w:t>Other current and non-current assets</w:t>
            </w: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1,991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(6,272)</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77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Accounts payable and accrued expenses</w:t>
            </w: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17,858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(7,980)</w:t>
            </w:r>
          </w:p>
        </w:tc>
        <w:tc>
          <w:tcPr>
            <w:tcW w:w="0" w:type="dxa"/>
            <w:vAlign w:val="bottom"/>
          </w:tcPr>
          <w:p>
            <w:pPr>
              <w:spacing w:after="0"/>
              <w:rPr>
                <w:sz w:val="1"/>
                <w:szCs w:val="1"/>
                <w:color w:val="auto"/>
              </w:rPr>
            </w:pPr>
          </w:p>
        </w:tc>
      </w:tr>
      <w:tr>
        <w:trPr>
          <w:trHeight w:val="188"/>
        </w:trPr>
        <w:tc>
          <w:tcPr>
            <w:tcW w:w="7780" w:type="dxa"/>
            <w:vAlign w:val="bottom"/>
          </w:tcPr>
          <w:p>
            <w:pPr>
              <w:ind w:left="700"/>
              <w:spacing w:after="0"/>
              <w:rPr>
                <w:sz w:val="20"/>
                <w:szCs w:val="20"/>
                <w:color w:val="auto"/>
              </w:rPr>
            </w:pPr>
            <w:r>
              <w:rPr>
                <w:rFonts w:ascii="Arial" w:cs="Arial" w:eastAsia="Arial" w:hAnsi="Arial"/>
                <w:sz w:val="15"/>
                <w:szCs w:val="15"/>
                <w:color w:val="auto"/>
              </w:rPr>
              <w:t>Cash provided by operating activities - continuing operations</w:t>
            </w:r>
          </w:p>
        </w:tc>
        <w:tc>
          <w:tcPr>
            <w:tcW w:w="360" w:type="dxa"/>
            <w:vAlign w:val="bottom"/>
          </w:tcPr>
          <w:p>
            <w:pPr>
              <w:spacing w:after="0"/>
              <w:rPr>
                <w:sz w:val="16"/>
                <w:szCs w:val="16"/>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88,330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18,792</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Cash used in operating activities - discontinued operations</w:t>
            </w:r>
          </w:p>
        </w:tc>
        <w:tc>
          <w:tcPr>
            <w:tcW w:w="36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(10,138)</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780" w:type="dxa"/>
            <w:vAlign w:val="bottom"/>
          </w:tcPr>
          <w:p>
            <w:pPr>
              <w:ind w:left="700"/>
              <w:spacing w:after="0"/>
              <w:rPr>
                <w:sz w:val="20"/>
                <w:szCs w:val="20"/>
                <w:color w:val="auto"/>
              </w:rPr>
            </w:pPr>
            <w:r>
              <w:rPr>
                <w:rFonts w:ascii="Arial" w:cs="Arial" w:eastAsia="Arial" w:hAnsi="Arial"/>
                <w:sz w:val="15"/>
                <w:szCs w:val="15"/>
                <w:color w:val="auto"/>
              </w:rPr>
              <w:t>Cash provided by operating activities</w:t>
            </w: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88,330</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8,654</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160"/>
              <w:spacing w:after="0"/>
              <w:rPr>
                <w:sz w:val="20"/>
                <w:szCs w:val="20"/>
                <w:color w:val="auto"/>
              </w:rPr>
            </w:pPr>
            <w:r>
              <w:rPr>
                <w:rFonts w:ascii="Arial" w:cs="Arial" w:eastAsia="Arial" w:hAnsi="Arial"/>
                <w:sz w:val="15"/>
                <w:szCs w:val="15"/>
                <w:color w:val="auto"/>
              </w:rPr>
              <w:t>Acquisitions, net of cash acquired</w:t>
            </w: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(200,720)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Purchases of property and equipment</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(12,168)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(14,360)</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160"/>
              <w:spacing w:after="0"/>
              <w:rPr>
                <w:sz w:val="20"/>
                <w:szCs w:val="20"/>
                <w:color w:val="auto"/>
              </w:rPr>
            </w:pPr>
            <w:r>
              <w:rPr>
                <w:rFonts w:ascii="Arial" w:cs="Arial" w:eastAsia="Arial" w:hAnsi="Arial"/>
                <w:sz w:val="15"/>
                <w:szCs w:val="15"/>
                <w:color w:val="auto"/>
              </w:rPr>
              <w:t>Payment of interest rate swap</w:t>
            </w:r>
          </w:p>
        </w:tc>
        <w:tc>
          <w:tcPr>
            <w:tcW w:w="360" w:type="dxa"/>
            <w:vAlign w:val="bottom"/>
          </w:tcPr>
          <w:p>
            <w:pPr>
              <w:spacing w:after="0"/>
              <w:rPr>
                <w:sz w:val="18"/>
                <w:szCs w:val="18"/>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(303)</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Proceeds from sale of businesses</w:t>
            </w:r>
          </w:p>
        </w:tc>
        <w:tc>
          <w:tcPr>
            <w:tcW w:w="36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451,654</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160"/>
              <w:spacing w:after="0"/>
              <w:rPr>
                <w:sz w:val="20"/>
                <w:szCs w:val="20"/>
                <w:color w:val="auto"/>
              </w:rPr>
            </w:pPr>
            <w:r>
              <w:rPr>
                <w:rFonts w:ascii="Arial" w:cs="Arial" w:eastAsia="Arial" w:hAnsi="Arial"/>
                <w:sz w:val="15"/>
                <w:szCs w:val="15"/>
                <w:color w:val="auto"/>
              </w:rPr>
              <w:t>Other investing activities</w:t>
            </w: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1,790</w:t>
            </w:r>
          </w:p>
        </w:tc>
        <w:tc>
          <w:tcPr>
            <w:tcW w:w="0" w:type="dxa"/>
            <w:vAlign w:val="bottom"/>
          </w:tcPr>
          <w:p>
            <w:pPr>
              <w:spacing w:after="0"/>
              <w:rPr>
                <w:sz w:val="1"/>
                <w:szCs w:val="1"/>
                <w:color w:val="auto"/>
              </w:rPr>
            </w:pPr>
          </w:p>
        </w:tc>
      </w:tr>
      <w:tr>
        <w:trPr>
          <w:trHeight w:val="58"/>
        </w:trPr>
        <w:tc>
          <w:tcPr>
            <w:tcW w:w="77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Cash (used in) provided by investing activities - continuing operations</w:t>
            </w:r>
          </w:p>
        </w:tc>
        <w:tc>
          <w:tcPr>
            <w:tcW w:w="3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(212,990)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438,781</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700"/>
              <w:spacing w:after="0"/>
              <w:rPr>
                <w:sz w:val="20"/>
                <w:szCs w:val="20"/>
                <w:color w:val="auto"/>
              </w:rPr>
            </w:pPr>
            <w:r>
              <w:rPr>
                <w:rFonts w:ascii="Arial" w:cs="Arial" w:eastAsia="Arial" w:hAnsi="Arial"/>
                <w:sz w:val="15"/>
                <w:szCs w:val="15"/>
                <w:color w:val="auto"/>
              </w:rPr>
              <w:t>Cash provided by investing activities - discontinued operations</w:t>
            </w:r>
          </w:p>
        </w:tc>
        <w:tc>
          <w:tcPr>
            <w:tcW w:w="360" w:type="dxa"/>
            <w:vAlign w:val="bottom"/>
          </w:tcPr>
          <w:p>
            <w:pPr>
              <w:spacing w:after="0"/>
              <w:rPr>
                <w:sz w:val="18"/>
                <w:szCs w:val="18"/>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279,219</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78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5"/>
                <w:szCs w:val="15"/>
                <w:color w:val="auto"/>
              </w:rPr>
              <w:t>Cash (used in) provided by investing activities</w:t>
            </w:r>
          </w:p>
        </w:tc>
        <w:tc>
          <w:tcPr>
            <w:tcW w:w="3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(212,990)</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718,000</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60"/>
          </w:cols>
          <w:pgMar w:left="460" w:top="1170" w:right="479" w:bottom="1440" w:gutter="0" w:footer="0" w:header="0"/>
        </w:sectPr>
      </w:pPr>
    </w:p>
    <w:bookmarkStart w:id="10" w:name="page11"/>
    <w:bookmarkEnd w:id="10"/>
    <w:p>
      <w:pPr>
        <w:jc w:val="center"/>
        <w:ind w:right="-151"/>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ind w:right="-151"/>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092"/>
          </w:cols>
          <w:pgMar w:left="328" w:top="522" w:right="479" w:bottom="1440" w:gutter="0" w:footer="0" w:header="0"/>
        </w:sectPr>
      </w:pPr>
    </w:p>
    <w:p>
      <w:pPr>
        <w:spacing w:after="0" w:line="373" w:lineRule="exact"/>
        <w:rPr>
          <w:sz w:val="20"/>
          <w:szCs w:val="20"/>
          <w:color w:val="auto"/>
        </w:rPr>
      </w:pPr>
    </w:p>
    <w:p>
      <w:pPr>
        <w:ind w:left="172"/>
        <w:spacing w:after="0"/>
        <w:rPr>
          <w:sz w:val="20"/>
          <w:szCs w:val="20"/>
          <w:color w:val="auto"/>
        </w:rPr>
      </w:pPr>
      <w:r>
        <w:rPr>
          <w:rFonts w:ascii="Arial" w:cs="Arial" w:eastAsia="Arial" w:hAnsi="Arial"/>
          <w:sz w:val="13"/>
          <w:szCs w:val="13"/>
          <w:i w:val="1"/>
          <w:iCs w:val="1"/>
          <w:color w:val="auto"/>
        </w:rPr>
        <w:t>(in thousands)</w:t>
      </w:r>
    </w:p>
    <w:p>
      <w:pPr>
        <w:spacing w:after="0" w:line="73" w:lineRule="exact"/>
        <w:rPr>
          <w:sz w:val="20"/>
          <w:szCs w:val="20"/>
          <w:color w:val="auto"/>
        </w:rPr>
      </w:pPr>
    </w:p>
    <w:p>
      <w:pPr>
        <w:ind w:left="172"/>
        <w:spacing w:after="0"/>
        <w:rPr>
          <w:sz w:val="20"/>
          <w:szCs w:val="20"/>
          <w:color w:val="auto"/>
        </w:rPr>
      </w:pPr>
      <w:r>
        <w:rPr>
          <w:rFonts w:ascii="Arial" w:cs="Arial" w:eastAsia="Arial" w:hAnsi="Arial"/>
          <w:sz w:val="15"/>
          <w:szCs w:val="15"/>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49530</wp:posOffset>
            </wp:positionV>
            <wp:extent cx="696087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82" w:lineRule="exact"/>
        <w:rPr>
          <w:sz w:val="20"/>
          <w:szCs w:val="20"/>
          <w:color w:val="auto"/>
        </w:rPr>
      </w:pPr>
    </w:p>
    <w:p>
      <w:pPr>
        <w:ind w:left="292"/>
        <w:spacing w:after="0"/>
        <w:rPr>
          <w:sz w:val="20"/>
          <w:szCs w:val="20"/>
          <w:color w:val="auto"/>
        </w:rPr>
      </w:pPr>
      <w:r>
        <w:rPr>
          <w:rFonts w:ascii="Arial" w:cs="Arial" w:eastAsia="Arial" w:hAnsi="Arial"/>
          <w:sz w:val="15"/>
          <w:szCs w:val="15"/>
          <w:color w:val="auto"/>
        </w:rPr>
        <w:t>Proceeds from issuance of Trust common shares, net</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Borrowings under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696087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Repayments under credit facility</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Proceeds from issuance of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696087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Distributions paid - common shares</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Distributions paid -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696087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Distributions paid - allocation interests</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Net proceeds provided by noncontrolling shareholders -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696087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Net proceeds provided by noncontrolling shareholders</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Purchase of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696087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Debt issuance costs</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696087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78" w:lineRule="exact"/>
        <w:rPr>
          <w:sz w:val="20"/>
          <w:szCs w:val="20"/>
          <w:color w:val="auto"/>
        </w:rPr>
      </w:pPr>
    </w:p>
    <w:p>
      <w:pPr>
        <w:ind w:left="832"/>
        <w:spacing w:after="0"/>
        <w:rPr>
          <w:sz w:val="20"/>
          <w:szCs w:val="20"/>
          <w:color w:val="auto"/>
        </w:rPr>
      </w:pPr>
      <w:r>
        <w:rPr>
          <w:rFonts w:ascii="Arial" w:cs="Arial" w:eastAsia="Arial" w:hAnsi="Arial"/>
          <w:sz w:val="15"/>
          <w:szCs w:val="15"/>
          <w:color w:val="auto"/>
        </w:rPr>
        <w:t>Net cash provided by (used in) financing activities</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Foreign currency impact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696087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78" w:lineRule="exact"/>
        <w:rPr>
          <w:sz w:val="20"/>
          <w:szCs w:val="20"/>
          <w:color w:val="auto"/>
        </w:rPr>
      </w:pPr>
    </w:p>
    <w:p>
      <w:pPr>
        <w:ind w:left="832"/>
        <w:spacing w:after="0"/>
        <w:rPr>
          <w:sz w:val="20"/>
          <w:szCs w:val="20"/>
          <w:color w:val="auto"/>
        </w:rPr>
      </w:pPr>
      <w:r>
        <w:rPr>
          <w:rFonts w:ascii="Arial" w:cs="Arial" w:eastAsia="Arial" w:hAnsi="Arial"/>
          <w:sz w:val="15"/>
          <w:szCs w:val="15"/>
          <w:color w:val="auto"/>
        </w:rPr>
        <w:t>Net increase in cash and cash equivalents</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 xml:space="preserve">Cash and cash equivalents — beginning of period </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696087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20231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1" w:lineRule="exact"/>
        <w:rPr>
          <w:sz w:val="20"/>
          <w:szCs w:val="20"/>
          <w:color w:val="auto"/>
        </w:rPr>
      </w:pPr>
    </w:p>
    <w:p>
      <w:pPr>
        <w:ind w:left="600"/>
        <w:spacing w:after="0"/>
        <w:tabs>
          <w:tab w:leader="none" w:pos="2220" w:val="left"/>
        </w:tabs>
        <w:rPr>
          <w:sz w:val="20"/>
          <w:szCs w:val="20"/>
          <w:color w:val="auto"/>
        </w:rPr>
      </w:pPr>
      <w:r>
        <w:rPr>
          <w:rFonts w:ascii="Arial" w:cs="Arial" w:eastAsia="Arial" w:hAnsi="Arial"/>
          <w:sz w:val="15"/>
          <w:szCs w:val="15"/>
          <w:b w:val="1"/>
          <w:bCs w:val="1"/>
          <w:color w:val="auto"/>
        </w:rPr>
        <w:t>2020</w:t>
      </w:r>
      <w:r>
        <w:rPr>
          <w:sz w:val="20"/>
          <w:szCs w:val="20"/>
          <w:color w:val="auto"/>
        </w:rPr>
        <w:tab/>
      </w:r>
      <w:r>
        <w:rPr>
          <w:rFonts w:ascii="Arial" w:cs="Arial" w:eastAsia="Arial" w:hAnsi="Arial"/>
          <w:sz w:val="15"/>
          <w:szCs w:val="15"/>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20231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83,908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0"/>
        </w:trPr>
        <w:tc>
          <w:tcPr>
            <w:tcW w:w="4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200,000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108,000</w:t>
            </w:r>
          </w:p>
        </w:tc>
      </w:tr>
      <w:tr>
        <w:trPr>
          <w:trHeight w:val="270"/>
        </w:trPr>
        <w:tc>
          <w:tcPr>
            <w:tcW w:w="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(200,000)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(338,500)</w:t>
            </w:r>
          </w:p>
        </w:tc>
      </w:tr>
      <w:tr>
        <w:trPr>
          <w:trHeight w:val="270"/>
        </w:trPr>
        <w:tc>
          <w:tcPr>
            <w:tcW w:w="4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202,000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0"/>
        </w:trPr>
        <w:tc>
          <w:tcPr>
            <w:tcW w:w="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(43,128)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(43,128)</w:t>
            </w:r>
          </w:p>
        </w:tc>
      </w:tr>
      <w:tr>
        <w:trPr>
          <w:trHeight w:val="270"/>
        </w:trPr>
        <w:tc>
          <w:tcPr>
            <w:tcW w:w="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(11,587)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(7,563)</w:t>
            </w:r>
          </w:p>
        </w:tc>
      </w:tr>
      <w:tr>
        <w:trPr>
          <w:trHeight w:val="270"/>
        </w:trPr>
        <w:tc>
          <w:tcPr>
            <w:tcW w:w="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(9,087)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(7,983)</w:t>
            </w:r>
          </w:p>
        </w:tc>
      </w:tr>
      <w:tr>
        <w:trPr>
          <w:trHeight w:val="270"/>
        </w:trPr>
        <w:tc>
          <w:tcPr>
            <w:tcW w:w="4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11,127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0"/>
        </w:trPr>
        <w:tc>
          <w:tcPr>
            <w:tcW w:w="4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253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41</w:t>
            </w:r>
          </w:p>
        </w:tc>
      </w:tr>
      <w:tr>
        <w:trPr>
          <w:trHeight w:val="270"/>
        </w:trPr>
        <w:tc>
          <w:tcPr>
            <w:tcW w:w="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(343)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270"/>
        </w:trPr>
        <w:tc>
          <w:tcPr>
            <w:tcW w:w="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(3,180)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4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632</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(3,547)</w:t>
            </w:r>
          </w:p>
        </w:tc>
      </w:tr>
      <w:tr>
        <w:trPr>
          <w:trHeight w:val="250"/>
        </w:trPr>
        <w:tc>
          <w:tcPr>
            <w:tcW w:w="4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230,595</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(292,750)</w:t>
            </w:r>
          </w:p>
        </w:tc>
      </w:tr>
      <w:tr>
        <w:trPr>
          <w:trHeight w:val="246"/>
        </w:trPr>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(1,366)</w:t>
            </w:r>
          </w:p>
        </w:tc>
      </w:tr>
      <w:tr>
        <w:trPr>
          <w:trHeight w:val="270"/>
        </w:trPr>
        <w:tc>
          <w:tcPr>
            <w:tcW w:w="4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104,914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432,538</w:t>
            </w:r>
          </w:p>
        </w:tc>
      </w:tr>
      <w:tr>
        <w:trPr>
          <w:trHeight w:val="274"/>
        </w:trPr>
        <w:tc>
          <w:tcPr>
            <w:tcW w:w="4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100,314</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53,326</w:t>
            </w:r>
          </w:p>
        </w:tc>
      </w:tr>
      <w:tr>
        <w:trPr>
          <w:trHeight w:val="237"/>
        </w:trPr>
        <w:tc>
          <w:tcPr>
            <w:tcW w:w="46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205,228</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485,864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92" w:space="720"/>
            <w:col w:w="3180"/>
          </w:cols>
          <w:pgMar w:left="328" w:top="522" w:right="479" w:bottom="1440" w:gutter="0" w:footer="0" w:header="0"/>
          <w:type w:val="continuous"/>
        </w:sectPr>
      </w:pPr>
    </w:p>
    <w:p>
      <w:pPr>
        <w:spacing w:after="0" w:line="201" w:lineRule="exact"/>
        <w:rPr>
          <w:sz w:val="20"/>
          <w:szCs w:val="20"/>
          <w:color w:val="auto"/>
        </w:rPr>
      </w:pPr>
    </w:p>
    <w:p>
      <w:pPr>
        <w:ind w:left="172" w:hanging="172"/>
        <w:spacing w:after="0"/>
        <w:tabs>
          <w:tab w:leader="none" w:pos="172" w:val="left"/>
        </w:tabs>
        <w:numPr>
          <w:ilvl w:val="0"/>
          <w:numId w:val="5"/>
        </w:numPr>
        <w:rPr>
          <w:rFonts w:ascii="Arial" w:cs="Arial" w:eastAsia="Arial" w:hAnsi="Arial"/>
          <w:sz w:val="21"/>
          <w:szCs w:val="21"/>
          <w:b w:val="1"/>
          <w:bCs w:val="1"/>
          <w:color w:val="auto"/>
          <w:vertAlign w:val="superscript"/>
        </w:rPr>
      </w:pPr>
      <w:r>
        <w:rPr>
          <w:rFonts w:ascii="Arial" w:cs="Arial" w:eastAsia="Arial" w:hAnsi="Arial"/>
          <w:sz w:val="15"/>
          <w:szCs w:val="15"/>
          <w:color w:val="auto"/>
        </w:rPr>
        <w:t>Includes cash from discontinued operations of $4.6 million at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92"/>
          </w:cols>
          <w:pgMar w:left="328" w:top="522" w:right="47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Presentation and Principles of Consolidation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a Delaware statutory trust (the "Trust" or "Holdings") and Compass Group Diversified Holdings LLC, a Delaware limited liability company (the "Company"), were formed to acquire and manage a group of small and middle-market businesses headquartered in North America. In accordance with the second amended and restated Trust Agreement, dated as of December 6, 2016 (as amended and restated, the "Trust Agreement"), the Trust is sole owner of 100% of the Trust Interests (as defined in the Company’s fifth amended and restated operating agreement, dated as of December 6, 2016 (as amended and restated, the "LLC Agreement")) of the Company and, pursuant to the LLC Agreement, the Company has, outstanding, the identical number of Trust Interests as the number of outstanding shares of the Trust. The Company is the operating entity with a board of directors and other corporate governance responsibilities, similar to that of a Delaware corporation.</w:t>
      </w:r>
    </w:p>
    <w:p>
      <w:pPr>
        <w:spacing w:after="0" w:line="151"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Company is a controlling owner of nine businesses, or reportable operating segments, at June 30, 2020. The segments are as follows: 5.11 Acquisition Corp. ("5.11"), Velocity Outdoor, Inc. (formerly Crosman Corp.) ("Velocity Outdoor" or "Velocity"), The Ergo Baby Carrier, Inc. ("Ergobaby"), Liberty Safe and Security Products, Inc. ("Liberty Safe" or "Liberty"), Marucci Sports, LLC ("Marucci Sports" or "Marucci"), Compass AC Holdings, Inc. ("ACI" or "Advanced Circuits"), AMT Acquisition Corporation ("Arnold"), FFI Compass, Inc. ("Foam Fabricators" or "Foam"), and The Sterno Group, LLC ("Sterno"). Refer to </w:t>
      </w:r>
      <w:hyperlink w:anchor="page18">
        <w:r>
          <w:rPr>
            <w:rFonts w:ascii="Arial" w:cs="Arial" w:eastAsia="Arial" w:hAnsi="Arial"/>
            <w:sz w:val="18"/>
            <w:szCs w:val="18"/>
            <w:u w:val="single" w:color="auto"/>
            <w:color w:val="0000EE"/>
          </w:rPr>
          <w:t>Note E - "Operating Segment Data"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the operating segments. Compass Group Management LLC, a Delaware limited liability company ("CGM" or the "Manager"), manages the day to day operations of the Company and oversees the management and operations of our businesses pursuant to a Management Services Agreement ("MSA").</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condensed consolidated financial statements for the three and six month periods ended June 30, 2020 and June 30, 2019 are unaudited, and in the opinion of management, contain all adjustments necessary for a fair presentation of the condensed consolidated financial statements. Such adjustments consist solely of normal recurring items. Interim results are not necessarily indicative of results for a full year or any subsequent interim period. The condensed consolidated financial statements and notes are prepared in accordance with accounting principles generally accepted in the United States of America ("U.S. GAAP" or "GAAP") and presented as permitted by Form 10-Q and do not contain certain information included in the annual consolidated financial statements and accompanying notes of the Company. These interim condensed consolidated financial statements should be read in conjunction with the consolidated financial statements and accompanying notes included in the Company’s Annual Report on Form 10-K for the year ended December 31,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condensed consolidated financial statements include the accounts of Holdings and all majority owned subsidiaries. All significant intercompany transactions and balances have been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35"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During the first quarter of 2019, the Company completed the sale of FHF Holdings Ltd. ("Manitoba Harvest"), the parent company of Fresh Hemp Foods Ltd. Additionally, during the second quarter of 2019, the Company completed the sale of CEHI Acquisition Corp. ("Clean Earth"), the parent company of Clean Earth Holdings, Inc. and Clean Earth Inc. The results of operations of Manitoba Harvest and Clean Earth are reported as discontinued operations in the condensed consolidated statements of operations for the three and six months ended June 30, 2019. Refer to </w:t>
      </w:r>
      <w:hyperlink w:anchor="page16">
        <w:r>
          <w:rPr>
            <w:rFonts w:ascii="Arial" w:cs="Arial" w:eastAsia="Arial" w:hAnsi="Arial"/>
            <w:sz w:val="18"/>
            <w:szCs w:val="18"/>
            <w:u w:val="single" w:color="auto"/>
            <w:color w:val="0000EE"/>
          </w:rPr>
          <w:t>Note C - "Discontinued Operations"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Unless otherwise indicated, the disclosures accompanying the condensed consolidated financial statements reflect the Company's continuing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produce the highest net sales during our fiscal year.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June 2016, the Financial Accounting Standards Board ("FASB") issued ASU No. 2016-13, Financial Instruments—Credit Losses, which requires companies to present assets held at amortized cost, trade receivables and available for sale debt securities net of the amount expected to be collected. The guidance requires the measurement of expected credit losses to be based on relevant information from past events, including historical experiences, current conditions and reasonable and supportable forecasts that affect collectibility. The guidance was effective for fiscal years and interim periods beginning after December 15, 2019, with early adoption permitted. The adoption of this guidance on January 1, 2020 did not have a material impact on our consolidated financial statements.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This guidance removes certain exceptions related to the approach for intraperiod tax allocation, the methodology for calculating income taxes in an interim period, and the recognition of deferred tax liabilities for outside basis differences. This guidance also clarifies and simplifies other areas of ASC 740. The guidance will be effective for fiscal years and interim periods beginning after December 15, 2021 and early adoption is permitted. The adoption of this guidance is not expected to have a material impact on our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Marucci Sports, LLC</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20, 2020, pursuant to an Agreement and Plan of Merger (the “Merger Agreement”) entered into on March 6, 2020, the Company, through a wholly-owned subsidiary, Wheelhouse Holdings Inc., a Delaware corporation (“Buyer”) and Wheelhouse Holdings Merger Sub LLC, a Delaware limited liability company and a wholly owned Subsidiary of Buyer (“Merger Sub”), completed a merger (the “Transaction”) with Marucci Sports, LLC, a Delaware limited liability company (“Marucci”). Upon the completion of the Transaction, Marucci became a wholly owned subsidiary of Buyer and an indirect subsidiary of the Company. Headquartered in Baton Rouge, Louisiana, Marucci is a leading manufacturer and distributor of baseball and softball equipment. Founded in 2009, Marucci has a product portfolio that includes wood and metal bats, apparel and accessories, batting and fielding gloves and bags and protective gear.</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made loans to, and purchased a 92.2% equity interest in, Marucci. The purchase price, including proceeds from noncontrolling shareholders and net of transaction costs, was $199.4 million. Marucci management and certain existing shareholders invested in the Transaction along with the Company, representing 7.8% initial noncontrolling interest on both a primary and fully diluted basis. The fair value of the noncontrolling interest was determined based on the enterprise value of the acquired entity multiplied by the ratio of the number of shares acquired by the minority holders to total shares. The transaction was accounted for as a business combination. CGM acted as an advisor to the Company in the acquisition and will continue to provide integration services during the first year of the Company's ownership of Marucci. CGM will receive integration service fees of $2.0 million payable quarterly over a twelve month period as services are rendered beginning in the quarter ended September 30, 2020. The Company incurred $2.0 million of transaction costs in conjunction with the Marucci acquisition, which was included in selling, general and administrative expense in the consolidated statements of operations during the second quarter of 2020.</w:t>
      </w:r>
    </w:p>
    <w:p>
      <w:pPr>
        <w:spacing w:after="0" w:line="3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results of operations of Marucci have been included in the consolidated results of operations since the date of acquisition. Marucci's results of operations are reported as a separate operating segment as a branded consumer business. The table below provides the preliminary recording of assets acquired and liabilities assumed as of the date of acquisition.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499" w:right="339" w:bottom="1440" w:gutter="0" w:footer="0" w:header="0"/>
        </w:sectPr>
      </w:pPr>
    </w:p>
    <w:bookmarkStart w:id="13" w:name="page14"/>
    <w:bookmarkEnd w:id="13"/>
    <w:tbl>
      <w:tblPr>
        <w:tblLayout w:type="fixed"/>
        <w:tblInd w:w="1120" w:type="dxa"/>
        <w:tblCellMar>
          <w:top w:w="0" w:type="dxa"/>
          <w:left w:w="0" w:type="dxa"/>
          <w:bottom w:w="0" w:type="dxa"/>
          <w:right w:w="0" w:type="dxa"/>
        </w:tblCellMar>
      </w:tblPr>
      <w:tr>
        <w:trPr>
          <w:trHeight w:val="206"/>
        </w:trPr>
        <w:tc>
          <w:tcPr>
            <w:tcW w:w="6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Preliminary Allocation</w:t>
            </w:r>
          </w:p>
        </w:tc>
      </w:tr>
      <w:tr>
        <w:trPr>
          <w:trHeight w:val="250"/>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5"/>
                <w:szCs w:val="15"/>
                <w:i w:val="1"/>
                <w:iCs w:val="1"/>
                <w:color w:val="auto"/>
              </w:rPr>
              <w:t>(in thousands)</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As of April 20, 2020</w:t>
            </w:r>
          </w:p>
        </w:tc>
      </w:tr>
      <w:tr>
        <w:trPr>
          <w:trHeight w:val="263"/>
        </w:trPr>
        <w:tc>
          <w:tcPr>
            <w:tcW w:w="6820" w:type="dxa"/>
            <w:vAlign w:val="bottom"/>
            <w:gridSpan w:val="2"/>
          </w:tcPr>
          <w:p>
            <w:pPr>
              <w:ind w:left="40"/>
              <w:spacing w:after="0"/>
              <w:rPr>
                <w:sz w:val="20"/>
                <w:szCs w:val="20"/>
                <w:color w:val="auto"/>
              </w:rPr>
            </w:pPr>
            <w:r>
              <w:rPr>
                <w:rFonts w:ascii="Arial" w:cs="Arial" w:eastAsia="Arial" w:hAnsi="Arial"/>
                <w:sz w:val="15"/>
                <w:szCs w:val="15"/>
                <w:b w:val="1"/>
                <w:bCs w:val="1"/>
                <w:color w:val="auto"/>
              </w:rPr>
              <w:t>Assets</w:t>
            </w:r>
          </w:p>
        </w:tc>
        <w:tc>
          <w:tcPr>
            <w:tcW w:w="20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74"/>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Cash</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2,730</w:t>
            </w:r>
          </w:p>
        </w:tc>
      </w:tr>
      <w:tr>
        <w:trPr>
          <w:trHeight w:val="270"/>
        </w:trPr>
        <w:tc>
          <w:tcPr>
            <w:tcW w:w="6820" w:type="dxa"/>
            <w:vAlign w:val="bottom"/>
            <w:gridSpan w:val="2"/>
          </w:tcPr>
          <w:p>
            <w:pPr>
              <w:ind w:left="40"/>
              <w:spacing w:after="0"/>
              <w:rPr>
                <w:sz w:val="20"/>
                <w:szCs w:val="20"/>
                <w:color w:val="auto"/>
              </w:rPr>
            </w:pPr>
            <w:r>
              <w:rPr>
                <w:rFonts w:ascii="Arial" w:cs="Arial" w:eastAsia="Arial" w:hAnsi="Arial"/>
                <w:sz w:val="15"/>
                <w:szCs w:val="15"/>
                <w:color w:val="auto"/>
              </w:rPr>
              <w:t xml:space="preserve">Accounts Receivable </w:t>
            </w:r>
            <w:r>
              <w:rPr>
                <w:rFonts w:ascii="Arial" w:cs="Arial" w:eastAsia="Arial" w:hAnsi="Arial"/>
                <w:sz w:val="21"/>
                <w:szCs w:val="21"/>
                <w:b w:val="1"/>
                <w:bCs w:val="1"/>
                <w:color w:val="auto"/>
                <w:vertAlign w:val="superscript"/>
              </w:rPr>
              <w:t>(1)</w:t>
            </w:r>
          </w:p>
        </w:tc>
        <w:tc>
          <w:tcPr>
            <w:tcW w:w="200" w:type="dxa"/>
            <w:vAlign w:val="bottom"/>
          </w:tcPr>
          <w:p>
            <w:pPr>
              <w:spacing w:after="0"/>
              <w:rPr>
                <w:sz w:val="23"/>
                <w:szCs w:val="23"/>
                <w:color w:val="auto"/>
              </w:rPr>
            </w:pPr>
          </w:p>
        </w:tc>
        <w:tc>
          <w:tcPr>
            <w:tcW w:w="1980" w:type="dxa"/>
            <w:vAlign w:val="bottom"/>
          </w:tcPr>
          <w:p>
            <w:pPr>
              <w:jc w:val="right"/>
              <w:ind w:right="4"/>
              <w:spacing w:after="0"/>
              <w:rPr>
                <w:sz w:val="20"/>
                <w:szCs w:val="20"/>
                <w:color w:val="auto"/>
              </w:rPr>
            </w:pPr>
            <w:r>
              <w:rPr>
                <w:rFonts w:ascii="Arial" w:cs="Arial" w:eastAsia="Arial" w:hAnsi="Arial"/>
                <w:sz w:val="15"/>
                <w:szCs w:val="15"/>
                <w:color w:val="auto"/>
              </w:rPr>
              <w:t>11,471</w:t>
            </w:r>
          </w:p>
        </w:tc>
      </w:tr>
      <w:tr>
        <w:trPr>
          <w:trHeight w:val="270"/>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 xml:space="preserve">Inventory </w:t>
            </w:r>
            <w:r>
              <w:rPr>
                <w:rFonts w:ascii="Arial" w:cs="Arial" w:eastAsia="Arial" w:hAnsi="Arial"/>
                <w:sz w:val="21"/>
                <w:szCs w:val="21"/>
                <w:b w:val="1"/>
                <w:bCs w:val="1"/>
                <w:color w:val="auto"/>
                <w:vertAlign w:val="superscript"/>
              </w:rPr>
              <w:t>(2)</w:t>
            </w:r>
          </w:p>
        </w:tc>
        <w:tc>
          <w:tcPr>
            <w:tcW w:w="20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14,795</w:t>
            </w:r>
          </w:p>
        </w:tc>
      </w:tr>
      <w:tr>
        <w:trPr>
          <w:trHeight w:val="270"/>
        </w:trPr>
        <w:tc>
          <w:tcPr>
            <w:tcW w:w="6820" w:type="dxa"/>
            <w:vAlign w:val="bottom"/>
            <w:gridSpan w:val="2"/>
          </w:tcPr>
          <w:p>
            <w:pPr>
              <w:ind w:left="40"/>
              <w:spacing w:after="0"/>
              <w:rPr>
                <w:sz w:val="20"/>
                <w:szCs w:val="20"/>
                <w:color w:val="auto"/>
              </w:rPr>
            </w:pPr>
            <w:r>
              <w:rPr>
                <w:rFonts w:ascii="Arial" w:cs="Arial" w:eastAsia="Arial" w:hAnsi="Arial"/>
                <w:sz w:val="15"/>
                <w:szCs w:val="15"/>
                <w:color w:val="auto"/>
              </w:rPr>
              <w:t xml:space="preserve">Property, plant and equipment </w:t>
            </w:r>
            <w:r>
              <w:rPr>
                <w:rFonts w:ascii="Arial" w:cs="Arial" w:eastAsia="Arial" w:hAnsi="Arial"/>
                <w:sz w:val="21"/>
                <w:szCs w:val="21"/>
                <w:b w:val="1"/>
                <w:bCs w:val="1"/>
                <w:color w:val="auto"/>
                <w:vertAlign w:val="superscript"/>
              </w:rPr>
              <w:t>(3)</w:t>
            </w:r>
          </w:p>
        </w:tc>
        <w:tc>
          <w:tcPr>
            <w:tcW w:w="200" w:type="dxa"/>
            <w:vAlign w:val="bottom"/>
          </w:tcPr>
          <w:p>
            <w:pPr>
              <w:spacing w:after="0"/>
              <w:rPr>
                <w:sz w:val="23"/>
                <w:szCs w:val="23"/>
                <w:color w:val="auto"/>
              </w:rPr>
            </w:pPr>
          </w:p>
        </w:tc>
        <w:tc>
          <w:tcPr>
            <w:tcW w:w="1980" w:type="dxa"/>
            <w:vAlign w:val="bottom"/>
          </w:tcPr>
          <w:p>
            <w:pPr>
              <w:jc w:val="right"/>
              <w:ind w:right="4"/>
              <w:spacing w:after="0"/>
              <w:rPr>
                <w:sz w:val="20"/>
                <w:szCs w:val="20"/>
                <w:color w:val="auto"/>
              </w:rPr>
            </w:pPr>
            <w:r>
              <w:rPr>
                <w:rFonts w:ascii="Arial" w:cs="Arial" w:eastAsia="Arial" w:hAnsi="Arial"/>
                <w:sz w:val="15"/>
                <w:szCs w:val="15"/>
                <w:color w:val="auto"/>
              </w:rPr>
              <w:t>10,681</w:t>
            </w:r>
          </w:p>
        </w:tc>
      </w:tr>
      <w:tr>
        <w:trPr>
          <w:trHeight w:val="270"/>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Intangible assets</w:t>
            </w:r>
          </w:p>
        </w:tc>
        <w:tc>
          <w:tcPr>
            <w:tcW w:w="20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99,249</w:t>
            </w:r>
          </w:p>
        </w:tc>
      </w:tr>
      <w:tr>
        <w:trPr>
          <w:trHeight w:val="266"/>
        </w:trPr>
        <w:tc>
          <w:tcPr>
            <w:tcW w:w="6820" w:type="dxa"/>
            <w:vAlign w:val="bottom"/>
            <w:gridSpan w:val="2"/>
          </w:tcPr>
          <w:p>
            <w:pPr>
              <w:ind w:left="4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23"/>
                <w:szCs w:val="23"/>
                <w:color w:val="auto"/>
              </w:rPr>
            </w:pPr>
          </w:p>
        </w:tc>
        <w:tc>
          <w:tcPr>
            <w:tcW w:w="1980" w:type="dxa"/>
            <w:vAlign w:val="bottom"/>
          </w:tcPr>
          <w:p>
            <w:pPr>
              <w:jc w:val="right"/>
              <w:ind w:right="4"/>
              <w:spacing w:after="0"/>
              <w:rPr>
                <w:sz w:val="20"/>
                <w:szCs w:val="20"/>
                <w:color w:val="auto"/>
              </w:rPr>
            </w:pPr>
            <w:r>
              <w:rPr>
                <w:rFonts w:ascii="Arial" w:cs="Arial" w:eastAsia="Arial" w:hAnsi="Arial"/>
                <w:sz w:val="15"/>
                <w:szCs w:val="15"/>
                <w:color w:val="auto"/>
              </w:rPr>
              <w:t>67,733</w:t>
            </w:r>
          </w:p>
        </w:tc>
      </w:tr>
      <w:tr>
        <w:trPr>
          <w:trHeight w:val="274"/>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Other current and noncurrent assets</w:t>
            </w:r>
          </w:p>
        </w:tc>
        <w:tc>
          <w:tcPr>
            <w:tcW w:w="20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956</w:t>
            </w:r>
          </w:p>
        </w:tc>
      </w:tr>
      <w:tr>
        <w:trPr>
          <w:trHeight w:val="246"/>
        </w:trPr>
        <w:tc>
          <w:tcPr>
            <w:tcW w:w="6820" w:type="dxa"/>
            <w:vAlign w:val="bottom"/>
            <w:gridSpan w:val="2"/>
          </w:tcPr>
          <w:p>
            <w:pPr>
              <w:ind w:left="4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Pr>
          <w:p>
            <w:pPr>
              <w:spacing w:after="0"/>
              <w:rPr>
                <w:sz w:val="21"/>
                <w:szCs w:val="21"/>
                <w:color w:val="auto"/>
              </w:rPr>
            </w:pPr>
          </w:p>
        </w:tc>
        <w:tc>
          <w:tcPr>
            <w:tcW w:w="1980" w:type="dxa"/>
            <w:vAlign w:val="bottom"/>
          </w:tcPr>
          <w:p>
            <w:pPr>
              <w:jc w:val="right"/>
              <w:ind w:right="4"/>
              <w:spacing w:after="0"/>
              <w:rPr>
                <w:sz w:val="20"/>
                <w:szCs w:val="20"/>
                <w:color w:val="auto"/>
              </w:rPr>
            </w:pPr>
            <w:r>
              <w:rPr>
                <w:rFonts w:ascii="Arial" w:cs="Arial" w:eastAsia="Arial" w:hAnsi="Arial"/>
                <w:sz w:val="15"/>
                <w:szCs w:val="15"/>
                <w:color w:val="auto"/>
              </w:rPr>
              <w:t>207,615</w:t>
            </w:r>
          </w:p>
        </w:tc>
      </w:tr>
      <w:tr>
        <w:trPr>
          <w:trHeight w:val="328"/>
        </w:trPr>
        <w:tc>
          <w:tcPr>
            <w:tcW w:w="6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66"/>
        </w:trPr>
        <w:tc>
          <w:tcPr>
            <w:tcW w:w="6820" w:type="dxa"/>
            <w:vAlign w:val="bottom"/>
            <w:gridSpan w:val="2"/>
          </w:tcPr>
          <w:p>
            <w:pPr>
              <w:ind w:left="40"/>
              <w:spacing w:after="0"/>
              <w:rPr>
                <w:sz w:val="20"/>
                <w:szCs w:val="20"/>
                <w:color w:val="auto"/>
              </w:rPr>
            </w:pPr>
            <w:r>
              <w:rPr>
                <w:rFonts w:ascii="Arial" w:cs="Arial" w:eastAsia="Arial" w:hAnsi="Arial"/>
                <w:sz w:val="15"/>
                <w:szCs w:val="15"/>
                <w:b w:val="1"/>
                <w:bCs w:val="1"/>
                <w:color w:val="auto"/>
              </w:rPr>
              <w:t>Liabilities and noncontrolling interest</w:t>
            </w:r>
          </w:p>
        </w:tc>
        <w:tc>
          <w:tcPr>
            <w:tcW w:w="20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4"/>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Current liabilities</w:t>
            </w:r>
          </w:p>
        </w:tc>
        <w:tc>
          <w:tcPr>
            <w:tcW w:w="20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6,207</w:t>
            </w:r>
          </w:p>
        </w:tc>
      </w:tr>
      <w:tr>
        <w:trPr>
          <w:trHeight w:val="266"/>
        </w:trPr>
        <w:tc>
          <w:tcPr>
            <w:tcW w:w="6820" w:type="dxa"/>
            <w:vAlign w:val="bottom"/>
            <w:gridSpan w:val="2"/>
          </w:tcPr>
          <w:p>
            <w:pPr>
              <w:ind w:left="40"/>
              <w:spacing w:after="0"/>
              <w:rPr>
                <w:sz w:val="20"/>
                <w:szCs w:val="20"/>
                <w:color w:val="auto"/>
              </w:rPr>
            </w:pPr>
            <w:r>
              <w:rPr>
                <w:rFonts w:ascii="Arial" w:cs="Arial" w:eastAsia="Arial" w:hAnsi="Arial"/>
                <w:sz w:val="15"/>
                <w:szCs w:val="15"/>
                <w:color w:val="auto"/>
              </w:rPr>
              <w:t>Other liabilities</w:t>
            </w:r>
          </w:p>
        </w:tc>
        <w:tc>
          <w:tcPr>
            <w:tcW w:w="200" w:type="dxa"/>
            <w:vAlign w:val="bottom"/>
          </w:tcPr>
          <w:p>
            <w:pPr>
              <w:spacing w:after="0"/>
              <w:rPr>
                <w:sz w:val="23"/>
                <w:szCs w:val="23"/>
                <w:color w:val="auto"/>
              </w:rPr>
            </w:pPr>
          </w:p>
        </w:tc>
        <w:tc>
          <w:tcPr>
            <w:tcW w:w="1980" w:type="dxa"/>
            <w:vAlign w:val="bottom"/>
          </w:tcPr>
          <w:p>
            <w:pPr>
              <w:jc w:val="right"/>
              <w:ind w:right="4"/>
              <w:spacing w:after="0"/>
              <w:rPr>
                <w:sz w:val="20"/>
                <w:szCs w:val="20"/>
                <w:color w:val="auto"/>
              </w:rPr>
            </w:pPr>
            <w:r>
              <w:rPr>
                <w:rFonts w:ascii="Arial" w:cs="Arial" w:eastAsia="Arial" w:hAnsi="Arial"/>
                <w:sz w:val="15"/>
                <w:szCs w:val="15"/>
                <w:color w:val="auto"/>
              </w:rPr>
              <w:t>42,100</w:t>
            </w:r>
          </w:p>
        </w:tc>
      </w:tr>
      <w:tr>
        <w:trPr>
          <w:trHeight w:val="274"/>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Noncontrolling interest</w:t>
            </w:r>
          </w:p>
        </w:tc>
        <w:tc>
          <w:tcPr>
            <w:tcW w:w="20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11,127</w:t>
            </w:r>
          </w:p>
        </w:tc>
      </w:tr>
      <w:tr>
        <w:trPr>
          <w:trHeight w:val="246"/>
        </w:trPr>
        <w:tc>
          <w:tcPr>
            <w:tcW w:w="6820" w:type="dxa"/>
            <w:vAlign w:val="bottom"/>
            <w:gridSpan w:val="2"/>
          </w:tcPr>
          <w:p>
            <w:pPr>
              <w:ind w:left="40"/>
              <w:spacing w:after="0"/>
              <w:rPr>
                <w:sz w:val="20"/>
                <w:szCs w:val="20"/>
                <w:color w:val="auto"/>
              </w:rPr>
            </w:pPr>
            <w:r>
              <w:rPr>
                <w:rFonts w:ascii="Arial" w:cs="Arial" w:eastAsia="Arial" w:hAnsi="Arial"/>
                <w:sz w:val="15"/>
                <w:szCs w:val="15"/>
                <w:b w:val="1"/>
                <w:bCs w:val="1"/>
                <w:color w:val="auto"/>
              </w:rPr>
              <w:t>Total liabilities and noncontrolling interest</w:t>
            </w:r>
          </w:p>
        </w:tc>
        <w:tc>
          <w:tcPr>
            <w:tcW w:w="200" w:type="dxa"/>
            <w:vAlign w:val="bottom"/>
          </w:tcPr>
          <w:p>
            <w:pPr>
              <w:spacing w:after="0"/>
              <w:rPr>
                <w:sz w:val="21"/>
                <w:szCs w:val="21"/>
                <w:color w:val="auto"/>
              </w:rPr>
            </w:pPr>
          </w:p>
        </w:tc>
        <w:tc>
          <w:tcPr>
            <w:tcW w:w="1980" w:type="dxa"/>
            <w:vAlign w:val="bottom"/>
          </w:tcPr>
          <w:p>
            <w:pPr>
              <w:jc w:val="right"/>
              <w:ind w:right="4"/>
              <w:spacing w:after="0"/>
              <w:rPr>
                <w:sz w:val="20"/>
                <w:szCs w:val="20"/>
                <w:color w:val="auto"/>
              </w:rPr>
            </w:pPr>
            <w:r>
              <w:rPr>
                <w:rFonts w:ascii="Arial" w:cs="Arial" w:eastAsia="Arial" w:hAnsi="Arial"/>
                <w:sz w:val="15"/>
                <w:szCs w:val="15"/>
                <w:color w:val="auto"/>
              </w:rPr>
              <w:t>59,434</w:t>
            </w:r>
          </w:p>
        </w:tc>
      </w:tr>
      <w:tr>
        <w:trPr>
          <w:trHeight w:val="328"/>
        </w:trPr>
        <w:tc>
          <w:tcPr>
            <w:tcW w:w="6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66"/>
        </w:trPr>
        <w:tc>
          <w:tcPr>
            <w:tcW w:w="6820" w:type="dxa"/>
            <w:vAlign w:val="bottom"/>
            <w:gridSpan w:val="2"/>
          </w:tcPr>
          <w:p>
            <w:pPr>
              <w:ind w:left="40"/>
              <w:spacing w:after="0"/>
              <w:rPr>
                <w:sz w:val="20"/>
                <w:szCs w:val="20"/>
                <w:color w:val="auto"/>
              </w:rPr>
            </w:pPr>
            <w:r>
              <w:rPr>
                <w:rFonts w:ascii="Arial" w:cs="Arial" w:eastAsia="Arial" w:hAnsi="Arial"/>
                <w:sz w:val="15"/>
                <w:szCs w:val="15"/>
                <w:color w:val="auto"/>
              </w:rPr>
              <w:t>Net assets acquired</w:t>
            </w:r>
          </w:p>
        </w:tc>
        <w:tc>
          <w:tcPr>
            <w:tcW w:w="200" w:type="dxa"/>
            <w:vAlign w:val="bottom"/>
          </w:tcPr>
          <w:p>
            <w:pPr>
              <w:spacing w:after="0"/>
              <w:rPr>
                <w:sz w:val="23"/>
                <w:szCs w:val="23"/>
                <w:color w:val="auto"/>
              </w:rPr>
            </w:pPr>
          </w:p>
        </w:tc>
        <w:tc>
          <w:tcPr>
            <w:tcW w:w="1980" w:type="dxa"/>
            <w:vAlign w:val="bottom"/>
          </w:tcPr>
          <w:p>
            <w:pPr>
              <w:jc w:val="right"/>
              <w:ind w:right="4"/>
              <w:spacing w:after="0"/>
              <w:rPr>
                <w:sz w:val="20"/>
                <w:szCs w:val="20"/>
                <w:color w:val="auto"/>
              </w:rPr>
            </w:pPr>
            <w:r>
              <w:rPr>
                <w:rFonts w:ascii="Arial" w:cs="Arial" w:eastAsia="Arial" w:hAnsi="Arial"/>
                <w:sz w:val="15"/>
                <w:szCs w:val="15"/>
                <w:color w:val="auto"/>
              </w:rPr>
              <w:t>148,181</w:t>
            </w:r>
          </w:p>
        </w:tc>
      </w:tr>
      <w:tr>
        <w:trPr>
          <w:trHeight w:val="274"/>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Noncontrolling interest</w:t>
            </w:r>
          </w:p>
        </w:tc>
        <w:tc>
          <w:tcPr>
            <w:tcW w:w="20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11,127</w:t>
            </w:r>
          </w:p>
        </w:tc>
      </w:tr>
      <w:tr>
        <w:trPr>
          <w:trHeight w:val="266"/>
        </w:trPr>
        <w:tc>
          <w:tcPr>
            <w:tcW w:w="682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Intercompany loans</w:t>
            </w:r>
          </w:p>
        </w:tc>
        <w:tc>
          <w:tcPr>
            <w:tcW w:w="20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42,100</w:t>
            </w:r>
          </w:p>
        </w:tc>
      </w:tr>
      <w:tr>
        <w:trPr>
          <w:trHeight w:val="237"/>
        </w:trPr>
        <w:tc>
          <w:tcPr>
            <w:tcW w:w="66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201,408</w:t>
            </w:r>
          </w:p>
        </w:tc>
      </w:tr>
      <w:tr>
        <w:trPr>
          <w:trHeight w:val="20"/>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20" w:firstLine="8"/>
        <w:spacing w:after="0" w:line="295" w:lineRule="auto"/>
        <w:tabs>
          <w:tab w:leader="none" w:pos="275"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Includes $12.7 million in gross contractual accounts receivable, of which $1.2 million is not expected to be collected. The fair value of accounts receivable approximates book value acquired.</w:t>
      </w:r>
    </w:p>
    <w:p>
      <w:pPr>
        <w:spacing w:after="0" w:line="128" w:lineRule="exact"/>
        <w:rPr>
          <w:rFonts w:ascii="Arial" w:cs="Arial" w:eastAsia="Arial" w:hAnsi="Arial"/>
          <w:sz w:val="16"/>
          <w:szCs w:val="16"/>
          <w:b w:val="1"/>
          <w:bCs w:val="1"/>
          <w:color w:val="auto"/>
        </w:rPr>
      </w:pPr>
    </w:p>
    <w:p>
      <w:pPr>
        <w:ind w:firstLine="8"/>
        <w:spacing w:after="0" w:line="260" w:lineRule="auto"/>
        <w:tabs>
          <w:tab w:leader="none" w:pos="256"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Includes $4.3 million in inventory basis step-up, which will be charged to cost of goods sold. $3.0 million was amortized to cost of goods sold in the second quarter of 2020, and $1.3 million will be charged to cost of goods sold in the third quarter of 2020.</w:t>
      </w:r>
    </w:p>
    <w:p>
      <w:pPr>
        <w:spacing w:after="0" w:line="141" w:lineRule="exact"/>
        <w:rPr>
          <w:rFonts w:ascii="Arial" w:cs="Arial" w:eastAsia="Arial" w:hAnsi="Arial"/>
          <w:sz w:val="16"/>
          <w:szCs w:val="16"/>
          <w:b w:val="1"/>
          <w:bCs w:val="1"/>
          <w:color w:val="auto"/>
        </w:rPr>
      </w:pPr>
    </w:p>
    <w:p>
      <w:pPr>
        <w:ind w:right="700" w:firstLine="8"/>
        <w:spacing w:after="0" w:line="260" w:lineRule="auto"/>
        <w:tabs>
          <w:tab w:leader="none" w:pos="243"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Includes $2.5 million of property, plant and equipment basis step-up. The fair value of property, plant and equipment will be depreciated over the remaining useful lives of the assets.</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206"/>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Acquisition consideration</w:t>
            </w: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r>
      <w:tr>
        <w:trPr>
          <w:trHeight w:val="254"/>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Purchase price</w:t>
            </w:r>
          </w:p>
        </w:tc>
        <w:tc>
          <w:tcPr>
            <w:tcW w:w="840" w:type="dxa"/>
            <w:vAlign w:val="bottom"/>
            <w:shd w:val="clear" w:color="auto" w:fill="CCEEFF"/>
          </w:tcPr>
          <w:p>
            <w:pPr>
              <w:jc w:val="right"/>
              <w:ind w:right="644"/>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200,000</w:t>
            </w:r>
          </w:p>
        </w:tc>
      </w:tr>
      <w:tr>
        <w:trPr>
          <w:trHeight w:val="266"/>
        </w:trPr>
        <w:tc>
          <w:tcPr>
            <w:tcW w:w="6820" w:type="dxa"/>
            <w:vAlign w:val="bottom"/>
            <w:gridSpan w:val="2"/>
          </w:tcPr>
          <w:p>
            <w:pPr>
              <w:ind w:left="40"/>
              <w:spacing w:after="0"/>
              <w:rPr>
                <w:sz w:val="20"/>
                <w:szCs w:val="20"/>
                <w:color w:val="auto"/>
              </w:rPr>
            </w:pPr>
            <w:r>
              <w:rPr>
                <w:rFonts w:ascii="Arial" w:cs="Arial" w:eastAsia="Arial" w:hAnsi="Arial"/>
                <w:sz w:val="15"/>
                <w:szCs w:val="15"/>
                <w:color w:val="auto"/>
              </w:rPr>
              <w:t>Cash acquired</w:t>
            </w:r>
          </w:p>
        </w:tc>
        <w:tc>
          <w:tcPr>
            <w:tcW w:w="840" w:type="dxa"/>
            <w:vAlign w:val="bottom"/>
          </w:tcPr>
          <w:p>
            <w:pPr>
              <w:spacing w:after="0"/>
              <w:rPr>
                <w:sz w:val="23"/>
                <w:szCs w:val="23"/>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3,750</w:t>
            </w:r>
          </w:p>
        </w:tc>
      </w:tr>
      <w:tr>
        <w:trPr>
          <w:trHeight w:val="274"/>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working capital adjustment</w:t>
            </w:r>
          </w:p>
        </w:tc>
        <w:tc>
          <w:tcPr>
            <w:tcW w:w="8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w:t>
            </w:r>
          </w:p>
        </w:tc>
      </w:tr>
      <w:tr>
        <w:trPr>
          <w:trHeight w:val="266"/>
        </w:trPr>
        <w:tc>
          <w:tcPr>
            <w:tcW w:w="682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Other adjustments</w:t>
            </w:r>
          </w:p>
        </w:tc>
        <w:tc>
          <w:tcPr>
            <w:tcW w:w="8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(2,500)</w:t>
            </w:r>
          </w:p>
        </w:tc>
      </w:tr>
      <w:tr>
        <w:trPr>
          <w:trHeight w:val="254"/>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Total purchase consideration</w:t>
            </w:r>
          </w:p>
        </w:tc>
        <w:tc>
          <w:tcPr>
            <w:tcW w:w="840" w:type="dxa"/>
            <w:vAlign w:val="bottom"/>
            <w:shd w:val="clear" w:color="auto" w:fill="CCEEFF"/>
          </w:tcPr>
          <w:p>
            <w:pPr>
              <w:jc w:val="right"/>
              <w:ind w:right="644"/>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201,408</w:t>
            </w:r>
          </w:p>
        </w:tc>
      </w:tr>
      <w:tr>
        <w:trPr>
          <w:trHeight w:val="266"/>
        </w:trPr>
        <w:tc>
          <w:tcPr>
            <w:tcW w:w="682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Less: Transaction costs</w:t>
            </w:r>
          </w:p>
        </w:tc>
        <w:tc>
          <w:tcPr>
            <w:tcW w:w="8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2,042</w:t>
            </w:r>
          </w:p>
        </w:tc>
      </w:tr>
      <w:tr>
        <w:trPr>
          <w:trHeight w:val="240"/>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Net purchase price</w:t>
            </w:r>
          </w:p>
        </w:tc>
        <w:tc>
          <w:tcPr>
            <w:tcW w:w="840" w:type="dxa"/>
            <w:vAlign w:val="bottom"/>
            <w:tcBorders>
              <w:bottom w:val="single" w:sz="8" w:color="auto"/>
            </w:tcBorders>
            <w:shd w:val="clear" w:color="auto" w:fill="CCEEFF"/>
          </w:tcPr>
          <w:p>
            <w:pPr>
              <w:jc w:val="right"/>
              <w:ind w:right="644"/>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199,366</w:t>
            </w:r>
          </w:p>
        </w:tc>
      </w:tr>
      <w:tr>
        <w:trPr>
          <w:trHeight w:val="20"/>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preliminary allocation of the purchase price presented above is based on management's estimate of the fair values using valuation techniques including the income, cost and market approach. In estimating the fair value of the acquired assets and assumed liabilities, the fair value estimates are based on, but not limited to, expected future revenue and cash flows, expected future growth rates and estimated discount rates. Current and noncurrent assets and current and other liabilities are valued at historical carrying values. Property, plant and equipment is valued through a purchase price appraisal and will be depreciated on a straight-line basis over the respective remaining useful lives of the assets. Goodwill is calculated as the excess of the consideration transferred over the fair value of the identifiable net assets acquired and represents the future economic benefits expected to arise from other intangible assets acquired that do not qualify for separate recognition, including assembled workforce and non-contractual relationships, as well 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550" w:right="339" w:bottom="1440" w:gutter="0" w:footer="0" w:header="0"/>
        </w:sectPr>
      </w:pPr>
    </w:p>
    <w:bookmarkStart w:id="14" w:name="page15"/>
    <w:bookmarkEnd w:id="14"/>
    <w:p>
      <w:pPr>
        <w:jc w:val="both"/>
        <w:spacing w:after="0" w:line="256" w:lineRule="auto"/>
        <w:rPr>
          <w:sz w:val="20"/>
          <w:szCs w:val="20"/>
          <w:color w:val="auto"/>
        </w:rPr>
      </w:pPr>
      <w:r>
        <w:rPr>
          <w:rFonts w:ascii="Arial" w:cs="Arial" w:eastAsia="Arial" w:hAnsi="Arial"/>
          <w:sz w:val="18"/>
          <w:szCs w:val="18"/>
          <w:color w:val="auto"/>
        </w:rPr>
        <w:t>expected future synergies. The goodwill of $67.7 million reflects the strategic fit of Marucci in the Company's branded consumer business and is expected to be deductible for income tax purposes. The purchase accounting for Marucci is preliminary and is expected to be finalized in the third quarter of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recorded related to the Marucci acquisition are as follows (in thousands):</w:t>
      </w:r>
    </w:p>
    <w:p>
      <w:pPr>
        <w:spacing w:after="0" w:line="356" w:lineRule="exact"/>
        <w:rPr>
          <w:sz w:val="20"/>
          <w:szCs w:val="20"/>
          <w:color w:val="auto"/>
        </w:rPr>
      </w:pPr>
    </w:p>
    <w:tbl>
      <w:tblPr>
        <w:tblLayout w:type="fixed"/>
        <w:tblInd w:w="1420" w:type="dxa"/>
        <w:tblCellMar>
          <w:top w:w="0" w:type="dxa"/>
          <w:left w:w="0" w:type="dxa"/>
          <w:bottom w:w="0" w:type="dxa"/>
          <w:right w:w="0" w:type="dxa"/>
        </w:tblCellMar>
      </w:tblPr>
      <w:tr>
        <w:trPr>
          <w:trHeight w:val="172"/>
        </w:trPr>
        <w:tc>
          <w:tcPr>
            <w:tcW w:w="16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rPr>
              <w:t>Estimated Useful</w:t>
            </w:r>
          </w:p>
        </w:tc>
      </w:tr>
      <w:tr>
        <w:trPr>
          <w:trHeight w:val="206"/>
        </w:trPr>
        <w:tc>
          <w:tcPr>
            <w:tcW w:w="16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Intangible Assets</w:t>
            </w: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76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Life</w:t>
            </w:r>
          </w:p>
        </w:tc>
      </w:tr>
      <w:tr>
        <w:trPr>
          <w:trHeight w:val="254"/>
        </w:trPr>
        <w:tc>
          <w:tcPr>
            <w:tcW w:w="1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Tradename</w:t>
            </w:r>
          </w:p>
        </w:tc>
        <w:tc>
          <w:tcPr>
            <w:tcW w:w="352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7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83,929</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 years</w:t>
            </w:r>
          </w:p>
        </w:tc>
      </w:tr>
      <w:tr>
        <w:trPr>
          <w:trHeight w:val="266"/>
        </w:trPr>
        <w:tc>
          <w:tcPr>
            <w:tcW w:w="160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2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80" w:type="dxa"/>
            <w:vAlign w:val="bottom"/>
          </w:tcPr>
          <w:p>
            <w:pPr>
              <w:jc w:val="right"/>
              <w:ind w:right="24"/>
              <w:spacing w:after="0"/>
              <w:rPr>
                <w:sz w:val="20"/>
                <w:szCs w:val="20"/>
                <w:color w:val="auto"/>
              </w:rPr>
            </w:pPr>
            <w:r>
              <w:rPr>
                <w:rFonts w:ascii="Arial" w:cs="Arial" w:eastAsia="Arial" w:hAnsi="Arial"/>
                <w:sz w:val="15"/>
                <w:szCs w:val="15"/>
                <w:color w:val="auto"/>
              </w:rPr>
              <w:t>11,120</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rPr>
              <w:t>15 years</w:t>
            </w:r>
          </w:p>
        </w:tc>
      </w:tr>
      <w:tr>
        <w:trPr>
          <w:trHeight w:val="270"/>
        </w:trPr>
        <w:tc>
          <w:tcPr>
            <w:tcW w:w="1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29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4,200</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 years</w:t>
            </w:r>
          </w:p>
        </w:tc>
      </w:tr>
      <w:tr>
        <w:trPr>
          <w:trHeight w:val="237"/>
        </w:trPr>
        <w:tc>
          <w:tcPr>
            <w:tcW w:w="1600" w:type="dxa"/>
            <w:vAlign w:val="bottom"/>
          </w:tcPr>
          <w:p>
            <w:pPr>
              <w:spacing w:after="0"/>
              <w:rPr>
                <w:sz w:val="20"/>
                <w:szCs w:val="20"/>
                <w:color w:val="auto"/>
              </w:rPr>
            </w:pPr>
          </w:p>
        </w:tc>
        <w:tc>
          <w:tcPr>
            <w:tcW w:w="3520" w:type="dxa"/>
            <w:vAlign w:val="bottom"/>
            <w:gridSpan w:val="3"/>
          </w:tcPr>
          <w:p>
            <w:pPr>
              <w:jc w:val="right"/>
              <w:ind w:right="360"/>
              <w:spacing w:after="0"/>
              <w:rPr>
                <w:sz w:val="20"/>
                <w:szCs w:val="20"/>
                <w:color w:val="auto"/>
              </w:rPr>
            </w:pPr>
            <w:r>
              <w:rPr>
                <w:rFonts w:ascii="Arial" w:cs="Arial" w:eastAsia="Arial" w:hAnsi="Arial"/>
                <w:sz w:val="15"/>
                <w:szCs w:val="15"/>
                <w:color w:val="auto"/>
              </w:rPr>
              <w:t>$</w:t>
            </w:r>
          </w:p>
        </w:tc>
        <w:tc>
          <w:tcPr>
            <w:tcW w:w="1780" w:type="dxa"/>
            <w:vAlign w:val="bottom"/>
          </w:tcPr>
          <w:p>
            <w:pPr>
              <w:jc w:val="right"/>
              <w:ind w:right="24"/>
              <w:spacing w:after="0"/>
              <w:rPr>
                <w:sz w:val="20"/>
                <w:szCs w:val="20"/>
                <w:color w:val="auto"/>
              </w:rPr>
            </w:pPr>
            <w:r>
              <w:rPr>
                <w:rFonts w:ascii="Arial" w:cs="Arial" w:eastAsia="Arial" w:hAnsi="Arial"/>
                <w:sz w:val="15"/>
                <w:szCs w:val="15"/>
                <w:color w:val="auto"/>
              </w:rPr>
              <w:t>99,249</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0"/>
        </w:trPr>
        <w:tc>
          <w:tcPr>
            <w:tcW w:w="1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tradename was valued at $83.9 million using a multi-period excess earnings methodology. The customer relationships intangible asset was valued at $11.1 million using the distributor method, a variation of the multi-period excess earnings methodology, in which an asset is valuable to the extent it enables its owners to earn a return in excess of the required returns on the other assets utilized in the business. The technology was valued at $4.2 million using a relief from royalty method.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unaudited pro forma data for the three and six months ended June 30, 2020 and 2019 gives effect to the acquisition of Marucci, as described above, as if the acquisition had been completed as of January 1, 2019. The pro forma data gives effect to historical operating results with adjustments to interest expense, amortization and depreciation expense, management fees and related tax effects. The information is provided for illustrative purposes only and is not necessarily indicative of the operating results that would have occurred if the transaction had been consummated on the date indicated, nor is it necessarily indicative of future operating results of the consolidated companies, and should not be construed as representing results for any future period.</w:t>
      </w:r>
    </w:p>
    <w:p>
      <w:pPr>
        <w:spacing w:after="0" w:line="295" w:lineRule="exact"/>
        <w:rPr>
          <w:sz w:val="20"/>
          <w:szCs w:val="20"/>
          <w:color w:val="auto"/>
        </w:rPr>
      </w:pPr>
    </w:p>
    <w:tbl>
      <w:tblPr>
        <w:tblLayout w:type="fixed"/>
        <w:tblInd w:w="280" w:type="dxa"/>
        <w:tblCellMar>
          <w:top w:w="0" w:type="dxa"/>
          <w:left w:w="0" w:type="dxa"/>
          <w:bottom w:w="0" w:type="dxa"/>
          <w:right w:w="0" w:type="dxa"/>
        </w:tblCellMar>
      </w:tblPr>
      <w:tr>
        <w:trPr>
          <w:trHeight w:val="206"/>
        </w:trPr>
        <w:tc>
          <w:tcPr>
            <w:tcW w:w="3960" w:type="dxa"/>
            <w:vAlign w:val="bottom"/>
          </w:tcPr>
          <w:p>
            <w:pPr>
              <w:spacing w:after="0"/>
              <w:rPr>
                <w:sz w:val="17"/>
                <w:szCs w:val="17"/>
                <w:color w:val="auto"/>
              </w:rPr>
            </w:pPr>
          </w:p>
        </w:tc>
        <w:tc>
          <w:tcPr>
            <w:tcW w:w="3340" w:type="dxa"/>
            <w:vAlign w:val="bottom"/>
            <w:tcBorders>
              <w:bottom w:val="single" w:sz="8" w:color="auto"/>
            </w:tcBorders>
            <w:gridSpan w:val="3"/>
          </w:tcPr>
          <w:p>
            <w:pPr>
              <w:jc w:val="right"/>
              <w:ind w:right="82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7"/>
                <w:szCs w:val="17"/>
                <w:color w:val="auto"/>
              </w:rPr>
            </w:pPr>
          </w:p>
        </w:tc>
        <w:tc>
          <w:tcPr>
            <w:tcW w:w="3300" w:type="dxa"/>
            <w:vAlign w:val="bottom"/>
            <w:tcBorders>
              <w:bottom w:val="single" w:sz="8" w:color="auto"/>
            </w:tcBorders>
            <w:gridSpan w:val="3"/>
          </w:tcPr>
          <w:p>
            <w:pPr>
              <w:jc w:val="right"/>
              <w:ind w:right="904"/>
              <w:spacing w:after="0"/>
              <w:rPr>
                <w:sz w:val="20"/>
                <w:szCs w:val="20"/>
                <w:color w:val="auto"/>
              </w:rPr>
            </w:pPr>
            <w:r>
              <w:rPr>
                <w:rFonts w:ascii="Arial" w:cs="Arial" w:eastAsia="Arial" w:hAnsi="Arial"/>
                <w:sz w:val="15"/>
                <w:szCs w:val="15"/>
                <w:b w:val="1"/>
                <w:bCs w:val="1"/>
                <w:color w:val="auto"/>
              </w:rPr>
              <w:t>Six months ended</w:t>
            </w:r>
          </w:p>
        </w:tc>
      </w:tr>
      <w:tr>
        <w:trPr>
          <w:trHeight w:val="264"/>
        </w:trPr>
        <w:tc>
          <w:tcPr>
            <w:tcW w:w="39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740" w:type="dxa"/>
            <w:vAlign w:val="bottom"/>
            <w:gridSpan w:val="2"/>
          </w:tcPr>
          <w:p>
            <w:pPr>
              <w:ind w:left="320"/>
              <w:spacing w:after="0"/>
              <w:rPr>
                <w:sz w:val="20"/>
                <w:szCs w:val="20"/>
                <w:color w:val="auto"/>
              </w:rPr>
            </w:pPr>
            <w:r>
              <w:rPr>
                <w:rFonts w:ascii="Arial" w:cs="Arial" w:eastAsia="Arial" w:hAnsi="Arial"/>
                <w:sz w:val="15"/>
                <w:szCs w:val="15"/>
                <w:b w:val="1"/>
                <w:bCs w:val="1"/>
                <w:color w:val="auto"/>
              </w:rPr>
              <w:t>June 30, 2020</w:t>
            </w:r>
          </w:p>
        </w:tc>
        <w:tc>
          <w:tcPr>
            <w:tcW w:w="1700" w:type="dxa"/>
            <w:vAlign w:val="bottom"/>
            <w:gridSpan w:val="2"/>
          </w:tcPr>
          <w:p>
            <w:pPr>
              <w:ind w:left="300"/>
              <w:spacing w:after="0"/>
              <w:rPr>
                <w:sz w:val="20"/>
                <w:szCs w:val="20"/>
                <w:color w:val="auto"/>
              </w:rPr>
            </w:pPr>
            <w:r>
              <w:rPr>
                <w:rFonts w:ascii="Arial" w:cs="Arial" w:eastAsia="Arial" w:hAnsi="Arial"/>
                <w:sz w:val="15"/>
                <w:szCs w:val="15"/>
                <w:b w:val="1"/>
                <w:bCs w:val="1"/>
                <w:color w:val="auto"/>
              </w:rPr>
              <w:t>June 30, 2019</w:t>
            </w:r>
          </w:p>
        </w:tc>
        <w:tc>
          <w:tcPr>
            <w:tcW w:w="1720" w:type="dxa"/>
            <w:vAlign w:val="bottom"/>
            <w:gridSpan w:val="2"/>
          </w:tcPr>
          <w:p>
            <w:pPr>
              <w:ind w:left="300"/>
              <w:spacing w:after="0"/>
              <w:rPr>
                <w:sz w:val="20"/>
                <w:szCs w:val="20"/>
                <w:color w:val="auto"/>
              </w:rPr>
            </w:pPr>
            <w:r>
              <w:rPr>
                <w:rFonts w:ascii="Arial" w:cs="Arial" w:eastAsia="Arial" w:hAnsi="Arial"/>
                <w:sz w:val="15"/>
                <w:szCs w:val="15"/>
                <w:b w:val="1"/>
                <w:bCs w:val="1"/>
                <w:color w:val="auto"/>
              </w:rPr>
              <w:t>June 30, 2020</w:t>
            </w:r>
          </w:p>
        </w:tc>
        <w:tc>
          <w:tcPr>
            <w:tcW w:w="1580" w:type="dxa"/>
            <w:vAlign w:val="bottom"/>
          </w:tcPr>
          <w:p>
            <w:pPr>
              <w:jc w:val="right"/>
              <w:ind w:right="224"/>
              <w:spacing w:after="0"/>
              <w:rPr>
                <w:sz w:val="20"/>
                <w:szCs w:val="20"/>
                <w:color w:val="auto"/>
              </w:rPr>
            </w:pPr>
            <w:r>
              <w:rPr>
                <w:rFonts w:ascii="Arial" w:cs="Arial" w:eastAsia="Arial" w:hAnsi="Arial"/>
                <w:sz w:val="15"/>
                <w:szCs w:val="15"/>
                <w:b w:val="1"/>
                <w:bCs w:val="1"/>
                <w:color w:val="auto"/>
              </w:rPr>
              <w:t>June 30, 2019</w:t>
            </w:r>
          </w:p>
        </w:tc>
      </w:tr>
      <w:tr>
        <w:trPr>
          <w:trHeight w:val="254"/>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16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333,892</w:t>
            </w:r>
          </w:p>
        </w:tc>
        <w:tc>
          <w:tcPr>
            <w:tcW w:w="12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349,759</w:t>
            </w: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689,576</w:t>
            </w:r>
          </w:p>
        </w:tc>
        <w:tc>
          <w:tcPr>
            <w:tcW w:w="12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709,982</w:t>
            </w:r>
          </w:p>
        </w:tc>
      </w:tr>
      <w:tr>
        <w:trPr>
          <w:trHeight w:val="266"/>
        </w:trPr>
        <w:tc>
          <w:tcPr>
            <w:tcW w:w="396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620" w:type="dxa"/>
            <w:vAlign w:val="bottom"/>
          </w:tcPr>
          <w:p>
            <w:pPr>
              <w:jc w:val="right"/>
              <w:ind w:right="24"/>
              <w:spacing w:after="0"/>
              <w:rPr>
                <w:sz w:val="20"/>
                <w:szCs w:val="20"/>
                <w:color w:val="auto"/>
              </w:rPr>
            </w:pPr>
            <w:r>
              <w:rPr>
                <w:rFonts w:ascii="Arial" w:cs="Arial" w:eastAsia="Arial" w:hAnsi="Arial"/>
                <w:sz w:val="15"/>
                <w:szCs w:val="15"/>
                <w:color w:val="auto"/>
              </w:rPr>
              <w:t>117,471</w:t>
            </w:r>
          </w:p>
        </w:tc>
        <w:tc>
          <w:tcPr>
            <w:tcW w:w="120" w:type="dxa"/>
            <w:vAlign w:val="bottom"/>
          </w:tcPr>
          <w:p>
            <w:pPr>
              <w:spacing w:after="0"/>
              <w:rPr>
                <w:sz w:val="23"/>
                <w:szCs w:val="23"/>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129,651</w:t>
            </w:r>
          </w:p>
        </w:tc>
        <w:tc>
          <w:tcPr>
            <w:tcW w:w="100" w:type="dxa"/>
            <w:vAlign w:val="bottom"/>
          </w:tcPr>
          <w:p>
            <w:pPr>
              <w:spacing w:after="0"/>
              <w:rPr>
                <w:sz w:val="23"/>
                <w:szCs w:val="23"/>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249,318</w:t>
            </w:r>
          </w:p>
        </w:tc>
        <w:tc>
          <w:tcPr>
            <w:tcW w:w="120" w:type="dxa"/>
            <w:vAlign w:val="bottom"/>
          </w:tcPr>
          <w:p>
            <w:pPr>
              <w:spacing w:after="0"/>
              <w:rPr>
                <w:sz w:val="23"/>
                <w:szCs w:val="23"/>
                <w:color w:val="auto"/>
              </w:rPr>
            </w:pP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260,302</w:t>
            </w:r>
          </w:p>
        </w:tc>
      </w:tr>
      <w:tr>
        <w:trPr>
          <w:trHeight w:val="274"/>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10,912</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17,738</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26,193</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31,923</w:t>
            </w:r>
          </w:p>
        </w:tc>
      </w:tr>
      <w:tr>
        <w:trPr>
          <w:trHeight w:val="266"/>
        </w:trPr>
        <w:tc>
          <w:tcPr>
            <w:tcW w:w="3960" w:type="dxa"/>
            <w:vAlign w:val="bottom"/>
          </w:tcPr>
          <w:p>
            <w:pPr>
              <w:ind w:left="20"/>
              <w:spacing w:after="0"/>
              <w:rPr>
                <w:sz w:val="20"/>
                <w:szCs w:val="20"/>
                <w:color w:val="auto"/>
              </w:rPr>
            </w:pPr>
            <w:r>
              <w:rPr>
                <w:rFonts w:ascii="Arial" w:cs="Arial" w:eastAsia="Arial" w:hAnsi="Arial"/>
                <w:sz w:val="15"/>
                <w:szCs w:val="15"/>
                <w:color w:val="auto"/>
              </w:rPr>
              <w:t>Net loss from continuing operations</w:t>
            </w:r>
          </w:p>
        </w:tc>
        <w:tc>
          <w:tcPr>
            <w:tcW w:w="1620" w:type="dxa"/>
            <w:vAlign w:val="bottom"/>
          </w:tcPr>
          <w:p>
            <w:pPr>
              <w:jc w:val="right"/>
              <w:spacing w:after="0"/>
              <w:rPr>
                <w:sz w:val="20"/>
                <w:szCs w:val="20"/>
                <w:color w:val="auto"/>
              </w:rPr>
            </w:pPr>
            <w:r>
              <w:rPr>
                <w:rFonts w:ascii="Arial" w:cs="Arial" w:eastAsia="Arial" w:hAnsi="Arial"/>
                <w:sz w:val="15"/>
                <w:szCs w:val="15"/>
                <w:color w:val="auto"/>
              </w:rPr>
              <w:t>(9,483)</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(7,361)</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(5,885)</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(21,685)</w:t>
            </w:r>
          </w:p>
        </w:tc>
      </w:tr>
      <w:tr>
        <w:trPr>
          <w:trHeight w:val="190"/>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from continuing operations attributable to</w:t>
            </w: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92"/>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Holdings</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(10,422)</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(8,659)</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(8,132)</w:t>
            </w: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(24,427)</w:t>
            </w:r>
          </w:p>
        </w:tc>
      </w:tr>
      <w:tr>
        <w:trPr>
          <w:trHeight w:val="186"/>
        </w:trPr>
        <w:tc>
          <w:tcPr>
            <w:tcW w:w="3960" w:type="dxa"/>
            <w:vAlign w:val="bottom"/>
          </w:tcPr>
          <w:p>
            <w:pPr>
              <w:ind w:left="20"/>
              <w:spacing w:after="0"/>
              <w:rPr>
                <w:sz w:val="20"/>
                <w:szCs w:val="20"/>
                <w:color w:val="auto"/>
              </w:rPr>
            </w:pPr>
            <w:r>
              <w:rPr>
                <w:rFonts w:ascii="Arial" w:cs="Arial" w:eastAsia="Arial" w:hAnsi="Arial"/>
                <w:sz w:val="15"/>
                <w:szCs w:val="15"/>
                <w:color w:val="auto"/>
              </w:rPr>
              <w:t>Basic and fully diluted net loss per share attributable to</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4"/>
        </w:trPr>
        <w:tc>
          <w:tcPr>
            <w:tcW w:w="3960" w:type="dxa"/>
            <w:vAlign w:val="bottom"/>
          </w:tcPr>
          <w:p>
            <w:pPr>
              <w:ind w:left="20"/>
              <w:spacing w:after="0"/>
              <w:rPr>
                <w:sz w:val="20"/>
                <w:szCs w:val="20"/>
                <w:color w:val="auto"/>
              </w:rPr>
            </w:pPr>
            <w:r>
              <w:rPr>
                <w:rFonts w:ascii="Arial" w:cs="Arial" w:eastAsia="Arial" w:hAnsi="Arial"/>
                <w:sz w:val="15"/>
                <w:szCs w:val="15"/>
                <w:color w:val="auto"/>
              </w:rPr>
              <w:t>Holdings</w:t>
            </w:r>
          </w:p>
        </w:tc>
        <w:tc>
          <w:tcPr>
            <w:tcW w:w="1620" w:type="dxa"/>
            <w:vAlign w:val="bottom"/>
          </w:tcPr>
          <w:p>
            <w:pPr>
              <w:jc w:val="right"/>
              <w:spacing w:after="0"/>
              <w:rPr>
                <w:sz w:val="20"/>
                <w:szCs w:val="20"/>
                <w:color w:val="auto"/>
              </w:rPr>
            </w:pPr>
            <w:r>
              <w:rPr>
                <w:rFonts w:ascii="Arial" w:cs="Arial" w:eastAsia="Arial" w:hAnsi="Arial"/>
                <w:sz w:val="15"/>
                <w:szCs w:val="15"/>
                <w:color w:val="auto"/>
              </w:rPr>
              <w:t>(0.33)</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(0.38)</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(0.56)</w:t>
            </w: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(0.72)</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Foam Fabricators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Subsequent to the end of the quarter, on July 1, 2020, Foam Fabricators acquired substantially all of the assets of Polyfoam Corp. ("Polyfoam"), a Massachusetts-based manufacturer of protective and temperature-sensitive packaging solutions for the medical, pharmaceutical, grocery and food industries, among others. Founded in 1974, Polyfoam operates two manufacturing facilities producing highly engineered foam and injection-molded plastic solutions across a variety of end-markets. The acquisition complements Foam Fabricators' current operating footprint and provides access to a new customer base and product offerings, including Polyfoam's significant end-market exposure to cold chain (including seafood boxes, insulated shipping containers and grocery delivery totes). The purchase price was approximately $12.8 million and includes a potential earnout of $1.4 million if Polyfoam achieves certain financial metrics.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35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C — Discontinued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Clean Earth</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8, 2019, the Company, as majority stockholder of CEHI Acquisition Corporation ("Clean Earth" or “CEHI”) and as Sellers’ Representative, entered into a definitive Stock Purchase Agreement (the “Purchase Agreement”) with Calrissian Holdings, LLC (“Buyer”), CEHI, the other holders of stock and options of CEHI and, as Buyer’s guarantor, Harsco Corporation, pursuant to which Buyer would acquire all of the issued and outstanding securities of CEHI, the parent company of the operating entity, Clean Earth, Inc.</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28, 2019, Buyer completed the acquisition of all of the issued and outstanding securities of CEHI pursuant to the Purchase Agreement. The sale price for Clean Earth was based on an aggregate total enterprise value of $625 million, subject to customary working capital adjustments. After the allocation of the sale proceeds to Clean Earth non-controlling equity holders, the repayment of intercompany loans to the Company (including accrued interest) of $224.6 million, and the payment of transaction expenses of approximately $10.7 million, the Company received approximately $327.3 million of total proceeds at closing related to our equity interests in Clean Earth. The Company recognized a gain on the sale of Clean Earth of $209.3 million during the year ended December 31, 2019.</w:t>
      </w:r>
    </w:p>
    <w:p>
      <w:pPr>
        <w:spacing w:after="0" w:line="15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Summarized results of operations of Clean Earth for the periods April 1, 2019 and January 1, 2019 through the date of disposition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For the period April 1, 2019</w:t>
            </w:r>
          </w:p>
        </w:tc>
        <w:tc>
          <w:tcPr>
            <w:tcW w:w="30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For the period January 1, 2019 through</w:t>
            </w:r>
          </w:p>
        </w:tc>
      </w:tr>
      <w:tr>
        <w:trPr>
          <w:trHeight w:val="206"/>
        </w:trPr>
        <w:tc>
          <w:tcPr>
            <w:tcW w:w="5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through disposition</w:t>
            </w:r>
          </w:p>
        </w:tc>
        <w:tc>
          <w:tcPr>
            <w:tcW w:w="620" w:type="dxa"/>
            <w:vAlign w:val="bottom"/>
          </w:tcPr>
          <w:p>
            <w:pPr>
              <w:spacing w:after="0"/>
              <w:rPr>
                <w:sz w:val="17"/>
                <w:szCs w:val="17"/>
                <w:color w:val="auto"/>
              </w:rPr>
            </w:pPr>
          </w:p>
        </w:tc>
        <w:tc>
          <w:tcPr>
            <w:tcW w:w="2420" w:type="dxa"/>
            <w:vAlign w:val="bottom"/>
          </w:tcPr>
          <w:p>
            <w:pPr>
              <w:jc w:val="right"/>
              <w:ind w:right="1040"/>
              <w:spacing w:after="0"/>
              <w:rPr>
                <w:sz w:val="20"/>
                <w:szCs w:val="20"/>
                <w:color w:val="auto"/>
              </w:rPr>
            </w:pPr>
            <w:r>
              <w:rPr>
                <w:rFonts w:ascii="Arial" w:cs="Arial" w:eastAsia="Arial" w:hAnsi="Arial"/>
                <w:sz w:val="15"/>
                <w:szCs w:val="15"/>
                <w:b w:val="1"/>
                <w:bCs w:val="1"/>
                <w:color w:val="auto"/>
              </w:rPr>
              <w:t>disposition</w:t>
            </w:r>
          </w:p>
        </w:tc>
      </w:tr>
      <w:tr>
        <w:trPr>
          <w:trHeight w:val="254"/>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3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69,105</w:t>
            </w:r>
          </w:p>
        </w:tc>
        <w:tc>
          <w:tcPr>
            <w:tcW w:w="10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24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132,737</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22"/>
                <w:szCs w:val="22"/>
                <w:color w:val="auto"/>
              </w:rPr>
            </w:pPr>
          </w:p>
        </w:tc>
        <w:tc>
          <w:tcPr>
            <w:tcW w:w="2380" w:type="dxa"/>
            <w:vAlign w:val="bottom"/>
          </w:tcPr>
          <w:p>
            <w:pPr>
              <w:jc w:val="right"/>
              <w:ind w:right="40"/>
              <w:spacing w:after="0"/>
              <w:rPr>
                <w:sz w:val="20"/>
                <w:szCs w:val="20"/>
                <w:color w:val="auto"/>
              </w:rPr>
            </w:pPr>
            <w:r>
              <w:rPr>
                <w:rFonts w:ascii="Arial" w:cs="Arial" w:eastAsia="Arial" w:hAnsi="Arial"/>
                <w:sz w:val="16"/>
                <w:szCs w:val="16"/>
                <w:color w:val="auto"/>
              </w:rPr>
              <w:t>23,045</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20" w:type="dxa"/>
            <w:vAlign w:val="bottom"/>
          </w:tcPr>
          <w:p>
            <w:pPr>
              <w:jc w:val="right"/>
              <w:ind w:right="20"/>
              <w:spacing w:after="0"/>
              <w:rPr>
                <w:sz w:val="20"/>
                <w:szCs w:val="20"/>
                <w:color w:val="auto"/>
              </w:rPr>
            </w:pPr>
            <w:r>
              <w:rPr>
                <w:rFonts w:ascii="Arial" w:cs="Arial" w:eastAsia="Arial" w:hAnsi="Arial"/>
                <w:sz w:val="16"/>
                <w:szCs w:val="16"/>
                <w:color w:val="auto"/>
              </w:rPr>
              <w:t>39,678</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24"/>
                <w:szCs w:val="24"/>
                <w:color w:val="auto"/>
              </w:rPr>
            </w:pPr>
          </w:p>
        </w:tc>
        <w:tc>
          <w:tcPr>
            <w:tcW w:w="2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4,976</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6,232</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00" w:type="dxa"/>
            <w:vAlign w:val="bottom"/>
          </w:tcPr>
          <w:p>
            <w:pPr>
              <w:spacing w:after="0"/>
              <w:rPr>
                <w:sz w:val="22"/>
                <w:szCs w:val="22"/>
                <w:color w:val="auto"/>
              </w:rPr>
            </w:pPr>
          </w:p>
        </w:tc>
        <w:tc>
          <w:tcPr>
            <w:tcW w:w="2380" w:type="dxa"/>
            <w:vAlign w:val="bottom"/>
          </w:tcPr>
          <w:p>
            <w:pPr>
              <w:jc w:val="right"/>
              <w:ind w:right="40"/>
              <w:spacing w:after="0"/>
              <w:rPr>
                <w:sz w:val="20"/>
                <w:szCs w:val="20"/>
                <w:color w:val="auto"/>
              </w:rPr>
            </w:pPr>
            <w:r>
              <w:rPr>
                <w:rFonts w:ascii="Arial" w:cs="Arial" w:eastAsia="Arial" w:hAnsi="Arial"/>
                <w:sz w:val="16"/>
                <w:szCs w:val="16"/>
                <w:color w:val="auto"/>
              </w:rPr>
              <w:t>4,889</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20" w:type="dxa"/>
            <w:vAlign w:val="bottom"/>
          </w:tcPr>
          <w:p>
            <w:pPr>
              <w:jc w:val="right"/>
              <w:ind w:right="20"/>
              <w:spacing w:after="0"/>
              <w:rPr>
                <w:sz w:val="20"/>
                <w:szCs w:val="20"/>
                <w:color w:val="auto"/>
              </w:rPr>
            </w:pPr>
            <w:r>
              <w:rPr>
                <w:rFonts w:ascii="Arial" w:cs="Arial" w:eastAsia="Arial" w:hAnsi="Arial"/>
                <w:sz w:val="16"/>
                <w:szCs w:val="16"/>
                <w:color w:val="auto"/>
              </w:rPr>
              <w:t>5,880</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for income taxes</w:t>
            </w:r>
          </w:p>
        </w:tc>
        <w:tc>
          <w:tcPr>
            <w:tcW w:w="200" w:type="dxa"/>
            <w:vAlign w:val="bottom"/>
            <w:shd w:val="clear" w:color="auto" w:fill="CCEEFF"/>
          </w:tcPr>
          <w:p>
            <w:pPr>
              <w:spacing w:after="0"/>
              <w:rPr>
                <w:sz w:val="24"/>
                <w:szCs w:val="24"/>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(10,585)</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(11,607)</w:t>
            </w:r>
          </w:p>
        </w:tc>
      </w:tr>
      <w:tr>
        <w:trPr>
          <w:trHeight w:val="327"/>
        </w:trPr>
        <w:tc>
          <w:tcPr>
            <w:tcW w:w="5520" w:type="dxa"/>
            <w:vAlign w:val="bottom"/>
          </w:tcPr>
          <w:p>
            <w:pPr>
              <w:ind w:left="40"/>
              <w:spacing w:after="0"/>
              <w:rPr>
                <w:sz w:val="20"/>
                <w:szCs w:val="20"/>
                <w:color w:val="auto"/>
              </w:rPr>
            </w:pPr>
            <w:r>
              <w:rPr>
                <w:rFonts w:ascii="Arial" w:cs="Arial" w:eastAsia="Arial" w:hAnsi="Arial"/>
                <w:sz w:val="16"/>
                <w:szCs w:val="16"/>
                <w:color w:val="auto"/>
              </w:rPr>
              <w:t xml:space="preserve">Income from discontinued operations </w:t>
            </w:r>
            <w:r>
              <w:rPr>
                <w:rFonts w:ascii="Arial" w:cs="Arial" w:eastAsia="Arial" w:hAnsi="Arial"/>
                <w:sz w:val="21"/>
                <w:szCs w:val="21"/>
                <w:b w:val="1"/>
                <w:bCs w:val="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380" w:type="dxa"/>
            <w:vAlign w:val="bottom"/>
          </w:tcPr>
          <w:p>
            <w:pPr>
              <w:jc w:val="right"/>
              <w:ind w:right="40"/>
              <w:spacing w:after="0"/>
              <w:rPr>
                <w:sz w:val="20"/>
                <w:szCs w:val="20"/>
                <w:color w:val="auto"/>
              </w:rPr>
            </w:pPr>
            <w:r>
              <w:rPr>
                <w:rFonts w:ascii="Arial" w:cs="Arial" w:eastAsia="Arial" w:hAnsi="Arial"/>
                <w:sz w:val="16"/>
                <w:szCs w:val="16"/>
                <w:color w:val="auto"/>
              </w:rPr>
              <w:t>15,474</w:t>
            </w:r>
          </w:p>
        </w:tc>
        <w:tc>
          <w:tcPr>
            <w:tcW w:w="100" w:type="dxa"/>
            <w:vAlign w:val="bottom"/>
          </w:tcPr>
          <w:p>
            <w:pPr>
              <w:spacing w:after="0"/>
              <w:rPr>
                <w:sz w:val="24"/>
                <w:szCs w:val="24"/>
                <w:color w:val="auto"/>
              </w:rPr>
            </w:pPr>
          </w:p>
        </w:tc>
        <w:tc>
          <w:tcPr>
            <w:tcW w:w="62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2420" w:type="dxa"/>
            <w:vAlign w:val="bottom"/>
          </w:tcPr>
          <w:p>
            <w:pPr>
              <w:jc w:val="right"/>
              <w:ind w:right="20"/>
              <w:spacing w:after="0"/>
              <w:rPr>
                <w:sz w:val="20"/>
                <w:szCs w:val="20"/>
                <w:color w:val="auto"/>
              </w:rPr>
            </w:pPr>
            <w:r>
              <w:rPr>
                <w:rFonts w:ascii="Arial" w:cs="Arial" w:eastAsia="Arial" w:hAnsi="Arial"/>
                <w:sz w:val="16"/>
                <w:szCs w:val="16"/>
                <w:color w:val="auto"/>
              </w:rPr>
              <w:t>17,487</w:t>
            </w:r>
          </w:p>
        </w:tc>
      </w:tr>
    </w:tbl>
    <w:p>
      <w:pPr>
        <w:spacing w:after="0" w:line="174" w:lineRule="exact"/>
        <w:rPr>
          <w:sz w:val="20"/>
          <w:szCs w:val="20"/>
          <w:color w:val="auto"/>
        </w:rPr>
      </w:pPr>
    </w:p>
    <w:p>
      <w:pPr>
        <w:ind w:firstLine="8"/>
        <w:spacing w:after="0" w:line="303" w:lineRule="auto"/>
        <w:tabs>
          <w:tab w:leader="none" w:pos="162" w:val="left"/>
        </w:tabs>
        <w:numPr>
          <w:ilvl w:val="0"/>
          <w:numId w:val="7"/>
        </w:numPr>
        <w:rPr>
          <w:rFonts w:ascii="Arial" w:cs="Arial" w:eastAsia="Arial" w:hAnsi="Arial"/>
          <w:sz w:val="18"/>
          <w:szCs w:val="18"/>
          <w:b w:val="1"/>
          <w:bCs w:val="1"/>
          <w:color w:val="auto"/>
          <w:vertAlign w:val="superscript"/>
        </w:rPr>
      </w:pPr>
      <w:r>
        <w:rPr>
          <w:rFonts w:ascii="Arial" w:cs="Arial" w:eastAsia="Arial" w:hAnsi="Arial"/>
          <w:sz w:val="14"/>
          <w:szCs w:val="14"/>
          <w:color w:val="auto"/>
        </w:rPr>
        <w:t>The results of operations for the periods from April 1, 2019 through disposition and January 1, 2019 through disposition, excludes $5.6 million and $10.2 million, respectively, of intercompany interest expense.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Manitoba Harvest</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19, 2019, the Company entered into a definitive agreement with Tilray, Inc. ("Tilray") and a wholly-owned subsidiary of Tilray, 1197879 B.C. Ltd. (“Tilray Subco”), to sell to Tilray, through Tilray Subco, all of the issued and outstanding securities of our majority owned subsidiary, Manitoba Harvest, for total consideration of up to C$419 million. The completion of the sale of Manitoba Harvest was subject to approval by the British Columbia Supreme Court, which occurred on February 21, 2019. The sale closed on February 28, 2019. Subject to certain customary adjustments, the shareholders of Manitoba Harvest, including the Company, received the following from Tilray as consideration for their shares of Manitoba Harvest: (i) C$150 million in cash to the holders of preferred shares of Manitoba Harvest and the holders of common shares of Manitoba Harvest (“Common Holders”) and C$127.5 million in shares of class 2 Common Stock of Tilray (“Tilray Common Stock”) to the Common Holders on the closing date of the sale (the “Closing Date Consideration”), and (ii) C$ 50 million in cash and C$ 42.5 million in Tilray Common Stock to the Common Holders on the date that was six months after the closing date of the arrangement (the “Deferred Consideration”). The sale consideration also included a potential earnout of up to C$49 million in Tilray Common Stock to the Common Holders, if Manitoba Harvest achieved certain levels of U.S. branded gross sales of edible or topical products containing broad spectrum hemp extracts or cannabidiols prior to December 31, 2019. The threshold for the earnout was not achieved and no additional amount was recorded related to sale of Manitoba Harvest at December 31, 2019.</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cash portion of the Closing Date Consideration was reduced by the amount of the net indebtedness (including accrued interest) of Manitoba Harvest on the closing date of C$71.3 million ($ 53.7 million) and transaction expenses of approximately C$5.0 million. The Company's share of the net proceeds after accounting for the redemption of the noncontrolling shareholders and the payment of net indebtedness of Manitoba Harvest and transaction expenses was approximately $ 124.2 million in cash proceeds and in Tilray Common Stock. The Company recognized a gain on the sale of Manitoba Harvest of $121.7 million in the first quarter of 2019. In August 2019, the Company received the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387" w:right="339" w:bottom="1440" w:gutter="0" w:footer="0" w:header="0"/>
        </w:sectPr>
      </w:pPr>
    </w:p>
    <w:bookmarkStart w:id="16" w:name="page17"/>
    <w:bookmarkEnd w:id="16"/>
    <w:p>
      <w:pPr>
        <w:jc w:val="both"/>
        <w:spacing w:after="0" w:line="261" w:lineRule="auto"/>
        <w:rPr>
          <w:sz w:val="20"/>
          <w:szCs w:val="20"/>
          <w:color w:val="auto"/>
        </w:rPr>
      </w:pPr>
      <w:r>
        <w:rPr>
          <w:rFonts w:ascii="Arial" w:cs="Arial" w:eastAsia="Arial" w:hAnsi="Arial"/>
          <w:sz w:val="18"/>
          <w:szCs w:val="18"/>
          <w:color w:val="auto"/>
        </w:rPr>
        <w:t>Deferred Consideration related to the sale. The Company's portion of the Deferred Consideration totaled $28.4 million in cash proceeds and $19.6 million in Tilray Common Stock.</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Tilray Common Stock consideration was issued in reliance on the exemption from the registration requirements of the Securities Act of 1933, as amended (the "Securities Act") and pursuant to exemptions from applicable securities laws of any state of the United States, such that any shares of Tilray Common Stock received by the Common Holders were freely tradeable. The Company sold the Tilray Common Stock received as part of the Closing Consideration during March 2019, recognizing a net loss of $5.3 million in Other income/ (expense) during the quarter ended March 31, 2019. In August 2019, the Company sold the Tilray Common Stock received as part of the Deferred Consideration, recognizing a loss of $4.9 million in Other income/ (expense) during the quarter ended September 30, 2019.</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Summarized results of operations of Manitoba Harvest for the period from January 1, 2019 through the date of disposition are as follows (in thousands):</w:t>
      </w:r>
    </w:p>
    <w:p>
      <w:pPr>
        <w:spacing w:after="0" w:line="275" w:lineRule="exact"/>
        <w:rPr>
          <w:sz w:val="20"/>
          <w:szCs w:val="20"/>
          <w:color w:val="auto"/>
        </w:rPr>
      </w:pPr>
    </w:p>
    <w:tbl>
      <w:tblPr>
        <w:tblLayout w:type="fixed"/>
        <w:tblInd w:w="254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5"/>
                <w:szCs w:val="15"/>
                <w:b w:val="1"/>
                <w:bCs w:val="1"/>
                <w:color w:val="auto"/>
              </w:rPr>
              <w:t>For the period January 1,</w:t>
            </w:r>
          </w:p>
        </w:tc>
      </w:tr>
      <w:tr>
        <w:trPr>
          <w:trHeight w:val="206"/>
        </w:trPr>
        <w:tc>
          <w:tcPr>
            <w:tcW w:w="420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2019 through disposition</w:t>
            </w:r>
          </w:p>
        </w:tc>
      </w:tr>
      <w:tr>
        <w:trPr>
          <w:trHeight w:val="240"/>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760" w:type="dxa"/>
            <w:vAlign w:val="bottom"/>
            <w:shd w:val="clear" w:color="auto" w:fill="CCEEFF"/>
          </w:tcPr>
          <w:p>
            <w:pPr>
              <w:jc w:val="right"/>
              <w:ind w:right="56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10,024</w:t>
            </w:r>
          </w:p>
        </w:tc>
      </w:tr>
      <w:tr>
        <w:trPr>
          <w:trHeight w:val="233"/>
        </w:trPr>
        <w:tc>
          <w:tcPr>
            <w:tcW w:w="42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7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4,874</w:t>
            </w:r>
          </w:p>
        </w:tc>
      </w:tr>
      <w:tr>
        <w:trPr>
          <w:trHeight w:val="253"/>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7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r>
      <w:tr>
        <w:trPr>
          <w:trHeight w:val="233"/>
        </w:trPr>
        <w:tc>
          <w:tcPr>
            <w:tcW w:w="420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7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(1,127)</w:t>
            </w:r>
          </w:p>
        </w:tc>
      </w:tr>
      <w:tr>
        <w:trPr>
          <w:trHeight w:val="253"/>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7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r>
      <w:tr>
        <w:trPr>
          <w:trHeight w:val="300"/>
        </w:trPr>
        <w:tc>
          <w:tcPr>
            <w:tcW w:w="4200" w:type="dxa"/>
            <w:vAlign w:val="bottom"/>
          </w:tcPr>
          <w:p>
            <w:pPr>
              <w:ind w:left="20"/>
              <w:spacing w:after="0"/>
              <w:rPr>
                <w:sz w:val="20"/>
                <w:szCs w:val="20"/>
                <w:color w:val="auto"/>
              </w:rPr>
            </w:pPr>
            <w:r>
              <w:rPr>
                <w:rFonts w:ascii="Arial" w:cs="Arial" w:eastAsia="Arial" w:hAnsi="Arial"/>
                <w:sz w:val="16"/>
                <w:szCs w:val="16"/>
                <w:color w:val="auto"/>
              </w:rPr>
              <w:t xml:space="preserve">Income (loss) from discontinued operations </w:t>
            </w:r>
            <w:r>
              <w:rPr>
                <w:rFonts w:ascii="Arial" w:cs="Arial" w:eastAsia="Arial" w:hAnsi="Arial"/>
                <w:sz w:val="21"/>
                <w:szCs w:val="21"/>
                <w:b w:val="1"/>
                <w:bCs w:val="1"/>
                <w:color w:val="auto"/>
                <w:vertAlign w:val="superscript"/>
              </w:rPr>
              <w:t>(1)</w:t>
            </w:r>
          </w:p>
        </w:tc>
        <w:tc>
          <w:tcPr>
            <w:tcW w:w="760" w:type="dxa"/>
            <w:vAlign w:val="bottom"/>
          </w:tcPr>
          <w:p>
            <w:pPr>
              <w:jc w:val="right"/>
              <w:ind w:right="561"/>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(586)</w:t>
            </w:r>
          </w:p>
        </w:tc>
      </w:tr>
    </w:tbl>
    <w:p>
      <w:pPr>
        <w:spacing w:after="0" w:line="12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b w:val="1"/>
          <w:bCs w:val="1"/>
          <w:color w:val="auto"/>
          <w:vertAlign w:val="superscript"/>
        </w:rPr>
      </w:pPr>
      <w:r>
        <w:rPr>
          <w:rFonts w:ascii="Arial" w:cs="Arial" w:eastAsia="Arial" w:hAnsi="Arial"/>
          <w:sz w:val="15"/>
          <w:szCs w:val="15"/>
          <w:color w:val="auto"/>
        </w:rPr>
        <w:t>The results of operations for the period from January 1, 2019 through the date of disposition excludes $1.0 million of intercompany interest expense.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Revenue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recognizes revenue in accordance with the provisions of Revenue from Contracts with Customers, or ASC 606. Revenue is recognized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Disaggregated Revenue - </w:t>
      </w:r>
      <w:r>
        <w:rPr>
          <w:rFonts w:ascii="Arial" w:cs="Arial" w:eastAsia="Arial" w:hAnsi="Arial"/>
          <w:sz w:val="18"/>
          <w:szCs w:val="18"/>
          <w:color w:val="auto"/>
        </w:rPr>
        <w:t>The Company disaggregates revenue by strategic business unit and by geography for each strategic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 which are categories that depict how the nature, amount and uncertainty of revenue and cash flows are affected by economic factors. This disaggregation also represents how the Company evaluates its financial performance, as well as how the Company communicates its financial performance to the investors and other users of its financial statements. Each strategic business unit represents the Company’s reportable segments and offers different products and services.</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provide disaggregation of revenue by reportable segment geography for the three and six months ended June 30, 2020 and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5"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Three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b w:val="1"/>
                <w:bCs w:val="1"/>
                <w:color w:val="auto"/>
              </w:rPr>
              <w:t>5.11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Ergo</w:t>
            </w:r>
          </w:p>
        </w:tc>
        <w:tc>
          <w:tcPr>
            <w:tcW w:w="18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Liberty</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Marucci</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Velocity</w:t>
            </w:r>
          </w:p>
        </w:tc>
        <w:tc>
          <w:tcPr>
            <w:tcW w:w="22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Arnold</w:t>
            </w: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Foam</w:t>
            </w: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Sterno</w:t>
            </w:r>
          </w:p>
        </w:tc>
        <w:tc>
          <w:tcPr>
            <w:tcW w:w="220" w:type="dxa"/>
            <w:vAlign w:val="bottom"/>
          </w:tcPr>
          <w:p>
            <w:pPr>
              <w:spacing w:after="0"/>
              <w:rPr>
                <w:sz w:val="17"/>
                <w:szCs w:val="17"/>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56"/>
        </w:trPr>
        <w:tc>
          <w:tcPr>
            <w:tcW w:w="1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70,677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7,100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23,467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5,035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41,900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22,956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15,293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20,873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73,913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281,214</w:t>
            </w:r>
          </w:p>
        </w:tc>
      </w:tr>
      <w:tr>
        <w:trPr>
          <w:trHeight w:val="264"/>
        </w:trPr>
        <w:tc>
          <w:tcPr>
            <w:tcW w:w="1240" w:type="dxa"/>
            <w:vAlign w:val="bottom"/>
          </w:tcPr>
          <w:p>
            <w:pPr>
              <w:ind w:left="40"/>
              <w:spacing w:after="0"/>
              <w:rPr>
                <w:sz w:val="20"/>
                <w:szCs w:val="20"/>
                <w:color w:val="auto"/>
              </w:rPr>
            </w:pPr>
            <w:r>
              <w:rPr>
                <w:rFonts w:ascii="Arial" w:cs="Arial" w:eastAsia="Arial" w:hAnsi="Arial"/>
                <w:sz w:val="14"/>
                <w:szCs w:val="14"/>
                <w:color w:val="auto"/>
              </w:rPr>
              <w:t>Canada</w:t>
            </w:r>
          </w:p>
        </w:tc>
        <w:tc>
          <w:tcPr>
            <w:tcW w:w="2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1,791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2,852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3,143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9,887</w:t>
            </w:r>
          </w:p>
        </w:tc>
      </w:tr>
      <w:tr>
        <w:trPr>
          <w:trHeight w:val="276"/>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7,245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23,282</w:t>
            </w:r>
          </w:p>
        </w:tc>
      </w:tr>
      <w:tr>
        <w:trPr>
          <w:trHeight w:val="264"/>
        </w:trPr>
        <w:tc>
          <w:tcPr>
            <w:tcW w:w="1240" w:type="dxa"/>
            <w:vAlign w:val="bottom"/>
          </w:tcPr>
          <w:p>
            <w:pPr>
              <w:ind w:left="40"/>
              <w:spacing w:after="0"/>
              <w:rPr>
                <w:sz w:val="20"/>
                <w:szCs w:val="20"/>
                <w:color w:val="auto"/>
              </w:rPr>
            </w:pPr>
            <w:r>
              <w:rPr>
                <w:rFonts w:ascii="Arial" w:cs="Arial" w:eastAsia="Arial" w:hAnsi="Arial"/>
                <w:sz w:val="14"/>
                <w:szCs w:val="14"/>
                <w:color w:val="auto"/>
              </w:rPr>
              <w:t>Asia Pacific</w:t>
            </w:r>
          </w:p>
        </w:tc>
        <w:tc>
          <w:tcPr>
            <w:tcW w:w="2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3,882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5,007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10,435</w:t>
            </w:r>
          </w:p>
        </w:tc>
      </w:tr>
      <w:tr>
        <w:trPr>
          <w:trHeight w:val="270"/>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international</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8,809</w:t>
            </w:r>
          </w:p>
        </w:tc>
      </w:tr>
      <w:tr>
        <w:trPr>
          <w:trHeight w:val="236"/>
        </w:trPr>
        <w:tc>
          <w:tcPr>
            <w:tcW w:w="12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87,635</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20,044</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24,453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5,256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47,221</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22,956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24,270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24,429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77,363</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333,627</w:t>
            </w:r>
          </w:p>
        </w:tc>
      </w:tr>
      <w:tr>
        <w:trPr>
          <w:trHeight w:val="20"/>
        </w:trPr>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517" w:right="339" w:bottom="1440" w:gutter="0" w:footer="0" w:header="0"/>
        </w:sectPr>
      </w:pPr>
    </w:p>
    <w:bookmarkStart w:id="17" w:name="page18"/>
    <w:bookmarkEnd w:id="17"/>
    <w:p>
      <w:pPr>
        <w:ind w:left="5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5.11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Ergo</w:t>
            </w: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Liberty</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Velocity</w:t>
            </w:r>
          </w:p>
        </w:tc>
        <w:tc>
          <w:tcPr>
            <w:tcW w:w="22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Arnold</w:t>
            </w: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Foam</w:t>
            </w: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Sterno</w:t>
            </w:r>
          </w:p>
        </w:tc>
        <w:tc>
          <w:tcPr>
            <w:tcW w:w="220" w:type="dxa"/>
            <w:vAlign w:val="bottom"/>
          </w:tcPr>
          <w:p>
            <w:pPr>
              <w:spacing w:after="0"/>
              <w:rPr>
                <w:sz w:val="17"/>
                <w:szCs w:val="17"/>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56"/>
        </w:trPr>
        <w:tc>
          <w:tcPr>
            <w:tcW w:w="2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76,864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6,898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20,000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24,953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22,439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17,635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26,538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82,608</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277,935</w:t>
            </w: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Canada</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1,774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3,184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9,252</w:t>
            </w: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24,357</w:t>
            </w: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3,164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7,530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12,856</w:t>
            </w:r>
          </w:p>
        </w:tc>
      </w:tr>
      <w:tr>
        <w:trPr>
          <w:trHeight w:val="270"/>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international</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4,286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11,684</w:t>
            </w:r>
          </w:p>
        </w:tc>
      </w:tr>
      <w:tr>
        <w:trPr>
          <w:trHeight w:val="236"/>
        </w:trPr>
        <w:tc>
          <w:tcPr>
            <w:tcW w:w="21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92,836</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22,971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20,633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29,611</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22,439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29,481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31,648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86,465</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336,084</w:t>
            </w:r>
          </w:p>
        </w:tc>
      </w:tr>
      <w:tr>
        <w:trPr>
          <w:trHeight w:val="20"/>
        </w:trPr>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0"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5.11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Ergo</w:t>
            </w:r>
          </w:p>
        </w:tc>
        <w:tc>
          <w:tcPr>
            <w:tcW w:w="18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Liberty</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Marucci</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Velocity</w:t>
            </w:r>
          </w:p>
        </w:tc>
        <w:tc>
          <w:tcPr>
            <w:tcW w:w="22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Arnold</w:t>
            </w: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Foam</w:t>
            </w: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Sterno</w:t>
            </w:r>
          </w:p>
        </w:tc>
        <w:tc>
          <w:tcPr>
            <w:tcW w:w="220" w:type="dxa"/>
            <w:vAlign w:val="bottom"/>
          </w:tcPr>
          <w:p>
            <w:pPr>
              <w:spacing w:after="0"/>
              <w:rPr>
                <w:sz w:val="17"/>
                <w:szCs w:val="17"/>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56"/>
        </w:trPr>
        <w:tc>
          <w:tcPr>
            <w:tcW w:w="1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143,104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13,358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48,123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5,035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67,779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44,652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33,856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44,460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153,928</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554,295</w:t>
            </w:r>
          </w:p>
        </w:tc>
      </w:tr>
      <w:tr>
        <w:trPr>
          <w:trHeight w:val="264"/>
        </w:trPr>
        <w:tc>
          <w:tcPr>
            <w:tcW w:w="1240" w:type="dxa"/>
            <w:vAlign w:val="bottom"/>
          </w:tcPr>
          <w:p>
            <w:pPr>
              <w:ind w:left="40"/>
              <w:spacing w:after="0"/>
              <w:rPr>
                <w:sz w:val="20"/>
                <w:szCs w:val="20"/>
                <w:color w:val="auto"/>
              </w:rPr>
            </w:pPr>
            <w:r>
              <w:rPr>
                <w:rFonts w:ascii="Arial" w:cs="Arial" w:eastAsia="Arial" w:hAnsi="Arial"/>
                <w:sz w:val="14"/>
                <w:szCs w:val="14"/>
                <w:color w:val="auto"/>
              </w:rPr>
              <w:t>Canada</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1,716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4,772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6,071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17,369</w:t>
            </w:r>
          </w:p>
        </w:tc>
      </w:tr>
      <w:tr>
        <w:trPr>
          <w:trHeight w:val="276"/>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13,552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45,460</w:t>
            </w:r>
          </w:p>
        </w:tc>
      </w:tr>
      <w:tr>
        <w:trPr>
          <w:trHeight w:val="264"/>
        </w:trPr>
        <w:tc>
          <w:tcPr>
            <w:tcW w:w="1240" w:type="dxa"/>
            <w:vAlign w:val="bottom"/>
          </w:tcPr>
          <w:p>
            <w:pPr>
              <w:ind w:left="4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7,393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10,910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21,518</w:t>
            </w:r>
          </w:p>
        </w:tc>
      </w:tr>
      <w:tr>
        <w:trPr>
          <w:trHeight w:val="270"/>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international</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28,434</w:t>
            </w:r>
          </w:p>
        </w:tc>
      </w:tr>
      <w:tr>
        <w:trPr>
          <w:trHeight w:val="236"/>
        </w:trPr>
        <w:tc>
          <w:tcPr>
            <w:tcW w:w="12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183,416</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39,693</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49,413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5,256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77,611</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44,652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53,828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52,812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160,395</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667,076</w:t>
            </w:r>
          </w:p>
        </w:tc>
      </w:tr>
      <w:tr>
        <w:trPr>
          <w:trHeight w:val="20"/>
        </w:trPr>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p>
      <w:pPr>
        <w:ind w:left="5460"/>
        <w:spacing w:after="0"/>
        <w:rPr>
          <w:sz w:val="20"/>
          <w:szCs w:val="20"/>
          <w:color w:val="auto"/>
        </w:rPr>
      </w:pPr>
      <w:r>
        <w:rPr>
          <w:rFonts w:ascii="Arial" w:cs="Arial" w:eastAsia="Arial" w:hAnsi="Arial"/>
          <w:sz w:val="16"/>
          <w:szCs w:val="16"/>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5.11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Ergo</w:t>
            </w: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Liberty</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Velocity</w:t>
            </w:r>
          </w:p>
        </w:tc>
        <w:tc>
          <w:tcPr>
            <w:tcW w:w="22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Arnold</w:t>
            </w: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Foam</w:t>
            </w: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Sterno</w:t>
            </w:r>
          </w:p>
        </w:tc>
        <w:tc>
          <w:tcPr>
            <w:tcW w:w="220" w:type="dxa"/>
            <w:vAlign w:val="bottom"/>
          </w:tcPr>
          <w:p>
            <w:pPr>
              <w:spacing w:after="0"/>
              <w:rPr>
                <w:sz w:val="17"/>
                <w:szCs w:val="17"/>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56"/>
        </w:trPr>
        <w:tc>
          <w:tcPr>
            <w:tcW w:w="2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147,341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14,233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41,736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51,117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45,508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35,551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52,675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167,742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555,903</w:t>
            </w: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Canada</w:t>
            </w:r>
          </w:p>
        </w:tc>
        <w:tc>
          <w:tcPr>
            <w:tcW w:w="18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4,314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3,251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8,216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18,891</w:t>
            </w: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50,824</w:t>
            </w: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Asia Pacific</w:t>
            </w:r>
          </w:p>
        </w:tc>
        <w:tc>
          <w:tcPr>
            <w:tcW w:w="18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6,578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14,836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25,355</w:t>
            </w:r>
          </w:p>
        </w:tc>
      </w:tr>
      <w:tr>
        <w:trPr>
          <w:trHeight w:val="270"/>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international</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9,538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9,655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23,968</w:t>
            </w:r>
          </w:p>
        </w:tc>
      </w:tr>
      <w:tr>
        <w:trPr>
          <w:trHeight w:val="236"/>
        </w:trPr>
        <w:tc>
          <w:tcPr>
            <w:tcW w:w="21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180,925</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45,423</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42,837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60,748</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45,508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59,509</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62,330</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177,661</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674,941</w:t>
            </w:r>
          </w:p>
        </w:tc>
      </w:tr>
      <w:tr>
        <w:trPr>
          <w:trHeight w:val="20"/>
        </w:trPr>
        <w:tc>
          <w:tcPr>
            <w:tcW w:w="2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Operating Segment Data</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June 30, 2020, the Company had nine reportable operating segments. Each operating segment represents a platform acquisition. The Company’s operating segments are strategic business units that offer different products and services. They are managed separately because each business requires different technology and marketing strategies. A description of each of the reportable segments and the types of products and services from which each segment derives its revenues is as follows:</w:t>
      </w:r>
    </w:p>
    <w:p>
      <w:pPr>
        <w:spacing w:after="0" w:line="150" w:lineRule="exact"/>
        <w:rPr>
          <w:sz w:val="20"/>
          <w:szCs w:val="20"/>
          <w:color w:val="auto"/>
        </w:rPr>
      </w:pPr>
    </w:p>
    <w:p>
      <w:pPr>
        <w:jc w:val="both"/>
        <w:ind w:left="420" w:hanging="331"/>
        <w:spacing w:after="0" w:line="252"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5.11</w:t>
      </w:r>
      <w:r>
        <w:rPr>
          <w:rFonts w:ascii="Arial" w:cs="Arial" w:eastAsia="Arial" w:hAnsi="Arial"/>
          <w:sz w:val="18"/>
          <w:szCs w:val="18"/>
          <w:color w:val="auto"/>
        </w:rPr>
        <w:t xml:space="preserve"> is a leading provider of purpose-built technical apparel and gear for law enforcement, firefighters, EMS, and military special 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Irvine, California, 5.11 operates sales offices and distribution centers globally, and 5.11 products are widely distributed in uniform stores, military exchanges, outdoor retail stores, its own retail stores and on 511tactical.com.</w:t>
      </w:r>
    </w:p>
    <w:p>
      <w:pPr>
        <w:spacing w:after="0" w:line="154" w:lineRule="exact"/>
        <w:rPr>
          <w:rFonts w:ascii="Arial" w:cs="Arial" w:eastAsia="Arial" w:hAnsi="Arial"/>
          <w:sz w:val="18"/>
          <w:szCs w:val="18"/>
          <w:color w:val="auto"/>
        </w:rPr>
      </w:pPr>
    </w:p>
    <w:p>
      <w:pPr>
        <w:jc w:val="both"/>
        <w:ind w:left="420" w:hanging="331"/>
        <w:spacing w:after="0" w:line="25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Ergobaby</w:t>
      </w:r>
      <w:r>
        <w:rPr>
          <w:rFonts w:ascii="Arial" w:cs="Arial" w:eastAsia="Arial" w:hAnsi="Arial"/>
          <w:sz w:val="18"/>
          <w:szCs w:val="18"/>
          <w:color w:val="auto"/>
        </w:rPr>
        <w:t xml:space="preserve"> is a designer, marketer and distributor of wearable baby carriers and accessories, blankets and swaddlers, nursing pillows, strollers and related products. Ergobaby primarily sells its Ergobaby and Baby Tula branded products through brick-and-mortar retailers, national chain stores, online retailers, its own websites and distributors and derives more than 50% of its sales from outside of the United States. Ergobaby is headquartered in Los Angeles, California.</w:t>
      </w:r>
    </w:p>
    <w:p>
      <w:pPr>
        <w:spacing w:after="0" w:line="149" w:lineRule="exact"/>
        <w:rPr>
          <w:rFonts w:ascii="Arial" w:cs="Arial" w:eastAsia="Arial" w:hAnsi="Arial"/>
          <w:sz w:val="18"/>
          <w:szCs w:val="18"/>
          <w:color w:val="auto"/>
        </w:rPr>
      </w:pPr>
    </w:p>
    <w:p>
      <w:pPr>
        <w:jc w:val="both"/>
        <w:ind w:left="420" w:hanging="331"/>
        <w:spacing w:after="0" w:line="256"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Liberty Safe</w:t>
      </w:r>
      <w:r>
        <w:rPr>
          <w:rFonts w:ascii="Arial" w:cs="Arial" w:eastAsia="Arial" w:hAnsi="Arial"/>
          <w:sz w:val="18"/>
          <w:szCs w:val="18"/>
          <w:color w:val="auto"/>
        </w:rPr>
        <w:t xml:space="preserve"> is a designer, manufacturer and marketer of premium home, gun and office safes in North America. From its over 300,000 square foot manufacturing facility, Liberty produces a wide range of home and gun safe models in a broad assortment of sizes, features and styles. Liberty is headquartered in Payson, Utah.</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810" w:right="339" w:bottom="1440" w:gutter="0" w:footer="0" w:header="0"/>
        </w:sectPr>
      </w:pPr>
    </w:p>
    <w:bookmarkStart w:id="18" w:name="page19"/>
    <w:bookmarkEnd w:id="18"/>
    <w:p>
      <w:pPr>
        <w:jc w:val="both"/>
        <w:ind w:left="420" w:hanging="331"/>
        <w:spacing w:after="0" w:line="25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Marucci Sports</w:t>
      </w:r>
      <w:r>
        <w:rPr>
          <w:rFonts w:ascii="Arial" w:cs="Arial" w:eastAsia="Arial" w:hAnsi="Arial"/>
          <w:sz w:val="18"/>
          <w:szCs w:val="18"/>
          <w:color w:val="auto"/>
        </w:rPr>
        <w:t xml:space="preserve"> is a leading designer, manufacturer, and marketer of premium wood and metal baseball bats, fielding gloves, batting gloves, bags, protective gear, sunglasses, on and off-field apparel, and other baseball and softball equipment used by professional and amateur athletes. Marucci also develops and licenses franchises for sports training facilities. Marucci is headquartered in Baton Rouge, Louisiana.</w:t>
      </w:r>
    </w:p>
    <w:p>
      <w:pPr>
        <w:spacing w:after="0" w:line="149" w:lineRule="exact"/>
        <w:rPr>
          <w:rFonts w:ascii="Arial" w:cs="Arial" w:eastAsia="Arial" w:hAnsi="Arial"/>
          <w:sz w:val="18"/>
          <w:szCs w:val="18"/>
          <w:color w:val="auto"/>
        </w:rPr>
      </w:pPr>
    </w:p>
    <w:p>
      <w:pPr>
        <w:jc w:val="both"/>
        <w:ind w:left="420" w:hanging="331"/>
        <w:spacing w:after="0" w:line="25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is a leading designer, manufacturer, and marketer of airguns, archery products, laser aiming devices and related accessories. Velocity Outdoor offers its products under the highly recognizable Crosman, Benjamin, Ravin, LaserMax and CenterPoint brands that are available through national retail chains, mass merchants, dealer and distributor networks. Velocity Outdoor is headquartered in Bloomfield, New York.</w:t>
      </w:r>
    </w:p>
    <w:p>
      <w:pPr>
        <w:spacing w:after="0" w:line="149" w:lineRule="exact"/>
        <w:rPr>
          <w:rFonts w:ascii="Arial" w:cs="Arial" w:eastAsia="Arial" w:hAnsi="Arial"/>
          <w:sz w:val="18"/>
          <w:szCs w:val="18"/>
          <w:color w:val="auto"/>
        </w:rPr>
      </w:pPr>
    </w:p>
    <w:p>
      <w:pPr>
        <w:jc w:val="both"/>
        <w:ind w:left="420" w:hanging="331"/>
        <w:spacing w:after="0" w:line="256"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8"/>
          <w:szCs w:val="18"/>
          <w:u w:val="single" w:color="auto"/>
          <w:color w:val="auto"/>
        </w:rPr>
        <w:t>Advanced Circuits</w:t>
      </w:r>
      <w:r>
        <w:rPr>
          <w:rFonts w:ascii="Arial" w:cs="Arial" w:eastAsia="Arial" w:hAnsi="Arial"/>
          <w:sz w:val="18"/>
          <w:szCs w:val="18"/>
          <w:color w:val="auto"/>
        </w:rPr>
        <w:t xml:space="preserve"> is an electronic components manufacturing company that provides small-run, quick-turn and volume production rigid printed circuit boards. ACI manufactures and delivers custom printed circuit boards to customers primarily in North America. ACI is headquartered in Aurora, Colorado.</w:t>
      </w:r>
    </w:p>
    <w:p>
      <w:pPr>
        <w:spacing w:after="0" w:line="147" w:lineRule="exact"/>
        <w:rPr>
          <w:rFonts w:ascii="Arial" w:cs="Arial" w:eastAsia="Arial" w:hAnsi="Arial"/>
          <w:sz w:val="17"/>
          <w:szCs w:val="17"/>
          <w:color w:val="auto"/>
        </w:rPr>
      </w:pPr>
    </w:p>
    <w:p>
      <w:pPr>
        <w:jc w:val="both"/>
        <w:ind w:left="420" w:hanging="331"/>
        <w:spacing w:after="0" w:line="252"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is a global manufacturer of engineered magnetic solutions for a wide range of specialty applications and end-markets, including aerospace and defense, general industrial, motorsport/automotive, oil and gas, medical, energy, reprographics and advertising specialties. Arnold produces high performance permanent magnets (PMAG), precision foil products (Precision Thin Metals or "PTM"), and flexible magnets (Flexmag™) that are mission critical in motors, generators, sensors and other systems and components. Based on its long-term relationships, Arnold has built a diverse and blue-chip customer base totaling more than 2,000 clients worldwide. Arnold is headquartered in Rochester, New York.</w:t>
      </w:r>
    </w:p>
    <w:p>
      <w:pPr>
        <w:spacing w:after="0" w:line="154" w:lineRule="exact"/>
        <w:rPr>
          <w:rFonts w:ascii="Arial" w:cs="Arial" w:eastAsia="Arial" w:hAnsi="Arial"/>
          <w:sz w:val="18"/>
          <w:szCs w:val="18"/>
          <w:color w:val="auto"/>
        </w:rPr>
      </w:pPr>
    </w:p>
    <w:p>
      <w:pPr>
        <w:jc w:val="both"/>
        <w:ind w:left="420" w:hanging="331"/>
        <w:spacing w:after="0" w:line="252"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Foam Fabricators</w:t>
      </w:r>
      <w:r>
        <w:rPr>
          <w:rFonts w:ascii="Arial" w:cs="Arial" w:eastAsia="Arial" w:hAnsi="Arial"/>
          <w:sz w:val="18"/>
          <w:szCs w:val="18"/>
          <w:color w:val="auto"/>
        </w:rPr>
        <w:t xml:space="preserve"> is a designer and manufacturer of custom molded protective foam solutions and original equipment manufacturer components made from expanded polystyrene and expanded polypropylene. Foam Fabricators provides products to a variety of end markets, including appliances and electronics, pharmaceuticals, health and wellness, automotive, building and other products. In July 2020, Foam Fabricators acquired the assets of Polyfoam, a Massachusetts-based manufacturer of protective and temperature-sensitive packaging solutions for the medical, pharmaceutical, grocery and food industries, among others. Foam Fabricators is headquartered in Scottsdale, Arizona and operates 14 molding and fabricating facilities across North America subsequent to the acquisition of Polyfoam.</w:t>
      </w:r>
    </w:p>
    <w:p>
      <w:pPr>
        <w:spacing w:after="0" w:line="153" w:lineRule="exact"/>
        <w:rPr>
          <w:rFonts w:ascii="Arial" w:cs="Arial" w:eastAsia="Arial" w:hAnsi="Arial"/>
          <w:sz w:val="18"/>
          <w:szCs w:val="18"/>
          <w:color w:val="auto"/>
        </w:rPr>
      </w:pPr>
    </w:p>
    <w:p>
      <w:pPr>
        <w:jc w:val="both"/>
        <w:ind w:left="420" w:hanging="331"/>
        <w:spacing w:after="0" w:line="253"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Sterno</w:t>
      </w:r>
      <w:r>
        <w:rPr>
          <w:rFonts w:ascii="Arial" w:cs="Arial" w:eastAsia="Arial" w:hAnsi="Arial"/>
          <w:sz w:val="18"/>
          <w:szCs w:val="18"/>
          <w:color w:val="auto"/>
        </w:rPr>
        <w:t xml:space="preserve"> is a manufacturer and marketer of portable food warming fuel and creative table lighting solutions for the food service industry and flameless candles, outdoor lighting products, scented wax cubes and warmer products for consumers. Sterno's products include wick and gel chafing fuels, butane stoves and accessories, liquid and traditional wax candles, scented wax cubes and warmer products used for home decor and fragrance systems, catering equipment and outdoor lighting products. Sterno is headquartered in Corona, California.</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tabular information that follows shows data for each of the operating segments reconciled to amounts reflected in the consolidated financial statements. The results of operations of each of the operating segments are included in consolidated operating results as of their date of acquisition. There were no significant inter-segment transactions.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51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Summary of Operating Segments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300" w:type="dxa"/>
            <w:vAlign w:val="bottom"/>
          </w:tcPr>
          <w:p>
            <w:pPr>
              <w:ind w:left="40"/>
              <w:spacing w:after="0"/>
              <w:rPr>
                <w:sz w:val="20"/>
                <w:szCs w:val="20"/>
                <w:color w:val="auto"/>
              </w:rPr>
            </w:pPr>
            <w:r>
              <w:rPr>
                <w:rFonts w:ascii="Arial" w:cs="Arial" w:eastAsia="Arial" w:hAnsi="Arial"/>
                <w:sz w:val="15"/>
                <w:szCs w:val="15"/>
                <w:b w:val="1"/>
                <w:bCs w:val="1"/>
                <w:color w:val="auto"/>
              </w:rPr>
              <w:t>Net Revenues</w:t>
            </w:r>
          </w:p>
        </w:tc>
        <w:tc>
          <w:tcPr>
            <w:tcW w:w="280" w:type="dxa"/>
            <w:vAlign w:val="bottom"/>
          </w:tcPr>
          <w:p>
            <w:pPr>
              <w:spacing w:after="0"/>
              <w:rPr>
                <w:sz w:val="17"/>
                <w:szCs w:val="17"/>
                <w:color w:val="auto"/>
              </w:rPr>
            </w:pPr>
          </w:p>
        </w:tc>
        <w:tc>
          <w:tcPr>
            <w:tcW w:w="286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June 30,</w:t>
            </w:r>
          </w:p>
        </w:tc>
        <w:tc>
          <w:tcPr>
            <w:tcW w:w="260" w:type="dxa"/>
            <w:vAlign w:val="bottom"/>
          </w:tcPr>
          <w:p>
            <w:pPr>
              <w:spacing w:after="0"/>
              <w:rPr>
                <w:sz w:val="17"/>
                <w:szCs w:val="17"/>
                <w:color w:val="auto"/>
              </w:rPr>
            </w:pPr>
          </w:p>
        </w:tc>
        <w:tc>
          <w:tcPr>
            <w:tcW w:w="2540" w:type="dxa"/>
            <w:vAlign w:val="bottom"/>
            <w:gridSpan w:val="4"/>
          </w:tcPr>
          <w:p>
            <w:pPr>
              <w:jc w:val="right"/>
              <w:ind w:right="319"/>
              <w:spacing w:after="0"/>
              <w:rPr>
                <w:sz w:val="20"/>
                <w:szCs w:val="20"/>
                <w:color w:val="auto"/>
              </w:rPr>
            </w:pPr>
            <w:r>
              <w:rPr>
                <w:rFonts w:ascii="Arial" w:cs="Arial" w:eastAsia="Arial" w:hAnsi="Arial"/>
                <w:sz w:val="15"/>
                <w:szCs w:val="15"/>
                <w:b w:val="1"/>
                <w:bCs w:val="1"/>
                <w:color w:val="auto"/>
              </w:rPr>
              <w:t>Six months ended June 30,</w:t>
            </w:r>
          </w:p>
        </w:tc>
      </w:tr>
      <w:tr>
        <w:trPr>
          <w:trHeight w:val="264"/>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5"/>
                <w:szCs w:val="15"/>
                <w:b w:val="1"/>
                <w:bCs w:val="1"/>
                <w:color w:val="auto"/>
              </w:rPr>
              <w:t>2019</w:t>
            </w:r>
          </w:p>
        </w:tc>
      </w:tr>
      <w:tr>
        <w:trPr>
          <w:trHeight w:val="119"/>
        </w:trPr>
        <w:tc>
          <w:tcPr>
            <w:tcW w:w="5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5.11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87,635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92,836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183,416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180,925</w:t>
            </w: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Ergobaby</w:t>
            </w: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20,044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22,971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39,693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45,423</w:t>
            </w:r>
          </w:p>
        </w:tc>
      </w:tr>
      <w:tr>
        <w:trPr>
          <w:trHeight w:val="28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Liberty</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24,453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49,413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42,837</w:t>
            </w: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Marucci</w:t>
            </w: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5,256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Velocity Outdoor</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47,221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29,611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77,611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60,748</w:t>
            </w: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ACI</w:t>
            </w: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22,956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22,439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44,652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45,508</w:t>
            </w:r>
          </w:p>
        </w:tc>
      </w:tr>
      <w:tr>
        <w:trPr>
          <w:trHeight w:val="28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Arnold</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24,270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53,828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59,509</w:t>
            </w: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Foam Fabricators</w:t>
            </w: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24,429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31,648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52,812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62,330</w:t>
            </w:r>
          </w:p>
        </w:tc>
      </w:tr>
      <w:tr>
        <w:trPr>
          <w:trHeight w:val="28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Sterno</w:t>
            </w: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77,363</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86,465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160,395</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177,661</w:t>
            </w:r>
          </w:p>
        </w:tc>
      </w:tr>
      <w:tr>
        <w:trPr>
          <w:trHeight w:val="240"/>
        </w:trPr>
        <w:tc>
          <w:tcPr>
            <w:tcW w:w="5300" w:type="dxa"/>
            <w:vAlign w:val="bottom"/>
          </w:tcPr>
          <w:p>
            <w:pPr>
              <w:ind w:left="380"/>
              <w:spacing w:after="0"/>
              <w:rPr>
                <w:sz w:val="20"/>
                <w:szCs w:val="20"/>
                <w:color w:val="auto"/>
              </w:rPr>
            </w:pPr>
            <w:r>
              <w:rPr>
                <w:rFonts w:ascii="Arial" w:cs="Arial" w:eastAsia="Arial" w:hAnsi="Arial"/>
                <w:sz w:val="16"/>
                <w:szCs w:val="16"/>
                <w:color w:val="auto"/>
              </w:rPr>
              <w:t>Total segment revenue</w:t>
            </w:r>
          </w:p>
        </w:tc>
        <w:tc>
          <w:tcPr>
            <w:tcW w:w="2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333,627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336,084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667,076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674,941</w:t>
            </w:r>
          </w:p>
        </w:tc>
      </w:tr>
      <w:tr>
        <w:trPr>
          <w:trHeight w:val="28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and other</w:t>
            </w:r>
          </w:p>
        </w:tc>
        <w:tc>
          <w:tcPr>
            <w:tcW w:w="2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5300" w:type="dxa"/>
            <w:vAlign w:val="bottom"/>
          </w:tcPr>
          <w:p>
            <w:pPr>
              <w:ind w:left="380"/>
              <w:spacing w:after="0"/>
              <w:rPr>
                <w:sz w:val="20"/>
                <w:szCs w:val="20"/>
                <w:color w:val="auto"/>
              </w:rPr>
            </w:pPr>
            <w:r>
              <w:rPr>
                <w:rFonts w:ascii="Arial" w:cs="Arial" w:eastAsia="Arial" w:hAnsi="Arial"/>
                <w:sz w:val="16"/>
                <w:szCs w:val="16"/>
                <w:color w:val="auto"/>
              </w:rPr>
              <w:t>Total consolidated revenues</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333,627</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336,084</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667,076</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674,941</w:t>
            </w: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300" w:type="dxa"/>
            <w:vAlign w:val="bottom"/>
          </w:tcPr>
          <w:p>
            <w:pPr>
              <w:ind w:left="40"/>
              <w:spacing w:after="0"/>
              <w:rPr>
                <w:sz w:val="20"/>
                <w:szCs w:val="20"/>
                <w:color w:val="auto"/>
              </w:rPr>
            </w:pPr>
            <w:r>
              <w:rPr>
                <w:rFonts w:ascii="Arial" w:cs="Arial" w:eastAsia="Arial" w:hAnsi="Arial"/>
                <w:sz w:val="15"/>
                <w:szCs w:val="15"/>
                <w:b w:val="1"/>
                <w:bCs w:val="1"/>
                <w:color w:val="auto"/>
              </w:rPr>
              <w:t xml:space="preserve">Segment profit (loss) </w:t>
            </w:r>
            <w:r>
              <w:rPr>
                <w:rFonts w:ascii="Arial" w:cs="Arial" w:eastAsia="Arial" w:hAnsi="Arial"/>
                <w:sz w:val="12"/>
                <w:szCs w:val="12"/>
                <w:b w:val="1"/>
                <w:bCs w:val="1"/>
                <w:color w:val="auto"/>
              </w:rPr>
              <w:t>(1)</w:t>
            </w:r>
          </w:p>
        </w:tc>
        <w:tc>
          <w:tcPr>
            <w:tcW w:w="280" w:type="dxa"/>
            <w:vAlign w:val="bottom"/>
          </w:tcPr>
          <w:p>
            <w:pPr>
              <w:spacing w:after="0"/>
              <w:rPr>
                <w:sz w:val="17"/>
                <w:szCs w:val="17"/>
                <w:color w:val="auto"/>
              </w:rPr>
            </w:pPr>
          </w:p>
        </w:tc>
        <w:tc>
          <w:tcPr>
            <w:tcW w:w="286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June 30,</w:t>
            </w:r>
          </w:p>
        </w:tc>
        <w:tc>
          <w:tcPr>
            <w:tcW w:w="260" w:type="dxa"/>
            <w:vAlign w:val="bottom"/>
          </w:tcPr>
          <w:p>
            <w:pPr>
              <w:spacing w:after="0"/>
              <w:rPr>
                <w:sz w:val="17"/>
                <w:szCs w:val="17"/>
                <w:color w:val="auto"/>
              </w:rPr>
            </w:pPr>
          </w:p>
        </w:tc>
        <w:tc>
          <w:tcPr>
            <w:tcW w:w="2540" w:type="dxa"/>
            <w:vAlign w:val="bottom"/>
            <w:gridSpan w:val="4"/>
          </w:tcPr>
          <w:p>
            <w:pPr>
              <w:jc w:val="right"/>
              <w:ind w:right="319"/>
              <w:spacing w:after="0"/>
              <w:rPr>
                <w:sz w:val="20"/>
                <w:szCs w:val="20"/>
                <w:color w:val="auto"/>
              </w:rPr>
            </w:pPr>
            <w:r>
              <w:rPr>
                <w:rFonts w:ascii="Arial" w:cs="Arial" w:eastAsia="Arial" w:hAnsi="Arial"/>
                <w:sz w:val="15"/>
                <w:szCs w:val="15"/>
                <w:b w:val="1"/>
                <w:bCs w:val="1"/>
                <w:color w:val="auto"/>
              </w:rPr>
              <w:t>Six months ended June 30,</w:t>
            </w:r>
          </w:p>
        </w:tc>
      </w:tr>
      <w:tr>
        <w:trPr>
          <w:trHeight w:val="263"/>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5"/>
                <w:szCs w:val="15"/>
                <w:b w:val="1"/>
                <w:bCs w:val="1"/>
                <w:color w:val="auto"/>
              </w:rPr>
              <w:t>2019</w:t>
            </w:r>
          </w:p>
        </w:tc>
      </w:tr>
      <w:tr>
        <w:trPr>
          <w:trHeight w:val="119"/>
        </w:trPr>
        <w:tc>
          <w:tcPr>
            <w:tcW w:w="5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5.11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4,702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9,288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7,411</w:t>
            </w: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Ergobaby</w:t>
            </w: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2,795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3,580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5,931</w:t>
            </w:r>
          </w:p>
        </w:tc>
      </w:tr>
      <w:tr>
        <w:trPr>
          <w:trHeight w:val="28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Liberty</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3,086</w:t>
            </w: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Marucci</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Velocity Outdoor</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ACI</w:t>
            </w: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6,329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6,484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12,067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12,965</w:t>
            </w:r>
          </w:p>
        </w:tc>
      </w:tr>
      <w:tr>
        <w:trPr>
          <w:trHeight w:val="28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Arnold</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3,096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3,704</w:t>
            </w: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Foam Fabricators</w:t>
            </w: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2,847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4,364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6,359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7,870</w:t>
            </w:r>
          </w:p>
        </w:tc>
      </w:tr>
      <w:tr>
        <w:trPr>
          <w:trHeight w:val="28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Sterno</w:t>
            </w: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3,963</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8,115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9,232</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16,097</w:t>
            </w:r>
          </w:p>
        </w:tc>
      </w:tr>
      <w:tr>
        <w:trPr>
          <w:trHeight w:val="240"/>
        </w:trPr>
        <w:tc>
          <w:tcPr>
            <w:tcW w:w="5300" w:type="dxa"/>
            <w:vAlign w:val="bottom"/>
          </w:tcPr>
          <w:p>
            <w:pPr>
              <w:ind w:left="380"/>
              <w:spacing w:after="0"/>
              <w:rPr>
                <w:sz w:val="20"/>
                <w:szCs w:val="20"/>
                <w:color w:val="auto"/>
              </w:rPr>
            </w:pPr>
            <w:r>
              <w:rPr>
                <w:rFonts w:ascii="Arial" w:cs="Arial" w:eastAsia="Arial" w:hAnsi="Arial"/>
                <w:sz w:val="16"/>
                <w:szCs w:val="16"/>
                <w:color w:val="auto"/>
              </w:rPr>
              <w:t>Total</w:t>
            </w:r>
          </w:p>
        </w:tc>
        <w:tc>
          <w:tcPr>
            <w:tcW w:w="2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20,965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30,655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45,258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57,331</w:t>
            </w:r>
          </w:p>
        </w:tc>
      </w:tr>
      <w:tr>
        <w:trPr>
          <w:trHeight w:val="208"/>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Reconciliation of segment profit (loss) to consolidated income</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4"/>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(18,445)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(36,899)</w:t>
            </w:r>
          </w:p>
        </w:tc>
      </w:tr>
      <w:tr>
        <w:trPr>
          <w:trHeight w:val="28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270"/>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(19,377)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(30,667)</w:t>
            </w:r>
          </w:p>
        </w:tc>
      </w:tr>
      <w:tr>
        <w:trPr>
          <w:trHeight w:val="23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consolidated income (loss) before income taxes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(10,759)</w:t>
            </w: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2"/>
          <w:szCs w:val="22"/>
          <w:b w:val="1"/>
          <w:bCs w:val="1"/>
          <w:color w:val="auto"/>
          <w:vertAlign w:val="superscript"/>
        </w:rPr>
      </w:pPr>
      <w:r>
        <w:rPr>
          <w:rFonts w:ascii="Arial" w:cs="Arial" w:eastAsia="Arial" w:hAnsi="Arial"/>
          <w:sz w:val="16"/>
          <w:szCs w:val="16"/>
          <w:color w:val="auto"/>
        </w:rPr>
        <w:t>Segment profit (loss) represents operating income (loss).</w:t>
      </w:r>
    </w:p>
    <w:p>
      <w:pPr>
        <w:spacing w:after="0" w:line="48" w:lineRule="exact"/>
        <w:rPr>
          <w:rFonts w:ascii="Arial" w:cs="Arial" w:eastAsia="Arial" w:hAnsi="Arial"/>
          <w:sz w:val="22"/>
          <w:szCs w:val="22"/>
          <w:b w:val="1"/>
          <w:bCs w:val="1"/>
          <w:color w:val="auto"/>
          <w:vertAlign w:val="superscript"/>
        </w:rPr>
      </w:pPr>
    </w:p>
    <w:p>
      <w:pPr>
        <w:ind w:left="340" w:hanging="332"/>
        <w:spacing w:after="0" w:line="184" w:lineRule="auto"/>
        <w:tabs>
          <w:tab w:leader="none" w:pos="340" w:val="left"/>
        </w:tabs>
        <w:numPr>
          <w:ilvl w:val="0"/>
          <w:numId w:val="11"/>
        </w:numPr>
        <w:rPr>
          <w:rFonts w:ascii="Arial" w:cs="Arial" w:eastAsia="Arial" w:hAnsi="Arial"/>
          <w:sz w:val="22"/>
          <w:szCs w:val="22"/>
          <w:b w:val="1"/>
          <w:bCs w:val="1"/>
          <w:color w:val="auto"/>
          <w:vertAlign w:val="superscript"/>
        </w:rPr>
      </w:pPr>
      <w:r>
        <w:rPr>
          <w:rFonts w:ascii="Arial" w:cs="Arial" w:eastAsia="Arial" w:hAnsi="Arial"/>
          <w:sz w:val="16"/>
          <w:szCs w:val="16"/>
          <w:color w:val="auto"/>
        </w:rPr>
        <w:t>Primarily relates to management fees expensed and payable to CGM, and corporate overhead expenses.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54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2"/>
        </w:trPr>
        <w:tc>
          <w:tcPr>
            <w:tcW w:w="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7"/>
          </w:tcPr>
          <w:p>
            <w:pPr>
              <w:jc w:val="right"/>
              <w:ind w:right="399"/>
              <w:spacing w:after="0"/>
              <w:rPr>
                <w:sz w:val="20"/>
                <w:szCs w:val="20"/>
                <w:color w:val="auto"/>
              </w:rPr>
            </w:pPr>
            <w:r>
              <w:rPr>
                <w:rFonts w:ascii="Arial" w:cs="Arial" w:eastAsia="Arial" w:hAnsi="Arial"/>
                <w:sz w:val="15"/>
                <w:szCs w:val="15"/>
                <w:b w:val="1"/>
                <w:bCs w:val="1"/>
                <w:color w:val="auto"/>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8"/>
          </w:tcPr>
          <w:p>
            <w:pPr>
              <w:jc w:val="right"/>
              <w:ind w:right="800"/>
              <w:spacing w:after="0"/>
              <w:rPr>
                <w:sz w:val="20"/>
                <w:szCs w:val="20"/>
                <w:color w:val="auto"/>
              </w:rPr>
            </w:pPr>
            <w:r>
              <w:rPr>
                <w:rFonts w:ascii="Arial" w:cs="Arial" w:eastAsia="Arial" w:hAnsi="Arial"/>
                <w:sz w:val="15"/>
                <w:szCs w:val="15"/>
                <w:b w:val="1"/>
                <w:bCs w:val="1"/>
                <w:color w:val="auto"/>
              </w:rPr>
              <w:t>Six months ended</w:t>
            </w:r>
          </w:p>
        </w:tc>
      </w:tr>
      <w:tr>
        <w:trPr>
          <w:trHeight w:val="206"/>
        </w:trPr>
        <w:tc>
          <w:tcPr>
            <w:tcW w:w="60" w:type="dxa"/>
            <w:vAlign w:val="bottom"/>
          </w:tcPr>
          <w:p>
            <w:pPr>
              <w:spacing w:after="0"/>
              <w:rPr>
                <w:sz w:val="17"/>
                <w:szCs w:val="17"/>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Depreciation and Amortization Expense</w:t>
            </w: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June 30, 2020</w:t>
            </w: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7"/>
          </w:tcPr>
          <w:p>
            <w:pPr>
              <w:jc w:val="right"/>
              <w:ind w:right="1120"/>
              <w:spacing w:after="0"/>
              <w:rPr>
                <w:sz w:val="20"/>
                <w:szCs w:val="20"/>
                <w:color w:val="auto"/>
              </w:rPr>
            </w:pPr>
            <w:r>
              <w:rPr>
                <w:rFonts w:ascii="Arial" w:cs="Arial" w:eastAsia="Arial" w:hAnsi="Arial"/>
                <w:sz w:val="15"/>
                <w:szCs w:val="15"/>
                <w:b w:val="1"/>
                <w:bCs w:val="1"/>
                <w:color w:val="auto"/>
              </w:rPr>
              <w:t>June 30,</w:t>
            </w:r>
          </w:p>
        </w:tc>
      </w:tr>
      <w:tr>
        <w:trPr>
          <w:trHeight w:val="263"/>
        </w:trPr>
        <w:tc>
          <w:tcPr>
            <w:tcW w:w="6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4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5"/>
                <w:szCs w:val="15"/>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5"/>
                <w:szCs w:val="15"/>
                <w:b w:val="1"/>
                <w:bCs w:val="1"/>
                <w:color w:val="auto"/>
              </w:rPr>
              <w:t>2019</w:t>
            </w:r>
          </w:p>
        </w:tc>
        <w:tc>
          <w:tcPr>
            <w:tcW w:w="160" w:type="dxa"/>
            <w:vAlign w:val="bottom"/>
            <w:tcBorders>
              <w:bottom w:val="single" w:sz="8" w:color="auto"/>
            </w:tcBorders>
          </w:tcPr>
          <w:p>
            <w:pPr>
              <w:spacing w:after="0"/>
              <w:rPr>
                <w:sz w:val="22"/>
                <w:szCs w:val="22"/>
                <w:color w:val="auto"/>
              </w:rPr>
            </w:pPr>
          </w:p>
        </w:tc>
      </w:tr>
      <w:tr>
        <w:trPr>
          <w:trHeight w:val="119"/>
        </w:trPr>
        <w:tc>
          <w:tcPr>
            <w:tcW w:w="6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70"/>
        </w:trPr>
        <w:tc>
          <w:tcPr>
            <w:tcW w:w="60" w:type="dxa"/>
            <w:vAlign w:val="bottom"/>
          </w:tcPr>
          <w:p>
            <w:pPr>
              <w:spacing w:after="0"/>
              <w:rPr>
                <w:sz w:val="23"/>
                <w:szCs w:val="23"/>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5,298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10,438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10,455</w:t>
            </w:r>
          </w:p>
        </w:tc>
      </w:tr>
      <w:tr>
        <w:trPr>
          <w:trHeight w:val="260"/>
        </w:trPr>
        <w:tc>
          <w:tcPr>
            <w:tcW w:w="6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6"/>
                <w:szCs w:val="16"/>
                <w:color w:val="auto"/>
              </w:rPr>
              <w:t>Ergobaby</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2,038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6"/>
                <w:szCs w:val="16"/>
                <w:color w:val="auto"/>
              </w:rPr>
              <w:t>2,113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6"/>
                <w:szCs w:val="16"/>
                <w:color w:val="auto"/>
              </w:rPr>
              <w:t>4,091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4,224</w:t>
            </w:r>
          </w:p>
        </w:tc>
      </w:tr>
      <w:tr>
        <w:trPr>
          <w:trHeight w:val="280"/>
        </w:trPr>
        <w:tc>
          <w:tcPr>
            <w:tcW w:w="60" w:type="dxa"/>
            <w:vAlign w:val="bottom"/>
          </w:tcPr>
          <w:p>
            <w:pPr>
              <w:spacing w:after="0"/>
              <w:rPr>
                <w:sz w:val="24"/>
                <w:szCs w:val="24"/>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89"/>
              </w:rPr>
              <w:t>821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797</w:t>
            </w:r>
          </w:p>
        </w:tc>
      </w:tr>
      <w:tr>
        <w:trPr>
          <w:trHeight w:val="260"/>
        </w:trPr>
        <w:tc>
          <w:tcPr>
            <w:tcW w:w="6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6"/>
                <w:szCs w:val="16"/>
                <w:color w:val="auto"/>
              </w:rPr>
              <w:t>Marucci</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4,687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gridSpan w:val="4"/>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2"/>
                <w:szCs w:val="22"/>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6"/>
                <w:szCs w:val="16"/>
                <w:color w:val="auto"/>
              </w:rPr>
              <w:t>4,687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80"/>
        </w:trPr>
        <w:tc>
          <w:tcPr>
            <w:tcW w:w="60" w:type="dxa"/>
            <w:vAlign w:val="bottom"/>
          </w:tcPr>
          <w:p>
            <w:pPr>
              <w:spacing w:after="0"/>
              <w:rPr>
                <w:sz w:val="24"/>
                <w:szCs w:val="24"/>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3,289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6,360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6,540</w:t>
            </w:r>
          </w:p>
        </w:tc>
      </w:tr>
      <w:tr>
        <w:trPr>
          <w:trHeight w:val="260"/>
        </w:trPr>
        <w:tc>
          <w:tcPr>
            <w:tcW w:w="6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6"/>
                <w:szCs w:val="16"/>
                <w:color w:val="auto"/>
              </w:rPr>
              <w:t>ACI</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1,192</w:t>
            </w:r>
          </w:p>
        </w:tc>
      </w:tr>
      <w:tr>
        <w:trPr>
          <w:trHeight w:val="280"/>
        </w:trPr>
        <w:tc>
          <w:tcPr>
            <w:tcW w:w="60" w:type="dxa"/>
            <w:vAlign w:val="bottom"/>
          </w:tcPr>
          <w:p>
            <w:pPr>
              <w:spacing w:after="0"/>
              <w:rPr>
                <w:sz w:val="24"/>
                <w:szCs w:val="24"/>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1,580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3,272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3,202</w:t>
            </w:r>
          </w:p>
        </w:tc>
      </w:tr>
      <w:tr>
        <w:trPr>
          <w:trHeight w:val="260"/>
        </w:trPr>
        <w:tc>
          <w:tcPr>
            <w:tcW w:w="6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6"/>
                <w:szCs w:val="16"/>
                <w:color w:val="auto"/>
              </w:rPr>
              <w:t>Foam Fabricators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2,935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6"/>
                <w:szCs w:val="16"/>
                <w:color w:val="auto"/>
              </w:rPr>
              <w:t>3,013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6"/>
                <w:szCs w:val="16"/>
                <w:color w:val="auto"/>
              </w:rPr>
              <w:t>5,982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6,010</w:t>
            </w:r>
          </w:p>
        </w:tc>
      </w:tr>
      <w:tr>
        <w:trPr>
          <w:trHeight w:val="273"/>
        </w:trPr>
        <w:tc>
          <w:tcPr>
            <w:tcW w:w="60" w:type="dxa"/>
            <w:vAlign w:val="bottom"/>
          </w:tcPr>
          <w:p>
            <w:pPr>
              <w:spacing w:after="0"/>
              <w:rPr>
                <w:sz w:val="23"/>
                <w:szCs w:val="23"/>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5,639</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5,545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11,263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10,917</w:t>
            </w:r>
          </w:p>
        </w:tc>
      </w:tr>
      <w:tr>
        <w:trPr>
          <w:trHeight w:val="247"/>
        </w:trPr>
        <w:tc>
          <w:tcPr>
            <w:tcW w:w="6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26,380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6"/>
                <w:szCs w:val="16"/>
                <w:color w:val="auto"/>
              </w:rPr>
              <w:t>21,751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6"/>
                <w:szCs w:val="16"/>
                <w:color w:val="auto"/>
              </w:rPr>
              <w:t>48,186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43,337</w:t>
            </w:r>
          </w:p>
        </w:tc>
      </w:tr>
      <w:tr>
        <w:trPr>
          <w:trHeight w:val="280"/>
        </w:trPr>
        <w:tc>
          <w:tcPr>
            <w:tcW w:w="60" w:type="dxa"/>
            <w:vAlign w:val="bottom"/>
          </w:tcPr>
          <w:p>
            <w:pPr>
              <w:spacing w:after="0"/>
              <w:rPr>
                <w:sz w:val="24"/>
                <w:szCs w:val="24"/>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8"/>
        </w:trPr>
        <w:tc>
          <w:tcPr>
            <w:tcW w:w="6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Arial" w:cs="Arial" w:eastAsia="Arial" w:hAnsi="Arial"/>
                <w:sz w:val="16"/>
                <w:szCs w:val="16"/>
                <w:color w:val="auto"/>
              </w:rPr>
              <w:t>Amortization of debt issuance costs, original issue discount and bond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60" w:type="dxa"/>
            <w:vAlign w:val="bottom"/>
          </w:tcPr>
          <w:p>
            <w:pPr>
              <w:spacing w:after="0"/>
              <w:rPr>
                <w:sz w:val="18"/>
                <w:szCs w:val="18"/>
                <w:color w:val="auto"/>
              </w:rPr>
            </w:pPr>
          </w:p>
        </w:tc>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premium</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color w:val="auto"/>
              </w:rPr>
              <w:t>1,080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color w:val="auto"/>
              </w:rPr>
              <w:t>1,079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2,159</w:t>
            </w:r>
          </w:p>
        </w:tc>
      </w:tr>
      <w:tr>
        <w:trPr>
          <w:trHeight w:val="240"/>
        </w:trPr>
        <w:tc>
          <w:tcPr>
            <w:tcW w:w="60" w:type="dxa"/>
            <w:vAlign w:val="bottom"/>
          </w:tcPr>
          <w:p>
            <w:pPr>
              <w:spacing w:after="0"/>
              <w:rPr>
                <w:sz w:val="20"/>
                <w:szCs w:val="20"/>
                <w:color w:val="auto"/>
              </w:rPr>
            </w:pPr>
          </w:p>
        </w:tc>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Consolidated total</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26,934</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22,831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49,265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45,496</w:t>
            </w:r>
          </w:p>
        </w:tc>
      </w:tr>
      <w:tr>
        <w:trPr>
          <w:trHeight w:val="20"/>
        </w:trPr>
        <w:tc>
          <w:tcPr>
            <w:tcW w:w="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843"/>
        </w:trPr>
        <w:tc>
          <w:tcPr>
            <w:tcW w:w="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Accounts Receivable</w:t>
            </w: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right"/>
              <w:ind w:right="739"/>
              <w:spacing w:after="0"/>
              <w:rPr>
                <w:sz w:val="20"/>
                <w:szCs w:val="20"/>
                <w:color w:val="auto"/>
              </w:rPr>
            </w:pPr>
            <w:r>
              <w:rPr>
                <w:rFonts w:ascii="Arial" w:cs="Arial" w:eastAsia="Arial" w:hAnsi="Arial"/>
                <w:sz w:val="15"/>
                <w:szCs w:val="15"/>
                <w:b w:val="1"/>
                <w:bCs w:val="1"/>
                <w:color w:val="auto"/>
              </w:rPr>
              <w:t>Identifiable Assets</w:t>
            </w:r>
          </w:p>
        </w:tc>
        <w:tc>
          <w:tcPr>
            <w:tcW w:w="160" w:type="dxa"/>
            <w:vAlign w:val="bottom"/>
          </w:tcPr>
          <w:p>
            <w:pPr>
              <w:spacing w:after="0"/>
              <w:rPr>
                <w:sz w:val="24"/>
                <w:szCs w:val="24"/>
                <w:color w:val="auto"/>
              </w:rPr>
            </w:pPr>
          </w:p>
        </w:tc>
      </w:tr>
      <w:tr>
        <w:trPr>
          <w:trHeight w:val="260"/>
        </w:trPr>
        <w:tc>
          <w:tcPr>
            <w:tcW w:w="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22"/>
                <w:szCs w:val="22"/>
                <w:color w:val="auto"/>
              </w:rPr>
            </w:pPr>
          </w:p>
        </w:tc>
        <w:tc>
          <w:tcPr>
            <w:tcW w:w="1280" w:type="dxa"/>
            <w:vAlign w:val="bottom"/>
            <w:gridSpan w:val="3"/>
          </w:tcPr>
          <w:p>
            <w:pPr>
              <w:jc w:val="right"/>
              <w:ind w:right="119"/>
              <w:spacing w:after="0"/>
              <w:rPr>
                <w:sz w:val="20"/>
                <w:szCs w:val="20"/>
                <w:color w:val="auto"/>
              </w:rPr>
            </w:pPr>
            <w:r>
              <w:rPr>
                <w:rFonts w:ascii="Arial" w:cs="Arial" w:eastAsia="Arial" w:hAnsi="Arial"/>
                <w:sz w:val="15"/>
                <w:szCs w:val="15"/>
                <w:b w:val="1"/>
                <w:bCs w:val="1"/>
                <w:color w:val="auto"/>
              </w:rPr>
              <w:t>December 31,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240"/>
              <w:spacing w:after="0"/>
              <w:rPr>
                <w:sz w:val="20"/>
                <w:szCs w:val="20"/>
                <w:color w:val="auto"/>
              </w:rPr>
            </w:pPr>
            <w:r>
              <w:rPr>
                <w:rFonts w:ascii="Arial" w:cs="Arial" w:eastAsia="Arial" w:hAnsi="Arial"/>
                <w:sz w:val="15"/>
                <w:szCs w:val="15"/>
                <w:b w:val="1"/>
                <w:bCs w:val="1"/>
                <w:color w:val="auto"/>
                <w:w w:val="99"/>
              </w:rPr>
              <w:t>June 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4"/>
          </w:tcPr>
          <w:p>
            <w:pPr>
              <w:jc w:val="right"/>
              <w:ind w:right="380"/>
              <w:spacing w:after="0"/>
              <w:rPr>
                <w:sz w:val="20"/>
                <w:szCs w:val="20"/>
                <w:color w:val="auto"/>
              </w:rPr>
            </w:pPr>
            <w:r>
              <w:rPr>
                <w:rFonts w:ascii="Arial" w:cs="Arial" w:eastAsia="Arial" w:hAnsi="Arial"/>
                <w:sz w:val="15"/>
                <w:szCs w:val="15"/>
                <w:b w:val="1"/>
                <w:bCs w:val="1"/>
                <w:color w:val="auto"/>
              </w:rPr>
              <w:t>December 31,</w:t>
            </w:r>
          </w:p>
        </w:tc>
      </w:tr>
      <w:tr>
        <w:trPr>
          <w:trHeight w:val="274"/>
        </w:trPr>
        <w:tc>
          <w:tcPr>
            <w:tcW w:w="49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5"/>
                <w:szCs w:val="15"/>
                <w:b w:val="1"/>
                <w:bCs w:val="1"/>
                <w:color w:val="auto"/>
              </w:rPr>
              <w:t>2019</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b w:val="1"/>
                <w:bCs w:val="1"/>
                <w:color w:val="auto"/>
              </w:rPr>
              <w:t xml:space="preserve">2020 </w:t>
            </w:r>
            <w:r>
              <w:rPr>
                <w:rFonts w:ascii="Arial" w:cs="Arial" w:eastAsia="Arial" w:hAnsi="Arial"/>
                <w:sz w:val="12"/>
                <w:szCs w:val="12"/>
                <w:b w:val="1"/>
                <w:bCs w:val="1"/>
                <w:color w:val="auto"/>
              </w:rPr>
              <w:t>(1)</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 xml:space="preserve">2019 </w:t>
            </w:r>
            <w:r>
              <w:rPr>
                <w:rFonts w:ascii="Arial" w:cs="Arial" w:eastAsia="Arial" w:hAnsi="Arial"/>
                <w:sz w:val="12"/>
                <w:szCs w:val="12"/>
                <w:b w:val="1"/>
                <w:bCs w:val="1"/>
                <w:color w:val="auto"/>
              </w:rPr>
              <w:t>(1)</w:t>
            </w:r>
          </w:p>
        </w:tc>
        <w:tc>
          <w:tcPr>
            <w:tcW w:w="160" w:type="dxa"/>
            <w:vAlign w:val="bottom"/>
          </w:tcPr>
          <w:p>
            <w:pPr>
              <w:spacing w:after="0"/>
              <w:rPr>
                <w:sz w:val="23"/>
                <w:szCs w:val="23"/>
                <w:color w:val="auto"/>
              </w:rPr>
            </w:pPr>
          </w:p>
        </w:tc>
      </w:tr>
      <w:tr>
        <w:trPr>
          <w:trHeight w:val="254"/>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5.11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43,240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49,543</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365,683</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357,292</w:t>
            </w:r>
          </w:p>
        </w:tc>
        <w:tc>
          <w:tcPr>
            <w:tcW w:w="160" w:type="dxa"/>
            <w:vAlign w:val="bottom"/>
          </w:tcPr>
          <w:p>
            <w:pPr>
              <w:spacing w:after="0"/>
              <w:rPr>
                <w:sz w:val="22"/>
                <w:szCs w:val="22"/>
                <w:color w:val="auto"/>
              </w:rPr>
            </w:pPr>
          </w:p>
        </w:tc>
      </w:tr>
      <w:tr>
        <w:trPr>
          <w:trHeight w:val="260"/>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Ergobaby</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9,679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10,460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89,236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91,798</w:t>
            </w:r>
          </w:p>
        </w:tc>
        <w:tc>
          <w:tcPr>
            <w:tcW w:w="160" w:type="dxa"/>
            <w:vAlign w:val="bottom"/>
          </w:tcPr>
          <w:p>
            <w:pPr>
              <w:spacing w:after="0"/>
              <w:rPr>
                <w:sz w:val="22"/>
                <w:szCs w:val="22"/>
                <w:color w:val="auto"/>
              </w:rPr>
            </w:pPr>
          </w:p>
        </w:tc>
      </w:tr>
      <w:tr>
        <w:trPr>
          <w:trHeight w:val="28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Liberty</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13,144</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38,558</w:t>
            </w:r>
          </w:p>
        </w:tc>
        <w:tc>
          <w:tcPr>
            <w:tcW w:w="160" w:type="dxa"/>
            <w:vAlign w:val="bottom"/>
          </w:tcPr>
          <w:p>
            <w:pPr>
              <w:spacing w:after="0"/>
              <w:rPr>
                <w:sz w:val="24"/>
                <w:szCs w:val="24"/>
                <w:color w:val="auto"/>
              </w:rPr>
            </w:pPr>
          </w:p>
        </w:tc>
      </w:tr>
      <w:tr>
        <w:trPr>
          <w:trHeight w:val="260"/>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Marucci</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4,359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131,226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8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Velocity Outdoor</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32,030</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181,197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192,288</w:t>
            </w:r>
          </w:p>
        </w:tc>
        <w:tc>
          <w:tcPr>
            <w:tcW w:w="160" w:type="dxa"/>
            <w:vAlign w:val="bottom"/>
          </w:tcPr>
          <w:p>
            <w:pPr>
              <w:spacing w:after="0"/>
              <w:rPr>
                <w:sz w:val="24"/>
                <w:szCs w:val="24"/>
                <w:color w:val="auto"/>
              </w:rPr>
            </w:pPr>
          </w:p>
        </w:tc>
      </w:tr>
      <w:tr>
        <w:trPr>
          <w:trHeight w:val="260"/>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ACI</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8,004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8,318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28,125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24,408</w:t>
            </w:r>
          </w:p>
        </w:tc>
        <w:tc>
          <w:tcPr>
            <w:tcW w:w="160" w:type="dxa"/>
            <w:vAlign w:val="bottom"/>
          </w:tcPr>
          <w:p>
            <w:pPr>
              <w:spacing w:after="0"/>
              <w:rPr>
                <w:sz w:val="22"/>
                <w:szCs w:val="22"/>
                <w:color w:val="auto"/>
              </w:rPr>
            </w:pPr>
          </w:p>
        </w:tc>
      </w:tr>
      <w:tr>
        <w:trPr>
          <w:trHeight w:val="28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Arnold</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16,347</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19,043</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72,650</w:t>
            </w:r>
          </w:p>
        </w:tc>
        <w:tc>
          <w:tcPr>
            <w:tcW w:w="160" w:type="dxa"/>
            <w:vAlign w:val="bottom"/>
          </w:tcPr>
          <w:p>
            <w:pPr>
              <w:spacing w:after="0"/>
              <w:rPr>
                <w:sz w:val="24"/>
                <w:szCs w:val="24"/>
                <w:color w:val="auto"/>
              </w:rPr>
            </w:pPr>
          </w:p>
        </w:tc>
      </w:tr>
      <w:tr>
        <w:trPr>
          <w:trHeight w:val="260"/>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Foam Fabricators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21,716</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24,455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163,497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156,914</w:t>
            </w:r>
          </w:p>
        </w:tc>
        <w:tc>
          <w:tcPr>
            <w:tcW w:w="160" w:type="dxa"/>
            <w:vAlign w:val="bottom"/>
          </w:tcPr>
          <w:p>
            <w:pPr>
              <w:spacing w:after="0"/>
              <w:rPr>
                <w:sz w:val="22"/>
                <w:szCs w:val="22"/>
                <w:color w:val="auto"/>
              </w:rPr>
            </w:pPr>
          </w:p>
        </w:tc>
      </w:tr>
      <w:tr>
        <w:trPr>
          <w:trHeight w:val="28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Sterno</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58,723</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60,522</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263,530</w:t>
            </w:r>
          </w:p>
        </w:tc>
        <w:tc>
          <w:tcPr>
            <w:tcW w:w="160" w:type="dxa"/>
            <w:vAlign w:val="bottom"/>
          </w:tcPr>
          <w:p>
            <w:pPr>
              <w:spacing w:after="0"/>
              <w:rPr>
                <w:sz w:val="24"/>
                <w:szCs w:val="24"/>
                <w:color w:val="auto"/>
              </w:rPr>
            </w:pPr>
          </w:p>
        </w:tc>
      </w:tr>
      <w:tr>
        <w:trPr>
          <w:trHeight w:val="264"/>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Allowance for doubtful accounts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(15,065)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(14,800)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56"/>
        </w:trPr>
        <w:tc>
          <w:tcPr>
            <w:tcW w:w="49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192,177</w:t>
            </w:r>
          </w:p>
        </w:tc>
        <w:tc>
          <w:tcPr>
            <w:tcW w:w="1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191,405</w:t>
            </w: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1,309,113</w:t>
            </w: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1,197,438</w:t>
            </w:r>
          </w:p>
        </w:tc>
        <w:tc>
          <w:tcPr>
            <w:tcW w:w="160" w:type="dxa"/>
            <w:vAlign w:val="bottom"/>
          </w:tcPr>
          <w:p>
            <w:pPr>
              <w:spacing w:after="0"/>
              <w:rPr>
                <w:sz w:val="22"/>
                <w:szCs w:val="22"/>
                <w:color w:val="auto"/>
              </w:rPr>
            </w:pP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3"/>
        </w:trPr>
        <w:tc>
          <w:tcPr>
            <w:tcW w:w="4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63"/>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Corporate and other identifiable assets</w:t>
            </w:r>
          </w:p>
        </w:tc>
        <w:tc>
          <w:tcPr>
            <w:tcW w:w="2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133,982</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64,531</w:t>
            </w:r>
          </w:p>
        </w:tc>
        <w:tc>
          <w:tcPr>
            <w:tcW w:w="160" w:type="dxa"/>
            <w:vAlign w:val="bottom"/>
          </w:tcPr>
          <w:p>
            <w:pPr>
              <w:spacing w:after="0"/>
              <w:rPr>
                <w:sz w:val="22"/>
                <w:szCs w:val="22"/>
                <w:color w:val="auto"/>
              </w:rPr>
            </w:pPr>
          </w:p>
        </w:tc>
      </w:tr>
      <w:tr>
        <w:trPr>
          <w:trHeight w:val="237"/>
        </w:trPr>
        <w:tc>
          <w:tcPr>
            <w:tcW w:w="60" w:type="dxa"/>
            <w:vAlign w:val="bottom"/>
          </w:tcPr>
          <w:p>
            <w:pPr>
              <w:spacing w:after="0"/>
              <w:rPr>
                <w:sz w:val="20"/>
                <w:szCs w:val="20"/>
                <w:color w:val="auto"/>
              </w:rPr>
            </w:pPr>
          </w:p>
        </w:tc>
        <w:tc>
          <w:tcPr>
            <w:tcW w:w="4920" w:type="dxa"/>
            <w:vAlign w:val="bottom"/>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192,177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191,405</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1,443,095</w:t>
            </w:r>
          </w:p>
        </w:tc>
        <w:tc>
          <w:tcPr>
            <w:tcW w:w="3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1,261,969</w:t>
            </w:r>
          </w:p>
        </w:tc>
        <w:tc>
          <w:tcPr>
            <w:tcW w:w="16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Does not include accounts receivable balances per schedule above or goodwill balances - refer to </w:t>
      </w:r>
      <w:hyperlink w:anchor="page22">
        <w:r>
          <w:rPr>
            <w:rFonts w:ascii="Arial" w:cs="Arial" w:eastAsia="Arial" w:hAnsi="Arial"/>
            <w:sz w:val="16"/>
            <w:szCs w:val="16"/>
            <w:u w:val="single" w:color="auto"/>
            <w:color w:val="0000EE"/>
          </w:rPr>
          <w:t>Note G - "Goodwill and Other Intangible Assets"</w:t>
        </w:r>
      </w:hyperlink>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33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21</w:t>
      </w:r>
    </w:p>
    <w:p>
      <w:pPr>
        <w:sectPr>
          <w:pgSz w:w="11900" w:h="16838" w:orient="portrait"/>
          <w:cols w:equalWidth="0" w:num="1">
            <w:col w:w="11240"/>
          </w:cols>
          <w:pgMar w:left="320" w:top="64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F — Property, Plant and Equipment and Inventory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is comprised of the following at June 30, 2020 and December 31, 2019 (in thousands):</w:t>
      </w:r>
    </w:p>
    <w:p>
      <w:pPr>
        <w:spacing w:after="0" w:line="366" w:lineRule="exact"/>
        <w:rPr>
          <w:sz w:val="20"/>
          <w:szCs w:val="20"/>
          <w:color w:val="auto"/>
        </w:rPr>
      </w:pPr>
    </w:p>
    <w:tbl>
      <w:tblPr>
        <w:tblLayout w:type="fixed"/>
        <w:tblInd w:w="120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 2020</w:t>
            </w:r>
          </w:p>
        </w:tc>
        <w:tc>
          <w:tcPr>
            <w:tcW w:w="200" w:type="dxa"/>
            <w:vAlign w:val="bottom"/>
          </w:tcPr>
          <w:p>
            <w:pPr>
              <w:spacing w:after="0"/>
              <w:rPr>
                <w:sz w:val="17"/>
                <w:szCs w:val="17"/>
                <w:color w:val="auto"/>
              </w:rPr>
            </w:pPr>
          </w:p>
        </w:tc>
        <w:tc>
          <w:tcPr>
            <w:tcW w:w="1780" w:type="dxa"/>
            <w:vAlign w:val="bottom"/>
          </w:tcPr>
          <w:p>
            <w:pPr>
              <w:jc w:val="right"/>
              <w:ind w:right="220"/>
              <w:spacing w:after="0"/>
              <w:rPr>
                <w:sz w:val="20"/>
                <w:szCs w:val="20"/>
                <w:color w:val="auto"/>
              </w:rPr>
            </w:pPr>
            <w:r>
              <w:rPr>
                <w:rFonts w:ascii="Arial" w:cs="Arial" w:eastAsia="Arial" w:hAnsi="Arial"/>
                <w:sz w:val="15"/>
                <w:szCs w:val="15"/>
                <w:b w:val="1"/>
                <w:bCs w:val="1"/>
                <w:color w:val="auto"/>
              </w:rPr>
              <w:t>December 31, 2019</w:t>
            </w:r>
          </w:p>
        </w:tc>
      </w:tr>
      <w:tr>
        <w:trPr>
          <w:trHeight w:val="25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198,531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191,897</w:t>
            </w:r>
          </w:p>
        </w:tc>
      </w:tr>
      <w:tr>
        <w:trPr>
          <w:trHeight w:val="260"/>
        </w:trPr>
        <w:tc>
          <w:tcPr>
            <w:tcW w:w="4800" w:type="dxa"/>
            <w:vAlign w:val="bottom"/>
          </w:tcPr>
          <w:p>
            <w:pPr>
              <w:ind w:left="20"/>
              <w:spacing w:after="0"/>
              <w:rPr>
                <w:sz w:val="20"/>
                <w:szCs w:val="20"/>
                <w:color w:val="auto"/>
              </w:rPr>
            </w:pPr>
            <w:r>
              <w:rPr>
                <w:rFonts w:ascii="Arial" w:cs="Arial" w:eastAsia="Arial" w:hAnsi="Arial"/>
                <w:sz w:val="16"/>
                <w:szCs w:val="16"/>
                <w:color w:val="auto"/>
              </w:rPr>
              <w:t>Furniture, fixtures and other</w:t>
            </w:r>
          </w:p>
        </w:tc>
        <w:tc>
          <w:tcPr>
            <w:tcW w:w="3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41,600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36,604</w:t>
            </w:r>
          </w:p>
        </w:tc>
      </w:tr>
      <w:tr>
        <w:trPr>
          <w:trHeight w:val="280"/>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40,851</w:t>
            </w:r>
          </w:p>
        </w:tc>
      </w:tr>
      <w:tr>
        <w:trPr>
          <w:trHeight w:val="260"/>
        </w:trPr>
        <w:tc>
          <w:tcPr>
            <w:tcW w:w="4800" w:type="dxa"/>
            <w:vAlign w:val="bottom"/>
          </w:tcPr>
          <w:p>
            <w:pPr>
              <w:ind w:left="20"/>
              <w:spacing w:after="0"/>
              <w:rPr>
                <w:sz w:val="20"/>
                <w:szCs w:val="20"/>
                <w:color w:val="auto"/>
              </w:rPr>
            </w:pPr>
            <w:r>
              <w:rPr>
                <w:rFonts w:ascii="Arial" w:cs="Arial" w:eastAsia="Arial" w:hAnsi="Arial"/>
                <w:sz w:val="16"/>
                <w:szCs w:val="16"/>
                <w:color w:val="auto"/>
              </w:rPr>
              <w:t>Buildings and land</w:t>
            </w:r>
          </w:p>
        </w:tc>
        <w:tc>
          <w:tcPr>
            <w:tcW w:w="3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10,147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7,992</w:t>
            </w:r>
          </w:p>
        </w:tc>
      </w:tr>
      <w:tr>
        <w:trPr>
          <w:trHeight w:val="27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process</w:t>
            </w:r>
          </w:p>
        </w:tc>
        <w:tc>
          <w:tcPr>
            <w:tcW w:w="30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10,559</w:t>
            </w:r>
          </w:p>
        </w:tc>
      </w:tr>
      <w:tr>
        <w:trPr>
          <w:trHeight w:val="247"/>
        </w:trPr>
        <w:tc>
          <w:tcPr>
            <w:tcW w:w="4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305,125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287,903</w:t>
            </w:r>
          </w:p>
        </w:tc>
      </w:tr>
      <w:tr>
        <w:trPr>
          <w:trHeight w:val="280"/>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3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(154,896)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(141,475)</w:t>
            </w:r>
          </w:p>
        </w:tc>
      </w:tr>
      <w:tr>
        <w:trPr>
          <w:trHeight w:val="230"/>
        </w:trPr>
        <w:tc>
          <w:tcPr>
            <w:tcW w:w="4800" w:type="dxa"/>
            <w:vAlign w:val="bottom"/>
          </w:tcPr>
          <w:p>
            <w:pPr>
              <w:ind w:left="3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150,229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146,428</w:t>
            </w:r>
          </w:p>
        </w:tc>
      </w:tr>
      <w:tr>
        <w:trPr>
          <w:trHeight w:val="20"/>
        </w:trPr>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Depreciation expense was $ 8.6 million and $16.9 million for the three and six months ended June 30, 2020 and $8.2 million and $16.2 million for the three and six months ended June 30,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Inventory is comprised of the following at June 30, 2020 and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6" w:lineRule="exact"/>
        <w:rPr>
          <w:sz w:val="20"/>
          <w:szCs w:val="20"/>
          <w:color w:val="auto"/>
        </w:rPr>
      </w:pPr>
    </w:p>
    <w:tbl>
      <w:tblPr>
        <w:tblLayout w:type="fixed"/>
        <w:tblInd w:w="120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 2020</w:t>
            </w:r>
          </w:p>
        </w:tc>
        <w:tc>
          <w:tcPr>
            <w:tcW w:w="200" w:type="dxa"/>
            <w:vAlign w:val="bottom"/>
          </w:tcPr>
          <w:p>
            <w:pPr>
              <w:spacing w:after="0"/>
              <w:rPr>
                <w:sz w:val="17"/>
                <w:szCs w:val="17"/>
                <w:color w:val="auto"/>
              </w:rPr>
            </w:pPr>
          </w:p>
        </w:tc>
        <w:tc>
          <w:tcPr>
            <w:tcW w:w="1780" w:type="dxa"/>
            <w:vAlign w:val="bottom"/>
          </w:tcPr>
          <w:p>
            <w:pPr>
              <w:jc w:val="right"/>
              <w:ind w:right="220"/>
              <w:spacing w:after="0"/>
              <w:rPr>
                <w:sz w:val="20"/>
                <w:szCs w:val="20"/>
                <w:color w:val="auto"/>
              </w:rPr>
            </w:pPr>
            <w:r>
              <w:rPr>
                <w:rFonts w:ascii="Arial" w:cs="Arial" w:eastAsia="Arial" w:hAnsi="Arial"/>
                <w:sz w:val="15"/>
                <w:szCs w:val="15"/>
                <w:b w:val="1"/>
                <w:bCs w:val="1"/>
                <w:color w:val="auto"/>
              </w:rPr>
              <w:t>December 31, 2019</w:t>
            </w:r>
          </w:p>
        </w:tc>
      </w:tr>
      <w:tr>
        <w:trPr>
          <w:trHeight w:val="25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66,370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59,888</w:t>
            </w:r>
          </w:p>
        </w:tc>
      </w:tr>
      <w:tr>
        <w:trPr>
          <w:trHeight w:val="260"/>
        </w:trPr>
        <w:tc>
          <w:tcPr>
            <w:tcW w:w="48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3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14,354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14,318</w:t>
            </w:r>
          </w:p>
        </w:tc>
      </w:tr>
      <w:tr>
        <w:trPr>
          <w:trHeight w:val="280"/>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262,352</w:t>
            </w:r>
          </w:p>
        </w:tc>
      </w:tr>
      <w:tr>
        <w:trPr>
          <w:trHeight w:val="26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obsolescence reserve</w:t>
            </w:r>
          </w:p>
        </w:tc>
        <w:tc>
          <w:tcPr>
            <w:tcW w:w="3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(21,306)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(19,252)</w:t>
            </w:r>
          </w:p>
        </w:tc>
      </w:tr>
      <w:tr>
        <w:trPr>
          <w:trHeight w:val="237"/>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317,301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317,306</w:t>
            </w:r>
          </w:p>
        </w:tc>
      </w:tr>
      <w:tr>
        <w:trPr>
          <w:trHeight w:val="20"/>
        </w:trPr>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Goodwill and Other Intangible Assets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acquisitions of various businesses, the Company has significant intangible assets on its balance sheet that include goodwill and indefinite-lived intangibles.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Annual Impairment Testing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uses a qualitative approach to test goodwill for impairment by first assessing qualitative factors to determine whether it is more-likely-than-not that the fair value of a reporting unit is less than its carrying amount as a basis for determining whether it is necessary to perform quantitative goodwill impairment testing. We determined that the Ergobaby, Foam Fabricators and Velocity reporting units required additional quantitative testing because we could not conclude that the fair value of the reporting unit exceeded its carrying value based on qualitative factors alone. For the reporting units that were tested qualitatively for the 2020 annual impairment testing, the results of the qualitative analysis indicated that it is more likely than not that the fair value exceeded the carrying value of these reporting units.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387" w:right="339" w:bottom="1440" w:gutter="0" w:footer="0" w:header="0"/>
        </w:sectPr>
      </w:pPr>
    </w:p>
    <w:bookmarkStart w:id="22" w:name="page23"/>
    <w:bookmarkEnd w:id="22"/>
    <w:p>
      <w:pPr>
        <w:jc w:val="both"/>
        <w:spacing w:after="0" w:line="252" w:lineRule="auto"/>
        <w:rPr>
          <w:sz w:val="20"/>
          <w:szCs w:val="20"/>
          <w:color w:val="auto"/>
        </w:rPr>
      </w:pPr>
      <w:r>
        <w:rPr>
          <w:rFonts w:ascii="Arial" w:cs="Arial" w:eastAsia="Arial" w:hAnsi="Arial"/>
          <w:sz w:val="18"/>
          <w:szCs w:val="18"/>
          <w:color w:val="auto"/>
        </w:rPr>
        <w:t>The quantitative tests of Ergobaby, Foam Fabricators and Velocity were performed using an income approach to determine the fair value of the reporting units. For Ergobaby, the discount rate used in the income approach was 15.9% and the results of the quantitative impairment testing indicated that the fair value of the Ergobaby reporting unit exceeded the carrying value by 14.0%. For Foam Fabricators, the discount rate used in the income approach was 13.3%, and the results of the quantitative impairment testing indicated that the fair value of the Foam Fabricators reporting unit exceeded the carrying value by 3.8%. For Velocity, the discount rate used in the income approach was 12.8%, and the results of the quantitative impairment testing indicated that the fair value of the Velocity reporting unit exceeded the carrying value by 16.4%.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Interim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Velocity Outdoor</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performed interim quantitative impairment testing of Velocity Outdoor at September 30, 2019. As a result of operating results below forecasts in the current period as well as a re-forecast of the Velocity business in which planned earnings and revenue fell below the forecasts of prior periods, the Company determined that a triggering event occurred in the third quarter of 2019. The Company used an income approach for the impairment test, whereby we estimate the fair value of the reporting unit based on the present value of future cash flows. Cash flow projections are based on management's estimate of revenue growth rates and operating margins, and take into consideration industry and market conditions as well as company specific economic factors. The Company used a weighted average cost of capital of 12.2% in the income approach. The discount rate used was based on the weighted average cost of capital adjusted for the relevant risk associated with business specific characteristics and Velocity's ability to execute on the projected cash flows. Based on the results of the impairment test, the fair value of Velocity did not exceed the carrying value, indicating that the goodwill at Velocity was impaired. The difference between the carrying value and fair value of the Velocity business was $32.9 million, which the Company recorded as impairment expense in the consolidated statement of operations for the year ended December 31,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Annual Impairment Testing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of the Company's reporting units except Liberty were tested qualitatively at March 31, 2019. We determined that the Liberty reporting unit required additional quantitative testing because we could not conclude that the fair value of the reporting unit exceeded its carrying value based on qualitative factors alone. We used an income approach and market approach for the quantitative impairment test that was performed of the Liberty business at March 31, 2019, with equal weighting assigned to each. The discount rate used in the income approach was 14.8%. The results of the quantitative impairment testing indicated that the fair value of the Liberty reporting unit exceeded the carrying value. For the reporting units that were tested qualitatively for the 2019 annual impairment testing, the results of the qualitative analysis indicated that it is more likely than not that the fair value exceeded their carrying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the net carrying value of goodwill at June 30, 2020 and December 31, 2019,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20" w:lineRule="exact"/>
        <w:rPr>
          <w:sz w:val="20"/>
          <w:szCs w:val="20"/>
          <w:color w:val="auto"/>
        </w:rPr>
      </w:pPr>
    </w:p>
    <w:tbl>
      <w:tblPr>
        <w:tblLayout w:type="fixed"/>
        <w:tblInd w:w="1300" w:type="dxa"/>
        <w:tblCellMar>
          <w:top w:w="0" w:type="dxa"/>
          <w:left w:w="0" w:type="dxa"/>
          <w:bottom w:w="0" w:type="dxa"/>
          <w:right w:w="0" w:type="dxa"/>
        </w:tblCellMar>
      </w:tblPr>
      <w:tr>
        <w:trPr>
          <w:trHeight w:val="172"/>
        </w:trPr>
        <w:tc>
          <w:tcPr>
            <w:tcW w:w="4200" w:type="dxa"/>
            <w:vAlign w:val="bottom"/>
          </w:tcPr>
          <w:p>
            <w:pPr>
              <w:spacing w:after="0"/>
              <w:rPr>
                <w:sz w:val="15"/>
                <w:szCs w:val="15"/>
                <w:color w:val="auto"/>
              </w:rPr>
            </w:pPr>
          </w:p>
        </w:tc>
        <w:tc>
          <w:tcPr>
            <w:tcW w:w="2280" w:type="dxa"/>
            <w:vAlign w:val="bottom"/>
            <w:gridSpan w:val="3"/>
          </w:tcPr>
          <w:p>
            <w:pPr>
              <w:ind w:left="100"/>
              <w:spacing w:after="0"/>
              <w:rPr>
                <w:sz w:val="20"/>
                <w:szCs w:val="20"/>
                <w:color w:val="auto"/>
              </w:rPr>
            </w:pPr>
            <w:r>
              <w:rPr>
                <w:rFonts w:ascii="Arial" w:cs="Arial" w:eastAsia="Arial" w:hAnsi="Arial"/>
                <w:sz w:val="15"/>
                <w:szCs w:val="15"/>
                <w:b w:val="1"/>
                <w:bCs w:val="1"/>
                <w:color w:val="auto"/>
              </w:rPr>
              <w:t>Six months ended June 30,</w:t>
            </w:r>
          </w:p>
        </w:tc>
        <w:tc>
          <w:tcPr>
            <w:tcW w:w="260" w:type="dxa"/>
            <w:vAlign w:val="bottom"/>
          </w:tcPr>
          <w:p>
            <w:pPr>
              <w:spacing w:after="0"/>
              <w:rPr>
                <w:sz w:val="15"/>
                <w:szCs w:val="15"/>
                <w:color w:val="auto"/>
              </w:rPr>
            </w:pPr>
          </w:p>
        </w:tc>
        <w:tc>
          <w:tcPr>
            <w:tcW w:w="1940" w:type="dxa"/>
            <w:vAlign w:val="bottom"/>
          </w:tcPr>
          <w:p>
            <w:pPr>
              <w:jc w:val="right"/>
              <w:ind w:right="641"/>
              <w:spacing w:after="0"/>
              <w:rPr>
                <w:sz w:val="20"/>
                <w:szCs w:val="20"/>
                <w:color w:val="auto"/>
              </w:rPr>
            </w:pPr>
            <w:r>
              <w:rPr>
                <w:rFonts w:ascii="Arial" w:cs="Arial" w:eastAsia="Arial" w:hAnsi="Arial"/>
                <w:sz w:val="15"/>
                <w:szCs w:val="15"/>
                <w:b w:val="1"/>
                <w:bCs w:val="1"/>
                <w:color w:val="auto"/>
              </w:rPr>
              <w:t>Year ended</w:t>
            </w:r>
          </w:p>
        </w:tc>
      </w:tr>
      <w:tr>
        <w:trPr>
          <w:trHeight w:val="206"/>
        </w:trPr>
        <w:tc>
          <w:tcPr>
            <w:tcW w:w="42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4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December 31, 2019</w:t>
            </w:r>
          </w:p>
        </w:tc>
      </w:tr>
      <w:tr>
        <w:trPr>
          <w:trHeight w:val="254"/>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 gross carrying amount</w:t>
            </w:r>
          </w:p>
        </w:tc>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563,997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496,264</w:t>
            </w:r>
          </w:p>
        </w:tc>
      </w:tr>
      <w:tr>
        <w:trPr>
          <w:trHeight w:val="26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impairment losses</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(57,745)</w:t>
            </w: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 net carrying amount</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506,252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438,519</w:t>
            </w:r>
          </w:p>
        </w:tc>
      </w:tr>
      <w:tr>
        <w:trPr>
          <w:trHeight w:val="20"/>
        </w:trPr>
        <w:tc>
          <w:tcPr>
            <w:tcW w:w="4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399"/>
        </w:trPr>
        <w:tc>
          <w:tcPr>
            <w:tcW w:w="420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rPr>
              <w:t>23</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240"/>
          </w:cols>
          <w:pgMar w:left="320" w:top="463" w:right="339" w:bottom="1440" w:gutter="0" w:footer="0" w:header="0"/>
        </w:sectPr>
      </w:pPr>
    </w:p>
    <w:bookmarkStart w:id="23" w:name="page24"/>
    <w:bookmarkEnd w:id="23"/>
    <w:p>
      <w:pPr>
        <w:ind w:right="40"/>
        <w:spacing w:after="0" w:line="261" w:lineRule="auto"/>
        <w:rPr>
          <w:sz w:val="20"/>
          <w:szCs w:val="20"/>
          <w:color w:val="auto"/>
        </w:rPr>
      </w:pPr>
      <w:r>
        <w:rPr>
          <w:rFonts w:ascii="Arial" w:cs="Arial" w:eastAsia="Arial" w:hAnsi="Arial"/>
          <w:sz w:val="18"/>
          <w:szCs w:val="18"/>
          <w:color w:val="auto"/>
        </w:rPr>
        <w:t xml:space="preserve">The following is a reconciliation of the change in the carrying value of goodwill for the six months ended June 30, 2020 by operating segment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3"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178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at January 1,</w:t>
            </w: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24"/>
              <w:spacing w:after="0"/>
              <w:rPr>
                <w:sz w:val="20"/>
                <w:szCs w:val="20"/>
                <w:color w:val="auto"/>
              </w:rPr>
            </w:pPr>
            <w:r>
              <w:rPr>
                <w:rFonts w:ascii="Arial" w:cs="Arial" w:eastAsia="Arial" w:hAnsi="Arial"/>
                <w:sz w:val="14"/>
                <w:szCs w:val="14"/>
                <w:b w:val="1"/>
                <w:bCs w:val="1"/>
                <w:color w:val="auto"/>
              </w:rPr>
              <w:t>Goodwill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at June 30,</w:t>
            </w:r>
          </w:p>
        </w:tc>
      </w:tr>
      <w:tr>
        <w:trPr>
          <w:trHeight w:val="196"/>
        </w:trPr>
        <w:tc>
          <w:tcPr>
            <w:tcW w:w="25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Acquisitions</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Impairment</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56"/>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92,966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92,966</w:t>
            </w:r>
          </w:p>
        </w:tc>
      </w:tr>
      <w:tr>
        <w:trPr>
          <w:trHeight w:val="260"/>
        </w:trPr>
        <w:tc>
          <w:tcPr>
            <w:tcW w:w="2580" w:type="dxa"/>
            <w:vAlign w:val="bottom"/>
          </w:tcPr>
          <w:p>
            <w:pPr>
              <w:ind w:left="20"/>
              <w:spacing w:after="0"/>
              <w:rPr>
                <w:sz w:val="20"/>
                <w:szCs w:val="20"/>
                <w:color w:val="auto"/>
              </w:rPr>
            </w:pPr>
            <w:r>
              <w:rPr>
                <w:rFonts w:ascii="Arial" w:cs="Arial" w:eastAsia="Arial" w:hAnsi="Arial"/>
                <w:sz w:val="16"/>
                <w:szCs w:val="16"/>
                <w:color w:val="auto"/>
              </w:rPr>
              <w:t>Ergobaby</w:t>
            </w:r>
          </w:p>
        </w:tc>
        <w:tc>
          <w:tcPr>
            <w:tcW w:w="38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61,031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2"/>
                <w:szCs w:val="22"/>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61,031</w:t>
            </w:r>
          </w:p>
        </w:tc>
      </w:tr>
      <w:tr>
        <w:trPr>
          <w:trHeight w:val="280"/>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32,828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32,828</w:t>
            </w:r>
          </w:p>
        </w:tc>
      </w:tr>
      <w:tr>
        <w:trPr>
          <w:trHeight w:val="260"/>
        </w:trPr>
        <w:tc>
          <w:tcPr>
            <w:tcW w:w="2580" w:type="dxa"/>
            <w:vAlign w:val="bottom"/>
          </w:tcPr>
          <w:p>
            <w:pPr>
              <w:ind w:left="20"/>
              <w:spacing w:after="0"/>
              <w:rPr>
                <w:sz w:val="20"/>
                <w:szCs w:val="20"/>
                <w:color w:val="auto"/>
              </w:rPr>
            </w:pPr>
            <w:r>
              <w:rPr>
                <w:rFonts w:ascii="Arial" w:cs="Arial" w:eastAsia="Arial" w:hAnsi="Arial"/>
                <w:sz w:val="16"/>
                <w:szCs w:val="16"/>
                <w:color w:val="auto"/>
              </w:rPr>
              <w:t>Marucci</w:t>
            </w:r>
          </w:p>
        </w:tc>
        <w:tc>
          <w:tcPr>
            <w:tcW w:w="38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67,733</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2"/>
                <w:szCs w:val="22"/>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67,733</w:t>
            </w:r>
          </w:p>
        </w:tc>
      </w:tr>
      <w:tr>
        <w:trPr>
          <w:trHeight w:val="280"/>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30,079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30,079</w:t>
            </w:r>
          </w:p>
        </w:tc>
      </w:tr>
      <w:tr>
        <w:trPr>
          <w:trHeight w:val="260"/>
        </w:trPr>
        <w:tc>
          <w:tcPr>
            <w:tcW w:w="2580" w:type="dxa"/>
            <w:vAlign w:val="bottom"/>
          </w:tcPr>
          <w:p>
            <w:pPr>
              <w:ind w:left="20"/>
              <w:spacing w:after="0"/>
              <w:rPr>
                <w:sz w:val="20"/>
                <w:szCs w:val="20"/>
                <w:color w:val="auto"/>
              </w:rPr>
            </w:pPr>
            <w:r>
              <w:rPr>
                <w:rFonts w:ascii="Arial" w:cs="Arial" w:eastAsia="Arial" w:hAnsi="Arial"/>
                <w:sz w:val="16"/>
                <w:szCs w:val="16"/>
                <w:color w:val="auto"/>
              </w:rPr>
              <w:t>ACI</w:t>
            </w:r>
          </w:p>
        </w:tc>
        <w:tc>
          <w:tcPr>
            <w:tcW w:w="38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58,019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2"/>
                <w:szCs w:val="22"/>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58,019</w:t>
            </w:r>
          </w:p>
        </w:tc>
      </w:tr>
      <w:tr>
        <w:trPr>
          <w:trHeight w:val="280"/>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26,903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26,903</w:t>
            </w:r>
          </w:p>
        </w:tc>
      </w:tr>
      <w:tr>
        <w:trPr>
          <w:trHeight w:val="260"/>
        </w:trPr>
        <w:tc>
          <w:tcPr>
            <w:tcW w:w="2580" w:type="dxa"/>
            <w:vAlign w:val="bottom"/>
          </w:tcPr>
          <w:p>
            <w:pPr>
              <w:ind w:left="20"/>
              <w:spacing w:after="0"/>
              <w:rPr>
                <w:sz w:val="20"/>
                <w:szCs w:val="20"/>
                <w:color w:val="auto"/>
              </w:rPr>
            </w:pPr>
            <w:r>
              <w:rPr>
                <w:rFonts w:ascii="Arial" w:cs="Arial" w:eastAsia="Arial" w:hAnsi="Arial"/>
                <w:sz w:val="16"/>
                <w:szCs w:val="16"/>
                <w:color w:val="auto"/>
              </w:rPr>
              <w:t>Foam Fabricators</w:t>
            </w:r>
          </w:p>
        </w:tc>
        <w:tc>
          <w:tcPr>
            <w:tcW w:w="38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72,708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2"/>
                <w:szCs w:val="22"/>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72,708</w:t>
            </w:r>
          </w:p>
        </w:tc>
      </w:tr>
      <w:tr>
        <w:trPr>
          <w:trHeight w:val="280"/>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55,336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55,336</w:t>
            </w:r>
          </w:p>
        </w:tc>
      </w:tr>
      <w:tr>
        <w:trPr>
          <w:trHeight w:val="270"/>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Corporate </w:t>
            </w:r>
            <w:r>
              <w:rPr>
                <w:rFonts w:ascii="Arial" w:cs="Arial" w:eastAsia="Arial" w:hAnsi="Arial"/>
                <w:sz w:val="21"/>
                <w:szCs w:val="21"/>
                <w:b w:val="1"/>
                <w:bCs w:val="1"/>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8,649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8,649</w:t>
            </w:r>
          </w:p>
        </w:tc>
      </w:tr>
      <w:tr>
        <w:trPr>
          <w:trHeight w:val="261"/>
        </w:trPr>
        <w:tc>
          <w:tcPr>
            <w:tcW w:w="2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438,519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67,733</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506,252</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340" w:hanging="332"/>
        <w:spacing w:after="0" w:line="215" w:lineRule="auto"/>
        <w:tabs>
          <w:tab w:leader="none" w:pos="340" w:val="left"/>
        </w:tabs>
        <w:numPr>
          <w:ilvl w:val="0"/>
          <w:numId w:val="13"/>
        </w:numPr>
        <w:rPr>
          <w:rFonts w:ascii="Arial" w:cs="Arial" w:eastAsia="Arial" w:hAnsi="Arial"/>
          <w:sz w:val="25"/>
          <w:szCs w:val="25"/>
          <w:b w:val="1"/>
          <w:bCs w:val="1"/>
          <w:color w:val="auto"/>
          <w:vertAlign w:val="superscript"/>
        </w:rPr>
      </w:pPr>
      <w:r>
        <w:rPr>
          <w:rFonts w:ascii="Arial" w:cs="Arial" w:eastAsia="Arial" w:hAnsi="Arial"/>
          <w:sz w:val="16"/>
          <w:szCs w:val="16"/>
          <w:color w:val="auto"/>
        </w:rPr>
        <w:t>Represents goodwill resulting from purchase accounting adjustments not "pushed down" to the ACI segment. This amount is allocated back to the ACI segment for purposes of goodwill impairment testing.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indefinite lived impairment testing</w:t>
      </w:r>
    </w:p>
    <w:p>
      <w:pPr>
        <w:spacing w:after="0" w:line="135" w:lineRule="exact"/>
        <w:rPr>
          <w:sz w:val="20"/>
          <w:szCs w:val="20"/>
          <w:color w:val="auto"/>
        </w:rPr>
      </w:pPr>
    </w:p>
    <w:p>
      <w:pPr>
        <w:jc w:val="both"/>
        <w:ind w:left="60"/>
        <w:spacing w:after="0" w:line="252" w:lineRule="auto"/>
        <w:rPr>
          <w:sz w:val="20"/>
          <w:szCs w:val="20"/>
          <w:color w:val="auto"/>
        </w:rPr>
      </w:pPr>
      <w:r>
        <w:rPr>
          <w:rFonts w:ascii="Arial" w:cs="Arial" w:eastAsia="Arial" w:hAnsi="Arial"/>
          <w:sz w:val="18"/>
          <w:szCs w:val="18"/>
          <w:color w:val="auto"/>
        </w:rPr>
        <w:t>The Company used a qualitative approach to test indefinite lived intangible assets for impairment by first assessing qualitative factors to determine whether it is more-likely-than-not that the fair value of an indefinite lived intangible asset is impaired as a basis for determining whether it is necessary to perform quantitative impairment testing. The Company evaluated the qualitative factors of each indefinite lived intangible asset in connection with the annual impairment testing for 2020 and 2019. Results of the qualitative analysis indicate that it is more likely than not that the fair value of the reporting units that maintain indefinite lived intangible assets exceeded the carrying value. The Ergobaby and Liberty reporting units have indefinite lived trade names that were tested in conjunction with the goodwill impairment tests at March 31, 2020 and March 31, 2019, respectively. The results of the quantitative impairment testing indicated that the trade names were not impaired.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intangible assets are comprised of the following at June 30, 2020 and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3"/>
                <w:szCs w:val="13"/>
                <w:color w:val="auto"/>
              </w:rPr>
            </w:pPr>
          </w:p>
        </w:tc>
        <w:tc>
          <w:tcPr>
            <w:tcW w:w="12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1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Net Carrying</w:t>
            </w:r>
          </w:p>
        </w:tc>
        <w:tc>
          <w:tcPr>
            <w:tcW w:w="140" w:type="dxa"/>
            <w:vAlign w:val="bottom"/>
          </w:tcPr>
          <w:p>
            <w:pPr>
              <w:spacing w:after="0"/>
              <w:rPr>
                <w:sz w:val="13"/>
                <w:szCs w:val="13"/>
                <w:color w:val="auto"/>
              </w:rPr>
            </w:pPr>
          </w:p>
        </w:tc>
        <w:tc>
          <w:tcPr>
            <w:tcW w:w="1200" w:type="dxa"/>
            <w:vAlign w:val="bottom"/>
          </w:tcPr>
          <w:p>
            <w:pPr>
              <w:jc w:val="right"/>
              <w:ind w:right="87"/>
              <w:spacing w:after="0" w:line="155"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080" w:type="dxa"/>
            <w:vAlign w:val="bottom"/>
          </w:tcPr>
          <w:p>
            <w:pPr>
              <w:jc w:val="right"/>
              <w:ind w:right="127"/>
              <w:spacing w:after="0" w:line="155"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0"/>
        </w:trPr>
        <w:tc>
          <w:tcPr>
            <w:tcW w:w="3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2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Customer relationships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473,807</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(172,536)</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301,271</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462,686</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(155,200)</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307,486</w:t>
            </w:r>
          </w:p>
        </w:tc>
        <w:tc>
          <w:tcPr>
            <w:tcW w:w="0" w:type="dxa"/>
            <w:vAlign w:val="bottom"/>
          </w:tcPr>
          <w:p>
            <w:pPr>
              <w:spacing w:after="0"/>
              <w:rPr>
                <w:sz w:val="1"/>
                <w:szCs w:val="1"/>
                <w:color w:val="auto"/>
              </w:rPr>
            </w:pPr>
          </w:p>
        </w:tc>
      </w:tr>
      <w:tr>
        <w:trPr>
          <w:trHeight w:val="64"/>
        </w:trPr>
        <w:tc>
          <w:tcPr>
            <w:tcW w:w="304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40"/>
              <w:spacing w:after="0"/>
              <w:rPr>
                <w:sz w:val="20"/>
                <w:szCs w:val="20"/>
                <w:color w:val="auto"/>
              </w:rPr>
            </w:pPr>
            <w:r>
              <w:rPr>
                <w:rFonts w:ascii="Arial" w:cs="Arial" w:eastAsia="Arial" w:hAnsi="Arial"/>
                <w:sz w:val="15"/>
                <w:szCs w:val="15"/>
                <w:color w:val="auto"/>
              </w:rPr>
              <w:t>Technology and patents</w:t>
            </w:r>
          </w:p>
        </w:tc>
        <w:tc>
          <w:tcPr>
            <w:tcW w:w="160" w:type="dxa"/>
            <w:vAlign w:val="bottom"/>
          </w:tcPr>
          <w:p>
            <w:pPr>
              <w:spacing w:after="0"/>
              <w:rPr>
                <w:sz w:val="17"/>
                <w:szCs w:val="17"/>
                <w:color w:val="auto"/>
              </w:rPr>
            </w:pPr>
          </w:p>
        </w:tc>
        <w:tc>
          <w:tcPr>
            <w:tcW w:w="1240" w:type="dxa"/>
            <w:vAlign w:val="bottom"/>
            <w:vMerge w:val="restart"/>
          </w:tcPr>
          <w:p>
            <w:pPr>
              <w:jc w:val="right"/>
              <w:ind w:right="47"/>
              <w:spacing w:after="0"/>
              <w:rPr>
                <w:sz w:val="20"/>
                <w:szCs w:val="20"/>
                <w:color w:val="auto"/>
              </w:rPr>
            </w:pPr>
            <w:r>
              <w:rPr>
                <w:rFonts w:ascii="Arial" w:cs="Arial" w:eastAsia="Arial" w:hAnsi="Arial"/>
                <w:sz w:val="15"/>
                <w:szCs w:val="15"/>
                <w:color w:val="auto"/>
              </w:rPr>
              <w:t>84,699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(31,458)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right"/>
              <w:ind w:right="27"/>
              <w:spacing w:after="0"/>
              <w:rPr>
                <w:sz w:val="20"/>
                <w:szCs w:val="20"/>
                <w:color w:val="auto"/>
              </w:rPr>
            </w:pPr>
            <w:r>
              <w:rPr>
                <w:rFonts w:ascii="Arial" w:cs="Arial" w:eastAsia="Arial" w:hAnsi="Arial"/>
                <w:sz w:val="15"/>
                <w:szCs w:val="15"/>
                <w:color w:val="auto"/>
              </w:rPr>
              <w:t>53,241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vMerge w:val="restart"/>
          </w:tcPr>
          <w:p>
            <w:pPr>
              <w:jc w:val="right"/>
              <w:ind w:right="27"/>
              <w:spacing w:after="0"/>
              <w:rPr>
                <w:sz w:val="20"/>
                <w:szCs w:val="20"/>
                <w:color w:val="auto"/>
              </w:rPr>
            </w:pPr>
            <w:r>
              <w:rPr>
                <w:rFonts w:ascii="Arial" w:cs="Arial" w:eastAsia="Arial" w:hAnsi="Arial"/>
                <w:sz w:val="15"/>
                <w:szCs w:val="15"/>
                <w:color w:val="auto"/>
              </w:rPr>
              <w:t>80,082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(28,748)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ind w:right="27"/>
              <w:spacing w:after="0"/>
              <w:rPr>
                <w:sz w:val="20"/>
                <w:szCs w:val="20"/>
                <w:color w:val="auto"/>
              </w:rPr>
            </w:pPr>
            <w:r>
              <w:rPr>
                <w:rFonts w:ascii="Arial" w:cs="Arial" w:eastAsia="Arial" w:hAnsi="Arial"/>
                <w:sz w:val="15"/>
                <w:szCs w:val="15"/>
                <w:color w:val="auto"/>
              </w:rPr>
              <w:t>51,334</w:t>
            </w:r>
          </w:p>
        </w:tc>
        <w:tc>
          <w:tcPr>
            <w:tcW w:w="0" w:type="dxa"/>
            <w:vAlign w:val="bottom"/>
          </w:tcPr>
          <w:p>
            <w:pPr>
              <w:spacing w:after="0"/>
              <w:rPr>
                <w:sz w:val="1"/>
                <w:szCs w:val="1"/>
                <w:color w:val="auto"/>
              </w:rPr>
            </w:pPr>
          </w:p>
        </w:tc>
      </w:tr>
      <w:tr>
        <w:trPr>
          <w:trHeight w:val="59"/>
        </w:trPr>
        <w:tc>
          <w:tcPr>
            <w:tcW w:w="3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040" w:type="dxa"/>
            <w:vAlign w:val="bottom"/>
            <w:shd w:val="clear" w:color="auto" w:fill="CCEEFF"/>
          </w:tcPr>
          <w:p>
            <w:pPr>
              <w:ind w:left="40"/>
              <w:spacing w:after="0"/>
              <w:rPr>
                <w:sz w:val="20"/>
                <w:szCs w:val="20"/>
                <w:color w:val="auto"/>
              </w:rPr>
            </w:pPr>
            <w:r>
              <w:rPr>
                <w:rFonts w:ascii="Arial" w:cs="Arial" w:eastAsia="Arial" w:hAnsi="Arial"/>
                <w:sz w:val="15"/>
                <w:szCs w:val="15"/>
                <w:color w:val="auto"/>
              </w:rPr>
              <w:t>Trade names, subject to amortization</w:t>
            </w:r>
          </w:p>
        </w:tc>
        <w:tc>
          <w:tcPr>
            <w:tcW w:w="1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273,112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(54,571)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218,541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189,183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(46,507)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142,676</w:t>
            </w:r>
          </w:p>
        </w:tc>
        <w:tc>
          <w:tcPr>
            <w:tcW w:w="0" w:type="dxa"/>
            <w:vAlign w:val="bottom"/>
          </w:tcPr>
          <w:p>
            <w:pPr>
              <w:spacing w:after="0"/>
              <w:rPr>
                <w:sz w:val="1"/>
                <w:szCs w:val="1"/>
                <w:color w:val="auto"/>
              </w:rPr>
            </w:pPr>
          </w:p>
        </w:tc>
      </w:tr>
      <w:tr>
        <w:trPr>
          <w:trHeight w:val="64"/>
        </w:trPr>
        <w:tc>
          <w:tcPr>
            <w:tcW w:w="30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40"/>
              <w:spacing w:after="0"/>
              <w:rPr>
                <w:sz w:val="20"/>
                <w:szCs w:val="20"/>
                <w:color w:val="auto"/>
              </w:rPr>
            </w:pPr>
            <w:r>
              <w:rPr>
                <w:rFonts w:ascii="Arial" w:cs="Arial" w:eastAsia="Arial" w:hAnsi="Arial"/>
                <w:sz w:val="15"/>
                <w:szCs w:val="15"/>
                <w:color w:val="auto"/>
              </w:rPr>
              <w:t>Licensing and non-compete agreements</w:t>
            </w:r>
          </w:p>
        </w:tc>
        <w:tc>
          <w:tcPr>
            <w:tcW w:w="160" w:type="dxa"/>
            <w:vAlign w:val="bottom"/>
          </w:tcPr>
          <w:p>
            <w:pPr>
              <w:spacing w:after="0"/>
              <w:rPr>
                <w:sz w:val="17"/>
                <w:szCs w:val="17"/>
                <w:color w:val="auto"/>
              </w:rPr>
            </w:pPr>
          </w:p>
        </w:tc>
        <w:tc>
          <w:tcPr>
            <w:tcW w:w="1240" w:type="dxa"/>
            <w:vAlign w:val="bottom"/>
            <w:vMerge w:val="restart"/>
          </w:tcPr>
          <w:p>
            <w:pPr>
              <w:jc w:val="right"/>
              <w:ind w:right="47"/>
              <w:spacing w:after="0"/>
              <w:rPr>
                <w:sz w:val="20"/>
                <w:szCs w:val="20"/>
                <w:color w:val="auto"/>
              </w:rPr>
            </w:pPr>
            <w:r>
              <w:rPr>
                <w:rFonts w:ascii="Arial" w:cs="Arial" w:eastAsia="Arial" w:hAnsi="Arial"/>
                <w:sz w:val="15"/>
                <w:szCs w:val="15"/>
                <w:color w:val="auto"/>
              </w:rPr>
              <w:t>7,515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(7,222)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right"/>
              <w:ind w:right="27"/>
              <w:spacing w:after="0"/>
              <w:rPr>
                <w:sz w:val="20"/>
                <w:szCs w:val="20"/>
                <w:color w:val="auto"/>
              </w:rPr>
            </w:pPr>
            <w:r>
              <w:rPr>
                <w:rFonts w:ascii="Arial" w:cs="Arial" w:eastAsia="Arial" w:hAnsi="Arial"/>
                <w:sz w:val="15"/>
                <w:szCs w:val="15"/>
                <w:color w:val="auto"/>
              </w:rPr>
              <w:t>293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vMerge w:val="restart"/>
          </w:tcPr>
          <w:p>
            <w:pPr>
              <w:jc w:val="right"/>
              <w:ind w:right="27"/>
              <w:spacing w:after="0"/>
              <w:rPr>
                <w:sz w:val="20"/>
                <w:szCs w:val="20"/>
                <w:color w:val="auto"/>
              </w:rPr>
            </w:pPr>
            <w:r>
              <w:rPr>
                <w:rFonts w:ascii="Arial" w:cs="Arial" w:eastAsia="Arial" w:hAnsi="Arial"/>
                <w:sz w:val="15"/>
                <w:szCs w:val="15"/>
                <w:color w:val="auto"/>
              </w:rPr>
              <w:t>7,515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(7,050)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ind w:right="27"/>
              <w:spacing w:after="0"/>
              <w:rPr>
                <w:sz w:val="20"/>
                <w:szCs w:val="20"/>
                <w:color w:val="auto"/>
              </w:rPr>
            </w:pPr>
            <w:r>
              <w:rPr>
                <w:rFonts w:ascii="Arial" w:cs="Arial" w:eastAsia="Arial" w:hAnsi="Arial"/>
                <w:sz w:val="15"/>
                <w:szCs w:val="15"/>
                <w:color w:val="auto"/>
              </w:rPr>
              <w:t>465</w:t>
            </w:r>
          </w:p>
        </w:tc>
        <w:tc>
          <w:tcPr>
            <w:tcW w:w="0" w:type="dxa"/>
            <w:vAlign w:val="bottom"/>
          </w:tcPr>
          <w:p>
            <w:pPr>
              <w:spacing w:after="0"/>
              <w:rPr>
                <w:sz w:val="1"/>
                <w:szCs w:val="1"/>
                <w:color w:val="auto"/>
              </w:rPr>
            </w:pPr>
          </w:p>
        </w:tc>
      </w:tr>
      <w:tr>
        <w:trPr>
          <w:trHeight w:val="59"/>
        </w:trPr>
        <w:tc>
          <w:tcPr>
            <w:tcW w:w="3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04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Distributor relations and other</w:t>
            </w:r>
          </w:p>
        </w:tc>
        <w:tc>
          <w:tcPr>
            <w:tcW w:w="1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726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4"/>
        </w:trPr>
        <w:tc>
          <w:tcPr>
            <w:tcW w:w="30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380"/>
              <w:spacing w:after="0"/>
              <w:rPr>
                <w:sz w:val="20"/>
                <w:szCs w:val="20"/>
                <w:color w:val="auto"/>
              </w:rPr>
            </w:pPr>
            <w:r>
              <w:rPr>
                <w:rFonts w:ascii="Arial" w:cs="Arial" w:eastAsia="Arial" w:hAnsi="Arial"/>
                <w:sz w:val="15"/>
                <w:szCs w:val="15"/>
                <w:color w:val="auto"/>
              </w:rPr>
              <w:t>Total</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rPr>
              <w:t>839,859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(266,513)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color w:val="auto"/>
              </w:rPr>
              <w:t>573,346</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color w:val="auto"/>
              </w:rPr>
              <w:t>740,192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(238,231)</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color w:val="auto"/>
              </w:rPr>
              <w:t>501,961</w:t>
            </w:r>
          </w:p>
        </w:tc>
        <w:tc>
          <w:tcPr>
            <w:tcW w:w="0" w:type="dxa"/>
            <w:vAlign w:val="bottom"/>
          </w:tcPr>
          <w:p>
            <w:pPr>
              <w:spacing w:after="0"/>
              <w:rPr>
                <w:sz w:val="1"/>
                <w:szCs w:val="1"/>
                <w:color w:val="auto"/>
              </w:rPr>
            </w:pPr>
          </w:p>
        </w:tc>
      </w:tr>
      <w:tr>
        <w:trPr>
          <w:trHeight w:val="59"/>
        </w:trPr>
        <w:tc>
          <w:tcPr>
            <w:tcW w:w="3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040" w:type="dxa"/>
            <w:vAlign w:val="bottom"/>
            <w:shd w:val="clear" w:color="auto" w:fill="CCEEFF"/>
          </w:tcPr>
          <w:p>
            <w:pPr>
              <w:ind w:left="40"/>
              <w:spacing w:after="0"/>
              <w:rPr>
                <w:sz w:val="20"/>
                <w:szCs w:val="20"/>
                <w:color w:val="auto"/>
              </w:rPr>
            </w:pPr>
            <w:r>
              <w:rPr>
                <w:rFonts w:ascii="Arial" w:cs="Arial" w:eastAsia="Arial" w:hAnsi="Arial"/>
                <w:sz w:val="15"/>
                <w:szCs w:val="15"/>
                <w:color w:val="auto"/>
              </w:rPr>
              <w:t>Trade names, not subject to amortization</w:t>
            </w:r>
          </w:p>
        </w:tc>
        <w:tc>
          <w:tcPr>
            <w:tcW w:w="1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59,985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59,985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59,985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59,985</w:t>
            </w:r>
          </w:p>
        </w:tc>
        <w:tc>
          <w:tcPr>
            <w:tcW w:w="0" w:type="dxa"/>
            <w:vAlign w:val="bottom"/>
          </w:tcPr>
          <w:p>
            <w:pPr>
              <w:spacing w:after="0"/>
              <w:rPr>
                <w:sz w:val="1"/>
                <w:szCs w:val="1"/>
                <w:color w:val="auto"/>
              </w:rPr>
            </w:pPr>
          </w:p>
        </w:tc>
      </w:tr>
      <w:tr>
        <w:trPr>
          <w:trHeight w:val="64"/>
        </w:trPr>
        <w:tc>
          <w:tcPr>
            <w:tcW w:w="304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040" w:type="dxa"/>
            <w:vAlign w:val="bottom"/>
          </w:tcPr>
          <w:p>
            <w:pPr>
              <w:ind w:left="380"/>
              <w:spacing w:after="0"/>
              <w:rPr>
                <w:sz w:val="20"/>
                <w:szCs w:val="20"/>
                <w:color w:val="auto"/>
              </w:rPr>
            </w:pPr>
            <w:r>
              <w:rPr>
                <w:rFonts w:ascii="Arial" w:cs="Arial" w:eastAsia="Arial" w:hAnsi="Arial"/>
                <w:sz w:val="15"/>
                <w:szCs w:val="15"/>
                <w:color w:val="auto"/>
              </w:rPr>
              <w:t>Total intangibles, net</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7"/>
              <w:spacing w:after="0"/>
              <w:rPr>
                <w:sz w:val="20"/>
                <w:szCs w:val="20"/>
                <w:color w:val="auto"/>
              </w:rPr>
            </w:pPr>
            <w:r>
              <w:rPr>
                <w:rFonts w:ascii="Arial" w:cs="Arial" w:eastAsia="Arial" w:hAnsi="Arial"/>
                <w:sz w:val="15"/>
                <w:szCs w:val="15"/>
                <w:color w:val="auto"/>
              </w:rPr>
              <w:t>899,844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(266,513)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7"/>
              <w:spacing w:after="0"/>
              <w:rPr>
                <w:sz w:val="20"/>
                <w:szCs w:val="20"/>
                <w:color w:val="auto"/>
              </w:rPr>
            </w:pPr>
            <w:r>
              <w:rPr>
                <w:rFonts w:ascii="Arial" w:cs="Arial" w:eastAsia="Arial" w:hAnsi="Arial"/>
                <w:sz w:val="15"/>
                <w:szCs w:val="15"/>
                <w:color w:val="auto"/>
              </w:rPr>
              <w:t>633,331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27"/>
              <w:spacing w:after="0"/>
              <w:rPr>
                <w:sz w:val="20"/>
                <w:szCs w:val="20"/>
                <w:color w:val="auto"/>
              </w:rPr>
            </w:pPr>
            <w:r>
              <w:rPr>
                <w:rFonts w:ascii="Arial" w:cs="Arial" w:eastAsia="Arial" w:hAnsi="Arial"/>
                <w:sz w:val="15"/>
                <w:szCs w:val="15"/>
                <w:color w:val="auto"/>
              </w:rPr>
              <w:t>800,177</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(238,231)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561,946</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Amortization expense related to intangible assets was $14.8 million and $28.3 million for the three and six months ended June 30, 2020, respectively and $13.5 million and $27.1 million for the three and six months ended June 30, 2019, respectively.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571" w:right="339" w:bottom="1440" w:gutter="0" w:footer="0" w:header="0"/>
        </w:sectPr>
      </w:pPr>
    </w:p>
    <w:bookmarkStart w:id="24" w:name="page25"/>
    <w:bookmarkEnd w:id="24"/>
    <w:p>
      <w:pPr>
        <w:jc w:val="both"/>
        <w:spacing w:after="0" w:line="282" w:lineRule="auto"/>
        <w:rPr>
          <w:sz w:val="20"/>
          <w:szCs w:val="20"/>
          <w:color w:val="auto"/>
        </w:rPr>
      </w:pPr>
      <w:r>
        <w:rPr>
          <w:rFonts w:ascii="Arial" w:cs="Arial" w:eastAsia="Arial" w:hAnsi="Arial"/>
          <w:sz w:val="18"/>
          <w:szCs w:val="18"/>
          <w:color w:val="auto"/>
        </w:rPr>
        <w:t xml:space="preserve">Estimated charges to amortization expense of intangible assets for the remainder of 2020 and the next four years,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2780" w:type="dxa"/>
        <w:tblCellMar>
          <w:top w:w="0" w:type="dxa"/>
          <w:left w:w="0" w:type="dxa"/>
          <w:bottom w:w="0" w:type="dxa"/>
          <w:right w:w="0" w:type="dxa"/>
        </w:tblCellMar>
      </w:tblPr>
      <w:tr>
        <w:trPr>
          <w:trHeight w:val="228"/>
        </w:trPr>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r>
      <w:tr>
        <w:trPr>
          <w:trHeight w:val="121"/>
        </w:trPr>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70"/>
        </w:trPr>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30,353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59,893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58,261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57,864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56,772</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Warranties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Ergobaby, Liberty, Marucci and Velocity Outdoor operating segments estimate their exposure to warranty claims based on both current and historical product sales data and warranty costs incurred. The Company assesses the adequacy of its recorded warranty liability quarterly and adjusts the amount as necessary. Warranty liability is included in accrued expenses in the accompanying consolidated balance sheets. A reconciliation of the change in the carrying value of the Company’s warranty liability for the six months ended June 30, 2020 and the year ended December 31, 2019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0" w:lineRule="exact"/>
        <w:rPr>
          <w:sz w:val="20"/>
          <w:szCs w:val="20"/>
          <w:color w:val="auto"/>
        </w:rPr>
      </w:pPr>
    </w:p>
    <w:tbl>
      <w:tblPr>
        <w:tblLayout w:type="fixed"/>
        <w:tblInd w:w="1200" w:type="dxa"/>
        <w:tblCellMar>
          <w:top w:w="0" w:type="dxa"/>
          <w:left w:w="0" w:type="dxa"/>
          <w:bottom w:w="0" w:type="dxa"/>
          <w:right w:w="0" w:type="dxa"/>
        </w:tblCellMar>
      </w:tblPr>
      <w:tr>
        <w:trPr>
          <w:trHeight w:val="172"/>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5"/>
                <w:szCs w:val="15"/>
                <w:b w:val="1"/>
                <w:bCs w:val="1"/>
                <w:color w:val="auto"/>
              </w:rPr>
              <w:t>Six months ended June</w:t>
            </w:r>
          </w:p>
        </w:tc>
        <w:tc>
          <w:tcPr>
            <w:tcW w:w="220" w:type="dxa"/>
            <w:vAlign w:val="bottom"/>
          </w:tcPr>
          <w:p>
            <w:pPr>
              <w:spacing w:after="0"/>
              <w:rPr>
                <w:sz w:val="14"/>
                <w:szCs w:val="14"/>
                <w:color w:val="auto"/>
              </w:rPr>
            </w:pPr>
          </w:p>
        </w:tc>
        <w:tc>
          <w:tcPr>
            <w:tcW w:w="1740" w:type="dxa"/>
            <w:vAlign w:val="bottom"/>
          </w:tcPr>
          <w:p>
            <w:pPr>
              <w:jc w:val="right"/>
              <w:ind w:right="520"/>
              <w:spacing w:after="0"/>
              <w:rPr>
                <w:sz w:val="20"/>
                <w:szCs w:val="20"/>
                <w:color w:val="auto"/>
              </w:rPr>
            </w:pPr>
            <w:r>
              <w:rPr>
                <w:rFonts w:ascii="Arial" w:cs="Arial" w:eastAsia="Arial" w:hAnsi="Arial"/>
                <w:sz w:val="15"/>
                <w:szCs w:val="15"/>
                <w:b w:val="1"/>
                <w:bCs w:val="1"/>
                <w:color w:val="auto"/>
              </w:rPr>
              <w:t>Year ended</w:t>
            </w:r>
          </w:p>
        </w:tc>
      </w:tr>
      <w:tr>
        <w:trPr>
          <w:trHeight w:val="206"/>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Warranty liability</w:t>
            </w: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600"/>
              <w:spacing w:after="0"/>
              <w:rPr>
                <w:sz w:val="20"/>
                <w:szCs w:val="20"/>
                <w:color w:val="auto"/>
              </w:rPr>
            </w:pPr>
            <w:r>
              <w:rPr>
                <w:rFonts w:ascii="Arial" w:cs="Arial" w:eastAsia="Arial" w:hAnsi="Arial"/>
                <w:sz w:val="15"/>
                <w:szCs w:val="15"/>
                <w:b w:val="1"/>
                <w:bCs w:val="1"/>
                <w:color w:val="auto"/>
              </w:rPr>
              <w:t>30, 2020</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00"/>
              <w:spacing w:after="0"/>
              <w:rPr>
                <w:sz w:val="20"/>
                <w:szCs w:val="20"/>
                <w:color w:val="auto"/>
              </w:rPr>
            </w:pPr>
            <w:r>
              <w:rPr>
                <w:rFonts w:ascii="Arial" w:cs="Arial" w:eastAsia="Arial" w:hAnsi="Arial"/>
                <w:sz w:val="15"/>
                <w:szCs w:val="15"/>
                <w:b w:val="1"/>
                <w:bCs w:val="1"/>
                <w:color w:val="auto"/>
              </w:rPr>
              <w:t>December 31, 2019</w:t>
            </w:r>
          </w:p>
        </w:tc>
      </w:tr>
      <w:tr>
        <w:trPr>
          <w:trHeight w:val="159"/>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70"/>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w:t>
            </w:r>
          </w:p>
        </w:tc>
      </w:tr>
      <w:tr>
        <w:trPr>
          <w:trHeight w:val="260"/>
        </w:trPr>
        <w:tc>
          <w:tcPr>
            <w:tcW w:w="4820" w:type="dxa"/>
            <w:vAlign w:val="bottom"/>
          </w:tcPr>
          <w:p>
            <w:pPr>
              <w:ind w:left="40"/>
              <w:spacing w:after="0"/>
              <w:rPr>
                <w:sz w:val="20"/>
                <w:szCs w:val="20"/>
                <w:color w:val="auto"/>
              </w:rPr>
            </w:pPr>
            <w:r>
              <w:rPr>
                <w:rFonts w:ascii="Arial" w:cs="Arial" w:eastAsia="Arial" w:hAnsi="Arial"/>
                <w:sz w:val="16"/>
                <w:szCs w:val="16"/>
                <w:color w:val="auto"/>
              </w:rPr>
              <w:t>Provision for warranties issued during the period</w:t>
            </w:r>
          </w:p>
        </w:tc>
        <w:tc>
          <w:tcPr>
            <w:tcW w:w="1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2,238</w:t>
            </w:r>
          </w:p>
        </w:tc>
      </w:tr>
      <w:tr>
        <w:trPr>
          <w:trHeight w:val="280"/>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Fulfillment of warranty obligations</w:t>
            </w: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w:t>
            </w:r>
          </w:p>
        </w:tc>
      </w:tr>
      <w:tr>
        <w:trPr>
          <w:trHeight w:val="270"/>
        </w:trPr>
        <w:tc>
          <w:tcPr>
            <w:tcW w:w="4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b w:val="1"/>
                <w:bCs w:val="1"/>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w:t>
            </w: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5"/>
          <w:szCs w:val="25"/>
          <w:b w:val="1"/>
          <w:bCs w:val="1"/>
          <w:color w:val="auto"/>
          <w:vertAlign w:val="superscript"/>
        </w:rPr>
      </w:pPr>
      <w:r>
        <w:rPr>
          <w:rFonts w:ascii="Arial" w:cs="Arial" w:eastAsia="Arial" w:hAnsi="Arial"/>
          <w:sz w:val="16"/>
          <w:szCs w:val="16"/>
          <w:color w:val="auto"/>
        </w:rPr>
        <w:t>Represents the warranty liability recorded in relation to the Marucci acquisition in April 2020.</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I —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April 18, 2018, the Company entered into an Amended and Restated Credit Agreement (the "2018 Credit Facility") to amend and restate the 2014 Credit Facility, originally dated as of June 6, 2014 (as previously amended) among the Company, the lenders from time to time party thereto (the “Lenders”), and Bank of America, N.A., as Administrative Agent. The 2018 Credit Facility is secured by all of the assets of the Company, including all of its equity interests in, and loans to, its consolidated subsidiaries. The 2018 Credit Facility provides for (i) revolving loans, swing line loans and letters of credit (the “2018 Revolving Credit Facility”) up to a maximum aggregate amount of $600 million, and</w:t>
      </w:r>
    </w:p>
    <w:p>
      <w:pPr>
        <w:spacing w:after="0" w:line="1" w:lineRule="exact"/>
        <w:rPr>
          <w:sz w:val="20"/>
          <w:szCs w:val="20"/>
          <w:color w:val="auto"/>
        </w:rPr>
      </w:pPr>
    </w:p>
    <w:p>
      <w:pPr>
        <w:jc w:val="both"/>
        <w:ind w:firstLine="8"/>
        <w:spacing w:after="0" w:line="256" w:lineRule="auto"/>
        <w:tabs>
          <w:tab w:leader="none" w:pos="2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$500 million term loan (the “2018 Term Loan”). The 2018 Credit Facility also permits the Company, prior to the applicable maturity date, to increase the revolving loan commitment and/or obtain additional term loans in an aggregate amount of up to $250 million (the “Incremental Loans”), subject to certain restrictions and conditions.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Revolving Credit Facility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amounts outstanding under the 2018 Revolving Credit Facility will become due on April 18, 2023, which is the maturity date of loans advanced under the 2018 Revolving Credit Facility. The Company may borrow, prepay and reborrow principal under the 2018 Revolving Credit Facility from time to time during its term.</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2018 Revolving Credit Facility, an aggregate amount of up to $100 million in letters of credit may be issued, as well as swing line loans of up to $25 million outstanding at one time. The issuance of such letters of credit and the making of any swing line loan would reduce the amount available under the 2018 Revolving Credit Facility.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Term Loan</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2018 Term Loan was issued at an original issuance discount of 99.75%. The 2018 Term Loan required quarterly payments of $1.25 million commencing June 30, 2018, with a final payment of all remaining principal and interest due on April 18, 2025, the maturity date of the 2018 Term Loan. In July 2019, the Company repaid approximately $193.8 million of the 2018 Term Loan using a portion of the proceeds received from the sale of Clean Earth, and in November 2019, the Company repaid the remaining $298.8 million balance due under the 2018 Term Loan.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553" w:right="339" w:bottom="1440" w:gutter="0" w:footer="0" w:header="0"/>
        </w:sectPr>
      </w:pPr>
    </w:p>
    <w:bookmarkStart w:id="25" w:name="page26"/>
    <w:bookmarkEnd w:id="25"/>
    <w:p>
      <w:pPr>
        <w:jc w:val="both"/>
        <w:spacing w:after="0" w:line="256" w:lineRule="auto"/>
        <w:rPr>
          <w:sz w:val="20"/>
          <w:szCs w:val="20"/>
          <w:color w:val="auto"/>
        </w:rPr>
      </w:pPr>
      <w:r>
        <w:rPr>
          <w:rFonts w:ascii="Arial" w:cs="Arial" w:eastAsia="Arial" w:hAnsi="Arial"/>
          <w:sz w:val="18"/>
          <w:szCs w:val="18"/>
          <w:color w:val="auto"/>
        </w:rPr>
        <w:t>Net availability under the 2018 Revolving Credit Facility was approximately $598.8 million at June 30, 2020. Letters of credit outstanding at June 30, 2020 totaled approximately $1.2 million. At June 30, 2020, the Company was in compliance with all covenants as defined in the 2018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18, 2018, the Company consummated the issuance and sale of $400 million aggregate principal amount of its 8.000% Senior Notes due 2026 (the “Existing Notes”) offered pursuant to a private offering to qualified institutional buyers in accordance with Rule 144A under the Securities Act, and to non-U.S. persons under Regulation S under the Securities Act. The Existing Notes were issued pursuant to an indenture, dated as of April 18, 2018 (the “Indenture”), between the Company and U.S. Bank National Association, as trustee.</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7, 2020, the Company consummated the issuance and sale of $ 200 million aggregate principal amount of its 8.000% Senior Notes due 2026 (the "Additional Notes", and, together with the Existing Notes, the "Senior Notes"). The Additional Notes were issued under the Indenture between the Company and U.S. Bank National Association, as trustee. The proceeds from the Additional Notes were used to pay down the amount outstanding on the Company's 2018 Revolving Credit Facility. The Additional Notes were issued at 101% of par value and the resulting $2 million premium will be amortized over the remaining term of the Additional Notes.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Senior Notes bear interest at the rate of 8.000% per annum and will mature on May 1, 2026. Interest on the Senior Notes is payable in cash on May 1st and November 1st of each year. The first interest payment date on the Additional Notes will be November 1, 2020. The Senior Notes are general senior unsecured obligations of the Company and are not guaranteed by the subsidiaries through which the Company currently conducts substantially all of its operations. The Senior Notes rank equal in right of payment with all of the Company’s existing and future senior unsecured indebtedness, and rank senior in right of payment to all of the Company’s future subordinated indebtedness, if any. The Senior Notes will be effectively subordinated to the Company’s existing and future secured indebtedness, to the extent of the value of the assets securing such indebtedness, including the indebtedness under the Company’s credit facilities described above.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Indenture contains several restrictive covenants including, but not limited to, limitations on the following: (i) the incurrence of additional indebtedness, (ii) restricted payments, (iii) dividends and other payments affecting restricted subsidiaries, (iv) the issuance of preferred stock of restricted subsidiaries, (v) transactions with affiliates, (vi) asset sales and mergers and consolidations, (vii) future subsidiary guarantees and (viii) liens, subject in each case to certain exceptions.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the Company’s debt holdings at June 30, 2020 and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6" w:lineRule="exact"/>
        <w:rPr>
          <w:sz w:val="20"/>
          <w:szCs w:val="20"/>
          <w:color w:val="auto"/>
        </w:rPr>
      </w:pPr>
    </w:p>
    <w:tbl>
      <w:tblPr>
        <w:tblLayout w:type="fixed"/>
        <w:tblInd w:w="540" w:type="dxa"/>
        <w:tblCellMar>
          <w:top w:w="0" w:type="dxa"/>
          <w:left w:w="0" w:type="dxa"/>
          <w:bottom w:w="0" w:type="dxa"/>
          <w:right w:w="0" w:type="dxa"/>
        </w:tblCellMar>
      </w:tblPr>
      <w:tr>
        <w:trPr>
          <w:trHeight w:val="206"/>
        </w:trPr>
        <w:tc>
          <w:tcPr>
            <w:tcW w:w="6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 2020</w:t>
            </w:r>
          </w:p>
        </w:tc>
        <w:tc>
          <w:tcPr>
            <w:tcW w:w="200" w:type="dxa"/>
            <w:vAlign w:val="bottom"/>
          </w:tcPr>
          <w:p>
            <w:pPr>
              <w:spacing w:after="0"/>
              <w:rPr>
                <w:sz w:val="17"/>
                <w:szCs w:val="17"/>
                <w:color w:val="auto"/>
              </w:rPr>
            </w:pPr>
          </w:p>
        </w:tc>
        <w:tc>
          <w:tcPr>
            <w:tcW w:w="1760" w:type="dxa"/>
            <w:vAlign w:val="bottom"/>
          </w:tcPr>
          <w:p>
            <w:pPr>
              <w:jc w:val="right"/>
              <w:ind w:right="200"/>
              <w:spacing w:after="0"/>
              <w:rPr>
                <w:sz w:val="20"/>
                <w:szCs w:val="20"/>
                <w:color w:val="auto"/>
              </w:rPr>
            </w:pPr>
            <w:r>
              <w:rPr>
                <w:rFonts w:ascii="Arial" w:cs="Arial" w:eastAsia="Arial" w:hAnsi="Arial"/>
                <w:sz w:val="15"/>
                <w:szCs w:val="15"/>
                <w:b w:val="1"/>
                <w:bCs w:val="1"/>
                <w:color w:val="auto"/>
              </w:rPr>
              <w:t>December 31, 2019</w:t>
            </w:r>
          </w:p>
        </w:tc>
      </w:tr>
      <w:tr>
        <w:trPr>
          <w:trHeight w:val="254"/>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600,000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400,000</w:t>
            </w:r>
          </w:p>
        </w:tc>
      </w:tr>
      <w:tr>
        <w:trPr>
          <w:trHeight w:val="264"/>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premiums and debt issuance costs</w:t>
            </w: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(5,555)</w:t>
            </w:r>
          </w:p>
        </w:tc>
      </w:tr>
      <w:tr>
        <w:trPr>
          <w:trHeight w:val="236"/>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 term debt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591,787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394,445</w:t>
            </w:r>
          </w:p>
        </w:tc>
      </w:tr>
      <w:tr>
        <w:trPr>
          <w:trHeight w:val="20"/>
        </w:trPr>
        <w:tc>
          <w:tcPr>
            <w:tcW w:w="6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Senior Notes consisted of the following carrying value and estimated fair value (in thousands):</w:t>
      </w:r>
    </w:p>
    <w:p>
      <w:pPr>
        <w:spacing w:after="0" w:line="208" w:lineRule="exact"/>
        <w:rPr>
          <w:sz w:val="20"/>
          <w:szCs w:val="20"/>
          <w:color w:val="auto"/>
        </w:rPr>
      </w:pPr>
    </w:p>
    <w:tbl>
      <w:tblPr>
        <w:tblLayout w:type="fixed"/>
        <w:tblInd w:w="1220" w:type="dxa"/>
        <w:tblCellMar>
          <w:top w:w="0" w:type="dxa"/>
          <w:left w:w="0" w:type="dxa"/>
          <w:bottom w:w="0" w:type="dxa"/>
          <w:right w:w="0" w:type="dxa"/>
        </w:tblCellMar>
      </w:tblPr>
      <w:tr>
        <w:trPr>
          <w:trHeight w:val="189"/>
        </w:trPr>
        <w:tc>
          <w:tcPr>
            <w:tcW w:w="1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Fair Value</w:t>
            </w:r>
          </w:p>
        </w:tc>
        <w:tc>
          <w:tcPr>
            <w:tcW w:w="3060" w:type="dxa"/>
            <w:vAlign w:val="bottom"/>
            <w:gridSpan w:val="3"/>
            <w:vMerge w:val="restart"/>
          </w:tcPr>
          <w:p>
            <w:pPr>
              <w:jc w:val="right"/>
              <w:ind w:right="919"/>
              <w:spacing w:after="0"/>
              <w:rPr>
                <w:sz w:val="20"/>
                <w:szCs w:val="20"/>
                <w:color w:val="auto"/>
              </w:rPr>
            </w:pP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98"/>
        </w:trPr>
        <w:tc>
          <w:tcPr>
            <w:tcW w:w="1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Hierarchy</w:t>
            </w:r>
          </w:p>
        </w:tc>
        <w:tc>
          <w:tcPr>
            <w:tcW w:w="306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8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8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Maturity Date</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Rate</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Level</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Carrying Value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56"/>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4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May 1, 2026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615,000</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Deferred debt issuance costs represent the costs associated with the issuance of the Company's financing arrangements. In connection with the Additional Notes offering in May 2020, the Company recorded $3.2 million in deferred financing costs.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the Company can borrow, repay and reborrow principal under the 2018 Revolving Credit Facility, the debt issuance costs associated with the 2018 Revolving Credit Facility have been classified as other non-current assets in the accompanying consolidated balance sheet. The debt issuance costs associated with the Senior Notes are classified as a reduction of long-term debt in the accompanying consolidated balance sheet.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571" w:right="339" w:bottom="1440" w:gutter="0" w:footer="0" w:header="0"/>
        </w:sectPr>
      </w:pPr>
    </w:p>
    <w:bookmarkStart w:id="26" w:name="page27"/>
    <w:bookmarkEnd w:id="26"/>
    <w:p>
      <w:pPr>
        <w:jc w:val="both"/>
        <w:spacing w:after="0" w:line="261" w:lineRule="auto"/>
        <w:rPr>
          <w:sz w:val="20"/>
          <w:szCs w:val="20"/>
          <w:color w:val="auto"/>
        </w:rPr>
      </w:pPr>
      <w:r>
        <w:rPr>
          <w:rFonts w:ascii="Arial" w:cs="Arial" w:eastAsia="Arial" w:hAnsi="Arial"/>
          <w:sz w:val="18"/>
          <w:szCs w:val="18"/>
          <w:color w:val="auto"/>
        </w:rPr>
        <w:t>The following table summarizes unamortized premiums and debt issuance costs at June 30, 2020 and December 31, 2019, and the balance sheet classification in each of the periods presents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85" w:lineRule="exact"/>
        <w:rPr>
          <w:sz w:val="20"/>
          <w:szCs w:val="20"/>
          <w:color w:val="auto"/>
        </w:rPr>
      </w:pPr>
    </w:p>
    <w:tbl>
      <w:tblPr>
        <w:tblLayout w:type="fixed"/>
        <w:tblInd w:w="1100" w:type="dxa"/>
        <w:tblCellMar>
          <w:top w:w="0" w:type="dxa"/>
          <w:left w:w="0" w:type="dxa"/>
          <w:bottom w:w="0" w:type="dxa"/>
          <w:right w:w="0" w:type="dxa"/>
        </w:tblCellMar>
      </w:tblPr>
      <w:tr>
        <w:trPr>
          <w:trHeight w:val="206"/>
        </w:trPr>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2020</w:t>
            </w:r>
          </w:p>
        </w:tc>
        <w:tc>
          <w:tcPr>
            <w:tcW w:w="180" w:type="dxa"/>
            <w:vAlign w:val="bottom"/>
          </w:tcPr>
          <w:p>
            <w:pPr>
              <w:spacing w:after="0"/>
              <w:rPr>
                <w:sz w:val="17"/>
                <w:szCs w:val="17"/>
                <w:color w:val="auto"/>
              </w:rPr>
            </w:pPr>
          </w:p>
        </w:tc>
        <w:tc>
          <w:tcPr>
            <w:tcW w:w="1740" w:type="dxa"/>
            <w:vAlign w:val="bottom"/>
          </w:tcPr>
          <w:p>
            <w:pPr>
              <w:jc w:val="right"/>
              <w:ind w:right="204"/>
              <w:spacing w:after="0"/>
              <w:rPr>
                <w:sz w:val="20"/>
                <w:szCs w:val="20"/>
                <w:color w:val="auto"/>
              </w:rPr>
            </w:pPr>
            <w:r>
              <w:rPr>
                <w:rFonts w:ascii="Arial" w:cs="Arial" w:eastAsia="Arial" w:hAnsi="Arial"/>
                <w:sz w:val="15"/>
                <w:szCs w:val="15"/>
                <w:b w:val="1"/>
                <w:bCs w:val="1"/>
                <w:color w:val="auto"/>
              </w:rPr>
              <w:t>December 31, 2019</w:t>
            </w:r>
          </w:p>
        </w:tc>
      </w:tr>
      <w:tr>
        <w:trPr>
          <w:trHeight w:val="254"/>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Unamortized premiums and debt issuance costs</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16,433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13,252</w:t>
            </w:r>
          </w:p>
        </w:tc>
      </w:tr>
      <w:tr>
        <w:trPr>
          <w:trHeight w:val="266"/>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Accumulated amortization</w:t>
            </w:r>
          </w:p>
        </w:tc>
        <w:tc>
          <w:tcPr>
            <w:tcW w:w="2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(4,802)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(3,667)</w:t>
            </w:r>
          </w:p>
        </w:tc>
      </w:tr>
      <w:tr>
        <w:trPr>
          <w:trHeight w:val="23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Unamortized premiums and debt issuance costs, net</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11,631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9,585</w:t>
            </w: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308"/>
        </w:trPr>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sheet classification:</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66"/>
        </w:trPr>
        <w:tc>
          <w:tcPr>
            <w:tcW w:w="5300" w:type="dxa"/>
            <w:vAlign w:val="bottom"/>
          </w:tcPr>
          <w:p>
            <w:pPr>
              <w:ind w:left="20"/>
              <w:spacing w:after="0"/>
              <w:rPr>
                <w:sz w:val="20"/>
                <w:szCs w:val="20"/>
                <w:color w:val="auto"/>
              </w:rPr>
            </w:pPr>
            <w:r>
              <w:rPr>
                <w:rFonts w:ascii="Arial" w:cs="Arial" w:eastAsia="Arial" w:hAnsi="Arial"/>
                <w:sz w:val="15"/>
                <w:szCs w:val="15"/>
                <w:color w:val="auto"/>
              </w:rPr>
              <w:t>Other noncurrent assets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24"/>
              <w:spacing w:after="0"/>
              <w:rPr>
                <w:sz w:val="20"/>
                <w:szCs w:val="20"/>
                <w:color w:val="auto"/>
              </w:rPr>
            </w:pPr>
            <w:r>
              <w:rPr>
                <w:rFonts w:ascii="Arial" w:cs="Arial" w:eastAsia="Arial" w:hAnsi="Arial"/>
                <w:sz w:val="15"/>
                <w:szCs w:val="15"/>
                <w:color w:val="auto"/>
              </w:rPr>
              <w:t>3,418</w:t>
            </w:r>
          </w:p>
        </w:tc>
        <w:tc>
          <w:tcPr>
            <w:tcW w:w="100" w:type="dxa"/>
            <w:vAlign w:val="bottom"/>
          </w:tcPr>
          <w:p>
            <w:pPr>
              <w:spacing w:after="0"/>
              <w:rPr>
                <w:sz w:val="23"/>
                <w:szCs w:val="23"/>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4,030</w:t>
            </w: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2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8,213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5,555</w:t>
            </w:r>
          </w:p>
        </w:tc>
      </w:tr>
      <w:tr>
        <w:trPr>
          <w:trHeight w:val="237"/>
        </w:trPr>
        <w:tc>
          <w:tcPr>
            <w:tcW w:w="5300" w:type="dxa"/>
            <w:vAlign w:val="bottom"/>
          </w:tcPr>
          <w:p>
            <w:pPr>
              <w:spacing w:after="0"/>
              <w:rPr>
                <w:sz w:val="20"/>
                <w:szCs w:val="20"/>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11,631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9,585</w:t>
            </w: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Common Shares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Trust is authorized to issue 500,000,000 Trust common shares and the Company is authorized to issue a corresponding number of trust interests. The Company will at all times have the identical number of trust interests outstanding as Trust shares. Each Trust share represents an undivided beneficial interest in the Trust, and each Trust share is entitled to one vote per share on any matter with respect to which members of the Company are entitled to vote.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Offering</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May 2020, the Company completed an offering of 5,000,000 Trust common shares at a public offering price of $ 17.60 per share. The net proceeds to the Company, after deducting the underwriter's discount and offering costs, totaled approximately $83.9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Shares</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Trust is authorized to issue up to 50,000,000 Trust preferred shares and the Company is authorized to issue a corresponding number of trust preferred interests.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November 20, 2019, the Trust issued 4,000,000 7.875% Series C Preferred Shares (the "Series C Preferred Shares") with a liquidation preference of $25.00 per share, and on December 2, 2019, the Trust issued 600,000 of the Series C Preferred Shares which were sold pursuant to an option to purchase additional shares by the underwriters. Total proceeds from the issuance of the Series C Preferred Shares were $115.0 million, or $111.0 million net of underwriters' discount and issuance costs. Distributions on the Series C Preferred Shares will be payable quarterly in arrears, when and as declared by the Company's board of directors on January 30, April 30, July 30, and October 30 of each year, beginning on January 30, 2020, at a rate per annum of 7.875%. Distributions on the Series C Preferred Shares are cumulative and at June 30, 2020, $1.5 million of Series C distributions are accumulated and unpaid. Unless full cumulative distributions on the Series C Preferred Shares have been or contemporaneously are declared and set apart for payment of the Series C Preferred Shares for all past distribution periods, no distribution may be declared or paid for payment on the Trust common shares. The Series C Preferred Shares are not convertible into Trust common shares and have no voting rights, except in limited circumstances as provided for in the share designation for the Series C Preferred Shares. The Series C Preferred Shares may be redeemed at the Company's option, in whole or in part, at any time after January 30, 2025, at a price of $25.00 per share, plus any accumulated and unpaid distributions (thereon whether authorized or declared) to, but excluding, the redemption date. Holders of Series C Preferred Shares will have no right to require the redemption of the Series C Preferred Shares and there is no maturity date.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Preferred Shares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13, 2018, the Trust issued 4,000,000 7.875% Series B Trust Preferred Shares (the "Series B Preferred Shares") with a liquidation preference of $ 25.00 per share, for gross proceeds of $100.0 million, or $96.5 million net of underwriters' discount and issuance costs. Distributions on the Series B Preferred Shares will be payable quarterly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571" w:right="339" w:bottom="1440" w:gutter="0" w:footer="0" w:header="0"/>
        </w:sectPr>
      </w:pPr>
    </w:p>
    <w:bookmarkStart w:id="27" w:name="page28"/>
    <w:bookmarkEnd w:id="27"/>
    <w:p>
      <w:pPr>
        <w:jc w:val="both"/>
        <w:spacing w:after="0" w:line="251" w:lineRule="auto"/>
        <w:rPr>
          <w:sz w:val="20"/>
          <w:szCs w:val="20"/>
          <w:color w:val="auto"/>
        </w:rPr>
      </w:pPr>
      <w:r>
        <w:rPr>
          <w:rFonts w:ascii="Arial" w:cs="Arial" w:eastAsia="Arial" w:hAnsi="Arial"/>
          <w:sz w:val="18"/>
          <w:szCs w:val="18"/>
          <w:color w:val="auto"/>
        </w:rPr>
        <w:t>in arrears, when and as declared by the Company's board of directors on January 30, April 30, July 30, and October 30 of each year, beginning on July 30, 2018, at a rate per annum of 7.875%. Distributions on the Series B Preferred Shares are cumulative and at June 30, 2020, $1.3 million of Series B distributions are accumulated and unpaid. Unless full cumulative distributions on the Series B Preferred Shares have been or contemporaneously are declared and set apart for payment of the Series B Preferred Shares for all past distribution periods, no distribution may be declared or paid for payment on the Trust common shares. The Series B Preferred Shares are not convertible into Trust common shares and have no voting rights, except in limited circumstances as provided for in the share designation for the preferred shares. The Series B Preferred Shares may be redeemed at the Company's option, in whole or in part, at any time after April 30, 2028, at a price of $25.00 per share, plus any accumulated and unpaid distributions (thereon whether authorized or declared) to, but excluding, the redemption date. Holders of Series B Preferred Shares will have no right to require the redemption of the Series B Preferred Shares and there is no maturity 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28, 2017, the Trust issued 4,000,000 7.250% Series A Trust Preferred Shares (the "Series A Preferred Shares") with a liquidation preference of $25.00 per share, for gross proceeds of $100.0 million, or $96.4 million net of underwriters' discount and issuance costs. When, and if declared by the Company's board of directors, distribution on the Series A Preferred Shares will be payable quarterly on January 30, April 30, July 30, and October 30 of each year, beginning on October 30, 2017, at a rate per annum of 7.250%. Distributions on the Series A Preferred Shares are discretionary and non-cumulative. The Company has no obligation to pay distributions for a quarterly distribution period if the board of directors does not declare the distribution before the scheduled record of date for the period, whether or not distributions are paid for any subsequent distribution periods with respect to the Series A Preferred Shares, or the Trust common shares. If the Company's board of directors does not declare a distribution for the Series A Preferred Shares for a quarterly distribution period, during the remainder of that quarterly distribution period the Company cannot declare or pay distributions on the Trust common shares. The Series A Preferred Shares may be redeemed at the Company's option, in whole or in part, at any time after July 30, 2022, at a price of $25.00 per share, plus any declared and unpaid distributions. Holders of Series A Preferred Shares will have no right to require the redemption of the Series A Preferred Shares and there is no maturity date. The Series A Preferred Shares are not convertible into Trust common shares and have no voting rights, except in limited circumstances as provided for in the share designation for the preferred shares.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Allocation Interests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Allocation Interests represent the original equity interest in the Company. The holders of the Allocation Interests ("Holders") are entitled to receive distributions pursuant to a profit allocation formula upon the occurrence of certain events. The distributions of the profit allocation are paid upon the occurrence of the sale of a material amount of capital stock or assets of one of the Company’s businesses ("Sale Event") or, at the option of the Holders, at each five-year anniversary date of the acquisition of one of the Company’s businesses ("Holding Event"). The Company records distributions of the profit allocation to the Holders upon occurrence of a Sale Event or Holding Event as distributions declared on Allocation Interests to stockholders’ equity when they are approved by the Company’s board of directors.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Holding Event</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five-year anniversary of the acquisition of Sterno Products occurred in October 2019 which represented a Holding Event. The Company declared and paid a distribution to the Allocation Member of $9.1 million in February 2020. The ten-year anniversary of Liberty occurred in March 2020 which represented a Holding Event. The Holders elected to defer the distribution of $3.3 million until after the end of 2020.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Events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sales of Manitoba Harvest in February 2019 and Clean Earth in June 2019 each qualified as a Sale Event under the Company's LLC Agreement. During the second quarter of 2019, the Company declared and paid a distribution to the Allocation Member of $8.0 million related to the sale of Manitoba Harvest and working capital settlements from prior Sale Events. The profit allocation distribution was calculated based on the portion of the gain on sale related to the Closing Date Consideration, less the loss on sale of shares that were received as part of the Closing Consideration. During the third quarter of 2019, the Company declared and paid a distribution to the Allocation Member of $43.3 million related to the sale of Clean Earth. During the fourth quarter of 2019, the Company declared and paid a distribution to the Allocation Member of $9.1 million related to the Deferred Consideration from the Manitoba Harvest sale and the working capital settlement received from the sale of Clean Earth.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46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Reconciliation of net income (loss) available to common shares of Holdings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loss attributable to Holdings to net loss attributable to the common shares of Holdings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2280" w:type="dxa"/>
            <w:vAlign w:val="bottom"/>
            <w:gridSpan w:val="4"/>
          </w:tcPr>
          <w:p>
            <w:pPr>
              <w:jc w:val="right"/>
              <w:ind w:right="564"/>
              <w:spacing w:after="0"/>
              <w:rPr>
                <w:sz w:val="20"/>
                <w:szCs w:val="20"/>
                <w:color w:val="auto"/>
              </w:rPr>
            </w:pPr>
            <w:r>
              <w:rPr>
                <w:rFonts w:ascii="Arial" w:cs="Arial" w:eastAsia="Arial" w:hAnsi="Arial"/>
                <w:sz w:val="15"/>
                <w:szCs w:val="15"/>
                <w:b w:val="1"/>
                <w:bCs w:val="1"/>
                <w:color w:val="auto"/>
              </w:rPr>
              <w:t>Six months ended</w:t>
            </w:r>
          </w:p>
        </w:tc>
      </w:tr>
      <w:tr>
        <w:trPr>
          <w:trHeight w:val="206"/>
        </w:trPr>
        <w:tc>
          <w:tcPr>
            <w:tcW w:w="5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263"/>
        </w:trPr>
        <w:tc>
          <w:tcPr>
            <w:tcW w:w="59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2019</w:t>
            </w:r>
          </w:p>
        </w:tc>
      </w:tr>
      <w:tr>
        <w:trPr>
          <w:trHeight w:val="254"/>
        </w:trPr>
        <w:tc>
          <w:tcPr>
            <w:tcW w:w="59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loss from continuing operations attributable to Holdings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(5,193)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(19,489)</w:t>
            </w:r>
          </w:p>
        </w:tc>
      </w:tr>
      <w:tr>
        <w:trPr>
          <w:trHeight w:val="266"/>
        </w:trPr>
        <w:tc>
          <w:tcPr>
            <w:tcW w:w="5980" w:type="dxa"/>
            <w:vAlign w:val="bottom"/>
          </w:tcPr>
          <w:p>
            <w:pPr>
              <w:ind w:left="40"/>
              <w:spacing w:after="0"/>
              <w:rPr>
                <w:sz w:val="20"/>
                <w:szCs w:val="20"/>
                <w:color w:val="auto"/>
              </w:rPr>
            </w:pPr>
            <w:r>
              <w:rPr>
                <w:rFonts w:ascii="Arial" w:cs="Arial" w:eastAsia="Arial" w:hAnsi="Arial"/>
                <w:sz w:val="15"/>
                <w:szCs w:val="15"/>
                <w:color w:val="auto"/>
              </w:rPr>
              <w:t>Less: Distributions paid - Allocation Interests</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7,983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9,087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7,983</w:t>
            </w:r>
          </w:p>
        </w:tc>
      </w:tr>
      <w:tr>
        <w:trPr>
          <w:trHeight w:val="274"/>
        </w:trPr>
        <w:tc>
          <w:tcPr>
            <w:tcW w:w="59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 Distributions paid - Preferred Shares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6,045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3,782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11,587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7,563</w:t>
            </w:r>
          </w:p>
        </w:tc>
      </w:tr>
      <w:tr>
        <w:trPr>
          <w:trHeight w:val="266"/>
        </w:trPr>
        <w:tc>
          <w:tcPr>
            <w:tcW w:w="59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Less: Accrued distributions - Preferred Shares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2,869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1,334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2,869</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1,334</w:t>
            </w:r>
          </w:p>
        </w:tc>
      </w:tr>
      <w:tr>
        <w:trPr>
          <w:trHeight w:val="241"/>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loss from continuing operations attributable to common shares of Holdings</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(18,292)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(28,315)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(36,369)</w:t>
            </w: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calculates basic and diluted earnings per share using the two-class method which requires the Company to allocate to participating securities that have rights to earnings that otherwise would have been available only to Trust shareholders as a separate class of securities in calculating earnings per share. The Allocation Interests are considered participating securities that contain participating rights to receive profit allocations upon the occurrence of a Holding Event or Sale Event. The calculation of basic and diluted earnings per share for the three and six months ended June 30, 2020 and 2019 reflects the incremental increase during the period in the profit allocation distribution to Holders related to Holding Events.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and six months ended June 30, 2020 and 2019 attributable to the common shares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Holdings is calculated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444"/>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06"/>
        </w:trPr>
        <w:tc>
          <w:tcPr>
            <w:tcW w:w="6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40"/>
              <w:spacing w:after="0"/>
              <w:rPr>
                <w:sz w:val="20"/>
                <w:szCs w:val="20"/>
                <w:color w:val="auto"/>
              </w:rPr>
            </w:pPr>
            <w:r>
              <w:rPr>
                <w:rFonts w:ascii="Arial" w:cs="Arial" w:eastAsia="Arial" w:hAnsi="Arial"/>
                <w:sz w:val="15"/>
                <w:szCs w:val="15"/>
                <w:color w:val="auto"/>
              </w:rPr>
              <w:t>Loss from continuing operations attributable to common shares of Holdings</w:t>
            </w:r>
          </w:p>
        </w:tc>
        <w:tc>
          <w:tcPr>
            <w:tcW w:w="26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(17,351)</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(18,292)</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(28,315)</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(36,369)</w:t>
            </w:r>
          </w:p>
        </w:tc>
        <w:tc>
          <w:tcPr>
            <w:tcW w:w="0" w:type="dxa"/>
            <w:vAlign w:val="bottom"/>
          </w:tcPr>
          <w:p>
            <w:pPr>
              <w:spacing w:after="0"/>
              <w:rPr>
                <w:sz w:val="1"/>
                <w:szCs w:val="1"/>
                <w:color w:val="auto"/>
              </w:rPr>
            </w:pPr>
          </w:p>
        </w:tc>
      </w:tr>
      <w:tr>
        <w:trPr>
          <w:trHeight w:val="62"/>
        </w:trPr>
        <w:tc>
          <w:tcPr>
            <w:tcW w:w="64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Less: Effect of contribution based profit - Holding Event</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1,249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896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2,537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1,853</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40"/>
              <w:spacing w:after="0"/>
              <w:rPr>
                <w:sz w:val="20"/>
                <w:szCs w:val="20"/>
                <w:color w:val="auto"/>
              </w:rPr>
            </w:pPr>
            <w:r>
              <w:rPr>
                <w:rFonts w:ascii="Arial" w:cs="Arial" w:eastAsia="Arial" w:hAnsi="Arial"/>
                <w:sz w:val="15"/>
                <w:szCs w:val="15"/>
                <w:color w:val="auto"/>
              </w:rPr>
              <w:t>Loss from continuing operations attributable to common shares of Holdings</w:t>
            </w:r>
          </w:p>
        </w:tc>
        <w:tc>
          <w:tcPr>
            <w:tcW w:w="26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(18,600)</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(19,188)</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(30,852)</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(38,222)</w:t>
            </w:r>
          </w:p>
        </w:tc>
        <w:tc>
          <w:tcPr>
            <w:tcW w:w="0" w:type="dxa"/>
            <w:vAlign w:val="bottom"/>
          </w:tcPr>
          <w:p>
            <w:pPr>
              <w:spacing w:after="0"/>
              <w:rPr>
                <w:sz w:val="1"/>
                <w:szCs w:val="1"/>
                <w:color w:val="auto"/>
              </w:rPr>
            </w:pPr>
          </w:p>
        </w:tc>
      </w:tr>
      <w:tr>
        <w:trPr>
          <w:trHeight w:val="62"/>
        </w:trPr>
        <w:tc>
          <w:tcPr>
            <w:tcW w:w="64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4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from discontinued operations attributable to Holdings</w:t>
            </w:r>
          </w:p>
        </w:tc>
        <w:tc>
          <w:tcPr>
            <w:tcW w:w="26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221,727</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345,331</w:t>
            </w:r>
          </w:p>
        </w:tc>
        <w:tc>
          <w:tcPr>
            <w:tcW w:w="0" w:type="dxa"/>
            <w:vAlign w:val="bottom"/>
          </w:tcPr>
          <w:p>
            <w:pPr>
              <w:spacing w:after="0"/>
              <w:rPr>
                <w:sz w:val="1"/>
                <w:szCs w:val="1"/>
                <w:color w:val="auto"/>
              </w:rPr>
            </w:pPr>
          </w:p>
        </w:tc>
      </w:tr>
      <w:tr>
        <w:trPr>
          <w:trHeight w:val="62"/>
        </w:trPr>
        <w:tc>
          <w:tcPr>
            <w:tcW w:w="64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Less: Effect of contribution based profit - Holding Event</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from discontinued operations attributable to common shares of Holdings</w:t>
            </w:r>
          </w:p>
        </w:tc>
        <w:tc>
          <w:tcPr>
            <w:tcW w:w="26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221,727</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345,331</w:t>
            </w:r>
          </w:p>
        </w:tc>
        <w:tc>
          <w:tcPr>
            <w:tcW w:w="0" w:type="dxa"/>
            <w:vAlign w:val="bottom"/>
          </w:tcPr>
          <w:p>
            <w:pPr>
              <w:spacing w:after="0"/>
              <w:rPr>
                <w:sz w:val="1"/>
                <w:szCs w:val="1"/>
                <w:color w:val="auto"/>
              </w:rPr>
            </w:pPr>
          </w:p>
        </w:tc>
      </w:tr>
      <w:tr>
        <w:trPr>
          <w:trHeight w:val="62"/>
        </w:trPr>
        <w:tc>
          <w:tcPr>
            <w:tcW w:w="64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Basic and diluted weighted average common shares outstanding</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62,844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59,900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61,364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59,900</w:t>
            </w:r>
          </w:p>
        </w:tc>
        <w:tc>
          <w:tcPr>
            <w:tcW w:w="0" w:type="dxa"/>
            <w:vAlign w:val="bottom"/>
          </w:tcPr>
          <w:p>
            <w:pPr>
              <w:spacing w:after="0"/>
              <w:rPr>
                <w:sz w:val="1"/>
                <w:szCs w:val="1"/>
                <w:color w:val="auto"/>
              </w:rPr>
            </w:pPr>
          </w:p>
        </w:tc>
      </w:tr>
      <w:tr>
        <w:trPr>
          <w:trHeight w:val="229"/>
        </w:trPr>
        <w:tc>
          <w:tcPr>
            <w:tcW w:w="6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Basic and fully diluted income (loss) per common share attributable to Holdings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64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420" w:type="dxa"/>
            <w:vAlign w:val="bottom"/>
          </w:tcPr>
          <w:p>
            <w:pPr>
              <w:ind w:left="40"/>
              <w:spacing w:after="0"/>
              <w:rPr>
                <w:sz w:val="20"/>
                <w:szCs w:val="20"/>
                <w:color w:val="auto"/>
              </w:rPr>
            </w:pPr>
            <w:r>
              <w:rPr>
                <w:rFonts w:ascii="Arial" w:cs="Arial" w:eastAsia="Arial" w:hAnsi="Arial"/>
                <w:sz w:val="15"/>
                <w:szCs w:val="15"/>
                <w:color w:val="auto"/>
              </w:rPr>
              <w:t>Continuing operations</w:t>
            </w:r>
          </w:p>
        </w:tc>
        <w:tc>
          <w:tcPr>
            <w:tcW w:w="26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(0.30)</w:t>
            </w:r>
          </w:p>
        </w:tc>
        <w:tc>
          <w:tcPr>
            <w:tcW w:w="100" w:type="dxa"/>
            <w:vAlign w:val="bottom"/>
          </w:tcPr>
          <w:p>
            <w:pPr>
              <w:spacing w:after="0"/>
              <w:rPr>
                <w:sz w:val="18"/>
                <w:szCs w:val="18"/>
                <w:color w:val="auto"/>
              </w:rPr>
            </w:pPr>
          </w:p>
        </w:tc>
        <w:tc>
          <w:tcPr>
            <w:tcW w:w="34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(0.32)</w:t>
            </w:r>
          </w:p>
        </w:tc>
        <w:tc>
          <w:tcPr>
            <w:tcW w:w="120" w:type="dxa"/>
            <w:vAlign w:val="bottom"/>
          </w:tcPr>
          <w:p>
            <w:pPr>
              <w:spacing w:after="0"/>
              <w:rPr>
                <w:sz w:val="18"/>
                <w:szCs w:val="18"/>
                <w:color w:val="auto"/>
              </w:rPr>
            </w:pPr>
          </w:p>
        </w:tc>
        <w:tc>
          <w:tcPr>
            <w:tcW w:w="240" w:type="dxa"/>
            <w:vAlign w:val="bottom"/>
            <w:vMerge w:val="restart"/>
          </w:tcPr>
          <w:p>
            <w:pPr>
              <w:jc w:val="right"/>
              <w:ind w:right="64"/>
              <w:spacing w:after="0"/>
              <w:rPr>
                <w:sz w:val="20"/>
                <w:szCs w:val="20"/>
                <w:color w:val="auto"/>
              </w:rPr>
            </w:pPr>
            <w:r>
              <w:rPr>
                <w:rFonts w:ascii="Arial" w:cs="Arial" w:eastAsia="Arial" w:hAnsi="Arial"/>
                <w:sz w:val="15"/>
                <w:szCs w:val="15"/>
                <w:color w:val="auto"/>
                <w:w w:val="95"/>
              </w:rPr>
              <w:t>$</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(0.50)</w:t>
            </w:r>
          </w:p>
        </w:tc>
        <w:tc>
          <w:tcPr>
            <w:tcW w:w="100" w:type="dxa"/>
            <w:vAlign w:val="bottom"/>
          </w:tcPr>
          <w:p>
            <w:pPr>
              <w:spacing w:after="0"/>
              <w:rPr>
                <w:sz w:val="18"/>
                <w:szCs w:val="18"/>
                <w:color w:val="auto"/>
              </w:rPr>
            </w:pPr>
          </w:p>
        </w:tc>
        <w:tc>
          <w:tcPr>
            <w:tcW w:w="34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(0.64)</w:t>
            </w:r>
          </w:p>
        </w:tc>
        <w:tc>
          <w:tcPr>
            <w:tcW w:w="0" w:type="dxa"/>
            <w:vAlign w:val="bottom"/>
          </w:tcPr>
          <w:p>
            <w:pPr>
              <w:spacing w:after="0"/>
              <w:rPr>
                <w:sz w:val="1"/>
                <w:szCs w:val="1"/>
                <w:color w:val="auto"/>
              </w:rPr>
            </w:pPr>
          </w:p>
        </w:tc>
      </w:tr>
      <w:tr>
        <w:trPr>
          <w:trHeight w:val="58"/>
        </w:trPr>
        <w:tc>
          <w:tcPr>
            <w:tcW w:w="64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3.70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5.77</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(0.30)</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3.38</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(0.50)</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5.13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4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information related to our quarterly cash distributions on our Trust common and preferred shares (in thousands, except per share data</w:t>
      </w:r>
      <w:r>
        <w:rPr>
          <w:rFonts w:ascii="Arial" w:cs="Arial" w:eastAsia="Arial" w:hAnsi="Arial"/>
          <w:sz w:val="14"/>
          <w:szCs w:val="14"/>
          <w:i w:val="1"/>
          <w:iCs w:val="1"/>
          <w:color w:val="auto"/>
        </w:rPr>
        <w:t>)</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3"/>
          </w:tcPr>
          <w:p>
            <w:pPr>
              <w:ind w:left="100"/>
              <w:spacing w:after="0"/>
              <w:rPr>
                <w:sz w:val="20"/>
                <w:szCs w:val="20"/>
                <w:color w:val="auto"/>
              </w:rPr>
            </w:pPr>
            <w:r>
              <w:rPr>
                <w:rFonts w:ascii="Arial" w:cs="Arial" w:eastAsia="Arial" w:hAnsi="Arial"/>
                <w:sz w:val="16"/>
                <w:szCs w:val="16"/>
                <w:b w:val="1"/>
                <w:bCs w:val="1"/>
                <w:color w:val="auto"/>
              </w:rPr>
              <w:t>Cash Distribution per</w:t>
            </w:r>
          </w:p>
        </w:tc>
        <w:tc>
          <w:tcPr>
            <w:tcW w:w="260" w:type="dxa"/>
            <w:vAlign w:val="bottom"/>
          </w:tcPr>
          <w:p>
            <w:pPr>
              <w:spacing w:after="0"/>
              <w:rPr>
                <w:sz w:val="16"/>
                <w:szCs w:val="16"/>
                <w:color w:val="auto"/>
              </w:rPr>
            </w:pPr>
          </w:p>
        </w:tc>
        <w:tc>
          <w:tcPr>
            <w:tcW w:w="16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 Cash</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12"/>
        </w:trPr>
        <w:tc>
          <w:tcPr>
            <w:tcW w:w="3620" w:type="dxa"/>
            <w:vAlign w:val="bottom"/>
            <w:tcBorders>
              <w:bottom w:val="single" w:sz="8" w:color="auto"/>
            </w:tcBorders>
          </w:tcPr>
          <w:p>
            <w:pPr>
              <w:ind w:left="1560"/>
              <w:spacing w:after="0"/>
              <w:rPr>
                <w:sz w:val="20"/>
                <w:szCs w:val="20"/>
                <w:color w:val="auto"/>
              </w:rPr>
            </w:pPr>
            <w:r>
              <w:rPr>
                <w:rFonts w:ascii="Arial" w:cs="Arial" w:eastAsia="Arial" w:hAnsi="Arial"/>
                <w:sz w:val="16"/>
                <w:szCs w:val="16"/>
                <w:b w:val="1"/>
                <w:bCs w:val="1"/>
                <w:color w:val="auto"/>
              </w:rPr>
              <w:t>Period</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Share</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Distributions</w:t>
            </w: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Record Date</w:t>
            </w: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Payment Date</w:t>
            </w:r>
          </w:p>
        </w:tc>
      </w:tr>
      <w:tr>
        <w:trPr>
          <w:trHeight w:val="487"/>
        </w:trPr>
        <w:tc>
          <w:tcPr>
            <w:tcW w:w="3740" w:type="dxa"/>
            <w:vAlign w:val="bottom"/>
            <w:gridSpan w:val="2"/>
          </w:tcPr>
          <w:p>
            <w:pPr>
              <w:ind w:left="40"/>
              <w:spacing w:after="0"/>
              <w:rPr>
                <w:sz w:val="20"/>
                <w:szCs w:val="20"/>
                <w:color w:val="auto"/>
              </w:rPr>
            </w:pPr>
            <w:r>
              <w:rPr>
                <w:rFonts w:ascii="Arial" w:cs="Arial" w:eastAsia="Arial" w:hAnsi="Arial"/>
                <w:sz w:val="16"/>
                <w:szCs w:val="16"/>
                <w:b w:val="1"/>
                <w:bCs w:val="1"/>
                <w:color w:val="auto"/>
              </w:rPr>
              <w:t>Trust Common Shares: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April 1, 2020 - June 30, 2020 </w:t>
            </w:r>
            <w:r>
              <w:rPr>
                <w:rFonts w:ascii="Arial" w:cs="Arial" w:eastAsia="Arial" w:hAnsi="Arial"/>
                <w:sz w:val="21"/>
                <w:szCs w:val="21"/>
                <w:b w:val="1"/>
                <w:bCs w:val="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23,364</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July 16, 2020</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23, 2020</w:t>
            </w:r>
          </w:p>
        </w:tc>
      </w:tr>
      <w:tr>
        <w:trPr>
          <w:trHeight w:val="26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January 1, 2020 - March 31, 2020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21,564</w:t>
            </w:r>
          </w:p>
        </w:tc>
        <w:tc>
          <w:tcPr>
            <w:tcW w:w="100" w:type="dxa"/>
            <w:vAlign w:val="bottom"/>
          </w:tcPr>
          <w:p>
            <w:pPr>
              <w:spacing w:after="0"/>
              <w:rPr>
                <w:sz w:val="22"/>
                <w:szCs w:val="22"/>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April 16, 2020</w:t>
            </w:r>
          </w:p>
        </w:tc>
        <w:tc>
          <w:tcPr>
            <w:tcW w:w="1800" w:type="dxa"/>
            <w:vAlign w:val="bottom"/>
          </w:tcPr>
          <w:p>
            <w:pPr>
              <w:jc w:val="right"/>
              <w:spacing w:after="0"/>
              <w:rPr>
                <w:sz w:val="20"/>
                <w:szCs w:val="20"/>
                <w:color w:val="auto"/>
              </w:rPr>
            </w:pPr>
            <w:r>
              <w:rPr>
                <w:rFonts w:ascii="Arial" w:cs="Arial" w:eastAsia="Arial" w:hAnsi="Arial"/>
                <w:sz w:val="16"/>
                <w:szCs w:val="16"/>
                <w:color w:val="auto"/>
              </w:rPr>
              <w:t>April 23, 2020</w:t>
            </w: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October 1, 2019 - December 31, 2019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21,564</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16, 2020</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23, 2020</w:t>
            </w:r>
          </w:p>
        </w:tc>
      </w:tr>
      <w:tr>
        <w:trPr>
          <w:trHeight w:val="26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July 1, 2019 - September 30, 2019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21,564</w:t>
            </w:r>
          </w:p>
        </w:tc>
        <w:tc>
          <w:tcPr>
            <w:tcW w:w="100" w:type="dxa"/>
            <w:vAlign w:val="bottom"/>
          </w:tcPr>
          <w:p>
            <w:pPr>
              <w:spacing w:after="0"/>
              <w:rPr>
                <w:sz w:val="22"/>
                <w:szCs w:val="22"/>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17, 2019</w:t>
            </w:r>
          </w:p>
        </w:tc>
        <w:tc>
          <w:tcPr>
            <w:tcW w:w="1800" w:type="dxa"/>
            <w:vAlign w:val="bottom"/>
          </w:tcPr>
          <w:p>
            <w:pPr>
              <w:jc w:val="right"/>
              <w:spacing w:after="0"/>
              <w:rPr>
                <w:sz w:val="20"/>
                <w:szCs w:val="20"/>
                <w:color w:val="auto"/>
              </w:rPr>
            </w:pPr>
            <w:r>
              <w:rPr>
                <w:rFonts w:ascii="Arial" w:cs="Arial" w:eastAsia="Arial" w:hAnsi="Arial"/>
                <w:sz w:val="16"/>
                <w:szCs w:val="16"/>
                <w:color w:val="auto"/>
              </w:rPr>
              <w:t>October 24, 2019</w:t>
            </w: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April 1, 2019 - June 30, 2019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21,564</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July 18, 2019</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25, 2019</w:t>
            </w:r>
          </w:p>
        </w:tc>
      </w:tr>
      <w:tr>
        <w:trPr>
          <w:trHeight w:val="26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January 1, 2019 - March 31, 2019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21,564</w:t>
            </w:r>
          </w:p>
        </w:tc>
        <w:tc>
          <w:tcPr>
            <w:tcW w:w="100" w:type="dxa"/>
            <w:vAlign w:val="bottom"/>
          </w:tcPr>
          <w:p>
            <w:pPr>
              <w:spacing w:after="0"/>
              <w:rPr>
                <w:sz w:val="22"/>
                <w:szCs w:val="22"/>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April 18, 2019</w:t>
            </w:r>
          </w:p>
        </w:tc>
        <w:tc>
          <w:tcPr>
            <w:tcW w:w="1800" w:type="dxa"/>
            <w:vAlign w:val="bottom"/>
          </w:tcPr>
          <w:p>
            <w:pPr>
              <w:jc w:val="right"/>
              <w:spacing w:after="0"/>
              <w:rPr>
                <w:sz w:val="20"/>
                <w:szCs w:val="20"/>
                <w:color w:val="auto"/>
              </w:rPr>
            </w:pPr>
            <w:r>
              <w:rPr>
                <w:rFonts w:ascii="Arial" w:cs="Arial" w:eastAsia="Arial" w:hAnsi="Arial"/>
                <w:sz w:val="16"/>
                <w:szCs w:val="16"/>
                <w:color w:val="auto"/>
              </w:rPr>
              <w:t>April 25, 2019</w:t>
            </w: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October 1, 2018 - December 31, 2018</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21,564</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17, 2019</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24, 2019</w:t>
            </w:r>
          </w:p>
        </w:tc>
      </w:tr>
      <w:tr>
        <w:trPr>
          <w:trHeight w:val="324"/>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Series A Preferred Shares:</w:t>
            </w: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7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 xml:space="preserve">April 30, 2020 - July 29, 2020 </w:t>
            </w:r>
            <w:r>
              <w:rPr>
                <w:rFonts w:ascii="Arial" w:cs="Arial" w:eastAsia="Arial" w:hAnsi="Arial"/>
                <w:sz w:val="21"/>
                <w:szCs w:val="21"/>
                <w:b w:val="1"/>
                <w:bCs w:val="1"/>
                <w:color w:val="auto"/>
                <w:vertAlign w:val="superscript"/>
              </w:rPr>
              <w:t>(1)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12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23"/>
                <w:szCs w:val="23"/>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July 15, 2020</w:t>
            </w:r>
          </w:p>
        </w:tc>
        <w:tc>
          <w:tcPr>
            <w:tcW w:w="1800" w:type="dxa"/>
            <w:vAlign w:val="bottom"/>
          </w:tcPr>
          <w:p>
            <w:pPr>
              <w:jc w:val="right"/>
              <w:spacing w:after="0"/>
              <w:rPr>
                <w:sz w:val="20"/>
                <w:szCs w:val="20"/>
                <w:color w:val="auto"/>
              </w:rPr>
            </w:pPr>
            <w:r>
              <w:rPr>
                <w:rFonts w:ascii="Arial" w:cs="Arial" w:eastAsia="Arial" w:hAnsi="Arial"/>
                <w:sz w:val="16"/>
                <w:szCs w:val="16"/>
                <w:color w:val="auto"/>
              </w:rPr>
              <w:t>July 30, 2020</w:t>
            </w:r>
          </w:p>
        </w:tc>
      </w:tr>
      <w:tr>
        <w:trPr>
          <w:trHeight w:val="27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January 30, 2020 - April 29, 2020</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0.453125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15, 2020</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30, 2020</w:t>
            </w:r>
          </w:p>
        </w:tc>
      </w:tr>
      <w:tr>
        <w:trPr>
          <w:trHeight w:val="26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October 30, 2019 - January 29, 2020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22"/>
                <w:szCs w:val="22"/>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15, 2020</w:t>
            </w:r>
          </w:p>
        </w:tc>
        <w:tc>
          <w:tcPr>
            <w:tcW w:w="1800" w:type="dxa"/>
            <w:vAlign w:val="bottom"/>
          </w:tcPr>
          <w:p>
            <w:pPr>
              <w:jc w:val="right"/>
              <w:spacing w:after="0"/>
              <w:rPr>
                <w:sz w:val="20"/>
                <w:szCs w:val="20"/>
                <w:color w:val="auto"/>
              </w:rPr>
            </w:pPr>
            <w:r>
              <w:rPr>
                <w:rFonts w:ascii="Arial" w:cs="Arial" w:eastAsia="Arial" w:hAnsi="Arial"/>
                <w:sz w:val="16"/>
                <w:szCs w:val="16"/>
                <w:color w:val="auto"/>
              </w:rPr>
              <w:t>January 30, 2020</w:t>
            </w: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July 30, 2019 - October 29, 2019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0.453125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15, 2019</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30, 2019</w:t>
            </w:r>
          </w:p>
        </w:tc>
      </w:tr>
      <w:tr>
        <w:trPr>
          <w:trHeight w:val="26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April 30, 2019 - July 29, 2019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22"/>
                <w:szCs w:val="22"/>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July 15, 2019</w:t>
            </w:r>
          </w:p>
        </w:tc>
        <w:tc>
          <w:tcPr>
            <w:tcW w:w="1800" w:type="dxa"/>
            <w:vAlign w:val="bottom"/>
          </w:tcPr>
          <w:p>
            <w:pPr>
              <w:jc w:val="right"/>
              <w:spacing w:after="0"/>
              <w:rPr>
                <w:sz w:val="20"/>
                <w:szCs w:val="20"/>
                <w:color w:val="auto"/>
              </w:rPr>
            </w:pPr>
            <w:r>
              <w:rPr>
                <w:rFonts w:ascii="Arial" w:cs="Arial" w:eastAsia="Arial" w:hAnsi="Arial"/>
                <w:sz w:val="16"/>
                <w:szCs w:val="16"/>
                <w:color w:val="auto"/>
              </w:rPr>
              <w:t>July 30, 2019</w:t>
            </w: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January 30, 2019 - April 29, 2019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0.453125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15, 2019</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30, 2019</w:t>
            </w:r>
          </w:p>
        </w:tc>
      </w:tr>
      <w:tr>
        <w:trPr>
          <w:trHeight w:val="251"/>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October 30, 2018 - January 29, 2019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21"/>
                <w:szCs w:val="21"/>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15, 2019</w:t>
            </w:r>
          </w:p>
        </w:tc>
        <w:tc>
          <w:tcPr>
            <w:tcW w:w="1800" w:type="dxa"/>
            <w:vAlign w:val="bottom"/>
          </w:tcPr>
          <w:p>
            <w:pPr>
              <w:jc w:val="right"/>
              <w:spacing w:after="0"/>
              <w:rPr>
                <w:sz w:val="20"/>
                <w:szCs w:val="20"/>
                <w:color w:val="auto"/>
              </w:rPr>
            </w:pPr>
            <w:r>
              <w:rPr>
                <w:rFonts w:ascii="Arial" w:cs="Arial" w:eastAsia="Arial" w:hAnsi="Arial"/>
                <w:sz w:val="16"/>
                <w:szCs w:val="16"/>
                <w:color w:val="auto"/>
              </w:rPr>
              <w:t>January 30, 2019</w:t>
            </w:r>
          </w:p>
        </w:tc>
      </w:tr>
      <w:tr>
        <w:trPr>
          <w:trHeight w:val="604"/>
        </w:trPr>
        <w:tc>
          <w:tcPr>
            <w:tcW w:w="3740" w:type="dxa"/>
            <w:vAlign w:val="bottom"/>
            <w:gridSpan w:val="2"/>
          </w:tcPr>
          <w:p>
            <w:pPr>
              <w:ind w:left="40"/>
              <w:spacing w:after="0"/>
              <w:rPr>
                <w:sz w:val="20"/>
                <w:szCs w:val="20"/>
                <w:color w:val="auto"/>
              </w:rPr>
            </w:pPr>
            <w:r>
              <w:rPr>
                <w:rFonts w:ascii="Arial" w:cs="Arial" w:eastAsia="Arial" w:hAnsi="Arial"/>
                <w:sz w:val="16"/>
                <w:szCs w:val="16"/>
                <w:b w:val="1"/>
                <w:bCs w:val="1"/>
                <w:color w:val="auto"/>
              </w:rPr>
              <w:t>Series B Preferred Shares: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April 30, 2020 - July 29, 2020 </w:t>
            </w:r>
            <w:r>
              <w:rPr>
                <w:rFonts w:ascii="Arial" w:cs="Arial" w:eastAsia="Arial" w:hAnsi="Arial"/>
                <w:sz w:val="21"/>
                <w:szCs w:val="21"/>
                <w:b w:val="1"/>
                <w:bCs w:val="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0.4921875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July 15, 2020</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2020</w:t>
            </w:r>
          </w:p>
        </w:tc>
      </w:tr>
      <w:tr>
        <w:trPr>
          <w:trHeight w:val="26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January 30, 2020 - April 29, 2020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22"/>
                <w:szCs w:val="22"/>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April 15, 2020</w:t>
            </w:r>
          </w:p>
        </w:tc>
        <w:tc>
          <w:tcPr>
            <w:tcW w:w="1800" w:type="dxa"/>
            <w:vAlign w:val="bottom"/>
          </w:tcPr>
          <w:p>
            <w:pPr>
              <w:jc w:val="right"/>
              <w:spacing w:after="0"/>
              <w:rPr>
                <w:sz w:val="20"/>
                <w:szCs w:val="20"/>
                <w:color w:val="auto"/>
              </w:rPr>
            </w:pPr>
            <w:r>
              <w:rPr>
                <w:rFonts w:ascii="Arial" w:cs="Arial" w:eastAsia="Arial" w:hAnsi="Arial"/>
                <w:sz w:val="16"/>
                <w:szCs w:val="16"/>
                <w:color w:val="auto"/>
              </w:rPr>
              <w:t>April 30, 2020</w:t>
            </w: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October 30, 2019 - January 29, 2020</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0.4921875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15, 2020</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2020</w:t>
            </w:r>
          </w:p>
        </w:tc>
      </w:tr>
      <w:tr>
        <w:trPr>
          <w:trHeight w:val="26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July 30, 2019 - October 29, 2019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22"/>
                <w:szCs w:val="22"/>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15, 2019</w:t>
            </w:r>
          </w:p>
        </w:tc>
        <w:tc>
          <w:tcPr>
            <w:tcW w:w="1800" w:type="dxa"/>
            <w:vAlign w:val="bottom"/>
          </w:tcPr>
          <w:p>
            <w:pPr>
              <w:jc w:val="right"/>
              <w:spacing w:after="0"/>
              <w:rPr>
                <w:sz w:val="20"/>
                <w:szCs w:val="20"/>
                <w:color w:val="auto"/>
              </w:rPr>
            </w:pPr>
            <w:r>
              <w:rPr>
                <w:rFonts w:ascii="Arial" w:cs="Arial" w:eastAsia="Arial" w:hAnsi="Arial"/>
                <w:sz w:val="16"/>
                <w:szCs w:val="16"/>
                <w:color w:val="auto"/>
              </w:rPr>
              <w:t>October 30, 2019</w:t>
            </w: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April 30, 2019 - July 29, 2019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0.4921875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July 15, 2019</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2019</w:t>
            </w:r>
          </w:p>
        </w:tc>
      </w:tr>
      <w:tr>
        <w:trPr>
          <w:trHeight w:val="26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January 30, 2019 - April 29, 2019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22"/>
                <w:szCs w:val="22"/>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April 15, 2019</w:t>
            </w:r>
          </w:p>
        </w:tc>
        <w:tc>
          <w:tcPr>
            <w:tcW w:w="1800" w:type="dxa"/>
            <w:vAlign w:val="bottom"/>
          </w:tcPr>
          <w:p>
            <w:pPr>
              <w:jc w:val="right"/>
              <w:spacing w:after="0"/>
              <w:rPr>
                <w:sz w:val="20"/>
                <w:szCs w:val="20"/>
                <w:color w:val="auto"/>
              </w:rPr>
            </w:pPr>
            <w:r>
              <w:rPr>
                <w:rFonts w:ascii="Arial" w:cs="Arial" w:eastAsia="Arial" w:hAnsi="Arial"/>
                <w:sz w:val="16"/>
                <w:szCs w:val="16"/>
                <w:color w:val="auto"/>
              </w:rPr>
              <w:t>April 30, 2019</w:t>
            </w: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October 30, 2018 - January 29, 2019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0.4921875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15, 2019</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2019</w:t>
            </w:r>
          </w:p>
        </w:tc>
      </w:tr>
      <w:tr>
        <w:trPr>
          <w:trHeight w:val="324"/>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Series C Preferred Shares:</w:t>
            </w: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7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 xml:space="preserve">April 30, 2020 - July 29, 2020 </w:t>
            </w:r>
            <w:r>
              <w:rPr>
                <w:rFonts w:ascii="Arial" w:cs="Arial" w:eastAsia="Arial" w:hAnsi="Arial"/>
                <w:sz w:val="21"/>
                <w:szCs w:val="21"/>
                <w:b w:val="1"/>
                <w:bCs w:val="1"/>
                <w:color w:val="auto"/>
                <w:vertAlign w:val="superscript"/>
              </w:rPr>
              <w:t>(1)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12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2,264</w:t>
            </w:r>
          </w:p>
        </w:tc>
        <w:tc>
          <w:tcPr>
            <w:tcW w:w="100" w:type="dxa"/>
            <w:vAlign w:val="bottom"/>
          </w:tcPr>
          <w:p>
            <w:pPr>
              <w:spacing w:after="0"/>
              <w:rPr>
                <w:sz w:val="23"/>
                <w:szCs w:val="23"/>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July 15, 2020</w:t>
            </w:r>
          </w:p>
        </w:tc>
        <w:tc>
          <w:tcPr>
            <w:tcW w:w="1800" w:type="dxa"/>
            <w:vAlign w:val="bottom"/>
          </w:tcPr>
          <w:p>
            <w:pPr>
              <w:jc w:val="right"/>
              <w:spacing w:after="0"/>
              <w:rPr>
                <w:sz w:val="20"/>
                <w:szCs w:val="20"/>
                <w:color w:val="auto"/>
              </w:rPr>
            </w:pPr>
            <w:r>
              <w:rPr>
                <w:rFonts w:ascii="Arial" w:cs="Arial" w:eastAsia="Arial" w:hAnsi="Arial"/>
                <w:sz w:val="16"/>
                <w:szCs w:val="16"/>
                <w:color w:val="auto"/>
              </w:rPr>
              <w:t>July 30, 2020</w:t>
            </w:r>
          </w:p>
        </w:tc>
      </w:tr>
      <w:tr>
        <w:trPr>
          <w:trHeight w:val="27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January 30, 2020 - April 29, 2020</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0.4921875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2,264</w:t>
            </w:r>
          </w:p>
        </w:tc>
        <w:tc>
          <w:tcPr>
            <w:tcW w:w="10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15, 2020</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30, 2020</w:t>
            </w:r>
          </w:p>
        </w:tc>
      </w:tr>
      <w:tr>
        <w:trPr>
          <w:trHeight w:val="25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November 20, 2019 - January 29, 2020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0.38281</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1,531</w:t>
            </w:r>
          </w:p>
        </w:tc>
        <w:tc>
          <w:tcPr>
            <w:tcW w:w="100" w:type="dxa"/>
            <w:vAlign w:val="bottom"/>
          </w:tcPr>
          <w:p>
            <w:pPr>
              <w:spacing w:after="0"/>
              <w:rPr>
                <w:sz w:val="21"/>
                <w:szCs w:val="21"/>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15, 2020</w:t>
            </w:r>
          </w:p>
        </w:tc>
        <w:tc>
          <w:tcPr>
            <w:tcW w:w="1800" w:type="dxa"/>
            <w:vAlign w:val="bottom"/>
          </w:tcPr>
          <w:p>
            <w:pPr>
              <w:jc w:val="right"/>
              <w:spacing w:after="0"/>
              <w:rPr>
                <w:sz w:val="20"/>
                <w:szCs w:val="20"/>
                <w:color w:val="auto"/>
              </w:rPr>
            </w:pPr>
            <w:r>
              <w:rPr>
                <w:rFonts w:ascii="Arial" w:cs="Arial" w:eastAsia="Arial" w:hAnsi="Arial"/>
                <w:sz w:val="16"/>
                <w:szCs w:val="16"/>
                <w:color w:val="auto"/>
              </w:rPr>
              <w:t>January 30, 2020</w:t>
            </w:r>
          </w:p>
        </w:tc>
      </w:tr>
    </w:tbl>
    <w:p>
      <w:pPr>
        <w:spacing w:after="0" w:line="114" w:lineRule="exact"/>
        <w:rPr>
          <w:sz w:val="20"/>
          <w:szCs w:val="20"/>
          <w:color w:val="auto"/>
        </w:rPr>
      </w:pPr>
    </w:p>
    <w:p>
      <w:pPr>
        <w:ind w:left="60"/>
        <w:spacing w:after="0"/>
        <w:tabs>
          <w:tab w:leader="none" w:pos="2120" w:val="left"/>
        </w:tabs>
        <w:rPr>
          <w:sz w:val="20"/>
          <w:szCs w:val="20"/>
          <w:color w:val="auto"/>
        </w:rPr>
      </w:pPr>
      <w:r>
        <w:rPr>
          <w:rFonts w:ascii="Arial" w:cs="Arial" w:eastAsia="Arial" w:hAnsi="Arial"/>
          <w:sz w:val="28"/>
          <w:szCs w:val="28"/>
          <w:b w:val="1"/>
          <w:bCs w:val="1"/>
          <w:color w:val="auto"/>
          <w:vertAlign w:val="superscript"/>
        </w:rPr>
        <w:t>(1)</w:t>
      </w:r>
      <w:r>
        <w:rPr>
          <w:rFonts w:ascii="Arial" w:cs="Arial" w:eastAsia="Arial" w:hAnsi="Arial"/>
          <w:sz w:val="18"/>
          <w:szCs w:val="18"/>
          <w:color w:val="auto"/>
        </w:rPr>
        <w:t xml:space="preserve"> This distribution was</w:t>
        <w:tab/>
        <w:t>declared on July 2, 2020.</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Noncontrolling Interest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Noncontrolling interest represents the portion of the Company’s majority owned subsidiary’s net income (loss) and equity that is owned by noncontrolling shareholders. The following tables reflect the Company’s ownership percentage of its majority owned operating segments and related noncontrolling interest balances as of June 30, 2020 and December 31, 2019:</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495" w:right="339" w:bottom="1440" w:gutter="0" w:footer="0" w:header="0"/>
        </w:sectPr>
      </w:pPr>
    </w:p>
    <w:bookmarkStart w:id="30" w:name="page31"/>
    <w:bookmarkEnd w:id="30"/>
    <w:tbl>
      <w:tblPr>
        <w:tblLayout w:type="fixed"/>
        <w:tblInd w:w="480" w:type="dxa"/>
        <w:tblCellMar>
          <w:top w:w="0" w:type="dxa"/>
          <w:left w:w="0" w:type="dxa"/>
          <w:bottom w:w="0" w:type="dxa"/>
          <w:right w:w="0" w:type="dxa"/>
        </w:tblCellMar>
      </w:tblPr>
      <w:tr>
        <w:trPr>
          <w:trHeight w:val="172"/>
        </w:trPr>
        <w:tc>
          <w:tcPr>
            <w:tcW w:w="4420" w:type="dxa"/>
            <w:vAlign w:val="bottom"/>
          </w:tcPr>
          <w:p>
            <w:pPr>
              <w:spacing w:after="0"/>
              <w:rPr>
                <w:sz w:val="14"/>
                <w:szCs w:val="14"/>
                <w:color w:val="auto"/>
              </w:rPr>
            </w:pPr>
          </w:p>
        </w:tc>
        <w:tc>
          <w:tcPr>
            <w:tcW w:w="2480" w:type="dxa"/>
            <w:vAlign w:val="bottom"/>
            <w:gridSpan w:val="3"/>
          </w:tcPr>
          <w:p>
            <w:pPr>
              <w:jc w:val="center"/>
              <w:ind w:left="32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2"/>
                <w:szCs w:val="12"/>
                <w:b w:val="1"/>
                <w:bCs w:val="1"/>
                <w:color w:val="auto"/>
              </w:rPr>
              <w:t>(1)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3"/>
          </w:tcPr>
          <w:p>
            <w:pPr>
              <w:jc w:val="right"/>
              <w:ind w:right="76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2"/>
                <w:szCs w:val="12"/>
                <w:b w:val="1"/>
                <w:bCs w:val="1"/>
                <w:color w:val="auto"/>
              </w:rPr>
              <w:t>(1)</w:t>
            </w:r>
          </w:p>
        </w:tc>
      </w:tr>
      <w:tr>
        <w:trPr>
          <w:trHeight w:val="206"/>
        </w:trPr>
        <w:tc>
          <w:tcPr>
            <w:tcW w:w="4420" w:type="dxa"/>
            <w:vAlign w:val="bottom"/>
          </w:tcPr>
          <w:p>
            <w:pPr>
              <w:spacing w:after="0"/>
              <w:rPr>
                <w:sz w:val="17"/>
                <w:szCs w:val="17"/>
                <w:color w:val="auto"/>
              </w:rPr>
            </w:pPr>
          </w:p>
        </w:tc>
        <w:tc>
          <w:tcPr>
            <w:tcW w:w="248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5"/>
                <w:szCs w:val="15"/>
                <w:b w:val="1"/>
                <w:bCs w:val="1"/>
                <w:color w:val="auto"/>
              </w:rPr>
              <w:t>June 30, 2020</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5"/>
                <w:szCs w:val="15"/>
                <w:b w:val="1"/>
                <w:bCs w:val="1"/>
                <w:color w:val="auto"/>
              </w:rPr>
              <w:t>December 31, 2019</w:t>
            </w:r>
          </w:p>
        </w:tc>
      </w:tr>
      <w:tr>
        <w:trPr>
          <w:trHeight w:val="165"/>
        </w:trPr>
        <w:tc>
          <w:tcPr>
            <w:tcW w:w="4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left="324"/>
              <w:spacing w:after="0" w:line="165" w:lineRule="exact"/>
              <w:rPr>
                <w:sz w:val="20"/>
                <w:szCs w:val="20"/>
                <w:color w:val="auto"/>
              </w:rPr>
            </w:pPr>
            <w:r>
              <w:rPr>
                <w:rFonts w:ascii="Arial" w:cs="Arial" w:eastAsia="Arial" w:hAnsi="Arial"/>
                <w:sz w:val="15"/>
                <w:szCs w:val="15"/>
                <w:b w:val="1"/>
                <w:bCs w:val="1"/>
                <w:color w:val="auto"/>
                <w:w w:val="96"/>
              </w:rPr>
              <w:t>Fully</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440"/>
              <w:spacing w:after="0" w:line="165" w:lineRule="exact"/>
              <w:rPr>
                <w:sz w:val="20"/>
                <w:szCs w:val="20"/>
                <w:color w:val="auto"/>
              </w:rPr>
            </w:pPr>
            <w:r>
              <w:rPr>
                <w:rFonts w:ascii="Arial" w:cs="Arial" w:eastAsia="Arial" w:hAnsi="Arial"/>
                <w:sz w:val="15"/>
                <w:szCs w:val="15"/>
                <w:b w:val="1"/>
                <w:bCs w:val="1"/>
                <w:color w:val="auto"/>
              </w:rPr>
              <w:t>Fully</w:t>
            </w:r>
          </w:p>
        </w:tc>
      </w:tr>
      <w:tr>
        <w:trPr>
          <w:trHeight w:val="206"/>
        </w:trPr>
        <w:tc>
          <w:tcPr>
            <w:tcW w:w="4420" w:type="dxa"/>
            <w:vAlign w:val="bottom"/>
          </w:tcPr>
          <w:p>
            <w:pPr>
              <w:spacing w:after="0"/>
              <w:rPr>
                <w:sz w:val="17"/>
                <w:szCs w:val="17"/>
                <w:color w:val="auto"/>
              </w:rPr>
            </w:pPr>
          </w:p>
        </w:tc>
        <w:tc>
          <w:tcPr>
            <w:tcW w:w="1460" w:type="dxa"/>
            <w:vAlign w:val="bottom"/>
            <w:gridSpan w:val="2"/>
          </w:tcPr>
          <w:p>
            <w:pPr>
              <w:ind w:left="400"/>
              <w:spacing w:after="0"/>
              <w:rPr>
                <w:sz w:val="20"/>
                <w:szCs w:val="20"/>
                <w:color w:val="auto"/>
              </w:rPr>
            </w:pPr>
            <w:r>
              <w:rPr>
                <w:rFonts w:ascii="Arial" w:cs="Arial" w:eastAsia="Arial" w:hAnsi="Arial"/>
                <w:sz w:val="15"/>
                <w:szCs w:val="15"/>
                <w:b w:val="1"/>
                <w:bCs w:val="1"/>
                <w:color w:val="auto"/>
              </w:rPr>
              <w:t>Primary</w:t>
            </w:r>
          </w:p>
        </w:tc>
        <w:tc>
          <w:tcPr>
            <w:tcW w:w="1020" w:type="dxa"/>
            <w:vAlign w:val="bottom"/>
          </w:tcPr>
          <w:p>
            <w:pPr>
              <w:jc w:val="center"/>
              <w:ind w:left="304"/>
              <w:spacing w:after="0"/>
              <w:rPr>
                <w:sz w:val="20"/>
                <w:szCs w:val="20"/>
                <w:color w:val="auto"/>
              </w:rPr>
            </w:pPr>
            <w:r>
              <w:rPr>
                <w:rFonts w:ascii="Arial" w:cs="Arial" w:eastAsia="Arial" w:hAnsi="Arial"/>
                <w:sz w:val="15"/>
                <w:szCs w:val="15"/>
                <w:b w:val="1"/>
                <w:bCs w:val="1"/>
                <w:color w:val="auto"/>
              </w:rPr>
              <w:t>Diluted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380"/>
              <w:spacing w:after="0"/>
              <w:rPr>
                <w:sz w:val="20"/>
                <w:szCs w:val="20"/>
                <w:color w:val="auto"/>
              </w:rPr>
            </w:pPr>
            <w:r>
              <w:rPr>
                <w:rFonts w:ascii="Arial" w:cs="Arial" w:eastAsia="Arial" w:hAnsi="Arial"/>
                <w:sz w:val="15"/>
                <w:szCs w:val="15"/>
                <w:b w:val="1"/>
                <w:bCs w:val="1"/>
                <w:color w:val="auto"/>
              </w:rPr>
              <w:t>Primary</w:t>
            </w:r>
          </w:p>
        </w:tc>
        <w:tc>
          <w:tcPr>
            <w:tcW w:w="1420" w:type="dxa"/>
            <w:vAlign w:val="bottom"/>
          </w:tcPr>
          <w:p>
            <w:pPr>
              <w:jc w:val="right"/>
              <w:ind w:right="360"/>
              <w:spacing w:after="0"/>
              <w:rPr>
                <w:sz w:val="20"/>
                <w:szCs w:val="20"/>
                <w:color w:val="auto"/>
              </w:rPr>
            </w:pPr>
            <w:r>
              <w:rPr>
                <w:rFonts w:ascii="Arial" w:cs="Arial" w:eastAsia="Arial" w:hAnsi="Arial"/>
                <w:sz w:val="15"/>
                <w:szCs w:val="15"/>
                <w:b w:val="1"/>
                <w:bCs w:val="1"/>
                <w:color w:val="auto"/>
              </w:rPr>
              <w:t>Diluted</w:t>
            </w:r>
          </w:p>
        </w:tc>
      </w:tr>
      <w:tr>
        <w:trPr>
          <w:trHeight w:val="254"/>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2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2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2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w:t>
            </w:r>
          </w:p>
        </w:tc>
      </w:tr>
      <w:tr>
        <w:trPr>
          <w:trHeight w:val="260"/>
        </w:trPr>
        <w:tc>
          <w:tcPr>
            <w:tcW w:w="4420" w:type="dxa"/>
            <w:vAlign w:val="bottom"/>
          </w:tcPr>
          <w:p>
            <w:pPr>
              <w:ind w:left="20"/>
              <w:spacing w:after="0"/>
              <w:rPr>
                <w:sz w:val="20"/>
                <w:szCs w:val="20"/>
                <w:color w:val="auto"/>
              </w:rPr>
            </w:pPr>
            <w:r>
              <w:rPr>
                <w:rFonts w:ascii="Arial" w:cs="Arial" w:eastAsia="Arial" w:hAnsi="Arial"/>
                <w:sz w:val="16"/>
                <w:szCs w:val="16"/>
                <w:color w:val="auto"/>
              </w:rPr>
              <w:t>Ergobaby</w:t>
            </w:r>
          </w:p>
        </w:tc>
        <w:tc>
          <w:tcPr>
            <w:tcW w:w="1340" w:type="dxa"/>
            <w:vAlign w:val="bottom"/>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75.8</w:t>
            </w:r>
          </w:p>
        </w:tc>
      </w:tr>
      <w:tr>
        <w:trPr>
          <w:trHeight w:val="28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r>
      <w:tr>
        <w:trPr>
          <w:trHeight w:val="260"/>
        </w:trPr>
        <w:tc>
          <w:tcPr>
            <w:tcW w:w="4420" w:type="dxa"/>
            <w:vAlign w:val="bottom"/>
          </w:tcPr>
          <w:p>
            <w:pPr>
              <w:ind w:left="20"/>
              <w:spacing w:after="0"/>
              <w:rPr>
                <w:sz w:val="20"/>
                <w:szCs w:val="20"/>
                <w:color w:val="auto"/>
              </w:rPr>
            </w:pPr>
            <w:r>
              <w:rPr>
                <w:rFonts w:ascii="Arial" w:cs="Arial" w:eastAsia="Arial" w:hAnsi="Arial"/>
                <w:sz w:val="16"/>
                <w:szCs w:val="16"/>
                <w:color w:val="auto"/>
              </w:rPr>
              <w:t>Marucci</w:t>
            </w:r>
          </w:p>
        </w:tc>
        <w:tc>
          <w:tcPr>
            <w:tcW w:w="1340" w:type="dxa"/>
            <w:vAlign w:val="bottom"/>
          </w:tcPr>
          <w:p>
            <w:pPr>
              <w:jc w:val="right"/>
              <w:spacing w:after="0"/>
              <w:rPr>
                <w:sz w:val="20"/>
                <w:szCs w:val="20"/>
                <w:color w:val="auto"/>
              </w:rPr>
            </w:pPr>
            <w:r>
              <w:rPr>
                <w:rFonts w:ascii="Arial" w:cs="Arial" w:eastAsia="Arial" w:hAnsi="Arial"/>
                <w:sz w:val="16"/>
                <w:szCs w:val="16"/>
                <w:color w:val="auto"/>
              </w:rPr>
              <w:t>92.2</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Pr>
          <w:p>
            <w:pPr>
              <w:spacing w:after="0"/>
              <w:rPr>
                <w:sz w:val="22"/>
                <w:szCs w:val="22"/>
                <w:color w:val="auto"/>
              </w:rPr>
            </w:pPr>
          </w:p>
        </w:tc>
        <w:tc>
          <w:tcPr>
            <w:tcW w:w="1440" w:type="dxa"/>
            <w:vAlign w:val="bottom"/>
            <w:gridSpan w:val="2"/>
          </w:tcPr>
          <w:p>
            <w:pPr>
              <w:ind w:left="1040"/>
              <w:spacing w:after="0"/>
              <w:rPr>
                <w:sz w:val="20"/>
                <w:szCs w:val="20"/>
                <w:color w:val="auto"/>
              </w:rPr>
            </w:pPr>
            <w:r>
              <w:rPr>
                <w:rFonts w:ascii="Arial" w:cs="Arial" w:eastAsia="Arial" w:hAnsi="Arial"/>
                <w:sz w:val="16"/>
                <w:szCs w:val="16"/>
                <w:color w:val="auto"/>
              </w:rPr>
              <w:t>N/a</w:t>
            </w:r>
          </w:p>
        </w:tc>
        <w:tc>
          <w:tcPr>
            <w:tcW w:w="142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r>
      <w:tr>
        <w:trPr>
          <w:trHeight w:val="260"/>
        </w:trPr>
        <w:tc>
          <w:tcPr>
            <w:tcW w:w="4420" w:type="dxa"/>
            <w:vAlign w:val="bottom"/>
          </w:tcPr>
          <w:p>
            <w:pPr>
              <w:ind w:left="20"/>
              <w:spacing w:after="0"/>
              <w:rPr>
                <w:sz w:val="20"/>
                <w:szCs w:val="20"/>
                <w:color w:val="auto"/>
              </w:rPr>
            </w:pPr>
            <w:r>
              <w:rPr>
                <w:rFonts w:ascii="Arial" w:cs="Arial" w:eastAsia="Arial" w:hAnsi="Arial"/>
                <w:sz w:val="16"/>
                <w:szCs w:val="16"/>
                <w:color w:val="auto"/>
              </w:rPr>
              <w:t>ACI</w:t>
            </w:r>
          </w:p>
        </w:tc>
        <w:tc>
          <w:tcPr>
            <w:tcW w:w="1340" w:type="dxa"/>
            <w:vAlign w:val="bottom"/>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65.4</w:t>
            </w:r>
          </w:p>
        </w:tc>
      </w:tr>
      <w:tr>
        <w:trPr>
          <w:trHeight w:val="28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r>
      <w:tr>
        <w:trPr>
          <w:trHeight w:val="260"/>
        </w:trPr>
        <w:tc>
          <w:tcPr>
            <w:tcW w:w="4420" w:type="dxa"/>
            <w:vAlign w:val="bottom"/>
          </w:tcPr>
          <w:p>
            <w:pPr>
              <w:ind w:left="20"/>
              <w:spacing w:after="0"/>
              <w:rPr>
                <w:sz w:val="20"/>
                <w:szCs w:val="20"/>
                <w:color w:val="auto"/>
              </w:rPr>
            </w:pPr>
            <w:r>
              <w:rPr>
                <w:rFonts w:ascii="Arial" w:cs="Arial" w:eastAsia="Arial" w:hAnsi="Arial"/>
                <w:sz w:val="16"/>
                <w:szCs w:val="16"/>
                <w:color w:val="auto"/>
              </w:rPr>
              <w:t>Foam Fabricators</w:t>
            </w: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91.5</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91.5</w:t>
            </w:r>
          </w:p>
        </w:tc>
      </w:tr>
      <w:tr>
        <w:trPr>
          <w:trHeight w:val="28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r>
    </w:tbl>
    <w:p>
      <w:pPr>
        <w:spacing w:after="0" w:line="102" w:lineRule="exact"/>
        <w:rPr>
          <w:sz w:val="20"/>
          <w:szCs w:val="20"/>
          <w:color w:val="auto"/>
        </w:rPr>
      </w:pPr>
    </w:p>
    <w:p>
      <w:pPr>
        <w:ind w:left="340" w:hanging="332"/>
        <w:spacing w:after="0" w:line="259" w:lineRule="auto"/>
        <w:tabs>
          <w:tab w:leader="none" w:pos="340" w:val="left"/>
        </w:tabs>
        <w:numPr>
          <w:ilvl w:val="0"/>
          <w:numId w:val="16"/>
        </w:numPr>
        <w:rPr>
          <w:rFonts w:ascii="Arial" w:cs="Arial" w:eastAsia="Arial" w:hAnsi="Arial"/>
          <w:sz w:val="14"/>
          <w:szCs w:val="14"/>
          <w:b w:val="1"/>
          <w:bCs w:val="1"/>
          <w:color w:val="auto"/>
        </w:rPr>
      </w:pPr>
      <w:r>
        <w:rPr>
          <w:rFonts w:ascii="Arial" w:cs="Arial" w:eastAsia="Arial" w:hAnsi="Arial"/>
          <w:sz w:val="17"/>
          <w:szCs w:val="17"/>
          <w:color w:val="auto"/>
        </w:rPr>
        <w:t>The principal difference between primary and diluted percentages of our operating segments is due to stock option issuances of operating segment stock to management of the respective businesses.</w:t>
      </w:r>
    </w:p>
    <w:p>
      <w:pPr>
        <w:spacing w:after="0" w:line="292" w:lineRule="exact"/>
        <w:rPr>
          <w:sz w:val="20"/>
          <w:szCs w:val="20"/>
          <w:color w:val="auto"/>
        </w:rPr>
      </w:pPr>
    </w:p>
    <w:tbl>
      <w:tblPr>
        <w:tblLayout w:type="fixed"/>
        <w:tblInd w:w="840" w:type="dxa"/>
        <w:tblCellMar>
          <w:top w:w="0" w:type="dxa"/>
          <w:left w:w="0" w:type="dxa"/>
          <w:bottom w:w="0" w:type="dxa"/>
          <w:right w:w="0" w:type="dxa"/>
        </w:tblCellMar>
      </w:tblPr>
      <w:tr>
        <w:trPr>
          <w:trHeight w:val="206"/>
        </w:trPr>
        <w:tc>
          <w:tcPr>
            <w:tcW w:w="5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5"/>
                <w:szCs w:val="15"/>
                <w:b w:val="1"/>
                <w:bCs w:val="1"/>
                <w:color w:val="auto"/>
              </w:rPr>
              <w:t>Noncontrolling Interest Balances</w:t>
            </w: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2"/>
                <w:szCs w:val="22"/>
                <w:color w:val="auto"/>
              </w:rPr>
            </w:pPr>
          </w:p>
        </w:tc>
        <w:tc>
          <w:tcPr>
            <w:tcW w:w="176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 2020</w:t>
            </w:r>
          </w:p>
        </w:tc>
        <w:tc>
          <w:tcPr>
            <w:tcW w:w="180" w:type="dxa"/>
            <w:vAlign w:val="bottom"/>
          </w:tcPr>
          <w:p>
            <w:pPr>
              <w:spacing w:after="0"/>
              <w:rPr>
                <w:sz w:val="22"/>
                <w:szCs w:val="22"/>
                <w:color w:val="auto"/>
              </w:rPr>
            </w:pPr>
          </w:p>
        </w:tc>
        <w:tc>
          <w:tcPr>
            <w:tcW w:w="1740" w:type="dxa"/>
            <w:vAlign w:val="bottom"/>
          </w:tcPr>
          <w:p>
            <w:pPr>
              <w:jc w:val="right"/>
              <w:ind w:right="199"/>
              <w:spacing w:after="0"/>
              <w:rPr>
                <w:sz w:val="20"/>
                <w:szCs w:val="20"/>
                <w:color w:val="auto"/>
              </w:rPr>
            </w:pPr>
            <w:r>
              <w:rPr>
                <w:rFonts w:ascii="Arial" w:cs="Arial" w:eastAsia="Arial" w:hAnsi="Arial"/>
                <w:sz w:val="15"/>
                <w:szCs w:val="15"/>
                <w:b w:val="1"/>
                <w:bCs w:val="1"/>
                <w:color w:val="auto"/>
              </w:rPr>
              <w:t>December 31, 2019</w:t>
            </w:r>
          </w:p>
        </w:tc>
      </w:tr>
      <w:tr>
        <w:trPr>
          <w:trHeight w:val="254"/>
        </w:trPr>
        <w:tc>
          <w:tcPr>
            <w:tcW w:w="5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5.11</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12,056</w:t>
            </w:r>
          </w:p>
        </w:tc>
      </w:tr>
      <w:tr>
        <w:trPr>
          <w:trHeight w:val="260"/>
        </w:trPr>
        <w:tc>
          <w:tcPr>
            <w:tcW w:w="5600" w:type="dxa"/>
            <w:vAlign w:val="bottom"/>
          </w:tcPr>
          <w:p>
            <w:pPr>
              <w:ind w:left="40"/>
              <w:spacing w:after="0"/>
              <w:rPr>
                <w:sz w:val="20"/>
                <w:szCs w:val="20"/>
                <w:color w:val="auto"/>
              </w:rPr>
            </w:pPr>
            <w:r>
              <w:rPr>
                <w:rFonts w:ascii="Arial" w:cs="Arial" w:eastAsia="Arial" w:hAnsi="Arial"/>
                <w:sz w:val="16"/>
                <w:szCs w:val="16"/>
                <w:color w:val="auto"/>
              </w:rPr>
              <w:t>Ergobaby</w:t>
            </w:r>
          </w:p>
        </w:tc>
        <w:tc>
          <w:tcPr>
            <w:tcW w:w="2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27,663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27,036</w:t>
            </w:r>
          </w:p>
        </w:tc>
      </w:tr>
      <w:tr>
        <w:trPr>
          <w:trHeight w:val="28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Liberty</w:t>
            </w:r>
          </w:p>
        </w:tc>
        <w:tc>
          <w:tcPr>
            <w:tcW w:w="2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2,936</w:t>
            </w:r>
          </w:p>
        </w:tc>
      </w:tr>
      <w:tr>
        <w:trPr>
          <w:trHeight w:val="260"/>
        </w:trPr>
        <w:tc>
          <w:tcPr>
            <w:tcW w:w="5600" w:type="dxa"/>
            <w:vAlign w:val="bottom"/>
          </w:tcPr>
          <w:p>
            <w:pPr>
              <w:ind w:left="40"/>
              <w:spacing w:after="0"/>
              <w:rPr>
                <w:sz w:val="20"/>
                <w:szCs w:val="20"/>
                <w:color w:val="auto"/>
              </w:rPr>
            </w:pPr>
            <w:r>
              <w:rPr>
                <w:rFonts w:ascii="Arial" w:cs="Arial" w:eastAsia="Arial" w:hAnsi="Arial"/>
                <w:sz w:val="16"/>
                <w:szCs w:val="16"/>
                <w:color w:val="auto"/>
              </w:rPr>
              <w:t>Marucci</w:t>
            </w:r>
          </w:p>
        </w:tc>
        <w:tc>
          <w:tcPr>
            <w:tcW w:w="2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10,721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Velocity Outdoor</w:t>
            </w:r>
          </w:p>
        </w:tc>
        <w:tc>
          <w:tcPr>
            <w:tcW w:w="2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2,506</w:t>
            </w:r>
          </w:p>
        </w:tc>
      </w:tr>
      <w:tr>
        <w:trPr>
          <w:trHeight w:val="260"/>
        </w:trPr>
        <w:tc>
          <w:tcPr>
            <w:tcW w:w="5600" w:type="dxa"/>
            <w:vAlign w:val="bottom"/>
          </w:tcPr>
          <w:p>
            <w:pPr>
              <w:ind w:left="40"/>
              <w:spacing w:after="0"/>
              <w:rPr>
                <w:sz w:val="20"/>
                <w:szCs w:val="20"/>
                <w:color w:val="auto"/>
              </w:rPr>
            </w:pPr>
            <w:r>
              <w:rPr>
                <w:rFonts w:ascii="Arial" w:cs="Arial" w:eastAsia="Arial" w:hAnsi="Arial"/>
                <w:sz w:val="16"/>
                <w:szCs w:val="16"/>
                <w:color w:val="auto"/>
              </w:rPr>
              <w:t>ACI</w:t>
            </w:r>
          </w:p>
        </w:tc>
        <w:tc>
          <w:tcPr>
            <w:tcW w:w="2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6,336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3,670</w:t>
            </w:r>
          </w:p>
        </w:tc>
      </w:tr>
      <w:tr>
        <w:trPr>
          <w:trHeight w:val="28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Arnold</w:t>
            </w:r>
          </w:p>
        </w:tc>
        <w:tc>
          <w:tcPr>
            <w:tcW w:w="2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1,255</w:t>
            </w:r>
          </w:p>
        </w:tc>
      </w:tr>
      <w:tr>
        <w:trPr>
          <w:trHeight w:val="260"/>
        </w:trPr>
        <w:tc>
          <w:tcPr>
            <w:tcW w:w="5600" w:type="dxa"/>
            <w:vAlign w:val="bottom"/>
          </w:tcPr>
          <w:p>
            <w:pPr>
              <w:ind w:left="40"/>
              <w:spacing w:after="0"/>
              <w:rPr>
                <w:sz w:val="20"/>
                <w:szCs w:val="20"/>
                <w:color w:val="auto"/>
              </w:rPr>
            </w:pPr>
            <w:r>
              <w:rPr>
                <w:rFonts w:ascii="Arial" w:cs="Arial" w:eastAsia="Arial" w:hAnsi="Arial"/>
                <w:sz w:val="16"/>
                <w:szCs w:val="16"/>
                <w:color w:val="auto"/>
              </w:rPr>
              <w:t>Foam Fabricators</w:t>
            </w:r>
          </w:p>
        </w:tc>
        <w:tc>
          <w:tcPr>
            <w:tcW w:w="2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1,873</w:t>
            </w:r>
          </w:p>
        </w:tc>
      </w:tr>
      <w:tr>
        <w:trPr>
          <w:trHeight w:val="28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Sterno</w:t>
            </w:r>
          </w:p>
        </w:tc>
        <w:tc>
          <w:tcPr>
            <w:tcW w:w="2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r>
      <w:tr>
        <w:trPr>
          <w:trHeight w:val="263"/>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Allocation Interests</w:t>
            </w: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56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50,548</w:t>
            </w:r>
          </w:p>
        </w:tc>
      </w:tr>
      <w:tr>
        <w:trPr>
          <w:trHeight w:val="20"/>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Fair Value Measurement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at June 30, 2020 and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160655</wp:posOffset>
            </wp:positionV>
            <wp:extent cx="39433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206"/>
        </w:trPr>
        <w:tc>
          <w:tcPr>
            <w:tcW w:w="42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rPr>
              <w:t>Fair Value Measurements at June 30, 2020</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65"/>
        </w:trPr>
        <w:tc>
          <w:tcPr>
            <w:tcW w:w="4260" w:type="dxa"/>
            <w:vAlign w:val="bottom"/>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Arial" w:cs="Arial" w:eastAsia="Arial" w:hAnsi="Arial"/>
                <w:sz w:val="15"/>
                <w:szCs w:val="15"/>
                <w:b w:val="1"/>
                <w:bCs w:val="1"/>
                <w:color w:val="auto"/>
              </w:rPr>
              <w:t>Carrying</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4"/>
        </w:trPr>
        <w:tc>
          <w:tcPr>
            <w:tcW w:w="426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5"/>
                <w:szCs w:val="15"/>
                <w:b w:val="1"/>
                <w:bCs w:val="1"/>
                <w:color w:val="auto"/>
              </w:rPr>
              <w:t>Value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ind w:left="460"/>
              <w:spacing w:after="0"/>
              <w:rPr>
                <w:sz w:val="20"/>
                <w:szCs w:val="20"/>
                <w:color w:val="auto"/>
              </w:rPr>
            </w:pPr>
            <w:r>
              <w:rPr>
                <w:rFonts w:ascii="Arial" w:cs="Arial" w:eastAsia="Arial" w:hAnsi="Arial"/>
                <w:sz w:val="15"/>
                <w:szCs w:val="15"/>
                <w:b w:val="1"/>
                <w:bCs w:val="1"/>
                <w:color w:val="auto"/>
              </w:rPr>
              <w:t>Level 1</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5"/>
                <w:szCs w:val="15"/>
                <w:b w:val="1"/>
                <w:bCs w:val="1"/>
                <w:color w:val="auto"/>
              </w:rPr>
              <w:t>Level 2</w:t>
            </w:r>
          </w:p>
        </w:tc>
        <w:tc>
          <w:tcPr>
            <w:tcW w:w="280" w:type="dxa"/>
            <w:vAlign w:val="bottom"/>
          </w:tcPr>
          <w:p>
            <w:pPr>
              <w:spacing w:after="0"/>
              <w:rPr>
                <w:sz w:val="17"/>
                <w:szCs w:val="17"/>
                <w:color w:val="auto"/>
              </w:rPr>
            </w:pPr>
          </w:p>
        </w:tc>
        <w:tc>
          <w:tcPr>
            <w:tcW w:w="1180" w:type="dxa"/>
            <w:vAlign w:val="bottom"/>
          </w:tcPr>
          <w:p>
            <w:pPr>
              <w:jc w:val="right"/>
              <w:ind w:right="401"/>
              <w:spacing w:after="0"/>
              <w:rPr>
                <w:sz w:val="20"/>
                <w:szCs w:val="20"/>
                <w:color w:val="auto"/>
              </w:rPr>
            </w:pPr>
            <w:r>
              <w:rPr>
                <w:rFonts w:ascii="Arial" w:cs="Arial" w:eastAsia="Arial" w:hAnsi="Arial"/>
                <w:sz w:val="15"/>
                <w:szCs w:val="15"/>
                <w:b w:val="1"/>
                <w:bCs w:val="1"/>
                <w:color w:val="auto"/>
              </w:rPr>
              <w:t>Level 3</w:t>
            </w:r>
          </w:p>
        </w:tc>
      </w:tr>
      <w:tr>
        <w:trPr>
          <w:trHeight w:val="210"/>
        </w:trPr>
        <w:tc>
          <w:tcPr>
            <w:tcW w:w="4260" w:type="dxa"/>
            <w:vAlign w:val="bottom"/>
          </w:tcPr>
          <w:p>
            <w:pPr>
              <w:ind w:left="20"/>
              <w:spacing w:after="0"/>
              <w:rPr>
                <w:sz w:val="20"/>
                <w:szCs w:val="20"/>
                <w:color w:val="auto"/>
              </w:rPr>
            </w:pPr>
            <w:r>
              <w:rPr>
                <w:rFonts w:ascii="Arial" w:cs="Arial" w:eastAsia="Arial" w:hAnsi="Arial"/>
                <w:sz w:val="16"/>
                <w:szCs w:val="16"/>
                <w:i w:val="1"/>
                <w:iCs w:val="1"/>
                <w:color w:val="auto"/>
              </w:rPr>
              <w:t>Liabilities:</w:t>
            </w:r>
          </w:p>
        </w:tc>
        <w:tc>
          <w:tcPr>
            <w:tcW w:w="10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60"/>
        </w:trPr>
        <w:tc>
          <w:tcPr>
            <w:tcW w:w="4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70"/>
        </w:trPr>
        <w:tc>
          <w:tcPr>
            <w:tcW w:w="4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Put option of noncontrolling shareholders </w:t>
            </w:r>
            <w:r>
              <w:rPr>
                <w:rFonts w:ascii="Arial" w:cs="Arial" w:eastAsia="Arial" w:hAnsi="Arial"/>
                <w:sz w:val="21"/>
                <w:szCs w:val="21"/>
                <w:color w:val="auto"/>
                <w:vertAlign w:val="superscript"/>
              </w:rPr>
              <w:t>(1)</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(215)</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43"/>
        </w:trPr>
        <w:tc>
          <w:tcPr>
            <w:tcW w:w="4260" w:type="dxa"/>
            <w:vAlign w:val="bottom"/>
          </w:tcPr>
          <w:p>
            <w:pPr>
              <w:ind w:left="20"/>
              <w:spacing w:after="0"/>
              <w:rPr>
                <w:sz w:val="20"/>
                <w:szCs w:val="20"/>
                <w:color w:val="auto"/>
              </w:rPr>
            </w:pPr>
            <w:r>
              <w:rPr>
                <w:rFonts w:ascii="Arial" w:cs="Arial" w:eastAsia="Arial" w:hAnsi="Arial"/>
                <w:sz w:val="16"/>
                <w:szCs w:val="16"/>
                <w:color w:val="auto"/>
              </w:rPr>
              <w:t>Total recorded at fair value</w:t>
            </w: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(215)</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20"/>
        </w:trPr>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5540" w:right="2820" w:hanging="5532"/>
        <w:spacing w:after="0" w:line="452" w:lineRule="auto"/>
        <w:tabs>
          <w:tab w:leader="none" w:pos="338" w:val="left"/>
        </w:tabs>
        <w:numPr>
          <w:ilvl w:val="0"/>
          <w:numId w:val="17"/>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put option issued to noncontrolling shareholders in connection with the 5.11 and Liberty acquisitions. 31</w:t>
      </w:r>
    </w:p>
    <w:p>
      <w:pPr>
        <w:sectPr>
          <w:pgSz w:w="11900" w:h="16838" w:orient="portrait"/>
          <w:cols w:equalWidth="0" w:num="1">
            <w:col w:w="11220"/>
          </w:cols>
          <w:pgMar w:left="320" w:top="486" w:right="359" w:bottom="1440" w:gutter="0" w:footer="0" w:header="0"/>
        </w:sectPr>
      </w:pPr>
    </w:p>
    <w:bookmarkStart w:id="31" w:name="page32"/>
    <w:bookmarkEnd w:id="31"/>
    <w:tbl>
      <w:tblPr>
        <w:tblLayout w:type="fixed"/>
        <w:tblInd w:w="400" w:type="dxa"/>
        <w:tblCellMar>
          <w:top w:w="0" w:type="dxa"/>
          <w:left w:w="0" w:type="dxa"/>
          <w:bottom w:w="0" w:type="dxa"/>
          <w:right w:w="0" w:type="dxa"/>
        </w:tblCellMar>
      </w:tblPr>
      <w:tr>
        <w:trPr>
          <w:trHeight w:val="206"/>
        </w:trPr>
        <w:tc>
          <w:tcPr>
            <w:tcW w:w="42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9"/>
          </w:tcPr>
          <w:p>
            <w:pPr>
              <w:jc w:val="right"/>
              <w:ind w:right="119"/>
              <w:spacing w:after="0"/>
              <w:rPr>
                <w:sz w:val="20"/>
                <w:szCs w:val="20"/>
                <w:color w:val="auto"/>
              </w:rPr>
            </w:pPr>
            <w:r>
              <w:rPr>
                <w:rFonts w:ascii="Arial" w:cs="Arial" w:eastAsia="Arial" w:hAnsi="Arial"/>
                <w:sz w:val="15"/>
                <w:szCs w:val="15"/>
                <w:b w:val="1"/>
                <w:bCs w:val="1"/>
                <w:color w:val="auto"/>
              </w:rPr>
              <w:t>Fair Value Measurements at December 31, 2019</w:t>
            </w:r>
          </w:p>
        </w:tc>
        <w:tc>
          <w:tcPr>
            <w:tcW w:w="1180" w:type="dxa"/>
            <w:vAlign w:val="bottom"/>
            <w:tcBorders>
              <w:bottom w:val="single" w:sz="8" w:color="auto"/>
            </w:tcBorders>
          </w:tcPr>
          <w:p>
            <w:pPr>
              <w:spacing w:after="0"/>
              <w:rPr>
                <w:sz w:val="17"/>
                <w:szCs w:val="17"/>
                <w:color w:val="auto"/>
              </w:rPr>
            </w:pPr>
          </w:p>
        </w:tc>
      </w:tr>
      <w:tr>
        <w:trPr>
          <w:trHeight w:val="165"/>
        </w:trPr>
        <w:tc>
          <w:tcPr>
            <w:tcW w:w="4260" w:type="dxa"/>
            <w:vAlign w:val="bottom"/>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Arial" w:cs="Arial" w:eastAsia="Arial" w:hAnsi="Arial"/>
                <w:sz w:val="15"/>
                <w:szCs w:val="15"/>
                <w:b w:val="1"/>
                <w:bCs w:val="1"/>
                <w:color w:val="auto"/>
              </w:rPr>
              <w:t>Carrying</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4"/>
        </w:trPr>
        <w:tc>
          <w:tcPr>
            <w:tcW w:w="426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5"/>
                <w:szCs w:val="15"/>
                <w:b w:val="1"/>
                <w:bCs w:val="1"/>
                <w:color w:val="auto"/>
              </w:rPr>
              <w:t>Value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21"/>
              <w:spacing w:after="0"/>
              <w:rPr>
                <w:sz w:val="20"/>
                <w:szCs w:val="20"/>
                <w:color w:val="auto"/>
              </w:rPr>
            </w:pPr>
            <w:r>
              <w:rPr>
                <w:rFonts w:ascii="Arial" w:cs="Arial" w:eastAsia="Arial" w:hAnsi="Arial"/>
                <w:sz w:val="15"/>
                <w:szCs w:val="15"/>
                <w:b w:val="1"/>
                <w:bCs w:val="1"/>
                <w:color w:val="auto"/>
              </w:rPr>
              <w:t>Level 1</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5"/>
                <w:szCs w:val="15"/>
                <w:b w:val="1"/>
                <w:bCs w:val="1"/>
                <w:color w:val="auto"/>
              </w:rPr>
              <w:t>Level 2</w:t>
            </w:r>
          </w:p>
        </w:tc>
        <w:tc>
          <w:tcPr>
            <w:tcW w:w="280" w:type="dxa"/>
            <w:vAlign w:val="bottom"/>
          </w:tcPr>
          <w:p>
            <w:pPr>
              <w:spacing w:after="0"/>
              <w:rPr>
                <w:sz w:val="17"/>
                <w:szCs w:val="17"/>
                <w:color w:val="auto"/>
              </w:rPr>
            </w:pPr>
          </w:p>
        </w:tc>
        <w:tc>
          <w:tcPr>
            <w:tcW w:w="1180" w:type="dxa"/>
            <w:vAlign w:val="bottom"/>
          </w:tcPr>
          <w:p>
            <w:pPr>
              <w:jc w:val="right"/>
              <w:ind w:right="401"/>
              <w:spacing w:after="0"/>
              <w:rPr>
                <w:sz w:val="20"/>
                <w:szCs w:val="20"/>
                <w:color w:val="auto"/>
              </w:rPr>
            </w:pPr>
            <w:r>
              <w:rPr>
                <w:rFonts w:ascii="Arial" w:cs="Arial" w:eastAsia="Arial" w:hAnsi="Arial"/>
                <w:sz w:val="15"/>
                <w:szCs w:val="15"/>
                <w:b w:val="1"/>
                <w:bCs w:val="1"/>
                <w:color w:val="auto"/>
              </w:rPr>
              <w:t>Level 3</w:t>
            </w:r>
          </w:p>
        </w:tc>
      </w:tr>
      <w:tr>
        <w:trPr>
          <w:trHeight w:val="210"/>
        </w:trPr>
        <w:tc>
          <w:tcPr>
            <w:tcW w:w="4260" w:type="dxa"/>
            <w:vAlign w:val="bottom"/>
          </w:tcPr>
          <w:p>
            <w:pPr>
              <w:ind w:left="20"/>
              <w:spacing w:after="0"/>
              <w:rPr>
                <w:sz w:val="20"/>
                <w:szCs w:val="20"/>
                <w:color w:val="auto"/>
              </w:rPr>
            </w:pPr>
            <w:r>
              <w:rPr>
                <w:rFonts w:ascii="Arial" w:cs="Arial" w:eastAsia="Arial" w:hAnsi="Arial"/>
                <w:sz w:val="16"/>
                <w:szCs w:val="16"/>
                <w:i w:val="1"/>
                <w:iCs w:val="1"/>
                <w:color w:val="auto"/>
              </w:rPr>
              <w:t>Liabilities:</w:t>
            </w:r>
          </w:p>
        </w:tc>
        <w:tc>
          <w:tcPr>
            <w:tcW w:w="10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60"/>
        </w:trPr>
        <w:tc>
          <w:tcPr>
            <w:tcW w:w="4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70"/>
        </w:trPr>
        <w:tc>
          <w:tcPr>
            <w:tcW w:w="4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Put option of noncontrolling shareholders </w:t>
            </w:r>
            <w:r>
              <w:rPr>
                <w:rFonts w:ascii="Arial" w:cs="Arial" w:eastAsia="Arial" w:hAnsi="Arial"/>
                <w:sz w:val="21"/>
                <w:szCs w:val="21"/>
                <w:color w:val="auto"/>
                <w:vertAlign w:val="superscript"/>
              </w:rPr>
              <w:t>(1)</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(111)</w:t>
            </w: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57"/>
        </w:trPr>
        <w:tc>
          <w:tcPr>
            <w:tcW w:w="4260" w:type="dxa"/>
            <w:vAlign w:val="bottom"/>
          </w:tcPr>
          <w:p>
            <w:pPr>
              <w:ind w:left="20"/>
              <w:spacing w:after="0"/>
              <w:rPr>
                <w:sz w:val="20"/>
                <w:szCs w:val="20"/>
                <w:color w:val="auto"/>
              </w:rPr>
            </w:pPr>
            <w:r>
              <w:rPr>
                <w:rFonts w:ascii="Arial" w:cs="Arial" w:eastAsia="Arial" w:hAnsi="Arial"/>
                <w:sz w:val="16"/>
                <w:szCs w:val="16"/>
                <w:color w:val="auto"/>
              </w:rPr>
              <w:t>Total recorded at fair value</w:t>
            </w: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(111)</w:t>
            </w: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r>
      <w:tr>
        <w:trPr>
          <w:trHeight w:val="20"/>
        </w:trPr>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3157220</wp:posOffset>
            </wp:positionH>
            <wp:positionV relativeFrom="page">
              <wp:posOffset>380365</wp:posOffset>
            </wp:positionV>
            <wp:extent cx="39433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20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put option issued to noncontrolling shareholders in connection with the 5.11 and Liberty acquisitions.</w:t>
      </w:r>
    </w:p>
    <w:p>
      <w:pPr>
        <w:spacing w:after="0" w:line="2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Reconciliations of the change in the carrying value of the Level 3 fair value measurements from January 1, 2019 through June 30, 2020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240"/>
          </w:cols>
          <w:pgMar w:left="320" w:top="658"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Balance at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-142875</wp:posOffset>
            </wp:positionV>
            <wp:extent cx="559752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97525" cy="163195"/>
                    </a:xfrm>
                    <a:prstGeom prst="rect">
                      <a:avLst/>
                    </a:prstGeom>
                    <a:noFill/>
                  </pic:spPr>
                </pic:pic>
              </a:graphicData>
            </a:graphic>
          </wp:anchor>
        </w:drawing>
      </w:r>
    </w:p>
    <w:p>
      <w:pPr>
        <w:spacing w:after="0" w:line="39" w:lineRule="exact"/>
        <w:rPr>
          <w:sz w:val="20"/>
          <w:szCs w:val="20"/>
          <w:color w:val="auto"/>
        </w:rPr>
      </w:pPr>
    </w:p>
    <w:p>
      <w:pPr>
        <w:ind w:left="1240" w:right="1040"/>
        <w:spacing w:after="0" w:line="305" w:lineRule="auto"/>
        <w:rPr>
          <w:sz w:val="20"/>
          <w:szCs w:val="20"/>
          <w:color w:val="auto"/>
        </w:rPr>
      </w:pPr>
      <w:r>
        <w:rPr>
          <w:rFonts w:ascii="Arial" w:cs="Arial" w:eastAsia="Arial" w:hAnsi="Arial"/>
          <w:sz w:val="16"/>
          <w:szCs w:val="16"/>
          <w:color w:val="auto"/>
        </w:rPr>
        <w:t>Decrease in the fair value of put option of noncontrolling shareholder - Liberty Increase in the fair value of put option of noncontrolling shareholder - 5.11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-160655</wp:posOffset>
            </wp:positionV>
            <wp:extent cx="559752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97525" cy="1543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6"/>
          <w:szCs w:val="16"/>
          <w:color w:val="auto"/>
        </w:rPr>
        <w:t xml:space="preserve">Adjustment to Ravin contingent consideration </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-5715</wp:posOffset>
            </wp:positionV>
            <wp:extent cx="559752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97525" cy="1543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6"/>
          <w:szCs w:val="16"/>
          <w:color w:val="auto"/>
        </w:rPr>
        <w:t xml:space="preserve">Payment of contingent consideration - Ravin </w:t>
      </w:r>
      <w:r>
        <w:rPr>
          <w:rFonts w:ascii="Arial" w:cs="Arial" w:eastAsia="Arial" w:hAnsi="Arial"/>
          <w:sz w:val="21"/>
          <w:szCs w:val="21"/>
          <w:b w:val="1"/>
          <w:bCs w:val="1"/>
          <w:color w:val="auto"/>
          <w:vertAlign w:val="superscript"/>
        </w:rPr>
        <w:t>(1)</w:t>
      </w:r>
    </w:p>
    <w:p>
      <w:pPr>
        <w:spacing w:after="0" w:line="20"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19050</wp:posOffset>
            </wp:positionV>
            <wp:extent cx="559752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97525" cy="154305"/>
                    </a:xfrm>
                    <a:prstGeom prst="rect">
                      <a:avLst/>
                    </a:prstGeom>
                    <a:noFill/>
                  </pic:spPr>
                </pic:pic>
              </a:graphicData>
            </a:graphic>
          </wp:anchor>
        </w:drawing>
      </w:r>
    </w:p>
    <w:p>
      <w:pPr>
        <w:spacing w:after="0" w:line="39" w:lineRule="exact"/>
        <w:rPr>
          <w:sz w:val="20"/>
          <w:szCs w:val="20"/>
          <w:color w:val="auto"/>
        </w:rPr>
      </w:pPr>
    </w:p>
    <w:p>
      <w:pPr>
        <w:ind w:left="1240" w:right="1120"/>
        <w:spacing w:after="0" w:line="330" w:lineRule="auto"/>
        <w:rPr>
          <w:sz w:val="20"/>
          <w:szCs w:val="20"/>
          <w:color w:val="auto"/>
        </w:rPr>
      </w:pPr>
      <w:r>
        <w:rPr>
          <w:rFonts w:ascii="Arial" w:cs="Arial" w:eastAsia="Arial" w:hAnsi="Arial"/>
          <w:sz w:val="16"/>
          <w:szCs w:val="16"/>
          <w:color w:val="auto"/>
        </w:rPr>
        <w:t>Increase in the fair value of put option of noncontrolling shareholder - Liberty Increase in the fair value of put option of noncontrolling shareholder - 5.11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-30480</wp:posOffset>
            </wp:positionV>
            <wp:extent cx="559752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97525" cy="17145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6"/>
          <w:szCs w:val="16"/>
          <w:color w:val="auto"/>
        </w:rPr>
        <w:t>Balance at June 30, 2020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Level 3</w:t>
      </w:r>
    </w:p>
    <w:p>
      <w:pPr>
        <w:spacing w:after="0" w:line="80" w:lineRule="exact"/>
        <w:rPr>
          <w:sz w:val="20"/>
          <w:szCs w:val="20"/>
          <w:color w:val="auto"/>
        </w:rPr>
      </w:pPr>
    </w:p>
    <w:p>
      <w:pPr>
        <w:ind w:left="960" w:hanging="953"/>
        <w:spacing w:after="0"/>
        <w:tabs>
          <w:tab w:leader="none" w:pos="9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(4,547)</w:t>
      </w:r>
    </w:p>
    <w:p>
      <w:pPr>
        <w:spacing w:after="0" w:line="70" w:lineRule="exact"/>
        <w:rPr>
          <w:rFonts w:ascii="Arial" w:cs="Arial" w:eastAsia="Arial" w:hAnsi="Arial"/>
          <w:sz w:val="15"/>
          <w:szCs w:val="15"/>
          <w:color w:val="auto"/>
        </w:rPr>
      </w:pPr>
    </w:p>
    <w:p>
      <w:pPr>
        <w:ind w:left="1240"/>
        <w:spacing w:after="0"/>
        <w:rPr>
          <w:rFonts w:ascii="Arial" w:cs="Arial" w:eastAsia="Arial" w:hAnsi="Arial"/>
          <w:sz w:val="15"/>
          <w:szCs w:val="15"/>
          <w:color w:val="auto"/>
        </w:rPr>
      </w:pPr>
      <w:r>
        <w:rPr>
          <w:rFonts w:ascii="Arial" w:cs="Arial" w:eastAsia="Arial" w:hAnsi="Arial"/>
          <w:sz w:val="16"/>
          <w:szCs w:val="16"/>
          <w:color w:val="auto"/>
        </w:rPr>
        <w:t>72</w:t>
      </w:r>
    </w:p>
    <w:p>
      <w:pPr>
        <w:spacing w:after="0" w:line="59"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(10)</w:t>
      </w:r>
    </w:p>
    <w:p>
      <w:pPr>
        <w:spacing w:after="0" w:line="59"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(2,022)</w:t>
      </w:r>
    </w:p>
    <w:p>
      <w:pPr>
        <w:spacing w:after="0" w:line="5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6,396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19050</wp:posOffset>
            </wp:positionV>
            <wp:extent cx="9601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53" w:lineRule="exact"/>
        <w:rPr>
          <w:sz w:val="20"/>
          <w:szCs w:val="20"/>
          <w:color w:val="auto"/>
        </w:rPr>
      </w:pPr>
    </w:p>
    <w:p>
      <w:pPr>
        <w:ind w:left="1080" w:hanging="1073"/>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(111)</w:t>
      </w:r>
    </w:p>
    <w:p>
      <w:pPr>
        <w:spacing w:after="0" w:line="59"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5"/>
          <w:szCs w:val="15"/>
          <w:color w:val="auto"/>
        </w:rPr>
        <w:t>(63)</w:t>
      </w:r>
    </w:p>
    <w:p>
      <w:pPr>
        <w:spacing w:after="0" w:line="70"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5"/>
          <w:szCs w:val="15"/>
          <w:color w:val="auto"/>
        </w:rPr>
        <w:t>(41)</w:t>
      </w:r>
    </w:p>
    <w:p>
      <w:pPr>
        <w:spacing w:after="0" w:line="84" w:lineRule="exact"/>
        <w:rPr>
          <w:sz w:val="20"/>
          <w:szCs w:val="20"/>
          <w:color w:val="auto"/>
        </w:rPr>
      </w:pPr>
    </w:p>
    <w:p>
      <w:pPr>
        <w:ind w:left="1080" w:hanging="1073"/>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36195</wp:posOffset>
            </wp:positionV>
            <wp:extent cx="9601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820" w:space="720"/>
            <w:col w:w="2700"/>
          </w:cols>
          <w:pgMar w:left="320" w:top="658" w:right="339" w:bottom="1440" w:gutter="0" w:footer="0" w:header="0"/>
          <w:type w:val="continuous"/>
        </w:sectPr>
      </w:pPr>
    </w:p>
    <w:p>
      <w:pPr>
        <w:spacing w:after="0" w:line="234" w:lineRule="exact"/>
        <w:rPr>
          <w:sz w:val="20"/>
          <w:szCs w:val="20"/>
          <w:color w:val="auto"/>
        </w:rPr>
      </w:pPr>
    </w:p>
    <w:p>
      <w:pPr>
        <w:jc w:val="both"/>
        <w:ind w:firstLine="8"/>
        <w:spacing w:after="0" w:line="254" w:lineRule="auto"/>
        <w:tabs>
          <w:tab w:leader="none" w:pos="182" w:val="left"/>
        </w:tabs>
        <w:numPr>
          <w:ilvl w:val="0"/>
          <w:numId w:val="22"/>
        </w:numPr>
        <w:rPr>
          <w:rFonts w:ascii="Arial" w:cs="Arial" w:eastAsia="Arial" w:hAnsi="Arial"/>
          <w:sz w:val="21"/>
          <w:szCs w:val="21"/>
          <w:b w:val="1"/>
          <w:bCs w:val="1"/>
          <w:color w:val="auto"/>
          <w:vertAlign w:val="superscript"/>
        </w:rPr>
      </w:pPr>
      <w:r>
        <w:rPr>
          <w:rFonts w:ascii="Arial" w:cs="Arial" w:eastAsia="Arial" w:hAnsi="Arial"/>
          <w:sz w:val="17"/>
          <w:szCs w:val="17"/>
          <w:color w:val="auto"/>
        </w:rPr>
        <w:t>The contingent consideration related to Velocity's acquisition of Ravin in September 2018. The purchase price of Ravin included a potential earn-out of up to $25.0 million contingent on the achievement of certain financial metrics for the trailing twelve month period ending December 31, 2018. The fair value of the contingent consideration was estimated at $4.7 million at acquisition date and was calculated using a risk-adjusted option pricing model. The earnout was adjusted to $6.4 million and paid out during the year ended December 31,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Techniques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not changed its valuation techniques in measuring the fair value of any of its other financial assets and liabilities during the period. For details of the Company’s fair value measurement policies under the fair value hierarchy, refer to the Company’s Annual Report on Form 10-K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135" w:lineRule="exact"/>
        <w:rPr>
          <w:sz w:val="20"/>
          <w:szCs w:val="20"/>
          <w:color w:val="auto"/>
        </w:rPr>
      </w:pPr>
    </w:p>
    <w:p>
      <w:pPr>
        <w:jc w:val="both"/>
        <w:spacing w:after="0" w:line="254" w:lineRule="auto"/>
        <w:rPr>
          <w:rFonts w:ascii="Arial" w:cs="Arial" w:eastAsia="Arial" w:hAnsi="Arial"/>
          <w:sz w:val="18"/>
          <w:szCs w:val="18"/>
          <w:color w:val="0000EE"/>
        </w:rPr>
      </w:pPr>
      <w:r>
        <w:rPr>
          <w:rFonts w:ascii="Arial" w:cs="Arial" w:eastAsia="Arial" w:hAnsi="Arial"/>
          <w:sz w:val="18"/>
          <w:szCs w:val="18"/>
          <w:color w:val="auto"/>
        </w:rPr>
        <w:t xml:space="preserve">There were no assets or liabilities measured on a non-recurring basis during the quarter ended June 30, 2020. The following table provides </w:t>
      </w:r>
      <w:hyperlink w:anchor="page22">
        <w:r>
          <w:rPr>
            <w:rFonts w:ascii="Arial" w:cs="Arial" w:eastAsia="Arial" w:hAnsi="Arial"/>
            <w:sz w:val="18"/>
            <w:szCs w:val="18"/>
            <w:color w:val="auto"/>
          </w:rPr>
          <w:t>the assets and liabilities carried at fair value measured on a non-recurring basis as of December 31, 2019. Refer to "</w:t>
        </w:r>
        <w:r>
          <w:rPr>
            <w:rFonts w:ascii="Arial" w:cs="Arial" w:eastAsia="Arial" w:hAnsi="Arial"/>
            <w:sz w:val="18"/>
            <w:szCs w:val="18"/>
            <w:u w:val="single" w:color="auto"/>
            <w:color w:val="0000EE"/>
          </w:rPr>
          <w:t>Note G – Goodwill and</w:t>
        </w:r>
      </w:hyperlink>
      <w:r>
        <w:rPr>
          <w:rFonts w:ascii="Arial" w:cs="Arial" w:eastAsia="Arial" w:hAnsi="Arial"/>
          <w:sz w:val="18"/>
          <w:szCs w:val="18"/>
          <w:color w:val="auto"/>
        </w:rPr>
        <w:t xml:space="preserve"> </w:t>
      </w:r>
      <w:hyperlink w:anchor="page22">
        <w:r>
          <w:rPr>
            <w:rFonts w:ascii="Arial" w:cs="Arial" w:eastAsia="Arial" w:hAnsi="Arial"/>
            <w:sz w:val="18"/>
            <w:szCs w:val="18"/>
            <w:u w:val="single" w:color="auto"/>
            <w:color w:val="0000EE"/>
          </w:rPr>
          <w:t>Other Intangible Assets</w:t>
        </w:r>
        <w:r>
          <w:rPr>
            <w:rFonts w:ascii="Arial" w:cs="Arial" w:eastAsia="Arial" w:hAnsi="Arial"/>
            <w:sz w:val="18"/>
            <w:szCs w:val="18"/>
            <w:color w:val="000000"/>
          </w:rPr>
          <w:t>", for a description of the valuation techniques used to determine fair value of the assets measured on a non-recurring</w:t>
        </w:r>
      </w:hyperlink>
      <w:r>
        <w:rPr>
          <w:rFonts w:ascii="Arial" w:cs="Arial" w:eastAsia="Arial" w:hAnsi="Arial"/>
          <w:sz w:val="18"/>
          <w:szCs w:val="18"/>
          <w:color w:val="0000EE"/>
        </w:rPr>
        <w:t xml:space="preserve"> </w:t>
      </w:r>
      <w:r>
        <w:rPr>
          <w:rFonts w:ascii="Arial" w:cs="Arial" w:eastAsia="Arial" w:hAnsi="Arial"/>
          <w:sz w:val="18"/>
          <w:szCs w:val="18"/>
          <w:color w:val="000000"/>
        </w:rPr>
        <w:t>basis in the table below.</w:t>
      </w:r>
    </w:p>
    <w:p>
      <w:pPr>
        <w:spacing w:after="0" w:line="237"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3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rPr>
              <w:t>Expense</w:t>
            </w:r>
          </w:p>
        </w:tc>
      </w:tr>
      <w:tr>
        <w:trPr>
          <w:trHeight w:val="250"/>
        </w:trPr>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20" w:type="dxa"/>
            <w:vAlign w:val="bottom"/>
            <w:gridSpan w:val="9"/>
          </w:tcPr>
          <w:p>
            <w:pPr>
              <w:ind w:left="460"/>
              <w:spacing w:after="0"/>
              <w:rPr>
                <w:sz w:val="20"/>
                <w:szCs w:val="20"/>
                <w:color w:val="auto"/>
              </w:rPr>
            </w:pPr>
            <w:r>
              <w:rPr>
                <w:rFonts w:ascii="Arial" w:cs="Arial" w:eastAsia="Arial" w:hAnsi="Arial"/>
                <w:sz w:val="15"/>
                <w:szCs w:val="15"/>
                <w:b w:val="1"/>
                <w:bCs w:val="1"/>
                <w:color w:val="auto"/>
              </w:rPr>
              <w:t>Fair Value Measurements at December 31, 2019</w:t>
            </w:r>
          </w:p>
        </w:tc>
        <w:tc>
          <w:tcPr>
            <w:tcW w:w="200" w:type="dxa"/>
            <w:vAlign w:val="bottom"/>
          </w:tcPr>
          <w:p>
            <w:pPr>
              <w:spacing w:after="0"/>
              <w:rPr>
                <w:sz w:val="21"/>
                <w:szCs w:val="21"/>
                <w:color w:val="auto"/>
              </w:rPr>
            </w:pPr>
          </w:p>
        </w:tc>
        <w:tc>
          <w:tcPr>
            <w:tcW w:w="1760" w:type="dxa"/>
            <w:vAlign w:val="bottom"/>
          </w:tcPr>
          <w:p>
            <w:pPr>
              <w:jc w:val="center"/>
              <w:ind w:right="104"/>
              <w:spacing w:after="0"/>
              <w:rPr>
                <w:sz w:val="20"/>
                <w:szCs w:val="20"/>
                <w:color w:val="auto"/>
              </w:rPr>
            </w:pPr>
            <w:r>
              <w:rPr>
                <w:rFonts w:ascii="Arial" w:cs="Arial" w:eastAsia="Arial" w:hAnsi="Arial"/>
                <w:sz w:val="15"/>
                <w:szCs w:val="15"/>
                <w:b w:val="1"/>
                <w:bCs w:val="1"/>
                <w:color w:val="auto"/>
              </w:rPr>
              <w:t>Year ended</w:t>
            </w:r>
          </w:p>
        </w:tc>
      </w:tr>
      <w:tr>
        <w:trPr>
          <w:trHeight w:val="165"/>
        </w:trPr>
        <w:tc>
          <w:tcPr>
            <w:tcW w:w="30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right="280"/>
              <w:spacing w:after="0" w:line="165" w:lineRule="exact"/>
              <w:rPr>
                <w:sz w:val="20"/>
                <w:szCs w:val="20"/>
                <w:color w:val="auto"/>
              </w:rPr>
            </w:pPr>
            <w:r>
              <w:rPr>
                <w:rFonts w:ascii="Arial" w:cs="Arial" w:eastAsia="Arial" w:hAnsi="Arial"/>
                <w:sz w:val="15"/>
                <w:szCs w:val="15"/>
                <w:b w:val="1"/>
                <w:bCs w:val="1"/>
                <w:color w:val="auto"/>
              </w:rPr>
              <w:t>Carrying</w:t>
            </w: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r>
      <w:tr>
        <w:trPr>
          <w:trHeight w:val="206"/>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5"/>
                <w:szCs w:val="15"/>
                <w:i w:val="1"/>
                <w:iCs w:val="1"/>
                <w:color w:val="auto"/>
              </w:rPr>
              <w:t>(in thousands)</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9"/>
              </w:rPr>
              <w:t>Value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Level 2</w:t>
            </w:r>
          </w:p>
        </w:tc>
        <w:tc>
          <w:tcPr>
            <w:tcW w:w="9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rPr>
              <w:t>December 31, 2019</w:t>
            </w:r>
          </w:p>
        </w:tc>
      </w:tr>
      <w:tr>
        <w:trPr>
          <w:trHeight w:val="268"/>
        </w:trPr>
        <w:tc>
          <w:tcPr>
            <w:tcW w:w="3040" w:type="dxa"/>
            <w:vAlign w:val="bottom"/>
            <w:shd w:val="clear" w:color="auto" w:fill="CCEEFF"/>
          </w:tcPr>
          <w:p>
            <w:pPr>
              <w:ind w:left="40"/>
              <w:spacing w:after="0"/>
              <w:rPr>
                <w:sz w:val="20"/>
                <w:szCs w:val="20"/>
                <w:color w:val="auto"/>
              </w:rPr>
            </w:pPr>
            <w:r>
              <w:rPr>
                <w:rFonts w:ascii="Arial" w:cs="Arial" w:eastAsia="Arial" w:hAnsi="Arial"/>
                <w:sz w:val="15"/>
                <w:szCs w:val="15"/>
                <w:color w:val="auto"/>
              </w:rPr>
              <w:t>Goodwill - Velocity Outdoor</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30,079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0" w:type="dxa"/>
            <w:vAlign w:val="bottom"/>
            <w:gridSpan w:val="3"/>
            <w:shd w:val="clear" w:color="auto" w:fill="CCEEFF"/>
          </w:tcPr>
          <w:p>
            <w:pPr>
              <w:ind w:left="640"/>
              <w:spacing w:after="0"/>
              <w:rPr>
                <w:sz w:val="20"/>
                <w:szCs w:val="20"/>
                <w:color w:val="auto"/>
              </w:rPr>
            </w:pPr>
            <w:r>
              <w:rPr>
                <w:rFonts w:ascii="Arial" w:cs="Arial" w:eastAsia="Arial" w:hAnsi="Arial"/>
                <w:sz w:val="15"/>
                <w:szCs w:val="15"/>
                <w:color w:val="auto"/>
              </w:rPr>
              <w:t>—   $</w:t>
            </w:r>
          </w:p>
        </w:tc>
        <w:tc>
          <w:tcPr>
            <w:tcW w:w="12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   $</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30,079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32,881</w:t>
            </w: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Income taxes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fiscal quarter, the Company estimates its annual effective tax rate and applies that rate to its interim pre-tax earnings. In this regard, the Company reflects the full year’s estimated tax impact of certain unusual or infrequently occurring items and the effects of changes in tax laws or rates in the interim period in which they occur.</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computation of the annual estimated effective tax rate in each interim period requires certain estimates and significant judgment, including the projected operating income for the year, projections of the proportion of income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658" w:right="339" w:bottom="1440" w:gutter="0" w:footer="0" w:header="0"/>
          <w:type w:val="continuous"/>
        </w:sectPr>
      </w:pPr>
    </w:p>
    <w:bookmarkStart w:id="32" w:name="page33"/>
    <w:bookmarkEnd w:id="32"/>
    <w:p>
      <w:pPr>
        <w:jc w:val="both"/>
        <w:spacing w:after="0" w:line="254" w:lineRule="auto"/>
        <w:rPr>
          <w:sz w:val="20"/>
          <w:szCs w:val="20"/>
          <w:color w:val="auto"/>
        </w:rPr>
      </w:pPr>
      <w:r>
        <w:rPr>
          <w:rFonts w:ascii="Arial" w:cs="Arial" w:eastAsia="Arial" w:hAnsi="Arial"/>
          <w:sz w:val="18"/>
          <w:szCs w:val="18"/>
          <w:color w:val="auto"/>
        </w:rPr>
        <w:t>earned and taxed in other jurisdictions, permanent and temporary differences and the likelihood of recovering deferred tax assets generated in the current year. The accounting estimates used to compute the provision for income taxes may change as new events occur, as additional information is obtained or as the tax environment changes. Certain foreign operations are subject to foreign income taxation under existing provisions of the laws of those jurisdictions.</w:t>
      </w:r>
    </w:p>
    <w:p>
      <w:pPr>
        <w:spacing w:after="0" w:line="9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reconciliation between the Federal Statutory Rate and the effective income tax rate for the six months ended June 30, 2020 and 2019 is as follows:</w:t>
      </w:r>
    </w:p>
    <w:p>
      <w:pPr>
        <w:spacing w:after="0" w:line="231" w:lineRule="exact"/>
        <w:rPr>
          <w:sz w:val="20"/>
          <w:szCs w:val="20"/>
          <w:color w:val="auto"/>
        </w:rPr>
      </w:pPr>
    </w:p>
    <w:p>
      <w:pPr>
        <w:ind w:left="7840"/>
        <w:spacing w:after="0"/>
        <w:rPr>
          <w:sz w:val="20"/>
          <w:szCs w:val="20"/>
          <w:color w:val="auto"/>
        </w:rPr>
      </w:pPr>
      <w:r>
        <w:rPr>
          <w:rFonts w:ascii="Arial" w:cs="Arial" w:eastAsia="Arial" w:hAnsi="Arial"/>
          <w:sz w:val="15"/>
          <w:szCs w:val="15"/>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24130</wp:posOffset>
            </wp:positionV>
            <wp:extent cx="23831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p>
      <w:pPr>
        <w:spacing w:after="0" w:line="3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United States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-134620</wp:posOffset>
            </wp:positionV>
            <wp:extent cx="642937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29375" cy="171450"/>
                    </a:xfrm>
                    <a:prstGeom prst="rect">
                      <a:avLst/>
                    </a:prstGeom>
                    <a:noFill/>
                  </pic:spPr>
                </pic:pic>
              </a:graphicData>
            </a:graphic>
          </wp:anchor>
        </w:drawing>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State income taxes (net of Federal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36195</wp:posOffset>
            </wp:positionV>
            <wp:extent cx="642937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29375" cy="171450"/>
                    </a:xfrm>
                    <a:prstGeom prst="rect">
                      <a:avLst/>
                    </a:prstGeom>
                    <a:noFill/>
                  </pic:spPr>
                </pic:pic>
              </a:graphicData>
            </a:graphic>
          </wp:anchor>
        </w:drawing>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Foreign income taxes</w:t>
      </w:r>
    </w:p>
    <w:p>
      <w:pPr>
        <w:spacing w:after="0" w:line="86" w:lineRule="exact"/>
        <w:rPr>
          <w:sz w:val="20"/>
          <w:szCs w:val="20"/>
          <w:color w:val="auto"/>
        </w:rPr>
      </w:pPr>
    </w:p>
    <w:p>
      <w:pPr>
        <w:ind w:left="580" w:right="200"/>
        <w:spacing w:after="0" w:line="243" w:lineRule="auto"/>
        <w:rPr>
          <w:sz w:val="20"/>
          <w:szCs w:val="20"/>
          <w:color w:val="auto"/>
        </w:rPr>
      </w:pPr>
      <w:r>
        <w:rPr>
          <w:rFonts w:ascii="Arial" w:cs="Arial" w:eastAsia="Arial" w:hAnsi="Arial"/>
          <w:sz w:val="16"/>
          <w:szCs w:val="16"/>
          <w:color w:val="auto"/>
        </w:rPr>
        <w:t xml:space="preserve">Expenses of Compass Group Diversified Holdings LLC representing a pass through to shareholders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642937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29375" cy="1714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6"/>
          <w:szCs w:val="16"/>
          <w:color w:val="auto"/>
        </w:rPr>
        <w:t>Impact of subsidiary employee stock options</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Credit utilization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36195</wp:posOffset>
            </wp:positionV>
            <wp:extent cx="642937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29375" cy="171450"/>
                    </a:xfrm>
                    <a:prstGeom prst="rect">
                      <a:avLst/>
                    </a:prstGeom>
                    <a:noFill/>
                  </pic:spPr>
                </pic:pic>
              </a:graphicData>
            </a:graphic>
          </wp:anchor>
        </w:drawing>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Non-recognition of NOL carryforwards at subsidiaries</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Effect of Tax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36195</wp:posOffset>
            </wp:positionV>
            <wp:extent cx="642937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29375" cy="171450"/>
                    </a:xfrm>
                    <a:prstGeom prst="rect">
                      <a:avLst/>
                    </a:prstGeom>
                    <a:noFill/>
                  </pic:spPr>
                </pic:pic>
              </a:graphicData>
            </a:graphic>
          </wp:anchor>
        </w:drawing>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Effective income tax rate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2020</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21.0 %</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80.0</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(7.6)</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16.9</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141.5</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(55.8)</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(54.9)</w:t>
      </w:r>
    </w:p>
    <w:p>
      <w:pPr>
        <w:spacing w:after="0" w:line="86" w:lineRule="exact"/>
        <w:rPr>
          <w:sz w:val="20"/>
          <w:szCs w:val="20"/>
          <w:color w:val="auto"/>
        </w:rPr>
      </w:pPr>
    </w:p>
    <w:p>
      <w:pPr>
        <w:jc w:val="right"/>
        <w:ind w:right="36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jc w:val="right"/>
        <w:ind w:right="36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19050</wp:posOffset>
            </wp:positionV>
            <wp:extent cx="11576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53"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156.7 %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19050</wp:posOffset>
            </wp:positionV>
            <wp:extent cx="11576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36195</wp:posOffset>
            </wp:positionV>
            <wp:extent cx="11576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2019</w:t>
      </w:r>
    </w:p>
    <w:p>
      <w:pPr>
        <w:spacing w:after="0" w:line="94" w:lineRule="exact"/>
        <w:rPr>
          <w:sz w:val="20"/>
          <w:szCs w:val="20"/>
          <w:color w:val="auto"/>
        </w:rPr>
      </w:pPr>
    </w:p>
    <w:p>
      <w:pPr>
        <w:jc w:val="right"/>
        <w:ind w:right="580"/>
        <w:spacing w:after="0"/>
        <w:rPr>
          <w:sz w:val="20"/>
          <w:szCs w:val="20"/>
          <w:color w:val="auto"/>
        </w:rPr>
      </w:pPr>
      <w:r>
        <w:rPr>
          <w:rFonts w:ascii="Arial" w:cs="Arial" w:eastAsia="Arial" w:hAnsi="Arial"/>
          <w:sz w:val="16"/>
          <w:szCs w:val="16"/>
          <w:color w:val="auto"/>
        </w:rPr>
        <w:t>(21.0)%</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8.5</w:t>
      </w:r>
    </w:p>
    <w:p>
      <w:pPr>
        <w:spacing w:after="0" w:line="86" w:lineRule="exact"/>
        <w:rPr>
          <w:sz w:val="20"/>
          <w:szCs w:val="20"/>
          <w:color w:val="auto"/>
        </w:rPr>
      </w:pPr>
    </w:p>
    <w:p>
      <w:pPr>
        <w:jc w:val="right"/>
        <w:ind w:right="780"/>
        <w:spacing w:after="0"/>
        <w:rPr>
          <w:sz w:val="20"/>
          <w:szCs w:val="20"/>
          <w:color w:val="auto"/>
        </w:rPr>
      </w:pPr>
      <w:r>
        <w:rPr>
          <w:rFonts w:ascii="Arial" w:cs="Arial" w:eastAsia="Arial" w:hAnsi="Arial"/>
          <w:sz w:val="16"/>
          <w:szCs w:val="16"/>
          <w:color w:val="auto"/>
        </w:rPr>
        <w:t>3.0</w:t>
      </w:r>
    </w:p>
    <w:p>
      <w:pPr>
        <w:spacing w:after="0" w:line="248" w:lineRule="exact"/>
        <w:rPr>
          <w:sz w:val="20"/>
          <w:szCs w:val="20"/>
          <w:color w:val="auto"/>
        </w:rPr>
      </w:pPr>
    </w:p>
    <w:p>
      <w:pPr>
        <w:jc w:val="right"/>
        <w:ind w:right="780"/>
        <w:spacing w:after="0"/>
        <w:rPr>
          <w:sz w:val="20"/>
          <w:szCs w:val="20"/>
          <w:color w:val="auto"/>
        </w:rPr>
      </w:pPr>
      <w:r>
        <w:rPr>
          <w:rFonts w:ascii="Arial" w:cs="Arial" w:eastAsia="Arial" w:hAnsi="Arial"/>
          <w:sz w:val="16"/>
          <w:szCs w:val="16"/>
          <w:color w:val="auto"/>
        </w:rPr>
        <w:t>47.9</w:t>
      </w:r>
    </w:p>
    <w:p>
      <w:pPr>
        <w:spacing w:after="0" w:line="86" w:lineRule="exact"/>
        <w:rPr>
          <w:sz w:val="20"/>
          <w:szCs w:val="20"/>
          <w:color w:val="auto"/>
        </w:rPr>
      </w:pPr>
    </w:p>
    <w:p>
      <w:pPr>
        <w:jc w:val="right"/>
        <w:ind w:right="780"/>
        <w:spacing w:after="0"/>
        <w:rPr>
          <w:sz w:val="20"/>
          <w:szCs w:val="20"/>
          <w:color w:val="auto"/>
        </w:rPr>
      </w:pPr>
      <w:r>
        <w:rPr>
          <w:rFonts w:ascii="Arial" w:cs="Arial" w:eastAsia="Arial" w:hAnsi="Arial"/>
          <w:sz w:val="16"/>
          <w:szCs w:val="16"/>
          <w:color w:val="auto"/>
        </w:rPr>
        <w:t>5.2</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(4.8)</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9.5</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7.0</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19050</wp:posOffset>
            </wp:positionV>
            <wp:extent cx="11576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55.5 %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19050</wp:posOffset>
            </wp:positionV>
            <wp:extent cx="11576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36195</wp:posOffset>
            </wp:positionV>
            <wp:extent cx="11576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960" w:space="720"/>
            <w:col w:w="1200" w:space="720"/>
            <w:col w:w="1640"/>
          </w:cols>
          <w:pgMar w:left="320" w:top="463" w:right="339" w:bottom="1440" w:gutter="0" w:footer="0" w:header="0"/>
          <w:type w:val="continuous"/>
        </w:sectPr>
      </w:pPr>
    </w:p>
    <w:p>
      <w:pPr>
        <w:spacing w:after="0" w:line="116" w:lineRule="exact"/>
        <w:rPr>
          <w:sz w:val="20"/>
          <w:szCs w:val="20"/>
          <w:color w:val="auto"/>
        </w:rPr>
      </w:pPr>
    </w:p>
    <w:p>
      <w:pPr>
        <w:ind w:left="340" w:right="20" w:hanging="332"/>
        <w:spacing w:after="0"/>
        <w:tabs>
          <w:tab w:leader="none" w:pos="340" w:val="left"/>
        </w:tabs>
        <w:numPr>
          <w:ilvl w:val="0"/>
          <w:numId w:val="23"/>
        </w:numPr>
        <w:rPr>
          <w:rFonts w:ascii="Arial" w:cs="Arial" w:eastAsia="Arial" w:hAnsi="Arial"/>
          <w:sz w:val="22"/>
          <w:szCs w:val="22"/>
          <w:b w:val="1"/>
          <w:bCs w:val="1"/>
          <w:color w:val="auto"/>
          <w:vertAlign w:val="superscript"/>
        </w:rPr>
      </w:pPr>
      <w:r>
        <w:rPr>
          <w:rFonts w:ascii="Arial" w:cs="Arial" w:eastAsia="Arial" w:hAnsi="Arial"/>
          <w:sz w:val="16"/>
          <w:szCs w:val="16"/>
          <w:color w:val="auto"/>
        </w:rPr>
        <w:t>The effective income tax rate for the six months ended June 30, 2020 and 2019 includes a loss at the Company's parent, which is taxed as a partnership.</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Defined Benefit Plan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unfunded liability of $4.5 million is recognized in the consolidated balance sheet as a component of other non-current liabilities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June 30, 2020. Net periodic benefit cost consists of the following for the three and six months ended June 30, 2020 and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20" w:type="dxa"/>
            <w:vAlign w:val="bottom"/>
          </w:tcPr>
          <w:p>
            <w:pPr>
              <w:spacing w:after="0"/>
              <w:rPr>
                <w:sz w:val="17"/>
                <w:szCs w:val="17"/>
                <w:color w:val="auto"/>
              </w:rPr>
            </w:pPr>
          </w:p>
        </w:tc>
        <w:tc>
          <w:tcPr>
            <w:tcW w:w="2920" w:type="dxa"/>
            <w:vAlign w:val="bottom"/>
            <w:gridSpan w:val="6"/>
          </w:tcPr>
          <w:p>
            <w:pPr>
              <w:ind w:left="340"/>
              <w:spacing w:after="0"/>
              <w:rPr>
                <w:sz w:val="20"/>
                <w:szCs w:val="20"/>
                <w:color w:val="auto"/>
              </w:rPr>
            </w:pPr>
            <w:r>
              <w:rPr>
                <w:rFonts w:ascii="Arial" w:cs="Arial" w:eastAsia="Arial" w:hAnsi="Arial"/>
                <w:sz w:val="15"/>
                <w:szCs w:val="15"/>
                <w:b w:val="1"/>
                <w:bCs w:val="1"/>
                <w:color w:val="auto"/>
              </w:rPr>
              <w:t>Three months ended June 30,</w:t>
            </w:r>
          </w:p>
        </w:tc>
        <w:tc>
          <w:tcPr>
            <w:tcW w:w="260" w:type="dxa"/>
            <w:vAlign w:val="bottom"/>
          </w:tcPr>
          <w:p>
            <w:pPr>
              <w:spacing w:after="0"/>
              <w:rPr>
                <w:sz w:val="17"/>
                <w:szCs w:val="17"/>
                <w:color w:val="auto"/>
              </w:rPr>
            </w:pPr>
          </w:p>
        </w:tc>
        <w:tc>
          <w:tcPr>
            <w:tcW w:w="2540" w:type="dxa"/>
            <w:vAlign w:val="bottom"/>
            <w:gridSpan w:val="4"/>
          </w:tcPr>
          <w:p>
            <w:pPr>
              <w:jc w:val="right"/>
              <w:ind w:right="320"/>
              <w:spacing w:after="0"/>
              <w:rPr>
                <w:sz w:val="20"/>
                <w:szCs w:val="20"/>
                <w:color w:val="auto"/>
              </w:rPr>
            </w:pPr>
            <w:r>
              <w:rPr>
                <w:rFonts w:ascii="Arial" w:cs="Arial" w:eastAsia="Arial" w:hAnsi="Arial"/>
                <w:sz w:val="15"/>
                <w:szCs w:val="15"/>
                <w:b w:val="1"/>
                <w:bCs w:val="1"/>
                <w:color w:val="auto"/>
              </w:rPr>
              <w:t>Six months ended June 30,</w:t>
            </w:r>
          </w:p>
        </w:tc>
      </w:tr>
      <w:tr>
        <w:trPr>
          <w:trHeight w:val="263"/>
        </w:trPr>
        <w:tc>
          <w:tcPr>
            <w:tcW w:w="552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2019</w:t>
            </w:r>
          </w:p>
        </w:tc>
      </w:tr>
      <w:tr>
        <w:trPr>
          <w:trHeight w:val="254"/>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256</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90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66</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9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6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unrecognized loss</w:t>
            </w: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w:t>
            </w:r>
          </w:p>
        </w:tc>
      </w:tr>
      <w:tr>
        <w:trPr>
          <w:trHeight w:val="26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benefit cost</w:t>
            </w:r>
          </w:p>
        </w:tc>
        <w:tc>
          <w:tcPr>
            <w:tcW w:w="90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311</w:t>
            </w:r>
          </w:p>
        </w:tc>
      </w:tr>
      <w:tr>
        <w:trPr>
          <w:trHeight w:val="20"/>
        </w:trPr>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per the terms of the pension agreement, Arnold contributed $0.2 million to the plan. For the remainder of 2020, the expected contribution to the plan will be approximately $0.2 million.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plan assets are pooled with assets of other participating employers and are not separable; therefore, the fair values of the pension plan assets at June 30, 2020 were considered Level 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Commitments and Contingencies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and its subsidiaries are involved in various claims and legal proceedings. While the ultimate resolution of these matters has yet to be determined, the Company does not believe that any unfavorable outcomes will have a material adverse effect on the Company's consolidated financial position or results of operations.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463"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Leases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and its subsidiaries lease manufacturing facilities, warehouses, office facilities, retail stores, equipment and vehicles under various operating arrangements. Certain of the leases are subject to escalation clauses and renewal periods. The Company and its subsidiaries recognize lease expense, including predetermined fixed escalations, on a straight-line basis 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 certain operating metrics. The variable lease expense has not been material on a historic basis and no amount was incurred during the quarter ending June 30, 2020. In the three and six months ended June 30, 2020, the Company recognized $7.6 million and $14.9 million, respectively, in expense related to operating leases in the condensed consolidated statements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lease liabilities at June 30,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79" w:lineRule="exact"/>
        <w:rPr>
          <w:sz w:val="20"/>
          <w:szCs w:val="20"/>
          <w:color w:val="auto"/>
        </w:rPr>
      </w:pPr>
    </w:p>
    <w:tbl>
      <w:tblPr>
        <w:tblLayout w:type="fixed"/>
        <w:tblInd w:w="1840" w:type="dxa"/>
        <w:tblCellMar>
          <w:top w:w="0" w:type="dxa"/>
          <w:left w:w="0" w:type="dxa"/>
          <w:bottom w:w="0" w:type="dxa"/>
          <w:right w:w="0" w:type="dxa"/>
        </w:tblCellMar>
      </w:tblPr>
      <w:tr>
        <w:trPr>
          <w:trHeight w:val="270"/>
        </w:trPr>
        <w:tc>
          <w:tcPr>
            <w:tcW w:w="5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 (excluding six months ended June 30, 2020)</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12,318</w:t>
            </w:r>
          </w:p>
        </w:tc>
      </w:tr>
      <w:tr>
        <w:trPr>
          <w:trHeight w:val="260"/>
        </w:trPr>
        <w:tc>
          <w:tcPr>
            <w:tcW w:w="5340" w:type="dxa"/>
            <w:vAlign w:val="bottom"/>
          </w:tcPr>
          <w:p>
            <w:pPr>
              <w:ind w:left="40"/>
              <w:spacing w:after="0"/>
              <w:rPr>
                <w:sz w:val="20"/>
                <w:szCs w:val="20"/>
                <w:color w:val="auto"/>
              </w:rPr>
            </w:pPr>
            <w:r>
              <w:rPr>
                <w:rFonts w:ascii="Arial" w:cs="Arial" w:eastAsia="Arial" w:hAnsi="Arial"/>
                <w:sz w:val="16"/>
                <w:szCs w:val="16"/>
                <w:color w:val="auto"/>
              </w:rPr>
              <w:t>2021</w:t>
            </w:r>
          </w:p>
        </w:tc>
        <w:tc>
          <w:tcPr>
            <w:tcW w:w="8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26,249</w:t>
            </w:r>
          </w:p>
        </w:tc>
      </w:tr>
      <w:tr>
        <w:trPr>
          <w:trHeight w:val="280"/>
        </w:trPr>
        <w:tc>
          <w:tcPr>
            <w:tcW w:w="5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8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24,057</w:t>
            </w:r>
          </w:p>
        </w:tc>
      </w:tr>
      <w:tr>
        <w:trPr>
          <w:trHeight w:val="260"/>
        </w:trPr>
        <w:tc>
          <w:tcPr>
            <w:tcW w:w="5340" w:type="dxa"/>
            <w:vAlign w:val="bottom"/>
          </w:tcPr>
          <w:p>
            <w:pPr>
              <w:ind w:left="40"/>
              <w:spacing w:after="0"/>
              <w:rPr>
                <w:sz w:val="20"/>
                <w:szCs w:val="20"/>
                <w:color w:val="auto"/>
              </w:rPr>
            </w:pPr>
            <w:r>
              <w:rPr>
                <w:rFonts w:ascii="Arial" w:cs="Arial" w:eastAsia="Arial" w:hAnsi="Arial"/>
                <w:sz w:val="16"/>
                <w:szCs w:val="16"/>
                <w:color w:val="auto"/>
              </w:rPr>
              <w:t>2023</w:t>
            </w:r>
          </w:p>
        </w:tc>
        <w:tc>
          <w:tcPr>
            <w:tcW w:w="8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17,247</w:t>
            </w:r>
          </w:p>
        </w:tc>
      </w:tr>
      <w:tr>
        <w:trPr>
          <w:trHeight w:val="280"/>
        </w:trPr>
        <w:tc>
          <w:tcPr>
            <w:tcW w:w="5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8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13,382</w:t>
            </w:r>
          </w:p>
        </w:tc>
      </w:tr>
      <w:tr>
        <w:trPr>
          <w:trHeight w:val="263"/>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42,455</w:t>
            </w:r>
          </w:p>
        </w:tc>
      </w:tr>
      <w:tr>
        <w:trPr>
          <w:trHeight w:val="257"/>
        </w:trPr>
        <w:tc>
          <w:tcPr>
            <w:tcW w:w="5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undiscounted lease payments</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135,708</w:t>
            </w:r>
          </w:p>
        </w:tc>
      </w:tr>
      <w:tr>
        <w:trPr>
          <w:trHeight w:val="263"/>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Interest</w:t>
            </w: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37,124</w:t>
            </w:r>
          </w:p>
        </w:tc>
      </w:tr>
      <w:tr>
        <w:trPr>
          <w:trHeight w:val="24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Present value of lease liabilities</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98,584</w:t>
            </w:r>
          </w:p>
        </w:tc>
      </w:tr>
      <w:tr>
        <w:trPr>
          <w:trHeight w:val="20"/>
        </w:trPr>
        <w:tc>
          <w:tcPr>
            <w:tcW w:w="5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calculated amount of the right-of-use assets and lease liabilities in the table above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 in the lease term. Regarding the discount rate, Topic 842 requires the use of a rate implicit in the lease whenever this rate is readily determinable. As this rate is rarely determinable, the Company utilizes the incremental borrowing rate of the subsidiary entering into the lease arrangement, on a collateralized basis, over a similar term as adjusted for any country specific risk.</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terms and discount rates for all of our operating leases were as follows as of June 30, 2020:</w:t>
      </w:r>
    </w:p>
    <w:p>
      <w:pPr>
        <w:spacing w:after="0" w:line="310" w:lineRule="exact"/>
        <w:rPr>
          <w:sz w:val="20"/>
          <w:szCs w:val="20"/>
          <w:color w:val="auto"/>
        </w:rPr>
      </w:pPr>
    </w:p>
    <w:tbl>
      <w:tblPr>
        <w:tblLayout w:type="fixed"/>
        <w:tblInd w:w="220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Arial" w:cs="Arial" w:eastAsia="Arial" w:hAnsi="Arial"/>
                <w:sz w:val="15"/>
                <w:szCs w:val="15"/>
                <w:b w:val="1"/>
                <w:bCs w:val="1"/>
                <w:color w:val="auto"/>
              </w:rPr>
              <w:t>Lease Term and Discount Rate</w:t>
            </w:r>
          </w:p>
        </w:tc>
        <w:tc>
          <w:tcPr>
            <w:tcW w:w="19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remaining lease term (years)</w:t>
            </w:r>
          </w:p>
        </w:tc>
        <w:tc>
          <w:tcPr>
            <w:tcW w:w="196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6.18</w:t>
            </w:r>
          </w:p>
        </w:tc>
      </w:tr>
      <w:tr>
        <w:trPr>
          <w:trHeight w:val="250"/>
        </w:trPr>
        <w:tc>
          <w:tcPr>
            <w:tcW w:w="20" w:type="dxa"/>
            <w:vAlign w:val="bottom"/>
          </w:tcPr>
          <w:p>
            <w:pPr>
              <w:spacing w:after="0"/>
              <w:rPr>
                <w:sz w:val="21"/>
                <w:szCs w:val="21"/>
                <w:color w:val="auto"/>
              </w:rPr>
            </w:pPr>
          </w:p>
        </w:tc>
        <w:tc>
          <w:tcPr>
            <w:tcW w:w="4880" w:type="dxa"/>
            <w:vAlign w:val="bottom"/>
            <w:gridSpan w:val="2"/>
          </w:tcPr>
          <w:p>
            <w:pPr>
              <w:spacing w:after="0"/>
              <w:rPr>
                <w:sz w:val="20"/>
                <w:szCs w:val="20"/>
                <w:color w:val="auto"/>
              </w:rPr>
            </w:pPr>
            <w:r>
              <w:rPr>
                <w:rFonts w:ascii="Arial" w:cs="Arial" w:eastAsia="Arial" w:hAnsi="Arial"/>
                <w:sz w:val="16"/>
                <w:szCs w:val="16"/>
                <w:color w:val="auto"/>
              </w:rPr>
              <w:t>Weighted-average discount rate</w:t>
            </w:r>
          </w:p>
        </w:tc>
        <w:tc>
          <w:tcPr>
            <w:tcW w:w="1960" w:type="dxa"/>
            <w:vAlign w:val="bottom"/>
          </w:tcPr>
          <w:p>
            <w:pPr>
              <w:ind w:left="1460"/>
              <w:spacing w:after="0"/>
              <w:rPr>
                <w:sz w:val="20"/>
                <w:szCs w:val="20"/>
                <w:color w:val="auto"/>
              </w:rPr>
            </w:pPr>
            <w:r>
              <w:rPr>
                <w:rFonts w:ascii="Arial" w:cs="Arial" w:eastAsia="Arial" w:hAnsi="Arial"/>
                <w:sz w:val="16"/>
                <w:szCs w:val="16"/>
                <w:color w:val="auto"/>
              </w:rPr>
              <w:t>7.68%</w:t>
            </w:r>
          </w:p>
        </w:tc>
      </w:tr>
    </w:tbl>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20"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3980" w:type="dxa"/>
            <w:vAlign w:val="bottom"/>
          </w:tcPr>
          <w:p>
            <w:pPr>
              <w:spacing w:after="0"/>
              <w:rPr>
                <w:sz w:val="15"/>
                <w:szCs w:val="15"/>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Line Item in the Company’s Consolidated</w:t>
            </w:r>
          </w:p>
        </w:tc>
        <w:tc>
          <w:tcPr>
            <w:tcW w:w="32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6"/>
        </w:trPr>
        <w:tc>
          <w:tcPr>
            <w:tcW w:w="3980" w:type="dxa"/>
            <w:vAlign w:val="bottom"/>
          </w:tcPr>
          <w:p>
            <w:pPr>
              <w:spacing w:after="0"/>
              <w:rPr>
                <w:sz w:val="17"/>
                <w:szCs w:val="17"/>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Balance Sheet</w:t>
            </w:r>
          </w:p>
        </w:tc>
        <w:tc>
          <w:tcPr>
            <w:tcW w:w="320" w:type="dxa"/>
            <w:vAlign w:val="bottom"/>
          </w:tcPr>
          <w:p>
            <w:pPr>
              <w:spacing w:after="0"/>
              <w:rPr>
                <w:sz w:val="17"/>
                <w:szCs w:val="17"/>
                <w:color w:val="auto"/>
              </w:rPr>
            </w:pPr>
          </w:p>
        </w:tc>
        <w:tc>
          <w:tcPr>
            <w:tcW w:w="1740" w:type="dxa"/>
            <w:vAlign w:val="bottom"/>
          </w:tcPr>
          <w:p>
            <w:pPr>
              <w:jc w:val="right"/>
              <w:ind w:right="460"/>
              <w:spacing w:after="0"/>
              <w:rPr>
                <w:sz w:val="20"/>
                <w:szCs w:val="20"/>
                <w:color w:val="auto"/>
              </w:rPr>
            </w:pPr>
            <w:r>
              <w:rPr>
                <w:rFonts w:ascii="Arial" w:cs="Arial" w:eastAsia="Arial" w:hAnsi="Arial"/>
                <w:sz w:val="15"/>
                <w:szCs w:val="15"/>
                <w:b w:val="1"/>
                <w:bCs w:val="1"/>
                <w:color w:val="auto"/>
              </w:rPr>
              <w:t>June 30, 2020</w:t>
            </w:r>
          </w:p>
        </w:tc>
      </w:tr>
      <w:tr>
        <w:trPr>
          <w:trHeight w:val="160"/>
        </w:trPr>
        <w:tc>
          <w:tcPr>
            <w:tcW w:w="3980" w:type="dxa"/>
            <w:vAlign w:val="bottom"/>
          </w:tcPr>
          <w:p>
            <w:pPr>
              <w:spacing w:after="0"/>
              <w:rPr>
                <w:sz w:val="13"/>
                <w:szCs w:val="13"/>
                <w:color w:val="auto"/>
              </w:rPr>
            </w:pPr>
          </w:p>
        </w:tc>
        <w:tc>
          <w:tcPr>
            <w:tcW w:w="3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r>
      <w:tr>
        <w:trPr>
          <w:trHeight w:val="270"/>
        </w:trPr>
        <w:tc>
          <w:tcPr>
            <w:tcW w:w="3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94,765</w:t>
            </w:r>
          </w:p>
        </w:tc>
      </w:tr>
      <w:tr>
        <w:trPr>
          <w:trHeight w:val="260"/>
        </w:trPr>
        <w:tc>
          <w:tcPr>
            <w:tcW w:w="3980" w:type="dxa"/>
            <w:vAlign w:val="bottom"/>
          </w:tcPr>
          <w:p>
            <w:pPr>
              <w:ind w:left="40"/>
              <w:spacing w:after="0"/>
              <w:rPr>
                <w:sz w:val="20"/>
                <w:szCs w:val="20"/>
                <w:color w:val="auto"/>
              </w:rPr>
            </w:pPr>
            <w:r>
              <w:rPr>
                <w:rFonts w:ascii="Arial" w:cs="Arial" w:eastAsia="Arial" w:hAnsi="Arial"/>
                <w:sz w:val="16"/>
                <w:szCs w:val="16"/>
                <w:color w:val="auto"/>
              </w:rPr>
              <w:t>Current portion, operating lease liabilities</w:t>
            </w:r>
          </w:p>
        </w:tc>
        <w:tc>
          <w:tcPr>
            <w:tcW w:w="3280" w:type="dxa"/>
            <w:vAlign w:val="bottom"/>
            <w:gridSpan w:val="2"/>
          </w:tcPr>
          <w:p>
            <w:pPr>
              <w:ind w:left="40"/>
              <w:spacing w:after="0"/>
              <w:rPr>
                <w:sz w:val="20"/>
                <w:szCs w:val="20"/>
                <w:color w:val="auto"/>
              </w:rPr>
            </w:pPr>
            <w:r>
              <w:rPr>
                <w:rFonts w:ascii="Arial" w:cs="Arial" w:eastAsia="Arial" w:hAnsi="Arial"/>
                <w:sz w:val="16"/>
                <w:szCs w:val="16"/>
                <w:color w:val="auto"/>
              </w:rPr>
              <w:t>Other current liabilities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19,981</w:t>
            </w:r>
          </w:p>
        </w:tc>
      </w:tr>
      <w:tr>
        <w:trPr>
          <w:trHeight w:val="280"/>
        </w:trPr>
        <w:tc>
          <w:tcPr>
            <w:tcW w:w="3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liabilities</w:t>
            </w:r>
          </w:p>
        </w:tc>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78,603</w:t>
            </w:r>
          </w:p>
        </w:tc>
      </w:tr>
      <w:tr>
        <w:trPr>
          <w:trHeight w:val="466"/>
        </w:trPr>
        <w:tc>
          <w:tcPr>
            <w:tcW w:w="3980" w:type="dxa"/>
            <w:vAlign w:val="bottom"/>
          </w:tcPr>
          <w:p>
            <w:pPr>
              <w:spacing w:after="0"/>
              <w:rPr>
                <w:sz w:val="24"/>
                <w:szCs w:val="24"/>
                <w:color w:val="auto"/>
              </w:rPr>
            </w:pPr>
          </w:p>
        </w:tc>
        <w:tc>
          <w:tcPr>
            <w:tcW w:w="3160" w:type="dxa"/>
            <w:vAlign w:val="bottom"/>
          </w:tcPr>
          <w:p>
            <w:pPr>
              <w:jc w:val="right"/>
              <w:ind w:right="2301"/>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240"/>
          </w:cols>
          <w:pgMar w:left="320" w:top="49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Supplemental cash flow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2" w:lineRule="exact"/>
        <w:rPr>
          <w:sz w:val="20"/>
          <w:szCs w:val="20"/>
          <w:color w:val="auto"/>
        </w:rPr>
      </w:pPr>
    </w:p>
    <w:tbl>
      <w:tblPr>
        <w:tblLayout w:type="fixed"/>
        <w:tblInd w:w="1300" w:type="dxa"/>
        <w:tblCellMar>
          <w:top w:w="0" w:type="dxa"/>
          <w:left w:w="0" w:type="dxa"/>
          <w:bottom w:w="0" w:type="dxa"/>
          <w:right w:w="0" w:type="dxa"/>
        </w:tblCellMar>
      </w:tblPr>
      <w:tr>
        <w:trPr>
          <w:trHeight w:val="172"/>
        </w:trPr>
        <w:tc>
          <w:tcPr>
            <w:tcW w:w="6460" w:type="dxa"/>
            <w:vAlign w:val="bottom"/>
          </w:tcPr>
          <w:p>
            <w:pPr>
              <w:spacing w:after="0"/>
              <w:rPr>
                <w:sz w:val="14"/>
                <w:szCs w:val="14"/>
                <w:color w:val="auto"/>
              </w:rPr>
            </w:pPr>
          </w:p>
        </w:tc>
        <w:tc>
          <w:tcPr>
            <w:tcW w:w="2180" w:type="dxa"/>
            <w:vAlign w:val="bottom"/>
            <w:gridSpan w:val="2"/>
          </w:tcPr>
          <w:p>
            <w:pPr>
              <w:jc w:val="right"/>
              <w:ind w:right="21"/>
              <w:spacing w:after="0"/>
              <w:rPr>
                <w:sz w:val="20"/>
                <w:szCs w:val="20"/>
                <w:color w:val="auto"/>
              </w:rPr>
            </w:pPr>
            <w:r>
              <w:rPr>
                <w:rFonts w:ascii="Arial" w:cs="Arial" w:eastAsia="Arial" w:hAnsi="Arial"/>
                <w:sz w:val="15"/>
                <w:szCs w:val="15"/>
                <w:b w:val="1"/>
                <w:bCs w:val="1"/>
                <w:color w:val="auto"/>
              </w:rPr>
              <w:t>Six months ended June 30,</w:t>
            </w:r>
          </w:p>
        </w:tc>
      </w:tr>
      <w:tr>
        <w:trPr>
          <w:trHeight w:val="206"/>
        </w:trPr>
        <w:tc>
          <w:tcPr>
            <w:tcW w:w="64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41"/>
              <w:spacing w:after="0"/>
              <w:rPr>
                <w:sz w:val="20"/>
                <w:szCs w:val="20"/>
                <w:color w:val="auto"/>
              </w:rPr>
            </w:pPr>
            <w:r>
              <w:rPr>
                <w:rFonts w:ascii="Arial" w:cs="Arial" w:eastAsia="Arial" w:hAnsi="Arial"/>
                <w:sz w:val="15"/>
                <w:szCs w:val="15"/>
                <w:b w:val="1"/>
                <w:bCs w:val="1"/>
                <w:color w:val="auto"/>
              </w:rPr>
              <w:t>2020</w:t>
            </w:r>
          </w:p>
        </w:tc>
      </w:tr>
      <w:tr>
        <w:trPr>
          <w:trHeight w:val="268"/>
        </w:trPr>
        <w:tc>
          <w:tcPr>
            <w:tcW w:w="6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5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60"/>
        </w:trPr>
        <w:tc>
          <w:tcPr>
            <w:tcW w:w="6460" w:type="dxa"/>
            <w:vAlign w:val="bottom"/>
          </w:tcPr>
          <w:p>
            <w:pPr>
              <w:ind w:left="160"/>
              <w:spacing w:after="0"/>
              <w:rPr>
                <w:sz w:val="20"/>
                <w:szCs w:val="20"/>
                <w:color w:val="auto"/>
              </w:rPr>
            </w:pPr>
            <w:r>
              <w:rPr>
                <w:rFonts w:ascii="Arial" w:cs="Arial" w:eastAsia="Arial" w:hAnsi="Arial"/>
                <w:sz w:val="16"/>
                <w:szCs w:val="16"/>
                <w:color w:val="auto"/>
              </w:rPr>
              <w:t>Operating cash flows from operating leases</w:t>
            </w:r>
          </w:p>
        </w:tc>
        <w:tc>
          <w:tcPr>
            <w:tcW w:w="52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14,924</w:t>
            </w:r>
          </w:p>
        </w:tc>
      </w:tr>
      <w:tr>
        <w:trPr>
          <w:trHeight w:val="280"/>
        </w:trPr>
        <w:tc>
          <w:tcPr>
            <w:tcW w:w="6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Right-of-use assets obtained in exchange for lease obligations:</w:t>
            </w:r>
          </w:p>
        </w:tc>
        <w:tc>
          <w:tcPr>
            <w:tcW w:w="5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51"/>
        </w:trPr>
        <w:tc>
          <w:tcPr>
            <w:tcW w:w="6460" w:type="dxa"/>
            <w:vAlign w:val="bottom"/>
          </w:tcPr>
          <w:p>
            <w:pPr>
              <w:ind w:left="160"/>
              <w:spacing w:after="0"/>
              <w:rPr>
                <w:sz w:val="20"/>
                <w:szCs w:val="20"/>
                <w:color w:val="auto"/>
              </w:rPr>
            </w:pPr>
            <w:r>
              <w:rPr>
                <w:rFonts w:ascii="Arial" w:cs="Arial" w:eastAsia="Arial" w:hAnsi="Arial"/>
                <w:sz w:val="16"/>
                <w:szCs w:val="16"/>
                <w:color w:val="auto"/>
              </w:rPr>
              <w:t>Operating leases</w:t>
            </w:r>
          </w:p>
        </w:tc>
        <w:tc>
          <w:tcPr>
            <w:tcW w:w="52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6,630</w:t>
            </w: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The Company entered into the MSA with CGM effective May 16, 2006. The MSA provides for, among other things, CGM to perform services for the Company in exchange for a management fee paid quarterly and equal to 0.5% of the Company's adjusted net assets, as defined in the MSA. Concurrent with the June 2019 sale of Clean Earth (refer to </w:t>
      </w:r>
      <w:hyperlink w:anchor="page16">
        <w:r>
          <w:rPr>
            <w:rFonts w:ascii="Arial" w:cs="Arial" w:eastAsia="Arial" w:hAnsi="Arial"/>
            <w:sz w:val="18"/>
            <w:szCs w:val="18"/>
            <w:u w:val="single" w:color="auto"/>
            <w:color w:val="0000EE"/>
          </w:rPr>
          <w:t>Note C - Discontinued Operations</w:t>
        </w:r>
      </w:hyperlink>
      <w:r>
        <w:rPr>
          <w:rFonts w:ascii="Arial" w:cs="Arial" w:eastAsia="Arial" w:hAnsi="Arial"/>
          <w:sz w:val="18"/>
          <w:szCs w:val="18"/>
          <w:color w:val="auto"/>
        </w:rPr>
        <w:t>), CGM agreed to waive the management fee on cash balances held at the Company, commencing with the quarter ended June 30, 2019 and continuing until the quarter during which the Company next borrowed under the 2018 Revolving Credit Facility. In March 2020, as a proactive measure to provide the Company with additional cash liquidity in light of the COVID-19 pandemic, the Company elected to draw down $200 million on our 2018 Revolving Credit Facility. The Company and CGM entered into a waiver agreement whereby CGM agreed to waive the portion of the management fee attributable to the cash balances held at the Company as of March 31, 2020. In addition, due to the unprecedented uncertainty as a result of the COVID-19 pandemic, CGM agreed to waive 50% of the management fee calculated at June 30, 2020 that was paid in July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Marucci Sports, which was acquired in April 2020, entered into an Integration Services Agreement ("ISA") with CGM. The ISA provides for CGM to provide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 CGM will receive integration service fees of $2.0 million payable quarterly over a twelve month period as services are rendered beginning in the quarter ended September 30, 2020. Foam Fabricators, which was acquired in 2018, entered into an ISA with CGM. Foam Fabricators paid CGM $2.3 million over the term of the ISA, with $2.0 million paid in 2018 and $0.3 million in 2019. Integration service fees are included in selling, general and administrative expense on the subsidiaries' statement of operations in the period in which they are incurred.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and its businesses have the following significant related party transactions</w:t>
      </w:r>
      <w:r>
        <w:rPr>
          <w:rFonts w:ascii="Arial" w:cs="Arial" w:eastAsia="Arial" w:hAnsi="Arial"/>
          <w:sz w:val="18"/>
          <w:szCs w:val="18"/>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5.11 via the executive's 40% ownership interest in the vendor. 5.11 purchased approximately $ 1.0 million and $1.5 million during the three and six months ended June 30, 2020, respectively, and $0.8 million and $2.1 million, during the three and six months ended June 30, 2019, respectively, in inventory from the vendor.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55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This Item 2 contains forward-looking statements. Forward-looking statements in this Quarterly Report on Form 10-Q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 entitled "Forward-Looking Statements" included elsewhere in this Quarterly Report on Form 10-Q as well as those risk factors discussed in the section entitled "Risk Factors" in our Annual Report on Form 10-K for the year ended December 31, 2019 and in the section entitled "Risk Factors" in Part II, Item 1A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("Holdings") was incorporated in Delaware on November 18, 2005. Compass Group Diversified Holdings LLC (the "Company") was also formed on November 18, 2005. Holdings and the Company (collectively, "CODI") were formed to acquire and manage a group of small and middle-market businesses headquartered in North America. The Company is the operating entity and is a controlling owner of nine businesses, or operating segments, at June 30, 2020. The segments are as follows: 5.11 Acquisition Corp. ("5.11"), The Ergo Baby Carrier, Inc. ("Ergobaby"), Liberty Safe and Security Products, Inc. ("Liberty Safe" or "Liberty"), Marucci Sports, LLC ("Marucci" or Marucci Sports"), Velocity Outdoor, Inc. (formerly Crosman Corp.) ("Velocity Outdoor" or "Velocity"), Compass AC Holdings, Inc. ("ACI" or "Advanced Circuits"), AMT Acquisition Corporation ("Arnold"), FFI Compass, Inc. ("Foam Fabricators" or "Foam"), and The Sterno Group, LLC ("Sterno").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acquired our existing businesses (segments) that we own at June 30, 2020 as follows:</w:t>
      </w:r>
    </w:p>
    <w:p>
      <w:pPr>
        <w:spacing w:after="0" w:line="204" w:lineRule="exact"/>
        <w:rPr>
          <w:sz w:val="20"/>
          <w:szCs w:val="20"/>
          <w:color w:val="auto"/>
        </w:rPr>
      </w:pPr>
    </w:p>
    <w:tbl>
      <w:tblPr>
        <w:tblLayout w:type="fixed"/>
        <w:tblInd w:w="1500" w:type="dxa"/>
        <w:tblCellMar>
          <w:top w:w="0" w:type="dxa"/>
          <w:left w:w="0" w:type="dxa"/>
          <w:bottom w:w="0" w:type="dxa"/>
          <w:right w:w="0" w:type="dxa"/>
        </w:tblCellMar>
      </w:tblPr>
      <w:tr>
        <w:trPr>
          <w:trHeight w:val="206"/>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Borders>
              <w:bottom w:val="single" w:sz="8" w:color="auto"/>
            </w:tcBorders>
            <w:gridSpan w:val="3"/>
          </w:tcPr>
          <w:p>
            <w:pPr>
              <w:ind w:left="680"/>
              <w:spacing w:after="0"/>
              <w:rPr>
                <w:sz w:val="20"/>
                <w:szCs w:val="20"/>
                <w:color w:val="auto"/>
              </w:rPr>
            </w:pPr>
            <w:r>
              <w:rPr>
                <w:rFonts w:ascii="Arial" w:cs="Arial" w:eastAsia="Arial" w:hAnsi="Arial"/>
                <w:sz w:val="15"/>
                <w:szCs w:val="15"/>
                <w:b w:val="1"/>
                <w:bCs w:val="1"/>
                <w:color w:val="auto"/>
              </w:rPr>
              <w:t>Ownership Interest - June 30, 2020</w:t>
            </w:r>
          </w:p>
        </w:tc>
      </w:tr>
      <w:tr>
        <w:trPr>
          <w:trHeight w:val="264"/>
        </w:trPr>
        <w:tc>
          <w:tcPr>
            <w:tcW w:w="2200" w:type="dxa"/>
            <w:vAlign w:val="bottom"/>
            <w:tcBorders>
              <w:bottom w:val="single" w:sz="8" w:color="auto"/>
            </w:tcBorders>
          </w:tcPr>
          <w:p>
            <w:pPr>
              <w:ind w:left="760"/>
              <w:spacing w:after="0"/>
              <w:rPr>
                <w:sz w:val="20"/>
                <w:szCs w:val="20"/>
                <w:color w:val="auto"/>
              </w:rPr>
            </w:pPr>
            <w:r>
              <w:rPr>
                <w:rFonts w:ascii="Arial" w:cs="Arial" w:eastAsia="Arial" w:hAnsi="Arial"/>
                <w:sz w:val="15"/>
                <w:szCs w:val="15"/>
                <w:b w:val="1"/>
                <w:bCs w:val="1"/>
                <w:color w:val="auto"/>
              </w:rPr>
              <w:t>Business</w:t>
            </w: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Acquisition Date</w:t>
            </w:r>
          </w:p>
        </w:tc>
        <w:tc>
          <w:tcPr>
            <w:tcW w:w="100" w:type="dxa"/>
            <w:vAlign w:val="bottom"/>
            <w:tcBorders>
              <w:bottom w:val="single" w:sz="8" w:color="CCEEFF"/>
            </w:tcBorders>
          </w:tcPr>
          <w:p>
            <w:pPr>
              <w:spacing w:after="0"/>
              <w:rPr>
                <w:sz w:val="22"/>
                <w:szCs w:val="22"/>
                <w:color w:val="auto"/>
              </w:rPr>
            </w:pPr>
          </w:p>
        </w:tc>
        <w:tc>
          <w:tcPr>
            <w:tcW w:w="1880" w:type="dxa"/>
            <w:vAlign w:val="bottom"/>
            <w:tcBorders>
              <w:bottom w:val="single" w:sz="8" w:color="auto"/>
            </w:tcBorders>
          </w:tcPr>
          <w:p>
            <w:pPr>
              <w:ind w:left="640"/>
              <w:spacing w:after="0"/>
              <w:rPr>
                <w:sz w:val="20"/>
                <w:szCs w:val="20"/>
                <w:color w:val="auto"/>
              </w:rPr>
            </w:pPr>
            <w:r>
              <w:rPr>
                <w:rFonts w:ascii="Arial" w:cs="Arial" w:eastAsia="Arial" w:hAnsi="Arial"/>
                <w:sz w:val="15"/>
                <w:szCs w:val="15"/>
                <w:b w:val="1"/>
                <w:bCs w:val="1"/>
                <w:color w:val="auto"/>
              </w:rPr>
              <w:t>Primary</w:t>
            </w:r>
          </w:p>
        </w:tc>
        <w:tc>
          <w:tcPr>
            <w:tcW w:w="10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Diluted</w:t>
            </w:r>
          </w:p>
        </w:tc>
      </w:tr>
      <w:tr>
        <w:trPr>
          <w:trHeight w:val="254"/>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Advanced Circuits</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16, 2006</w:t>
            </w:r>
          </w:p>
        </w:tc>
        <w:tc>
          <w:tcPr>
            <w:tcW w:w="1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69.3%</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65.4%</w:t>
            </w:r>
          </w:p>
        </w:tc>
      </w:tr>
      <w:tr>
        <w:trPr>
          <w:trHeight w:val="26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Liberty Safe</w:t>
            </w:r>
          </w:p>
        </w:tc>
        <w:tc>
          <w:tcPr>
            <w:tcW w:w="2080" w:type="dxa"/>
            <w:vAlign w:val="bottom"/>
            <w:gridSpan w:val="2"/>
          </w:tcPr>
          <w:p>
            <w:pPr>
              <w:jc w:val="right"/>
              <w:ind w:right="140"/>
              <w:spacing w:after="0"/>
              <w:rPr>
                <w:sz w:val="20"/>
                <w:szCs w:val="20"/>
                <w:color w:val="auto"/>
              </w:rPr>
            </w:pPr>
            <w:r>
              <w:rPr>
                <w:rFonts w:ascii="Arial" w:cs="Arial" w:eastAsia="Arial" w:hAnsi="Arial"/>
                <w:sz w:val="16"/>
                <w:szCs w:val="16"/>
                <w:color w:val="auto"/>
              </w:rPr>
              <w:t>March 31, 2010</w:t>
            </w:r>
          </w:p>
        </w:tc>
        <w:tc>
          <w:tcPr>
            <w:tcW w:w="1880" w:type="dxa"/>
            <w:vAlign w:val="bottom"/>
          </w:tcPr>
          <w:p>
            <w:pPr>
              <w:jc w:val="center"/>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86.0%</w:t>
            </w:r>
          </w:p>
        </w:tc>
      </w:tr>
      <w:tr>
        <w:trPr>
          <w:trHeight w:val="280"/>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16, 2010</w:t>
            </w:r>
          </w:p>
        </w:tc>
        <w:tc>
          <w:tcPr>
            <w:tcW w:w="1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75.8%</w:t>
            </w:r>
          </w:p>
        </w:tc>
      </w:tr>
      <w:tr>
        <w:trPr>
          <w:trHeight w:val="26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Arnold</w:t>
            </w:r>
          </w:p>
        </w:tc>
        <w:tc>
          <w:tcPr>
            <w:tcW w:w="2080" w:type="dxa"/>
            <w:vAlign w:val="bottom"/>
            <w:gridSpan w:val="2"/>
          </w:tcPr>
          <w:p>
            <w:pPr>
              <w:jc w:val="right"/>
              <w:ind w:right="140"/>
              <w:spacing w:after="0"/>
              <w:rPr>
                <w:sz w:val="20"/>
                <w:szCs w:val="20"/>
                <w:color w:val="auto"/>
              </w:rPr>
            </w:pPr>
            <w:r>
              <w:rPr>
                <w:rFonts w:ascii="Arial" w:cs="Arial" w:eastAsia="Arial" w:hAnsi="Arial"/>
                <w:sz w:val="16"/>
                <w:szCs w:val="16"/>
                <w:color w:val="auto"/>
              </w:rPr>
              <w:t>March 5, 2012</w:t>
            </w:r>
          </w:p>
        </w:tc>
        <w:tc>
          <w:tcPr>
            <w:tcW w:w="1880" w:type="dxa"/>
            <w:vAlign w:val="bottom"/>
          </w:tcPr>
          <w:p>
            <w:pPr>
              <w:jc w:val="center"/>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81.4%</w:t>
            </w:r>
          </w:p>
        </w:tc>
      </w:tr>
      <w:tr>
        <w:trPr>
          <w:trHeight w:val="280"/>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10, 2014</w:t>
            </w:r>
          </w:p>
        </w:tc>
        <w:tc>
          <w:tcPr>
            <w:tcW w:w="1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100.0%</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88.5%</w:t>
            </w:r>
          </w:p>
        </w:tc>
      </w:tr>
      <w:tr>
        <w:trPr>
          <w:trHeight w:val="260"/>
        </w:trPr>
        <w:tc>
          <w:tcPr>
            <w:tcW w:w="2200" w:type="dxa"/>
            <w:vAlign w:val="bottom"/>
          </w:tcPr>
          <w:p>
            <w:pPr>
              <w:ind w:left="20"/>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2"/>
                <w:szCs w:val="22"/>
                <w:color w:val="auto"/>
              </w:rPr>
            </w:pPr>
          </w:p>
        </w:tc>
        <w:tc>
          <w:tcPr>
            <w:tcW w:w="2080" w:type="dxa"/>
            <w:vAlign w:val="bottom"/>
            <w:gridSpan w:val="2"/>
          </w:tcPr>
          <w:p>
            <w:pPr>
              <w:jc w:val="right"/>
              <w:ind w:right="140"/>
              <w:spacing w:after="0"/>
              <w:rPr>
                <w:sz w:val="20"/>
                <w:szCs w:val="20"/>
                <w:color w:val="auto"/>
              </w:rPr>
            </w:pPr>
            <w:r>
              <w:rPr>
                <w:rFonts w:ascii="Arial" w:cs="Arial" w:eastAsia="Arial" w:hAnsi="Arial"/>
                <w:sz w:val="16"/>
                <w:szCs w:val="16"/>
                <w:color w:val="auto"/>
              </w:rPr>
              <w:t>August 31, 2016</w:t>
            </w:r>
          </w:p>
        </w:tc>
        <w:tc>
          <w:tcPr>
            <w:tcW w:w="1880" w:type="dxa"/>
            <w:vAlign w:val="bottom"/>
          </w:tcPr>
          <w:p>
            <w:pPr>
              <w:jc w:val="center"/>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88.7%</w:t>
            </w:r>
          </w:p>
        </w:tc>
      </w:tr>
      <w:tr>
        <w:trPr>
          <w:trHeight w:val="280"/>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 2017</w:t>
            </w:r>
          </w:p>
        </w:tc>
        <w:tc>
          <w:tcPr>
            <w:tcW w:w="1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88.0%</w:t>
            </w:r>
          </w:p>
        </w:tc>
      </w:tr>
      <w:tr>
        <w:trPr>
          <w:trHeight w:val="26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Foam Fabricators</w:t>
            </w:r>
          </w:p>
        </w:tc>
        <w:tc>
          <w:tcPr>
            <w:tcW w:w="208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15, 2018</w:t>
            </w:r>
          </w:p>
        </w:tc>
        <w:tc>
          <w:tcPr>
            <w:tcW w:w="1880" w:type="dxa"/>
            <w:vAlign w:val="bottom"/>
          </w:tcPr>
          <w:p>
            <w:pPr>
              <w:jc w:val="center"/>
              <w:spacing w:after="0"/>
              <w:rPr>
                <w:sz w:val="20"/>
                <w:szCs w:val="20"/>
                <w:color w:val="auto"/>
              </w:rPr>
            </w:pPr>
            <w:r>
              <w:rPr>
                <w:rFonts w:ascii="Arial" w:cs="Arial" w:eastAsia="Arial" w:hAnsi="Arial"/>
                <w:sz w:val="16"/>
                <w:szCs w:val="16"/>
                <w:color w:val="auto"/>
                <w:w w:val="99"/>
              </w:rPr>
              <w:t>100.0%</w:t>
            </w:r>
          </w:p>
        </w:tc>
        <w:tc>
          <w:tcPr>
            <w:tcW w:w="10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91.5%</w:t>
            </w:r>
          </w:p>
        </w:tc>
      </w:tr>
      <w:tr>
        <w:trPr>
          <w:trHeight w:val="280"/>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Marucci Sports</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20, 2020</w:t>
            </w:r>
          </w:p>
        </w:tc>
        <w:tc>
          <w:tcPr>
            <w:tcW w:w="1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83.8%</w:t>
            </w: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categorize the businesses we own into two separate groups of businesses: (i) branded consumer businesses, and (ii) niche industrial businesses. Branded consumer businesses are characterized as those businesses that we believe capitalize on a valuable brand name in their respective market sector. We believe that our branded consumer businesses are leaders in their particular product category. Niche industrial businesses are characterized as those businesses that focus on manufacturing and selling particular products and industrial services within a specific market sector. We believe that our niche industrial businesses are leaders in their specific market sector. The following is an overview of each of our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Consumer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5.11 </w:t>
      </w:r>
      <w:r>
        <w:rPr>
          <w:rFonts w:ascii="Arial" w:cs="Arial" w:eastAsia="Arial" w:hAnsi="Arial"/>
          <w:sz w:val="18"/>
          <w:szCs w:val="18"/>
          <w:color w:val="auto"/>
        </w:rPr>
        <w:t>- 5.11 is a leading provider of purpose-built technical apparel and gear for law enforcement, firefighters, EMS, and military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5.11 operates sales offices and distribution centers globally, and 5.11 products are widely distributed in uniform stores, military exchanges, outdoor retail stores, its own retail stores and on 511tactical.com.</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333" w:right="339" w:bottom="1440" w:gutter="0" w:footer="0" w:header="0"/>
        </w:sectPr>
      </w:pPr>
    </w:p>
    <w:bookmarkStart w:id="36" w:name="page37"/>
    <w:bookmarkEnd w:id="36"/>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Ergobaby </w:t>
      </w:r>
      <w:r>
        <w:rPr>
          <w:rFonts w:ascii="Arial" w:cs="Arial" w:eastAsia="Arial" w:hAnsi="Arial"/>
          <w:sz w:val="18"/>
          <w:szCs w:val="18"/>
          <w:color w:val="auto"/>
        </w:rPr>
        <w:t>- Headquartered in Los Angeles, California, Ergobaby is dedicated to building a global community of confident parents with smart,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ergonomic solutions that enable and encourage bonding between parents and babies. Ergobaby offers a broad range of award-winning baby carriers, strollers, swaddlers, nursing pillows, and related products that fit into families’ daily lives seamlessly, comfortably and safely. Historically, Ergobaby derives more than 50% of its sales from outside of the United States.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Liberty </w:t>
      </w:r>
      <w:r>
        <w:rPr>
          <w:rFonts w:ascii="Arial" w:cs="Arial" w:eastAsia="Arial" w:hAnsi="Arial"/>
          <w:sz w:val="18"/>
          <w:szCs w:val="18"/>
          <w:color w:val="auto"/>
        </w:rPr>
        <w:t>- Founded in 1988, Liberty Safe is the premier designer, manufacturer and marketer of home and gun safes in North America.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over 300,000 square foot manufacturing facility, Liberty Safe produces a wide range of home and gun safe models in a broad assortment of sizes, features and styles ranging from an entry level product to good, better and best products. Products are marketed under the Liberty brand, as well as a portfolio of licensed and private label brands, including Cabela’s, Case IH, Colt and John Deere. Liberty Safe’s products are the market share leader and are sold through an independent dealer network ("Dealer sales") in addition to various sporting goods, farm and fleet and home improvement retail outlets ("Non-Dealer sales"). Liberty has the largest independent dealer network in the industry.</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Marucci Sports - </w:t>
      </w:r>
      <w:r>
        <w:rPr>
          <w:rFonts w:ascii="Arial" w:cs="Arial" w:eastAsia="Arial" w:hAnsi="Arial"/>
          <w:sz w:val="18"/>
          <w:szCs w:val="18"/>
          <w:color w:val="auto"/>
        </w:rPr>
        <w:t>Founded in 2009, Marucci is a leading designer, manufacturer, and marketer of premium wood and metal baseball bats,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fielding gloves, batting gloves, bags, protective gear, sunglasses, on and off-field apparel, and other baseball and softball equipment used by professional and amateur athletes. Marucci also develops and licenses franchises for sports training facilities. Marucci is headquartered in Baton Rouge, Louisiana.</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Velocity Outdoor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leading designer, manufacturer, and marketer of airguns, archery products, laser aiming devices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Velocity Outdoor offers its products under the highly recognizable Crosman, Benjamin, LaserMax, Ravin and CenterPoint brands that are available through national retail chains, mass merchants, dealer and distributor networks. The airgun product category consists of air rifles, air pistols and a range of accessories including targets, holsters and cases. Velocity Outdoor's other primary product categories are archery, with products including CenterPoint crossbows and the Pioneer Airbow, consumables, which includes steel and plastic BBs, lead pellets and CO2 cartridges, lasers for firearms, and airsoft products. In September 2018, Velocity acquired Ravin Crossbows, LLC ("Ravin" or "Ravin Crossbows"), a manufacturer and innovator of crossbows and accessories. Ravin primarily focuses on the higher-end segment of the crossbow market and has developed significant intellectual property related to the advancement of crossbow technology. Velocity Outdoor is headquartered in Bloomfield, New York.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Advanced Circuits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Circuits is a provider of small-run, quick-turn and volume production printed circuit boards ("PCBs")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throughout the United States. Historically, small-run and quick-turn PCBs have represented approximately 50% - 55% of Advanced Circuits’ gross sales. Small-run and quick-turn PCBs typically command higher margins than volume production PCBs given that customers require high levels of responsiveness, technical support and timely delivery of small-run and quick-turn PCBs and are willing to pay a premium for them. Advanced Circuits is able to meet its customers’ demands by manufacturing custom PCBs in as little as 24 hours, while maintaining over 98.0% error-free production rates and real-time customer service and product tracking 24 hours per day.</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Arnold </w:t>
      </w:r>
      <w:r>
        <w:rPr>
          <w:rFonts w:ascii="Arial" w:cs="Arial" w:eastAsia="Arial" w:hAnsi="Arial"/>
          <w:sz w:val="18"/>
          <w:szCs w:val="18"/>
          <w:color w:val="auto"/>
        </w:rPr>
        <w:t>- Arnold serves a variety of markets including aerospace and defense, general industrial, motorsport/ automotive, oil and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energy, reprographics and advertising specialties. Over the course of more than 100 years, Arnold has successfully evolved and adapted our products, technologies, and manufacturing presence to meet the demands of current and emerging markets. Arnold produces high performance permanent magnets (PMAG), precision foil products (Precision Thin Metals or "PTM"), and flexible magnets (Flexmag™) that are mission critical in motors, generators, sensors and other systems and components. Arnold has expanded globally and built strong relationships with our customers worldwide. Arnold is the largest and, we believe, the most technically advanced U.S. manufacturer of engineered magnetic systems. Arnold is headquartered in Rochester, New York.</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Foam Fabricators </w:t>
      </w:r>
      <w:r>
        <w:rPr>
          <w:rFonts w:ascii="Arial" w:cs="Arial" w:eastAsia="Arial" w:hAnsi="Arial"/>
          <w:sz w:val="18"/>
          <w:szCs w:val="18"/>
          <w:color w:val="auto"/>
        </w:rPr>
        <w:t>- Founded in 1957 and headquartered in Scottsdale, Arizona, Foam Fabricators is a designer and manufacturer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 molded protective foam solutions and original equipment manufacturer (OEM) components made from expanded polystyrene (EPS) and expanded polypropylene (EPP). Foam Fabricators operates 14 molding and fabricating facilities across North America and provides products to a variety of end-markets, including appliances and electronics, pharmaceuticals, health and wellness, automotive, building products and others. In July 2020, Foam Fabricators acquired the assets of Polyfoam, a Massachusetts-based manufacturer of protective and temperature-sensitive packaging solutions for the medical, pharmaceutical, grocery and food industries, among others.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495" w:right="339" w:bottom="1440" w:gutter="0" w:footer="0" w:header="0"/>
        </w:sectPr>
      </w:pPr>
    </w:p>
    <w:bookmarkStart w:id="37" w:name="page38"/>
    <w:bookmarkEnd w:id="37"/>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Sterno </w:t>
      </w:r>
      <w:r>
        <w:rPr>
          <w:rFonts w:ascii="Arial" w:cs="Arial" w:eastAsia="Arial" w:hAnsi="Arial"/>
          <w:sz w:val="18"/>
          <w:szCs w:val="18"/>
          <w:color w:val="auto"/>
        </w:rPr>
        <w:t>- Sterno, headquartered in Corona, California, is the parent company of Sterno LLC ("Sterno Products"), Sterno Home Inc. ("Sterno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Home"), and Rimports Inc. ("Rimports"). Sterno is a leading manufacturer and marketer of portable food warming fuels for the hospitality and consumer markets, flameless candles and house and garden lighting for the home decor market, and wickless candle products used for home decor and fragrance systems. Sterno offers a broad range of wick and gel chafing fuels, butane stoves and accessories, liquid and traditional wax candles, catering equipment and lamps through Sterno Products, flameless candles and outdoor lighting products through Sterno Home, and scented wax cubes and warmer products used for home decor and fragrance systems through Rimports.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team’s strategy for our businesses involves:</w:t>
      </w:r>
    </w:p>
    <w:p>
      <w:pPr>
        <w:spacing w:after="0" w:line="117" w:lineRule="exact"/>
        <w:rPr>
          <w:sz w:val="20"/>
          <w:szCs w:val="20"/>
          <w:color w:val="auto"/>
        </w:rPr>
      </w:pPr>
    </w:p>
    <w:p>
      <w:pPr>
        <w:ind w:left="620" w:hanging="315"/>
        <w:spacing w:after="0" w:line="250"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utilizing structured incentive compensation programs tailored to each business to attract, recruit and retain talented managers to operate our businesses;</w:t>
      </w:r>
    </w:p>
    <w:p>
      <w:pPr>
        <w:ind w:left="620" w:hanging="315"/>
        <w:spacing w:after="0" w:line="250"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regularly monitoring financial and operational performance, instilling consistent financial discipline, and supporting management in the development and implementation of information systems to effectively achieve these goals;</w:t>
      </w:r>
    </w:p>
    <w:p>
      <w:pPr>
        <w:ind w:left="620" w:hanging="315"/>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assisting management in their analysis and pursuit of prudent organic cash flow growth strategies (both revenue and cost related);</w:t>
      </w:r>
    </w:p>
    <w:p>
      <w:pPr>
        <w:spacing w:after="0" w:line="9" w:lineRule="exact"/>
        <w:rPr>
          <w:rFonts w:ascii="Arial" w:cs="Arial" w:eastAsia="Arial" w:hAnsi="Arial"/>
          <w:sz w:val="18"/>
          <w:szCs w:val="18"/>
          <w:color w:val="auto"/>
        </w:rPr>
      </w:pPr>
    </w:p>
    <w:p>
      <w:pPr>
        <w:ind w:left="620" w:hanging="315"/>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identifying and working with management to execute attractive external growth and acquisition opportunities; and</w:t>
      </w:r>
    </w:p>
    <w:p>
      <w:pPr>
        <w:spacing w:after="0" w:line="9" w:lineRule="exact"/>
        <w:rPr>
          <w:rFonts w:ascii="Arial" w:cs="Arial" w:eastAsia="Arial" w:hAnsi="Arial"/>
          <w:sz w:val="18"/>
          <w:szCs w:val="18"/>
          <w:color w:val="auto"/>
        </w:rPr>
      </w:pPr>
    </w:p>
    <w:p>
      <w:pPr>
        <w:ind w:left="620" w:hanging="315"/>
        <w:spacing w:after="0" w:line="261"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forming strong subsidiary level boards of directors to supplement management in their development and implementation of strategic goals and objectives.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our businesses have different growth opportunities and potential rates of growth, we work with the management teams of each of our businesses to increase the value of, and cash generated by, each business through various initiatives, including making selective capital investments to expand geographic reach, increase capacity or reduce manufacturing costs of our businesses; improving and expanding existing sales and marketing programs; and assisting in the acquisition and integration of complementary businesses. We remain focused on marketing our Company's attractive ownership and management attributes to potential sellers of middle market businesses. In addition, we continue to pursue opportunities for add-on acquisitions by our existing subsidiary companies, which can be particularly attractive from a strategic perspective.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Operations, Financial Condition, Liquidity and Results of Operations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March 2020, the World Health Organization categorized COVID-19 as a pandemic. The COVID-19 pandemic has resulted in governments around the world implementing increasingly stringent measures to help control the spread of the virus, including quarantines, “shelter-in-place” and “stay-at-home” orders, travel restrictions, business curtailments, particularly retail operations and non-essential businesses, school closures, and other measures. In addition, governments and central banks in several parts of the world have enacted fiscal and monetary stimulus measures to counteract the impacts of COVID-19. We continue to closely monitor the impact of the outbreak of COVID-19 on all aspects of our business, including how it is impacting our customers, employees, supply chains, and distribution networks. We experienced and expect to continue to experience reductions in customer demand in several of our end-markets. We expect that the government measures taken to address the spread of the virus, the reduced operational status of some of our suppliers, the reductions in production at certain facilities, and the decrease in foot traffic at many brick and mortar retail businesses will continue to impact our operations for the remainder of 2020. The health of our team and various stakeholders is our highest priority, and we have taken multiple steps to provide support and a safe work environment.</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the unprecedented uncertainty as a result of the COVID-19 pandemic, in April CGM agreed to waive 50% of the second quarter management fee calculated at June 30, 2020 that was paid in July 2020. We continue to work with management at each of our businesses to reduce our controllable costs, including short-term actions to reduce labor costs, eliminating non-essential travel and reducing discretionary spending. Additionally, our businesses are proactively managing working capital and we have reduced our capital spending plan for the year, without deferring many key strategic ongoing initiatives.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49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2020 Outlook in Consideration of the COVID-19 Pandemic</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remainder of 2020, the Company anticipates that COVID-19 will continue to have a negative impact on its results of operations, including a decrease in operating income, net income from continuing operations and Adjusted EBITDA as compared to the prior year. For example, the Company expects the Sterno Products division of Sterno to be negatively impacted by the pandemic due to that division's reliance on the food service industry. In addition, the Company expects Arnold Magnetics to be negatively impacted by the pandemic due to its reliance on the declining aerospace markets. As a result of the decline in operating income, net income from continuing operations and Adjusted EBITDA, the Company expects to have lower free cash flow for the full year compared to the prior year.</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2019, the Company received an aggregate total of $ 771.6 million in net cash proceeds as a result of the divestitures of Manitoba Harvest and Clean Earth, as well as $111.0 million from the issuance and sale of Series C Preferred Shares. In May 2020, the Company completed a share offering of five million Trust common shares resulting in net proceeds of $83.9 million and issued an additional $200 million in our 8% Senior Notes. The Company believes that it currently has adequate liquidity and capital resources to meet its existing obligations, and quarterly distributions to its shareholders, as, and if, approved by the Board of Directors, over the next twelve months. However, if the Company’s operations are impacted more than expected during the third and fourth quarter of 2020 as a result of continued declining COVID-19-related economic conditions and the potential for an extended economic recession, the Company’s results of operations could be impacted more dramatically than currently anticipated and as a result, the Company’s liquidity and capital resources could be even more constrained than expected.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1A. "Risk Factors"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Trust Common Shares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May 2020, the Company completed an offering of 5,000,000 Trust common shares at a public offering price of $ 17.60 per share. The net proceeds to the Company, after deducting the underwriter's discount and offering costs, totaled approximately $83.9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Senior Notes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7, 2020, the Company consummated the issuance and sale of $200 million aggregate principal amount of its 8.000% Senior Notes due 2026 (the "Additional Notes"). The proceeds from the Additional Notes were used to pay down the amount outstanding on the Company's 2018 Revolving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Marucci Sports, LLC</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6, 2020, the Company, through a wholly-owned subsidiary, Wheelhouse Holdings Inc., a Delaware Corporation (“Buyer”), entered into an Agreement and Plan of Merger (the “Merger Agreement”) with Marucci Sports, LLC, a Delaware limited liability company (“Marucci”), Wheelhouse Holdings Merger Sub LLC, a Delaware limited liability company and a wholly owned Subsidiary of Buyer (“Merger Sub”), and, Wheelhouse 2020 LLC, a Delaware limited liability company (in its capacity as the representative of the unit holders and option holders of Marucci), pursuant to which Merger Sub was to be merged with and into Marucci (the “Merger”) such that the separate existence of Merger Sub would cease, and Marucci would survive the Merger as a subsidiary of Buyer. Headquartered in Baton Rouge, Louisiana, Marucci is a leading manufacturer and distributor of baseball and softball equipment. Founded in 2009, Marucci has a product portfolio that includes wood and metal bats, apparel and accessories, batting and fielding gloves and bags and protective gear.</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Buyer, via the Merger, completed the acquisition of Marucci on April 20, 2020 for a total purchase price of approximately $200 million in cash, subject to certain adjustments based on matters such as the working capital and indebtedness balances at the time of the closing. The Company funded the purchase price using funds drawn on its 2018 Revolving Credit Facility in March 2020. The Company's initial equity ownership in Marucci is approximately 92%, as certain existing stakeholders in Marucci invested in the transaction alongside the Company.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"U.S. GAAP" or "GAAP" refer to generally accepted accounting principles in the United States. A non-GAAP financial measure is a numerical measure of historical or future performance, financial position or cash flow that excludes amounts, or is subject to adjustments that effectively exclude amounts, included in the most directly comparable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495" w:right="339" w:bottom="1440" w:gutter="0" w:footer="0" w:header="0"/>
        </w:sectPr>
      </w:pPr>
    </w:p>
    <w:bookmarkStart w:id="39" w:name="page40"/>
    <w:bookmarkEnd w:id="39"/>
    <w:p>
      <w:pPr>
        <w:jc w:val="both"/>
        <w:spacing w:after="0" w:line="256" w:lineRule="auto"/>
        <w:rPr>
          <w:sz w:val="20"/>
          <w:szCs w:val="20"/>
          <w:color w:val="auto"/>
        </w:rPr>
      </w:pPr>
      <w:r>
        <w:rPr>
          <w:rFonts w:ascii="Arial" w:cs="Arial" w:eastAsia="Arial" w:hAnsi="Arial"/>
          <w:sz w:val="18"/>
          <w:szCs w:val="18"/>
          <w:color w:val="auto"/>
        </w:rPr>
        <w:t>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discussion reflects a comparison of the historical results of operations of our consolidated business for the three and six months ended June 30, 2020 and June 30, 2019, and components of the results of operations as well as those components presented as a percent of net revenues, for each of our businesses on a stand-alone basis. For the acquisition of Marucci in April 2020, the pro forma results of operations for the Marucci business segment have been prepared as if we purchased that business on January 1, 2019. Where appropriate, relevant pro forma adjustments are reflected as part of the historical operating results of Marucci. We believe this is the most meaningful comparison for the operating results of acquired business segments. The consolidated results of operations reflect the operating results of Marucci from the date of acquisition.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first quarter of 2020, we began to see the impacts of COVID-19 on certain of our businesses, markets and operations, particularly those that were most affected by governmental “stay-at home” orders which led to reduced consumer traffic and either a closure of stores by some retailers or a focus on items that were deemed essential. We expected that the impact of COVID-19 and steps taken by governments to limit the spread of the virus would have a negative impact on our operations in the second quarter; April and May saw a slowdown in revenue at several of our businesses, however, we experienced a rebound in June as localities began lifting restrictions. While some of our businesses experienced downward revenue pressure as a result of the abrupt halt to large segments of the economy, our businesses are strategically diverse. Whereas some of our niche industrial businesses were more adversely impacted, certain of our consumer businesses continued to experience solid demand during the second quarter.</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COVID-19 pandemic has had, and will continue to have, negative impacts on our businesses, results of operations, financial condition and cash flows in the near and medium term. The ultimate impact of COVID-19 on our business is dependent on future developments, including the duration of the pandemic and the related length of its impact on the global economy, which are highly uncertain and cannot be accurately predicted at this time. The following results of operations at each of our businesses are not necessarily indicative of the results to be expected for a full year.</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dollar amounts in the financial tables are presented in thousands. References in the financial tables to percentage changes that are not meaningful are denoted by "NM."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Consolidated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unaudited results of operations for the three and six months ended June 30, 2020 and 2019:</w:t>
      </w:r>
    </w:p>
    <w:p>
      <w:pPr>
        <w:spacing w:after="0" w:line="312" w:lineRule="exact"/>
        <w:rPr>
          <w:sz w:val="20"/>
          <w:szCs w:val="20"/>
          <w:color w:val="auto"/>
        </w:rPr>
      </w:pPr>
    </w:p>
    <w:tbl>
      <w:tblPr>
        <w:tblLayout w:type="fixed"/>
        <w:tblInd w:w="240" w:type="dxa"/>
        <w:tblCellMar>
          <w:top w:w="0" w:type="dxa"/>
          <w:left w:w="0" w:type="dxa"/>
          <w:bottom w:w="0" w:type="dxa"/>
          <w:right w:w="0" w:type="dxa"/>
        </w:tblCellMar>
      </w:tblPr>
      <w:tr>
        <w:trPr>
          <w:trHeight w:val="206"/>
        </w:trPr>
        <w:tc>
          <w:tcPr>
            <w:tcW w:w="4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624"/>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04"/>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63"/>
        </w:trPr>
        <w:tc>
          <w:tcPr>
            <w:tcW w:w="4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2020</w:t>
            </w:r>
          </w:p>
        </w:tc>
        <w:tc>
          <w:tcPr>
            <w:tcW w:w="14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2019</w:t>
            </w:r>
          </w:p>
        </w:tc>
        <w:tc>
          <w:tcPr>
            <w:tcW w:w="14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2020</w:t>
            </w:r>
          </w:p>
        </w:tc>
        <w:tc>
          <w:tcPr>
            <w:tcW w:w="140" w:type="dxa"/>
            <w:vAlign w:val="bottom"/>
          </w:tcPr>
          <w:p>
            <w:pPr>
              <w:spacing w:after="0"/>
              <w:rPr>
                <w:sz w:val="22"/>
                <w:szCs w:val="22"/>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b w:val="1"/>
                <w:bCs w:val="1"/>
                <w:color w:val="auto"/>
              </w:rPr>
              <w:t>June 30, 2019</w:t>
            </w:r>
          </w:p>
        </w:tc>
        <w:tc>
          <w:tcPr>
            <w:tcW w:w="0" w:type="dxa"/>
            <w:vAlign w:val="bottom"/>
          </w:tcPr>
          <w:p>
            <w:pPr>
              <w:spacing w:after="0"/>
              <w:rPr>
                <w:sz w:val="1"/>
                <w:szCs w:val="1"/>
                <w:color w:val="auto"/>
              </w:rPr>
            </w:pPr>
          </w:p>
        </w:tc>
      </w:tr>
      <w:tr>
        <w:trPr>
          <w:trHeight w:val="192"/>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333,627</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336,084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667,076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674,941</w:t>
            </w:r>
          </w:p>
        </w:tc>
        <w:tc>
          <w:tcPr>
            <w:tcW w:w="0" w:type="dxa"/>
            <w:vAlign w:val="bottom"/>
          </w:tcPr>
          <w:p>
            <w:pPr>
              <w:spacing w:after="0"/>
              <w:rPr>
                <w:sz w:val="1"/>
                <w:szCs w:val="1"/>
                <w:color w:val="auto"/>
              </w:rPr>
            </w:pPr>
          </w:p>
        </w:tc>
      </w:tr>
      <w:tr>
        <w:trPr>
          <w:trHeight w:val="62"/>
        </w:trPr>
        <w:tc>
          <w:tcPr>
            <w:tcW w:w="486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160" w:type="dxa"/>
            <w:vAlign w:val="bottom"/>
          </w:tcPr>
          <w:p>
            <w:pPr>
              <w:spacing w:after="0"/>
              <w:rPr>
                <w:sz w:val="18"/>
                <w:szCs w:val="18"/>
                <w:color w:val="auto"/>
              </w:rPr>
            </w:pPr>
          </w:p>
        </w:tc>
        <w:tc>
          <w:tcPr>
            <w:tcW w:w="1260" w:type="dxa"/>
            <w:vAlign w:val="bottom"/>
            <w:vMerge w:val="restart"/>
          </w:tcPr>
          <w:p>
            <w:pPr>
              <w:jc w:val="right"/>
              <w:ind w:right="24"/>
              <w:spacing w:after="0"/>
              <w:rPr>
                <w:sz w:val="20"/>
                <w:szCs w:val="20"/>
                <w:color w:val="auto"/>
              </w:rPr>
            </w:pPr>
            <w:r>
              <w:rPr>
                <w:rFonts w:ascii="Arial" w:cs="Arial" w:eastAsia="Arial" w:hAnsi="Arial"/>
                <w:sz w:val="15"/>
                <w:szCs w:val="15"/>
                <w:color w:val="auto"/>
              </w:rPr>
              <w:t>216,224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ind w:right="24"/>
              <w:spacing w:after="0"/>
              <w:rPr>
                <w:sz w:val="20"/>
                <w:szCs w:val="20"/>
                <w:color w:val="auto"/>
              </w:rPr>
            </w:pPr>
            <w:r>
              <w:rPr>
                <w:rFonts w:ascii="Arial" w:cs="Arial" w:eastAsia="Arial" w:hAnsi="Arial"/>
                <w:sz w:val="15"/>
                <w:szCs w:val="15"/>
                <w:color w:val="auto"/>
              </w:rPr>
              <w:t>213,521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ind w:right="24"/>
              <w:spacing w:after="0"/>
              <w:rPr>
                <w:sz w:val="20"/>
                <w:szCs w:val="20"/>
                <w:color w:val="auto"/>
              </w:rPr>
            </w:pPr>
            <w:r>
              <w:rPr>
                <w:rFonts w:ascii="Arial" w:cs="Arial" w:eastAsia="Arial" w:hAnsi="Arial"/>
                <w:sz w:val="15"/>
                <w:szCs w:val="15"/>
                <w:color w:val="auto"/>
              </w:rPr>
              <w:t>430,185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ind w:right="24"/>
              <w:spacing w:after="0"/>
              <w:rPr>
                <w:sz w:val="20"/>
                <w:szCs w:val="20"/>
                <w:color w:val="auto"/>
              </w:rPr>
            </w:pPr>
            <w:r>
              <w:rPr>
                <w:rFonts w:ascii="Arial" w:cs="Arial" w:eastAsia="Arial" w:hAnsi="Arial"/>
                <w:sz w:val="15"/>
                <w:szCs w:val="15"/>
                <w:color w:val="auto"/>
              </w:rPr>
              <w:t>432,823</w:t>
            </w:r>
          </w:p>
        </w:tc>
        <w:tc>
          <w:tcPr>
            <w:tcW w:w="0" w:type="dxa"/>
            <w:vAlign w:val="bottom"/>
          </w:tcPr>
          <w:p>
            <w:pPr>
              <w:spacing w:after="0"/>
              <w:rPr>
                <w:sz w:val="1"/>
                <w:szCs w:val="1"/>
                <w:color w:val="auto"/>
              </w:rPr>
            </w:pPr>
          </w:p>
        </w:tc>
      </w:tr>
      <w:tr>
        <w:trPr>
          <w:trHeight w:val="58"/>
        </w:trPr>
        <w:tc>
          <w:tcPr>
            <w:tcW w:w="48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Gross profit</w:t>
            </w:r>
          </w:p>
        </w:tc>
        <w:tc>
          <w:tcPr>
            <w:tcW w:w="16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117,403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122,563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236,891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242,118</w:t>
            </w:r>
          </w:p>
        </w:tc>
        <w:tc>
          <w:tcPr>
            <w:tcW w:w="0" w:type="dxa"/>
            <w:vAlign w:val="bottom"/>
          </w:tcPr>
          <w:p>
            <w:pPr>
              <w:spacing w:after="0"/>
              <w:rPr>
                <w:sz w:val="1"/>
                <w:szCs w:val="1"/>
                <w:color w:val="auto"/>
              </w:rPr>
            </w:pPr>
          </w:p>
        </w:tc>
      </w:tr>
      <w:tr>
        <w:trPr>
          <w:trHeight w:val="62"/>
        </w:trPr>
        <w:tc>
          <w:tcPr>
            <w:tcW w:w="48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160" w:type="dxa"/>
            <w:vAlign w:val="bottom"/>
          </w:tcPr>
          <w:p>
            <w:pPr>
              <w:spacing w:after="0"/>
              <w:rPr>
                <w:sz w:val="18"/>
                <w:szCs w:val="18"/>
                <w:color w:val="auto"/>
              </w:rPr>
            </w:pPr>
          </w:p>
        </w:tc>
        <w:tc>
          <w:tcPr>
            <w:tcW w:w="1260" w:type="dxa"/>
            <w:vAlign w:val="bottom"/>
            <w:vMerge w:val="restart"/>
          </w:tcPr>
          <w:p>
            <w:pPr>
              <w:jc w:val="right"/>
              <w:ind w:right="24"/>
              <w:spacing w:after="0"/>
              <w:rPr>
                <w:sz w:val="20"/>
                <w:szCs w:val="20"/>
                <w:color w:val="auto"/>
              </w:rPr>
            </w:pPr>
            <w:r>
              <w:rPr>
                <w:rFonts w:ascii="Arial" w:cs="Arial" w:eastAsia="Arial" w:hAnsi="Arial"/>
                <w:sz w:val="15"/>
                <w:szCs w:val="15"/>
                <w:color w:val="auto"/>
              </w:rPr>
              <w:t>84,014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ind w:right="24"/>
              <w:spacing w:after="0"/>
              <w:rPr>
                <w:sz w:val="20"/>
                <w:szCs w:val="20"/>
                <w:color w:val="auto"/>
              </w:rPr>
            </w:pPr>
            <w:r>
              <w:rPr>
                <w:rFonts w:ascii="Arial" w:cs="Arial" w:eastAsia="Arial" w:hAnsi="Arial"/>
                <w:sz w:val="15"/>
                <w:szCs w:val="15"/>
                <w:color w:val="auto"/>
              </w:rPr>
              <w:t>80,312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ind w:right="24"/>
              <w:spacing w:after="0"/>
              <w:rPr>
                <w:sz w:val="20"/>
                <w:szCs w:val="20"/>
                <w:color w:val="auto"/>
              </w:rPr>
            </w:pPr>
            <w:r>
              <w:rPr>
                <w:rFonts w:ascii="Arial" w:cs="Arial" w:eastAsia="Arial" w:hAnsi="Arial"/>
                <w:sz w:val="15"/>
                <w:szCs w:val="15"/>
                <w:color w:val="auto"/>
              </w:rPr>
              <w:t>167,814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ind w:right="24"/>
              <w:spacing w:after="0"/>
              <w:rPr>
                <w:sz w:val="20"/>
                <w:szCs w:val="20"/>
                <w:color w:val="auto"/>
              </w:rPr>
            </w:pPr>
            <w:r>
              <w:rPr>
                <w:rFonts w:ascii="Arial" w:cs="Arial" w:eastAsia="Arial" w:hAnsi="Arial"/>
                <w:sz w:val="15"/>
                <w:szCs w:val="15"/>
                <w:color w:val="auto"/>
              </w:rPr>
              <w:t>161,709</w:t>
            </w:r>
          </w:p>
        </w:tc>
        <w:tc>
          <w:tcPr>
            <w:tcW w:w="0" w:type="dxa"/>
            <w:vAlign w:val="bottom"/>
          </w:tcPr>
          <w:p>
            <w:pPr>
              <w:spacing w:after="0"/>
              <w:rPr>
                <w:sz w:val="1"/>
                <w:szCs w:val="1"/>
                <w:color w:val="auto"/>
              </w:rPr>
            </w:pPr>
          </w:p>
        </w:tc>
      </w:tr>
      <w:tr>
        <w:trPr>
          <w:trHeight w:val="58"/>
        </w:trPr>
        <w:tc>
          <w:tcPr>
            <w:tcW w:w="4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Fees to manager</w:t>
            </w:r>
          </w:p>
        </w:tc>
        <w:tc>
          <w:tcPr>
            <w:tcW w:w="1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5,157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8,521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13,777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19,478</w:t>
            </w:r>
          </w:p>
        </w:tc>
        <w:tc>
          <w:tcPr>
            <w:tcW w:w="0" w:type="dxa"/>
            <w:vAlign w:val="bottom"/>
          </w:tcPr>
          <w:p>
            <w:pPr>
              <w:spacing w:after="0"/>
              <w:rPr>
                <w:sz w:val="1"/>
                <w:szCs w:val="1"/>
                <w:color w:val="auto"/>
              </w:rPr>
            </w:pPr>
          </w:p>
        </w:tc>
      </w:tr>
      <w:tr>
        <w:trPr>
          <w:trHeight w:val="62"/>
        </w:trPr>
        <w:tc>
          <w:tcPr>
            <w:tcW w:w="48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20"/>
              <w:spacing w:after="0"/>
              <w:rPr>
                <w:sz w:val="20"/>
                <w:szCs w:val="20"/>
                <w:color w:val="auto"/>
              </w:rPr>
            </w:pPr>
            <w:r>
              <w:rPr>
                <w:rFonts w:ascii="Arial" w:cs="Arial" w:eastAsia="Arial" w:hAnsi="Arial"/>
                <w:sz w:val="15"/>
                <w:szCs w:val="15"/>
                <w:color w:val="auto"/>
              </w:rPr>
              <w:t>Amortization of intangibles</w:t>
            </w:r>
          </w:p>
        </w:tc>
        <w:tc>
          <w:tcPr>
            <w:tcW w:w="160" w:type="dxa"/>
            <w:vAlign w:val="bottom"/>
          </w:tcPr>
          <w:p>
            <w:pPr>
              <w:spacing w:after="0"/>
              <w:rPr>
                <w:sz w:val="18"/>
                <w:szCs w:val="18"/>
                <w:color w:val="auto"/>
              </w:rPr>
            </w:pPr>
          </w:p>
        </w:tc>
        <w:tc>
          <w:tcPr>
            <w:tcW w:w="1260" w:type="dxa"/>
            <w:vAlign w:val="bottom"/>
            <w:vMerge w:val="restart"/>
          </w:tcPr>
          <w:p>
            <w:pPr>
              <w:jc w:val="right"/>
              <w:ind w:right="24"/>
              <w:spacing w:after="0"/>
              <w:rPr>
                <w:sz w:val="20"/>
                <w:szCs w:val="20"/>
                <w:color w:val="auto"/>
              </w:rPr>
            </w:pPr>
            <w:r>
              <w:rPr>
                <w:rFonts w:ascii="Arial" w:cs="Arial" w:eastAsia="Arial" w:hAnsi="Arial"/>
                <w:sz w:val="15"/>
                <w:szCs w:val="15"/>
                <w:color w:val="auto"/>
              </w:rPr>
              <w:t>14,779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ind w:right="24"/>
              <w:spacing w:after="0"/>
              <w:rPr>
                <w:sz w:val="20"/>
                <w:szCs w:val="20"/>
                <w:color w:val="auto"/>
              </w:rPr>
            </w:pPr>
            <w:r>
              <w:rPr>
                <w:rFonts w:ascii="Arial" w:cs="Arial" w:eastAsia="Arial" w:hAnsi="Arial"/>
                <w:sz w:val="15"/>
                <w:szCs w:val="15"/>
                <w:color w:val="auto"/>
              </w:rPr>
              <w:t>13,522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ind w:right="24"/>
              <w:spacing w:after="0"/>
              <w:rPr>
                <w:sz w:val="20"/>
                <w:szCs w:val="20"/>
                <w:color w:val="auto"/>
              </w:rPr>
            </w:pPr>
            <w:r>
              <w:rPr>
                <w:rFonts w:ascii="Arial" w:cs="Arial" w:eastAsia="Arial" w:hAnsi="Arial"/>
                <w:sz w:val="15"/>
                <w:szCs w:val="15"/>
                <w:color w:val="auto"/>
              </w:rPr>
              <w:t>28,284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ind w:right="24"/>
              <w:spacing w:after="0"/>
              <w:rPr>
                <w:sz w:val="20"/>
                <w:szCs w:val="20"/>
                <w:color w:val="auto"/>
              </w:rPr>
            </w:pPr>
            <w:r>
              <w:rPr>
                <w:rFonts w:ascii="Arial" w:cs="Arial" w:eastAsia="Arial" w:hAnsi="Arial"/>
                <w:sz w:val="15"/>
                <w:szCs w:val="15"/>
                <w:color w:val="auto"/>
              </w:rPr>
              <w:t>27,112</w:t>
            </w:r>
          </w:p>
        </w:tc>
        <w:tc>
          <w:tcPr>
            <w:tcW w:w="0" w:type="dxa"/>
            <w:vAlign w:val="bottom"/>
          </w:tcPr>
          <w:p>
            <w:pPr>
              <w:spacing w:after="0"/>
              <w:rPr>
                <w:sz w:val="1"/>
                <w:szCs w:val="1"/>
                <w:color w:val="auto"/>
              </w:rPr>
            </w:pPr>
          </w:p>
        </w:tc>
      </w:tr>
      <w:tr>
        <w:trPr>
          <w:trHeight w:val="58"/>
        </w:trPr>
        <w:tc>
          <w:tcPr>
            <w:tcW w:w="48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Operating income</w:t>
            </w:r>
          </w:p>
        </w:tc>
        <w:tc>
          <w:tcPr>
            <w:tcW w:w="16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13,453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20,208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27,016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33,819</w:t>
            </w:r>
          </w:p>
        </w:tc>
        <w:tc>
          <w:tcPr>
            <w:tcW w:w="0" w:type="dxa"/>
            <w:vAlign w:val="bottom"/>
          </w:tcPr>
          <w:p>
            <w:pPr>
              <w:spacing w:after="0"/>
              <w:rPr>
                <w:sz w:val="1"/>
                <w:szCs w:val="1"/>
                <w:color w:val="auto"/>
              </w:rPr>
            </w:pPr>
          </w:p>
        </w:tc>
      </w:tr>
      <w:tr>
        <w:trPr>
          <w:trHeight w:val="62"/>
        </w:trPr>
        <w:tc>
          <w:tcPr>
            <w:tcW w:w="48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6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(11,174)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(18,445)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(19,771)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(36,899)</w:t>
            </w:r>
          </w:p>
        </w:tc>
        <w:tc>
          <w:tcPr>
            <w:tcW w:w="0" w:type="dxa"/>
            <w:vAlign w:val="bottom"/>
          </w:tcPr>
          <w:p>
            <w:pPr>
              <w:spacing w:after="0"/>
              <w:rPr>
                <w:sz w:val="1"/>
                <w:szCs w:val="1"/>
                <w:color w:val="auto"/>
              </w:rPr>
            </w:pPr>
          </w:p>
        </w:tc>
      </w:tr>
      <w:tr>
        <w:trPr>
          <w:trHeight w:val="58"/>
        </w:trPr>
        <w:tc>
          <w:tcPr>
            <w:tcW w:w="4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debt issuance costs</w:t>
            </w:r>
          </w:p>
        </w:tc>
        <w:tc>
          <w:tcPr>
            <w:tcW w:w="16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(1,855)</w:t>
            </w:r>
          </w:p>
        </w:tc>
        <w:tc>
          <w:tcPr>
            <w:tcW w:w="0" w:type="dxa"/>
            <w:vAlign w:val="bottom"/>
          </w:tcPr>
          <w:p>
            <w:pPr>
              <w:spacing w:after="0"/>
              <w:rPr>
                <w:sz w:val="1"/>
                <w:szCs w:val="1"/>
                <w:color w:val="auto"/>
              </w:rPr>
            </w:pPr>
          </w:p>
        </w:tc>
      </w:tr>
      <w:tr>
        <w:trPr>
          <w:trHeight w:val="62"/>
        </w:trPr>
        <w:tc>
          <w:tcPr>
            <w:tcW w:w="48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20"/>
              <w:spacing w:after="0"/>
              <w:rPr>
                <w:sz w:val="20"/>
                <w:szCs w:val="20"/>
                <w:color w:val="auto"/>
              </w:rPr>
            </w:pPr>
            <w:r>
              <w:rPr>
                <w:rFonts w:ascii="Arial" w:cs="Arial" w:eastAsia="Arial" w:hAnsi="Arial"/>
                <w:sz w:val="15"/>
                <w:szCs w:val="15"/>
                <w:color w:val="auto"/>
              </w:rPr>
              <w:t>Other income (expense)</w:t>
            </w:r>
          </w:p>
        </w:tc>
        <w:tc>
          <w:tcPr>
            <w:tcW w:w="16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(2,386)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(1,725)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(5,824)</w:t>
            </w:r>
          </w:p>
        </w:tc>
        <w:tc>
          <w:tcPr>
            <w:tcW w:w="0" w:type="dxa"/>
            <w:vAlign w:val="bottom"/>
          </w:tcPr>
          <w:p>
            <w:pPr>
              <w:spacing w:after="0"/>
              <w:rPr>
                <w:sz w:val="1"/>
                <w:szCs w:val="1"/>
                <w:color w:val="auto"/>
              </w:rPr>
            </w:pPr>
          </w:p>
        </w:tc>
      </w:tr>
      <w:tr>
        <w:trPr>
          <w:trHeight w:val="58"/>
        </w:trPr>
        <w:tc>
          <w:tcPr>
            <w:tcW w:w="48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48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Income (loss) from continuing operations before income taxes</w:t>
            </w: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745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4,385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(10,759)</w:t>
            </w:r>
          </w:p>
        </w:tc>
        <w:tc>
          <w:tcPr>
            <w:tcW w:w="0" w:type="dxa"/>
            <w:vAlign w:val="bottom"/>
          </w:tcPr>
          <w:p>
            <w:pPr>
              <w:spacing w:after="0"/>
              <w:rPr>
                <w:sz w:val="1"/>
                <w:szCs w:val="1"/>
                <w:color w:val="auto"/>
              </w:rPr>
            </w:pPr>
          </w:p>
        </w:tc>
      </w:tr>
      <w:tr>
        <w:trPr>
          <w:trHeight w:val="188"/>
        </w:trPr>
        <w:tc>
          <w:tcPr>
            <w:tcW w:w="486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160" w:type="dxa"/>
            <w:vAlign w:val="bottom"/>
          </w:tcPr>
          <w:p>
            <w:pPr>
              <w:spacing w:after="0"/>
              <w:rPr>
                <w:sz w:val="16"/>
                <w:szCs w:val="16"/>
                <w:color w:val="auto"/>
              </w:rPr>
            </w:pPr>
          </w:p>
        </w:tc>
        <w:tc>
          <w:tcPr>
            <w:tcW w:w="1260" w:type="dxa"/>
            <w:vAlign w:val="bottom"/>
            <w:vMerge w:val="restart"/>
          </w:tcPr>
          <w:p>
            <w:pPr>
              <w:jc w:val="right"/>
              <w:ind w:right="24"/>
              <w:spacing w:after="0"/>
              <w:rPr>
                <w:sz w:val="20"/>
                <w:szCs w:val="20"/>
                <w:color w:val="auto"/>
              </w:rPr>
            </w:pPr>
            <w:r>
              <w:rPr>
                <w:rFonts w:ascii="Arial" w:cs="Arial" w:eastAsia="Arial" w:hAnsi="Arial"/>
                <w:sz w:val="15"/>
                <w:szCs w:val="15"/>
                <w:color w:val="auto"/>
              </w:rPr>
              <w:t>6,649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restart"/>
          </w:tcPr>
          <w:p>
            <w:pPr>
              <w:jc w:val="right"/>
              <w:ind w:right="24"/>
              <w:spacing w:after="0"/>
              <w:rPr>
                <w:sz w:val="20"/>
                <w:szCs w:val="20"/>
                <w:color w:val="auto"/>
              </w:rPr>
            </w:pPr>
            <w:r>
              <w:rPr>
                <w:rFonts w:ascii="Arial" w:cs="Arial" w:eastAsia="Arial" w:hAnsi="Arial"/>
                <w:sz w:val="15"/>
                <w:szCs w:val="15"/>
                <w:color w:val="auto"/>
              </w:rPr>
              <w:t>4,551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restart"/>
          </w:tcPr>
          <w:p>
            <w:pPr>
              <w:jc w:val="right"/>
              <w:ind w:right="24"/>
              <w:spacing w:after="0"/>
              <w:rPr>
                <w:sz w:val="20"/>
                <w:szCs w:val="20"/>
                <w:color w:val="auto"/>
              </w:rPr>
            </w:pPr>
            <w:r>
              <w:rPr>
                <w:rFonts w:ascii="Arial" w:cs="Arial" w:eastAsia="Arial" w:hAnsi="Arial"/>
                <w:sz w:val="15"/>
                <w:szCs w:val="15"/>
                <w:color w:val="auto"/>
              </w:rPr>
              <w:t>6,871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restart"/>
          </w:tcPr>
          <w:p>
            <w:pPr>
              <w:jc w:val="right"/>
              <w:ind w:right="24"/>
              <w:spacing w:after="0"/>
              <w:rPr>
                <w:sz w:val="20"/>
                <w:szCs w:val="20"/>
                <w:color w:val="auto"/>
              </w:rPr>
            </w:pPr>
            <w:r>
              <w:rPr>
                <w:rFonts w:ascii="Arial" w:cs="Arial" w:eastAsia="Arial" w:hAnsi="Arial"/>
                <w:sz w:val="15"/>
                <w:szCs w:val="15"/>
                <w:color w:val="auto"/>
              </w:rPr>
              <w:t>5,975</w:t>
            </w:r>
          </w:p>
        </w:tc>
        <w:tc>
          <w:tcPr>
            <w:tcW w:w="0" w:type="dxa"/>
            <w:vAlign w:val="bottom"/>
          </w:tcPr>
          <w:p>
            <w:pPr>
              <w:spacing w:after="0"/>
              <w:rPr>
                <w:sz w:val="1"/>
                <w:szCs w:val="1"/>
                <w:color w:val="auto"/>
              </w:rPr>
            </w:pPr>
          </w:p>
        </w:tc>
      </w:tr>
      <w:tr>
        <w:trPr>
          <w:trHeight w:val="58"/>
        </w:trPr>
        <w:tc>
          <w:tcPr>
            <w:tcW w:w="48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Loss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(16,734)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463"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 consolidated basis, net revenues for the three months ended June 30, 2020 decreased by approximately $ 2.5 million, or 0.7%, compared to the corresponding period in 2019. During the three months ended June 30, 2020 compared to 2019, we saw increases in net sales at Liberty ($3.8 million increase), Velocity Outdoor ($17.6 million increase), and ACI ($0.5 million increase), while our other businesses saw a decrease in net sales resulting from the effects of the COVID-19 pandemic, notably Arnold ($5.2 million decrease), Foam Fabricators ($7.2 million decrease) and Sterno ($9.1 million decrease). Refer to "Results of Operations - Business Segments" for a more detailed analysis of net revenues by business segment.</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we expect such earnings to be minimal. Our investment in our businesses is typically in the form of loans from the Company to such businesses, as well as equity interests in those companies. Cash flows coming to the Trust and the Company are the result of interest payments on those loans, amortization of those loans and dividends on our equity ownership. However, on a consolidated basis, these items will be eliminated.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 consolidated basis, cost of revenues increased approximately $ 2.7 million during the three months ended June 30, 2020 compared to the corresponding period in 2019. Gross profit as a percentage of net revenues was approximately 35.2% in the three months ended June 30, 2020 compared to 36.5% in the three months ended June 30, 2019. We recognized $3.0 million in expense related to the amortization of the inventory step-up resulting from our purchase price allocation of Marucci Sports during the quarter. Excluding the effect of the Marucci adjustment, gross profit as a percentage of net revenues was 35.7%. The decrease in gross profit as a percentage of net sales in the quarter ended June 30, 2020 as compared to the quarter ended June 30, 2019 primarily related to our niche industrial businesses, which have higher fixed costs because these businesses manufacturer their products. Refer to "Results of Operations - Business Segments" for a more detailed analysis of gross profit by business segment.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Consolidated selling, general and administrative expense increased approximately $3.7 million during the three months ended June 30, 2020, compared to the corresponding period in 2019. Selling, general and administrative expense during the quarter includes expenses related to our acquisition of Marucci Sports during the current quarter. We incurred $2.0 million in acquisition related expenses and Marucci incurred approximately $4.0 million in selling, general and administrative expense during the period from acquisition through June 30, 2020. Refer to "Results of Operations - Business Segments" for a more detailed analysis of selling, general and administrative expense by business segment. At the corporate level, general and administrative expense was $3.6 million in the second quarter of 2020 and $3.1 million in the second quarter of 2019. Corporate level expense in the second quarter included $0.7 million in unsuccessful acquisition costs.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Management Services Agreement ("MSA"), we pay CGM a quarterly management fee equal to 0.5% (2.0% annually) of our consolidated adjusted net assets. We accrue for the management fee on a quarterly basis. For the three months ended June 30, 2020, we incurred approximately $5.2 million in management fees as compared to $8.5 million in fees in the three months ended June 30, 2019. As a result of an expected decline in earnings and cash flows in the second quarter of 2020, CGM agreed to waive 50% of the management fee calculated at June 30, 2020 that was paid in July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Amortization expense for the three months ended June 30, 2020 increased $1.3 million as compared to the three months ended June 30, 2019 as a result of the amortization expense associated with the intangibles that were recognized in conjunction with the preliminary purchase price allocation for Marucci.</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6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recorded interest expense totaling $11.2 million for the three months ended June 30, 2020 compared to $18.4 million for the comparable period in 2019, a decrease of $7.3 million. The decrease in interest expense for the quarter reflects the repayment of our 2018 Term Loan during 2019 using a portion of the proceeds from the sale of Clean Earth and proceeds from the issuance of preferred shares. This was partially offset by an increase in interest expense during the current quarter related to our issuance of an additional $200 million in our 8.000% Senior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quarter ended June 30, 2020, we recorded $2.4 million in other expense as compared to $0.1 million in other expense in the quarter ended June 30, 2019, an increase in expense of $2.3 million. Other income (expense) primarily reflects the movement in foreign currency at our businesses with international operations, and gains or (losses) realized on the sale of property, plant and equipment.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an income tax provision of $6.6 million from continuing operations during the three months ended June 30, 2020 compared to an income tax provision of $4.6 million from continuing operations during the same period in 2019. While our income from continuing operations before taxes for the quarter ended June 30, 2020 decreased by approximately $1.5 million as compared to the prior year quarter ended June 30, 2019, our tax provision increased $2.1 million as the tax provision reflects an annual effective tax rate at our subsidiaries, the effect of state and local taxes and the related allocation of income, and the losses at our parent company, which is taxed as a partnership.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 consolidated basis, net revenues for the six months ended June 30, 2020 decreased by approximately $7.9 million, or 1.2%, compared to the corresponding period in 2019. During the six months ended June 30, 2020 compared to 2019, we saw increases in net sales at 5.11 ($2.5 million increase), Liberty ($6.6 million increase), and Velocity ($16.9 million increase), while our other businesses saw a decrease in net sales resulting from the effects of the COVID-19 pandemic, notably Arnold ($5.7 million decrease), Foam Fabricators ($9.5 million decrease) and Sterno ($17.3 million decrease). Refer to "Results of Operations - Business Segments" for a more detailed analysis of net revenues by business segment.</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we expect such earnings to be minimal. Our investment in our businesses is typically in the form of loans from the Company to such businesses, as well as equity interests in those companies. Cash flows coming to the Trust and the Company are the result of interest payments on those loans, amortization of those loans and dividends on our equity ownership. However, on a consolidated basis, these items will be eliminated.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 consolidated basis, cost of revenues decreased approximately $2.6 million during the six months ended June 30, 2020 compared to the corresponding period in 2019. Gross profit as a percentage of net revenues was approximately 35.5% in the six months ended June 30, 2020 compared to 35.9% in the six months ended June 30, 2019. Refer to "Results of Operations - Business Segments" for a more detailed analysis of gross profit by business segment.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Consolidated selling, general and administrative expense increased approximately $6.1 million during the six months ended June 30, 2020, compared to the corresponding period in 2019. The increase in selling, general and administrative expense primarily relates to our acquisition of Marucci Sports during the current quarter. We incurred $2.0 million in acquisition related expenses and Marucci incurred approximately $4.0 million in selling, general and administrative expense during the period from acquisition through June 30, 2020. Refer to "Results of Operations - Business Segments" for a more detailed analysis of selling, general and administrative expense by business segment. At the corporate level, general and administrative expense was $6.9 million in the first half of 2020 and $6.4 million in the first half of 2019.</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49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Pursuant to the Management Services Agreement ("MSA"), we pay CGM a quarterly management fee equal to 0.5% (2.0% annually) of our consolidated adjusted net assets. We accrue for the management fee on a quarterly basis. For the six months ended June 30, 2020, we incurred approximately $13.8 million in management fees as compared to $19.5 million in fees in the six months ended June 30, 2019. The decrease was attributable to the sale of Clean Earth in the second quarter of 2019. Concurrent with the June 2019 sale of Clean Earth, CGM agreed to waive the management fee on cash balances held at the Company, commencing with the quarter ended June 30, 2019 and continuing until the quarter during which the Company next borrowed under the 2018 Revolving Credit Facility. In March 2020, as a proactive measure to provide the Company with additional cash liquidity in light of the COVID-19 pandemic, the Company elected to draw down $ 200 million on our 2018 Revolving Credit Facility. The Company and CGM entered into a waiver agreement whereby CGM agreed to waive the portion of the management fee attributable to the cash balances held at the Company as of March 31, 2020. Additionally, as a result of an expected decline in earnings and cash flows in the second quarter of 2020, CGM agreed to waive 50% of the management fee calculated at June 30, 2020 that was paid in July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Amortization expense for the six months ended June 30, 2020 increased $1.2 million as compared to the six months ended June 30, 2019 as a result of the amortization expense associated with the intangibles that were recognized in conjunction with the preliminary purchase price allocation for Marucci.</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recorded interest expense totaling $19.8 million for the six months ended June 30, 2020 compared to $36.9 million for the comparable period in 2019, a decrease of $17.1 million. The decrease in interest expense for the six months ended June 30, 2020 reflects the repayment of our 2018 Term Loan during 2019 using a portion of the proceeds from the sale of Clean Earth and proceeds from the issuance of preferred shares, partially offset by an increase in interest expense during the current quarter related to our issuance of an additional $200 million in our 8.000% Senior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 months ended June 30, 2020, we recorded $1.7 million in other income as compared to $5.8 million in other expense in the six months ended June 30, 2019, an increase in income of $4.1 million. Other income (expense) primarily reflects the movement in foreign currency at our businesses with international operations. The prior year also includes a $5.3 million loss on the sale of the Tilray Common Stock we received related to the sale of Manitoba Harvest.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had an income tax provision of $6.9 million from continuing operations during the six months ended June 30, 2020 compared to an income tax provision of $6.0 million from continuing operations during the same period in 2019. While our income from continuing operations before taxes for the six months ended June 30, 2020 increased by approximately $15.1 million as compared to the six months ended June 30, 2019, our tax provision increased $0.9 million as the tax provision reflects an annual effective tax rate at our subsidiaries, the effect of state and local taxes and the related allocation of income, and the losses at our parent company, which is taxed as a partnership. Our effective tax rate for the six months ended June 30, 2020 was 156.7% as compared to and effective tax rate of (55.5)% for the six months ended June 30, 2019.</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27, 2020, the Coronavirus Aid, Relief, and Economic Security (“CARES”) Act was signed into law. The CARES Act includes many measures to assist companies, including temporary changes to income and non-income-based tax laws, some of which were enacted under the Tax Cuts and Jobs Act (TCJA) in 2017. Some of the key income tax related provisions of the CARES Act were allowing net operating losses ("NOLs") arising in 2018, 2019 or 2020 to be carried back five years, suspending the 80% taxable income limit until 2021, and increasing the taxable income threshold for the limit on the interest deduction from 30% to 50% for tax years beginning in 2019 and 2020 and allowing taxpayers to use 2019 taxable income to calculate the 2020 limit. While several of our subsidiaries were able to take advantage of the income tax related provisions during the first quarter of 2020, the CARES Act did not have a material impact on our consolidated financial statements. We continue to monitor any effects that may result from the CARES Act.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44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Results of Operations -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w:t>
      </w:r>
    </w:p>
    <w:p>
      <w:pPr>
        <w:spacing w:after="0" w:line="200" w:lineRule="exact"/>
        <w:rPr>
          <w:sz w:val="20"/>
          <w:szCs w:val="20"/>
          <w:color w:val="auto"/>
        </w:rPr>
      </w:pPr>
    </w:p>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1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Six months ended</w:t>
            </w:r>
          </w:p>
        </w:tc>
        <w:tc>
          <w:tcPr>
            <w:tcW w:w="760" w:type="dxa"/>
            <w:vAlign w:val="bottom"/>
            <w:tcBorders>
              <w:bottom w:val="single" w:sz="8" w:color="auto"/>
            </w:tcBorders>
          </w:tcPr>
          <w:p>
            <w:pPr>
              <w:spacing w:after="0"/>
              <w:rPr>
                <w:sz w:val="19"/>
                <w:szCs w:val="19"/>
                <w:color w:val="auto"/>
              </w:rPr>
            </w:pPr>
          </w:p>
        </w:tc>
      </w:tr>
      <w:tr>
        <w:trPr>
          <w:trHeight w:val="263"/>
        </w:trPr>
        <w:tc>
          <w:tcPr>
            <w:tcW w:w="1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Pr>
          <w:p>
            <w:pPr>
              <w:spacing w:after="0"/>
              <w:rPr>
                <w:sz w:val="22"/>
                <w:szCs w:val="22"/>
                <w:color w:val="auto"/>
              </w:rPr>
            </w:pPr>
          </w:p>
        </w:tc>
        <w:tc>
          <w:tcPr>
            <w:tcW w:w="166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22"/>
                <w:szCs w:val="22"/>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2"/>
                <w:szCs w:val="22"/>
                <w:color w:val="auto"/>
              </w:rPr>
            </w:pPr>
          </w:p>
        </w:tc>
        <w:tc>
          <w:tcPr>
            <w:tcW w:w="162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June 30, 2019</w:t>
            </w:r>
          </w:p>
        </w:tc>
      </w:tr>
      <w:tr>
        <w:trPr>
          <w:trHeight w:val="270"/>
        </w:trPr>
        <w:tc>
          <w:tcPr>
            <w:tcW w:w="1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87,635</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92,836</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183,416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180,925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6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44,321</w:t>
            </w:r>
          </w:p>
        </w:tc>
        <w:tc>
          <w:tcPr>
            <w:tcW w:w="820" w:type="dxa"/>
            <w:vAlign w:val="bottom"/>
          </w:tcPr>
          <w:p>
            <w:pPr>
              <w:jc w:val="right"/>
              <w:spacing w:after="0"/>
              <w:rPr>
                <w:sz w:val="20"/>
                <w:szCs w:val="20"/>
                <w:color w:val="auto"/>
              </w:rPr>
            </w:pPr>
            <w:r>
              <w:rPr>
                <w:rFonts w:ascii="Arial" w:cs="Arial" w:eastAsia="Arial" w:hAnsi="Arial"/>
                <w:sz w:val="16"/>
                <w:szCs w:val="16"/>
                <w:color w:val="auto"/>
              </w:rPr>
              <w:t>50.6%</w:t>
            </w:r>
          </w:p>
        </w:tc>
        <w:tc>
          <w:tcPr>
            <w:tcW w:w="14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45,475</w:t>
            </w:r>
          </w:p>
        </w:tc>
        <w:tc>
          <w:tcPr>
            <w:tcW w:w="740" w:type="dxa"/>
            <w:vAlign w:val="bottom"/>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91,578</w:t>
            </w:r>
          </w:p>
        </w:tc>
        <w:tc>
          <w:tcPr>
            <w:tcW w:w="780" w:type="dxa"/>
            <w:vAlign w:val="bottom"/>
          </w:tcPr>
          <w:p>
            <w:pPr>
              <w:jc w:val="right"/>
              <w:spacing w:after="0"/>
              <w:rPr>
                <w:sz w:val="20"/>
                <w:szCs w:val="20"/>
                <w:color w:val="auto"/>
              </w:rPr>
            </w:pPr>
            <w:r>
              <w:rPr>
                <w:rFonts w:ascii="Arial" w:cs="Arial" w:eastAsia="Arial" w:hAnsi="Arial"/>
                <w:sz w:val="16"/>
                <w:szCs w:val="16"/>
                <w:color w:val="auto"/>
              </w:rPr>
              <w:t>49.9%</w:t>
            </w:r>
          </w:p>
        </w:tc>
        <w:tc>
          <w:tcPr>
            <w:tcW w:w="1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88,420</w:t>
            </w:r>
          </w:p>
        </w:tc>
        <w:tc>
          <w:tcPr>
            <w:tcW w:w="76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280"/>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37,182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37,965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77,417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76,136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51"/>
        </w:trPr>
        <w:tc>
          <w:tcPr>
            <w:tcW w:w="1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4,702</w:t>
            </w:r>
          </w:p>
        </w:tc>
        <w:tc>
          <w:tcPr>
            <w:tcW w:w="820" w:type="dxa"/>
            <w:vAlign w:val="bottom"/>
          </w:tcPr>
          <w:p>
            <w:pPr>
              <w:jc w:val="right"/>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5,073</w:t>
            </w:r>
          </w:p>
        </w:tc>
        <w:tc>
          <w:tcPr>
            <w:tcW w:w="7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9,288</w:t>
            </w: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14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7,411</w:t>
            </w:r>
          </w:p>
        </w:tc>
        <w:tc>
          <w:tcPr>
            <w:tcW w:w="760" w:type="dxa"/>
            <w:vAlign w:val="bottom"/>
          </w:tcPr>
          <w:p>
            <w:pPr>
              <w:jc w:val="right"/>
              <w:spacing w:after="0"/>
              <w:rPr>
                <w:sz w:val="20"/>
                <w:szCs w:val="20"/>
                <w:color w:val="auto"/>
              </w:rPr>
            </w:pPr>
            <w:r>
              <w:rPr>
                <w:rFonts w:ascii="Arial" w:cs="Arial" w:eastAsia="Arial" w:hAnsi="Arial"/>
                <w:sz w:val="16"/>
                <w:szCs w:val="16"/>
                <w:color w:val="auto"/>
              </w:rPr>
              <w:t>4.1%</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three months ended June 30, 2020 were $87.6 million as compared to net sales of $92.8 million for the three months ended June 30, 2019, a decrease of $5.2 million, or 5.6%. This decrease is due primarily to the effects of the COVID-19 pandemic on store traffic in both our wholesale channels as well as our own retail stores, partially offset by an increase in e-commerce sales during the quarter.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as a percentage of net sales was 50.6% in the three months ended June 30, 2020 as compared to 49.0% for the three months ended June 30, 2019. Growth in gross profit was driven by channel mix as direct to consumer sales, which realize higher gross profit than wholesale sales, grew versus the prior period. The growth in gross profit for the three months ended June 30, 2020 as compared to the three months ended June 30, 2019 was partially offset by additional inventory reserves and duty drawback accrual (increase in cost of goods sold) for audited duty drawback claims.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June 30, 2020 was $37.2 million, or 42.4% of net sales compared to $38.0 million, or 40.9% of net sales for the comparable period in 2019. The decrease in selling, general and administrative expense was driven by management’s decision to reduce variable expenses, including travel and entertainment, sales and marketing as well as the furloughing of retail store employees as a response to decreased sales from the effects of the COVID-19 pandemic.</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June 30, 2020 was $4.7 million, a decrease of $0.4 million when compared to income from operations of $5.1 million for the same period in 2019, based on the factors described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six months ended June 30, 2020 were $183.4 million as compared to net sales of $180.9 million for the six months ended June 30, 2019, an increase of $2.5 million, or 1.4%. This increase is due primarily to e-commerce sales growth of $11.3 million, offset by the effect of COVID-19 pandemic on store traffic in both our wholesale channel and our own retail stores.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as a percentage of net sales was 49.9% in the six months ended June 30, 2020 as compared to 48.9% for the six months ended June 30, 2019. Growth in gross margin was driven by channel mix as direct to consumer sales, which realize a higher gross margin than wholesale sales, grew versus the prior period. The growth in gross profit for the six months ended June 30, 2020 as compared to the six months ended June 30, 2019 was partially offset by additional inventory reserves and duty drawback accrual (increase in cost of goods sold) for audited duty drawback claims.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44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six months ended June 30, 2020 was $77.4 million, or 42.2% of net sales compared to $76.1 million, or 42.1% of net sales for the comparable period in 2019. The increase in selling, general and administrative expense for the six months ended June 30, 2020 as compared to the prior year comparable period was driven by the costs associated with additional retail stores (sixty-eight open in 2020 versus forty-nine open in 2019 during the comparable period), as well as additional sales and marketing spend to drive digital sales.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six months ended June 30, 2020 was $9.3 million, an increase of $1.9 million when compared to income from operations of $7.4 million for the same period in 2019, based on the factors described above.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Ergobaby</w:t>
      </w:r>
    </w:p>
    <w:p>
      <w:pPr>
        <w:spacing w:after="0" w:line="365" w:lineRule="exact"/>
        <w:rPr>
          <w:sz w:val="20"/>
          <w:szCs w:val="20"/>
          <w:color w:val="auto"/>
        </w:rPr>
      </w:pPr>
    </w:p>
    <w:tbl>
      <w:tblPr>
        <w:tblLayout w:type="fixed"/>
        <w:tblInd w:w="1020" w:type="dxa"/>
        <w:tblCellMar>
          <w:top w:w="0" w:type="dxa"/>
          <w:left w:w="0" w:type="dxa"/>
          <w:bottom w:w="0" w:type="dxa"/>
          <w:right w:w="0" w:type="dxa"/>
        </w:tblCellMar>
      </w:tblPr>
      <w:tr>
        <w:trPr>
          <w:trHeight w:val="228"/>
        </w:trPr>
        <w:tc>
          <w:tcPr>
            <w:tcW w:w="1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Six months ended</w:t>
            </w:r>
          </w:p>
        </w:tc>
        <w:tc>
          <w:tcPr>
            <w:tcW w:w="760" w:type="dxa"/>
            <w:vAlign w:val="bottom"/>
            <w:tcBorders>
              <w:bottom w:val="single" w:sz="8" w:color="auto"/>
            </w:tcBorders>
          </w:tcPr>
          <w:p>
            <w:pPr>
              <w:spacing w:after="0"/>
              <w:rPr>
                <w:sz w:val="19"/>
                <w:szCs w:val="19"/>
                <w:color w:val="auto"/>
              </w:rPr>
            </w:pPr>
          </w:p>
        </w:tc>
      </w:tr>
      <w:tr>
        <w:trPr>
          <w:trHeight w:val="263"/>
        </w:trPr>
        <w:tc>
          <w:tcPr>
            <w:tcW w:w="1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Pr>
          <w:p>
            <w:pPr>
              <w:spacing w:after="0"/>
              <w:rPr>
                <w:sz w:val="22"/>
                <w:szCs w:val="22"/>
                <w:color w:val="auto"/>
              </w:rPr>
            </w:pPr>
          </w:p>
        </w:tc>
        <w:tc>
          <w:tcPr>
            <w:tcW w:w="168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2019</w:t>
            </w:r>
          </w:p>
        </w:tc>
        <w:tc>
          <w:tcPr>
            <w:tcW w:w="260" w:type="dxa"/>
            <w:vAlign w:val="bottom"/>
          </w:tcPr>
          <w:p>
            <w:pPr>
              <w:spacing w:after="0"/>
              <w:rPr>
                <w:sz w:val="22"/>
                <w:szCs w:val="22"/>
                <w:color w:val="auto"/>
              </w:rPr>
            </w:pPr>
          </w:p>
        </w:tc>
        <w:tc>
          <w:tcPr>
            <w:tcW w:w="162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June 30, 2020</w:t>
            </w:r>
          </w:p>
        </w:tc>
        <w:tc>
          <w:tcPr>
            <w:tcW w:w="320" w:type="dxa"/>
            <w:vAlign w:val="bottom"/>
          </w:tcPr>
          <w:p>
            <w:pPr>
              <w:spacing w:after="0"/>
              <w:rPr>
                <w:sz w:val="22"/>
                <w:szCs w:val="22"/>
                <w:color w:val="auto"/>
              </w:rPr>
            </w:pPr>
          </w:p>
        </w:tc>
        <w:tc>
          <w:tcPr>
            <w:tcW w:w="156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June 30, 2019</w:t>
            </w:r>
          </w:p>
        </w:tc>
      </w:tr>
      <w:tr>
        <w:trPr>
          <w:trHeight w:val="270"/>
        </w:trPr>
        <w:tc>
          <w:tcPr>
            <w:tcW w:w="1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20,044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22,971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39,693</w:t>
            </w: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3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45,423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6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13,176</w:t>
            </w:r>
          </w:p>
        </w:tc>
        <w:tc>
          <w:tcPr>
            <w:tcW w:w="820" w:type="dxa"/>
            <w:vAlign w:val="bottom"/>
          </w:tcPr>
          <w:p>
            <w:pPr>
              <w:jc w:val="right"/>
              <w:spacing w:after="0"/>
              <w:rPr>
                <w:sz w:val="20"/>
                <w:szCs w:val="20"/>
                <w:color w:val="auto"/>
              </w:rPr>
            </w:pPr>
            <w:r>
              <w:rPr>
                <w:rFonts w:ascii="Arial" w:cs="Arial" w:eastAsia="Arial" w:hAnsi="Arial"/>
                <w:sz w:val="16"/>
                <w:szCs w:val="16"/>
                <w:color w:val="auto"/>
              </w:rPr>
              <w:t>65.7%</w:t>
            </w:r>
          </w:p>
        </w:tc>
        <w:tc>
          <w:tcPr>
            <w:tcW w:w="14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14,573</w:t>
            </w:r>
          </w:p>
        </w:tc>
        <w:tc>
          <w:tcPr>
            <w:tcW w:w="760" w:type="dxa"/>
            <w:vAlign w:val="bottom"/>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25,942</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65.4%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28,791</w:t>
            </w:r>
          </w:p>
        </w:tc>
        <w:tc>
          <w:tcPr>
            <w:tcW w:w="760" w:type="dxa"/>
            <w:vAlign w:val="bottom"/>
          </w:tcPr>
          <w:p>
            <w:pPr>
              <w:jc w:val="right"/>
              <w:spacing w:after="0"/>
              <w:rPr>
                <w:sz w:val="20"/>
                <w:szCs w:val="20"/>
                <w:color w:val="auto"/>
              </w:rPr>
            </w:pPr>
            <w:r>
              <w:rPr>
                <w:rFonts w:ascii="Arial" w:cs="Arial" w:eastAsia="Arial" w:hAnsi="Arial"/>
                <w:sz w:val="16"/>
                <w:szCs w:val="16"/>
                <w:color w:val="auto"/>
              </w:rPr>
              <w:t>63.4%</w:t>
            </w:r>
          </w:p>
        </w:tc>
      </w:tr>
      <w:tr>
        <w:trPr>
          <w:trHeight w:val="280"/>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9,194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9,827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18,450</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18,959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51"/>
        </w:trPr>
        <w:tc>
          <w:tcPr>
            <w:tcW w:w="16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2,026</w:t>
            </w:r>
          </w:p>
        </w:tc>
        <w:tc>
          <w:tcPr>
            <w:tcW w:w="820" w:type="dxa"/>
            <w:vAlign w:val="bottom"/>
          </w:tcPr>
          <w:p>
            <w:pPr>
              <w:jc w:val="right"/>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2,795</w:t>
            </w:r>
          </w:p>
        </w:tc>
        <w:tc>
          <w:tcPr>
            <w:tcW w:w="76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3,580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5,931</w:t>
            </w:r>
          </w:p>
        </w:tc>
        <w:tc>
          <w:tcPr>
            <w:tcW w:w="760" w:type="dxa"/>
            <w:vAlign w:val="bottom"/>
          </w:tcPr>
          <w:p>
            <w:pPr>
              <w:jc w:val="right"/>
              <w:spacing w:after="0"/>
              <w:rPr>
                <w:sz w:val="20"/>
                <w:szCs w:val="20"/>
                <w:color w:val="auto"/>
              </w:rPr>
            </w:pPr>
            <w:r>
              <w:rPr>
                <w:rFonts w:ascii="Arial" w:cs="Arial" w:eastAsia="Arial" w:hAnsi="Arial"/>
                <w:sz w:val="16"/>
                <w:szCs w:val="16"/>
                <w:color w:val="auto"/>
              </w:rPr>
              <w:t>13.1%</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June 30, 2020 were $20.0 million, a decrease of $2.9 million, or 12.7%, compared to the same period in 2019. During the three months ended June 30, 2020, international sales were approximately $12.9 million, representing a decrease of $3.1 million over the corresponding period in 2019, primarily as a result of timing of sales volume at Ergobaby's Asia-Pacific and EMEA distributors and decreased sales at key European accounts. Domestic sales were $7.1 million in the second quarter of 2020, reflecting an increase of $0.2 million compared to the corresponding period in 2019. The increase in domestic sales was driven by an increase in e-commerce sales during the quarter, partially offset by the shutdown of many of our retail and specialty account customers' stores as a result of COVID-19.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65.7% for the quarter ended June 30, 2020, as compared to 63.4% for the three months ended June 30, 2019. The increase in gross profit as a percentage of sales was due to the mix of products sold, reduced freight costs and the mix of sales channels.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decreased $ 0.6 million quarter over quarter, with expense of $9.2 million, or 45.9% of net sales for the three months ended June 30, 2020 as compared to $9.8 million or 42.8% of net sales for the same period of 2019. The increase in selling, general and administrative expense as a percentage of net sales in the three months ended June 30, 2020 as compared to the comparable period in the prior year is due to the timing of distributor sales as well as non-recurring severance expense.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three months ended June 30, 2020 decreased $0.8 million, compared to the same period of 2019, based on the factors noted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six months ended June 30, 2020 were $39.7 million, a decrease of $5.7 million, or 12.6%, compared to the same period in 2019. During the six months ended June 30, 2020, international sales were approximately $26.3 million, representing a decrease of $4.9 million over the corresponding period in 2019, primarily as a result of timing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517" w:right="339" w:bottom="1440" w:gutter="0" w:footer="0" w:header="0"/>
        </w:sectPr>
      </w:pPr>
    </w:p>
    <w:bookmarkStart w:id="45" w:name="page46"/>
    <w:bookmarkEnd w:id="45"/>
    <w:p>
      <w:pPr>
        <w:jc w:val="both"/>
        <w:spacing w:after="0" w:line="256" w:lineRule="auto"/>
        <w:rPr>
          <w:sz w:val="20"/>
          <w:szCs w:val="20"/>
          <w:color w:val="auto"/>
        </w:rPr>
      </w:pPr>
      <w:r>
        <w:rPr>
          <w:rFonts w:ascii="Arial" w:cs="Arial" w:eastAsia="Arial" w:hAnsi="Arial"/>
          <w:sz w:val="18"/>
          <w:szCs w:val="18"/>
          <w:color w:val="auto"/>
        </w:rPr>
        <w:t>of sales volume at Ergobaby's Asia-Pacific and EMEA distributors and decreased sales at key European accounts. Domestic sales were $13.4 million in the first six months of 2020, reflecting a decrease of $0.9 million compared to the corresponding period in 2019. The decrease in domestic sales was driven by the Tula brand, primarily in the specialty account channel.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65.4% for the six months ended June 30, 2020, as compared to 63.4% for the six months ended June 30, 2019. The increase in gross profit as a percentage of sales was due to the mix of products sold, reduced freight costs and the mix of sales channels during the six months ended June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decreased $ 0.5 million in the first six months of 2020 as compared to the first six months of 2019, with expense of $18.5 million, or 46.5% of net sales for the six months ended June 30, 2020 as compared to $19.0 million or 41.7% of net sales for the same period of 2019. The decrease in selling, general and administrative expense in the six months ended June 30, 2020 as compared to the comparable period in the prior year is a result of decreases in selling expenses and a reduction in variable expenses in response to the COVID-19 pandemic.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six months ended June 30, 2020 decreased $2.4 million, compared to the same period of 2019, based on the factors noted above.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Liberty Safe</w:t>
      </w:r>
    </w:p>
    <w:p>
      <w:pPr>
        <w:spacing w:after="0" w:line="200" w:lineRule="exact"/>
        <w:rPr>
          <w:sz w:val="20"/>
          <w:szCs w:val="20"/>
          <w:color w:val="auto"/>
        </w:rPr>
      </w:pPr>
    </w:p>
    <w:p>
      <w:pPr>
        <w:spacing w:after="0" w:line="219" w:lineRule="exact"/>
        <w:rPr>
          <w:sz w:val="20"/>
          <w:szCs w:val="20"/>
          <w:color w:val="auto"/>
        </w:rPr>
      </w:pPr>
    </w:p>
    <w:tbl>
      <w:tblPr>
        <w:tblLayout w:type="fixed"/>
        <w:tblInd w:w="104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Six months ended</w:t>
            </w:r>
          </w:p>
        </w:tc>
        <w:tc>
          <w:tcPr>
            <w:tcW w:w="760" w:type="dxa"/>
            <w:vAlign w:val="bottom"/>
            <w:tcBorders>
              <w:bottom w:val="single" w:sz="8" w:color="auto"/>
            </w:tcBorders>
          </w:tcPr>
          <w:p>
            <w:pPr>
              <w:spacing w:after="0"/>
              <w:rPr>
                <w:sz w:val="19"/>
                <w:szCs w:val="19"/>
                <w:color w:val="auto"/>
              </w:rPr>
            </w:pPr>
          </w:p>
        </w:tc>
      </w:tr>
      <w:tr>
        <w:trPr>
          <w:trHeight w:val="263"/>
        </w:trPr>
        <w:tc>
          <w:tcPr>
            <w:tcW w:w="1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Pr>
          <w:p>
            <w:pPr>
              <w:spacing w:after="0"/>
              <w:rPr>
                <w:sz w:val="22"/>
                <w:szCs w:val="22"/>
                <w:color w:val="auto"/>
              </w:rPr>
            </w:pPr>
          </w:p>
        </w:tc>
        <w:tc>
          <w:tcPr>
            <w:tcW w:w="168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2019</w:t>
            </w:r>
          </w:p>
        </w:tc>
        <w:tc>
          <w:tcPr>
            <w:tcW w:w="1920" w:type="dxa"/>
            <w:vAlign w:val="bottom"/>
            <w:gridSpan w:val="3"/>
          </w:tcPr>
          <w:p>
            <w:pPr>
              <w:ind w:left="360"/>
              <w:spacing w:after="0"/>
              <w:rPr>
                <w:sz w:val="20"/>
                <w:szCs w:val="20"/>
                <w:color w:val="auto"/>
              </w:rPr>
            </w:pPr>
            <w:r>
              <w:rPr>
                <w:rFonts w:ascii="Arial" w:cs="Arial" w:eastAsia="Arial" w:hAnsi="Arial"/>
                <w:sz w:val="16"/>
                <w:szCs w:val="16"/>
                <w:b w:val="1"/>
                <w:bCs w:val="1"/>
                <w:color w:val="auto"/>
              </w:rPr>
              <w:t>June 30, 2020</w:t>
            </w:r>
          </w:p>
        </w:tc>
        <w:tc>
          <w:tcPr>
            <w:tcW w:w="17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June 30, 2019</w:t>
            </w:r>
          </w:p>
        </w:tc>
      </w:tr>
      <w:tr>
        <w:trPr>
          <w:trHeight w:val="270"/>
        </w:trPr>
        <w:tc>
          <w:tcPr>
            <w:tcW w:w="1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24,453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20,633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49,413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42,837</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6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6,340</w:t>
            </w:r>
          </w:p>
        </w:tc>
        <w:tc>
          <w:tcPr>
            <w:tcW w:w="820" w:type="dxa"/>
            <w:vAlign w:val="bottom"/>
          </w:tcPr>
          <w:p>
            <w:pPr>
              <w:jc w:val="right"/>
              <w:spacing w:after="0"/>
              <w:rPr>
                <w:sz w:val="20"/>
                <w:szCs w:val="20"/>
                <w:color w:val="auto"/>
              </w:rPr>
            </w:pPr>
            <w:r>
              <w:rPr>
                <w:rFonts w:ascii="Arial" w:cs="Arial" w:eastAsia="Arial" w:hAnsi="Arial"/>
                <w:sz w:val="16"/>
                <w:szCs w:val="16"/>
                <w:color w:val="auto"/>
              </w:rPr>
              <w:t>25.9%</w:t>
            </w:r>
          </w:p>
        </w:tc>
        <w:tc>
          <w:tcPr>
            <w:tcW w:w="14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4,649</w:t>
            </w:r>
          </w:p>
        </w:tc>
        <w:tc>
          <w:tcPr>
            <w:tcW w:w="76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12,947</w:t>
            </w:r>
          </w:p>
        </w:tc>
        <w:tc>
          <w:tcPr>
            <w:tcW w:w="780" w:type="dxa"/>
            <w:vAlign w:val="bottom"/>
          </w:tcPr>
          <w:p>
            <w:pPr>
              <w:jc w:val="right"/>
              <w:spacing w:after="0"/>
              <w:rPr>
                <w:sz w:val="20"/>
                <w:szCs w:val="20"/>
                <w:color w:val="auto"/>
              </w:rPr>
            </w:pPr>
            <w:r>
              <w:rPr>
                <w:rFonts w:ascii="Arial" w:cs="Arial" w:eastAsia="Arial" w:hAnsi="Arial"/>
                <w:sz w:val="16"/>
                <w:szCs w:val="16"/>
                <w:color w:val="auto"/>
              </w:rPr>
              <w:t>26.2%</w:t>
            </w:r>
          </w:p>
        </w:tc>
        <w:tc>
          <w:tcPr>
            <w:tcW w:w="14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9,070</w:t>
            </w:r>
          </w:p>
        </w:tc>
        <w:tc>
          <w:tcPr>
            <w:tcW w:w="76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80"/>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2,815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2,847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6,152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5,710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50"/>
        </w:trPr>
        <w:tc>
          <w:tcPr>
            <w:tcW w:w="16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3,400</w:t>
            </w:r>
          </w:p>
        </w:tc>
        <w:tc>
          <w:tcPr>
            <w:tcW w:w="820" w:type="dxa"/>
            <w:vAlign w:val="bottom"/>
          </w:tcPr>
          <w:p>
            <w:pPr>
              <w:jc w:val="right"/>
              <w:spacing w:after="0"/>
              <w:rPr>
                <w:sz w:val="20"/>
                <w:szCs w:val="20"/>
                <w:color w:val="auto"/>
              </w:rPr>
            </w:pPr>
            <w:r>
              <w:rPr>
                <w:rFonts w:ascii="Arial" w:cs="Arial" w:eastAsia="Arial" w:hAnsi="Arial"/>
                <w:sz w:val="16"/>
                <w:szCs w:val="16"/>
                <w:color w:val="auto"/>
              </w:rPr>
              <w:t>13.9%</w:t>
            </w:r>
          </w:p>
        </w:tc>
        <w:tc>
          <w:tcPr>
            <w:tcW w:w="14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1,671</w:t>
            </w:r>
          </w:p>
        </w:tc>
        <w:tc>
          <w:tcPr>
            <w:tcW w:w="76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6,545</w:t>
            </w:r>
          </w:p>
        </w:tc>
        <w:tc>
          <w:tcPr>
            <w:tcW w:w="780" w:type="dxa"/>
            <w:vAlign w:val="bottom"/>
          </w:tcPr>
          <w:p>
            <w:pPr>
              <w:jc w:val="right"/>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21"/>
                <w:szCs w:val="21"/>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3,086</w:t>
            </w:r>
          </w:p>
        </w:tc>
        <w:tc>
          <w:tcPr>
            <w:tcW w:w="760" w:type="dxa"/>
            <w:vAlign w:val="bottom"/>
          </w:tcPr>
          <w:p>
            <w:pPr>
              <w:jc w:val="right"/>
              <w:spacing w:after="0"/>
              <w:rPr>
                <w:sz w:val="20"/>
                <w:szCs w:val="20"/>
                <w:color w:val="auto"/>
              </w:rPr>
            </w:pPr>
            <w:r>
              <w:rPr>
                <w:rFonts w:ascii="Arial" w:cs="Arial" w:eastAsia="Arial" w:hAnsi="Arial"/>
                <w:sz w:val="16"/>
                <w:szCs w:val="16"/>
                <w:color w:val="auto"/>
              </w:rPr>
              <w:t>7.2%</w:t>
            </w: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quarter ended June 30, 2020 increased approximately $3.8 million, or 18.5%, to $24.5 million, compared to the corresponding quarter ended June 30, 2019. Non-Dealer sales were approximately $11.4 million in the three months ended June 30, 2020 as compared to $8.2 million in the quarter ended June 30, 2019. The increase in Non-Dealer sales of $3.2 million or 39.0% is attributable to the addition of a new customer in the Farm and Fleet channel as well as increased sales at sporting goods retailers as compared to the second quarter of 2019. Dealer sales totaled approximately $13.1 million in the three months ended June 30, 2020 compared to $12.5 million in the same period in 2019, representing an increase of $0.6 million or 4.8%.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as a percentage of net sales totaled approximately 25.9% and 22.5% for the quarters ended June 30, 2020 and June 30, 2019, respectively. The increase in gross profit as a percentage of net sales during the three months ended June 30, 2020 compared to the same period in 2019 is primarily attributable to favorable manufacturing variances as a result of increased production volume, and a decrease in material costs in the second quarter of 2020 as compared to the second quarter of 2019 when domestic steel prices were trending higher as a result of steel tariffs.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was $ 2.8 million for both the three months ended June 30, 2020 and the three months ended June 30, 2019. Selling, general and administrative expense represented 11.5% of net sales in the three months ended June 30, 2020 and 13.8% of net sales for the same period of 2019.</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46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increased during the three months ended June 30, 2020 to $3.4 million, as compared to $1.7 million in the corresponding period in 2019. This increase was a result of the factors noted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six months ended June 30, 2020 increased approximately $6.6 million, or 15.4%, to $49.4 million, compared to the six months ended June 30, 2019. Non-Dealer sales were approximately $21.3 million in the six months ended June 30, 2020 as compared to $15.8 million in the six months ended June 30, 2019. The increase in Non-Dealer sales of $5.5 million or 34.8% is attributable to a new customer in the Farm and Fleet channel as well as increased sales at sporting goods retailers during the first half of 2020, despite the shutdown of retail stores resulting from stay at home orders issued by local governments. Dealer sales totaled approximately $28.1 million in the six months ended June 30, 2020 compared to $27.0 million in the same period in 2019, representing an increase of $1.1 million or 4.1%.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as a percentage of net sales totaled approximately 26.2% and 21.2% for the six months ended June 30, 2020 and June 30, 2019, respectively. The increase in gross profit as a percentage of net sales during the six months ended June 30, 2020 compared to the same period in 2019 is primarily attributable to favorable manufacturing variances as a result of increased production volume, and a decrease in material costs in the first half of 2020 as compared to the first half of 2019 when domestic steel prices were trending higher as a result of steel tariffs.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was $6.2 million for the six months ended June 30, 2020 compared to $ 5.7 million for the six months ended June 30, 2019. The increase in selling, general and administrative expense during the first six months of 2020 is primarily from increased advertising expenses. Selling, general and administrative expense represented 12.5% of net sales in the six months ended June 30, 2020 and 13.3% of net sales for the six months ended June 30,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increased during the six months ended June 30, 2020 to $6.5 million, as compared to $3.1 million in the corresponding period in 2019. This increase was a result of the factors noted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Marucci Sports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following results of operations, we provide comparative pro forma results of operations for Marucci for the three and six months ended June 30, 2020 and 2019 as if we had acquired the business on January 1, 2019. The results of operations that follows include relevant pro-forma adjustments for pre-acquisition periods and explanations where applicable. The operating results for Marucci have been included in the consolidated results of operation from the date of acquisition through June 30, 2020.</w:t>
      </w:r>
    </w:p>
    <w:p>
      <w:pPr>
        <w:spacing w:after="0" w:line="268" w:lineRule="exact"/>
        <w:rPr>
          <w:sz w:val="20"/>
          <w:szCs w:val="20"/>
          <w:color w:val="auto"/>
        </w:rPr>
      </w:pPr>
    </w:p>
    <w:tbl>
      <w:tblPr>
        <w:tblLayout w:type="fixed"/>
        <w:tblInd w:w="1020" w:type="dxa"/>
        <w:tblCellMar>
          <w:top w:w="0" w:type="dxa"/>
          <w:left w:w="0" w:type="dxa"/>
          <w:bottom w:w="0" w:type="dxa"/>
          <w:right w:w="0" w:type="dxa"/>
        </w:tblCellMar>
      </w:tblPr>
      <w:tr>
        <w:trPr>
          <w:trHeight w:val="228"/>
        </w:trPr>
        <w:tc>
          <w:tcPr>
            <w:tcW w:w="1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Six months ended</w:t>
            </w:r>
          </w:p>
        </w:tc>
        <w:tc>
          <w:tcPr>
            <w:tcW w:w="880" w:type="dxa"/>
            <w:vAlign w:val="bottom"/>
            <w:tcBorders>
              <w:bottom w:val="single" w:sz="8" w:color="auto"/>
            </w:tcBorders>
          </w:tcPr>
          <w:p>
            <w:pPr>
              <w:spacing w:after="0"/>
              <w:rPr>
                <w:sz w:val="19"/>
                <w:szCs w:val="19"/>
                <w:color w:val="auto"/>
              </w:rPr>
            </w:pPr>
          </w:p>
        </w:tc>
      </w:tr>
      <w:tr>
        <w:trPr>
          <w:trHeight w:val="263"/>
        </w:trPr>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2020</w:t>
            </w:r>
          </w:p>
        </w:tc>
        <w:tc>
          <w:tcPr>
            <w:tcW w:w="220" w:type="dxa"/>
            <w:vAlign w:val="bottom"/>
          </w:tcPr>
          <w:p>
            <w:pPr>
              <w:spacing w:after="0"/>
              <w:rPr>
                <w:sz w:val="22"/>
                <w:szCs w:val="22"/>
                <w:color w:val="auto"/>
              </w:rPr>
            </w:pPr>
          </w:p>
        </w:tc>
        <w:tc>
          <w:tcPr>
            <w:tcW w:w="1680" w:type="dxa"/>
            <w:vAlign w:val="bottom"/>
            <w:gridSpan w:val="3"/>
          </w:tcPr>
          <w:p>
            <w:pPr>
              <w:ind w:left="160"/>
              <w:spacing w:after="0"/>
              <w:rPr>
                <w:sz w:val="20"/>
                <w:szCs w:val="20"/>
                <w:color w:val="auto"/>
              </w:rPr>
            </w:pPr>
            <w:r>
              <w:rPr>
                <w:rFonts w:ascii="Arial" w:cs="Arial" w:eastAsia="Arial" w:hAnsi="Arial"/>
                <w:sz w:val="16"/>
                <w:szCs w:val="16"/>
                <w:b w:val="1"/>
                <w:bCs w:val="1"/>
                <w:color w:val="auto"/>
              </w:rPr>
              <w:t>June 30, 2019</w:t>
            </w:r>
          </w:p>
        </w:tc>
        <w:tc>
          <w:tcPr>
            <w:tcW w:w="1900" w:type="dxa"/>
            <w:vAlign w:val="bottom"/>
            <w:gridSpan w:val="3"/>
          </w:tcPr>
          <w:p>
            <w:pPr>
              <w:ind w:left="360"/>
              <w:spacing w:after="0"/>
              <w:rPr>
                <w:sz w:val="20"/>
                <w:szCs w:val="20"/>
                <w:color w:val="auto"/>
              </w:rPr>
            </w:pPr>
            <w:r>
              <w:rPr>
                <w:rFonts w:ascii="Arial" w:cs="Arial" w:eastAsia="Arial" w:hAnsi="Arial"/>
                <w:sz w:val="16"/>
                <w:szCs w:val="16"/>
                <w:b w:val="1"/>
                <w:bCs w:val="1"/>
                <w:color w:val="auto"/>
              </w:rPr>
              <w:t>June 30, 2020</w:t>
            </w:r>
          </w:p>
        </w:tc>
        <w:tc>
          <w:tcPr>
            <w:tcW w:w="176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June 30, 2019</w:t>
            </w:r>
          </w:p>
        </w:tc>
      </w:tr>
      <w:tr>
        <w:trPr>
          <w:trHeight w:val="263"/>
        </w:trPr>
        <w:tc>
          <w:tcPr>
            <w:tcW w:w="17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Pro forma</w:t>
            </w: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Pro forma</w:t>
            </w: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Pro forma</w:t>
            </w:r>
          </w:p>
        </w:tc>
        <w:tc>
          <w:tcPr>
            <w:tcW w:w="8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Pro forma</w:t>
            </w:r>
          </w:p>
        </w:tc>
        <w:tc>
          <w:tcPr>
            <w:tcW w:w="880" w:type="dxa"/>
            <w:vAlign w:val="bottom"/>
            <w:tcBorders>
              <w:top w:val="single" w:sz="8" w:color="auto"/>
            </w:tcBorders>
            <w:shd w:val="clear" w:color="auto" w:fill="CCEEFF"/>
          </w:tcPr>
          <w:p>
            <w:pPr>
              <w:spacing w:after="0"/>
              <w:rPr>
                <w:sz w:val="22"/>
                <w:szCs w:val="22"/>
                <w:color w:val="auto"/>
              </w:rPr>
            </w:pPr>
          </w:p>
        </w:tc>
      </w:tr>
      <w:tr>
        <w:trPr>
          <w:trHeight w:val="247"/>
        </w:trPr>
        <w:tc>
          <w:tcPr>
            <w:tcW w:w="170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5,521</w:t>
            </w:r>
          </w:p>
        </w:tc>
        <w:tc>
          <w:tcPr>
            <w:tcW w:w="900" w:type="dxa"/>
            <w:vAlign w:val="bottom"/>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13,675</w:t>
            </w:r>
          </w:p>
        </w:tc>
        <w:tc>
          <w:tcPr>
            <w:tcW w:w="88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27,756</w:t>
            </w:r>
          </w:p>
        </w:tc>
        <w:tc>
          <w:tcPr>
            <w:tcW w:w="880" w:type="dxa"/>
            <w:vAlign w:val="bottom"/>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35,041</w:t>
            </w:r>
          </w:p>
        </w:tc>
        <w:tc>
          <w:tcPr>
            <w:tcW w:w="880" w:type="dxa"/>
            <w:vAlign w:val="bottom"/>
          </w:tcPr>
          <w:p>
            <w:pPr>
              <w:jc w:val="right"/>
              <w:spacing w:after="0"/>
              <w:rPr>
                <w:sz w:val="20"/>
                <w:szCs w:val="20"/>
                <w:color w:val="auto"/>
              </w:rPr>
            </w:pPr>
            <w:r>
              <w:rPr>
                <w:rFonts w:ascii="Arial" w:cs="Arial" w:eastAsia="Arial" w:hAnsi="Arial"/>
                <w:sz w:val="16"/>
                <w:szCs w:val="16"/>
                <w:color w:val="auto"/>
              </w:rPr>
              <w:t>126.2 %</w:t>
            </w:r>
          </w:p>
        </w:tc>
      </w:tr>
      <w:tr>
        <w:trPr>
          <w:trHeight w:val="280"/>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7,089</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51.8 %</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43.8 %</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51.9 %</w:t>
            </w:r>
          </w:p>
        </w:tc>
      </w:tr>
      <w:tr>
        <w:trPr>
          <w:trHeight w:val="260"/>
        </w:trPr>
        <w:tc>
          <w:tcPr>
            <w:tcW w:w="1700" w:type="dxa"/>
            <w:vAlign w:val="bottom"/>
          </w:tcPr>
          <w:p>
            <w:pPr>
              <w:ind w:left="20"/>
              <w:spacing w:after="0"/>
              <w:rPr>
                <w:sz w:val="20"/>
                <w:szCs w:val="20"/>
                <w:color w:val="auto"/>
              </w:rPr>
            </w:pPr>
            <w:r>
              <w:rPr>
                <w:rFonts w:ascii="Arial" w:cs="Arial" w:eastAsia="Arial" w:hAnsi="Arial"/>
                <w:sz w:val="16"/>
                <w:szCs w:val="16"/>
                <w:color w:val="auto"/>
              </w:rPr>
              <w:t>SG&amp;A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8,004</w:t>
            </w:r>
          </w:p>
        </w:tc>
        <w:tc>
          <w:tcPr>
            <w:tcW w:w="900" w:type="dxa"/>
            <w:vAlign w:val="bottom"/>
          </w:tcPr>
          <w:p>
            <w:pPr>
              <w:jc w:val="right"/>
              <w:spacing w:after="0"/>
              <w:rPr>
                <w:sz w:val="20"/>
                <w:szCs w:val="20"/>
                <w:color w:val="auto"/>
              </w:rPr>
            </w:pPr>
            <w:r>
              <w:rPr>
                <w:rFonts w:ascii="Arial" w:cs="Arial" w:eastAsia="Arial" w:hAnsi="Arial"/>
                <w:sz w:val="16"/>
                <w:szCs w:val="16"/>
                <w:color w:val="auto"/>
              </w:rPr>
              <w:t>145.0 %</w:t>
            </w:r>
          </w:p>
        </w:tc>
        <w:tc>
          <w:tcPr>
            <w:tcW w:w="14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6,904</w:t>
            </w:r>
          </w:p>
        </w:tc>
        <w:tc>
          <w:tcPr>
            <w:tcW w:w="880" w:type="dxa"/>
            <w:vAlign w:val="bottom"/>
          </w:tcPr>
          <w:p>
            <w:pPr>
              <w:jc w:val="right"/>
              <w:spacing w:after="0"/>
              <w:rPr>
                <w:sz w:val="20"/>
                <w:szCs w:val="20"/>
                <w:color w:val="auto"/>
              </w:rPr>
            </w:pPr>
            <w:r>
              <w:rPr>
                <w:rFonts w:ascii="Arial" w:cs="Arial" w:eastAsia="Arial" w:hAnsi="Arial"/>
                <w:sz w:val="16"/>
                <w:szCs w:val="16"/>
                <w:color w:val="auto"/>
              </w:rPr>
              <w:t>50.5 %</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15,991</w:t>
            </w:r>
          </w:p>
        </w:tc>
        <w:tc>
          <w:tcPr>
            <w:tcW w:w="880" w:type="dxa"/>
            <w:vAlign w:val="bottom"/>
          </w:tcPr>
          <w:p>
            <w:pPr>
              <w:jc w:val="right"/>
              <w:spacing w:after="0"/>
              <w:rPr>
                <w:sz w:val="20"/>
                <w:szCs w:val="20"/>
                <w:color w:val="auto"/>
              </w:rPr>
            </w:pPr>
            <w:r>
              <w:rPr>
                <w:rFonts w:ascii="Arial" w:cs="Arial" w:eastAsia="Arial" w:hAnsi="Arial"/>
                <w:sz w:val="16"/>
                <w:szCs w:val="16"/>
                <w:color w:val="auto"/>
              </w:rPr>
              <w:t>57.6 %</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14,771</w:t>
            </w:r>
          </w:p>
        </w:tc>
        <w:tc>
          <w:tcPr>
            <w:tcW w:w="880" w:type="dxa"/>
            <w:vAlign w:val="bottom"/>
          </w:tcPr>
          <w:p>
            <w:pPr>
              <w:jc w:val="right"/>
              <w:spacing w:after="0"/>
              <w:rPr>
                <w:sz w:val="20"/>
                <w:szCs w:val="20"/>
                <w:color w:val="auto"/>
              </w:rPr>
            </w:pPr>
            <w:r>
              <w:rPr>
                <w:rFonts w:ascii="Arial" w:cs="Arial" w:eastAsia="Arial" w:hAnsi="Arial"/>
                <w:sz w:val="16"/>
                <w:szCs w:val="16"/>
                <w:color w:val="auto"/>
              </w:rPr>
              <w:t>42.2 %</w:t>
            </w:r>
          </w:p>
        </w:tc>
      </w:tr>
      <w:tr>
        <w:trPr>
          <w:trHeight w:val="228"/>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4"/>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r>
      <w:tr>
        <w:trPr>
          <w:trHeight w:val="250"/>
        </w:trPr>
        <w:tc>
          <w:tcPr>
            <w:tcW w:w="170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(9,992)</w:t>
            </w:r>
          </w:p>
        </w:tc>
        <w:tc>
          <w:tcPr>
            <w:tcW w:w="900" w:type="dxa"/>
            <w:vAlign w:val="bottom"/>
          </w:tcPr>
          <w:p>
            <w:pPr>
              <w:jc w:val="right"/>
              <w:spacing w:after="0"/>
              <w:rPr>
                <w:sz w:val="20"/>
                <w:szCs w:val="20"/>
                <w:color w:val="auto"/>
              </w:rPr>
            </w:pPr>
            <w:r>
              <w:rPr>
                <w:rFonts w:ascii="Arial" w:cs="Arial" w:eastAsia="Arial" w:hAnsi="Arial"/>
                <w:sz w:val="16"/>
                <w:szCs w:val="16"/>
                <w:color w:val="auto"/>
              </w:rPr>
              <w:t>(181.0)%</w:t>
            </w:r>
          </w:p>
        </w:tc>
        <w:tc>
          <w:tcPr>
            <w:tcW w:w="14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(1,594)</w:t>
            </w:r>
          </w:p>
        </w:tc>
        <w:tc>
          <w:tcPr>
            <w:tcW w:w="88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(7,400)</w:t>
            </w:r>
          </w:p>
        </w:tc>
        <w:tc>
          <w:tcPr>
            <w:tcW w:w="880" w:type="dxa"/>
            <w:vAlign w:val="bottom"/>
          </w:tcPr>
          <w:p>
            <w:pPr>
              <w:jc w:val="right"/>
              <w:spacing w:after="0"/>
              <w:rPr>
                <w:sz w:val="20"/>
                <w:szCs w:val="20"/>
                <w:color w:val="auto"/>
              </w:rPr>
            </w:pPr>
            <w:r>
              <w:rPr>
                <w:rFonts w:ascii="Arial" w:cs="Arial" w:eastAsia="Arial" w:hAnsi="Arial"/>
                <w:sz w:val="16"/>
                <w:szCs w:val="16"/>
                <w:color w:val="auto"/>
              </w:rPr>
              <w:t>(26.7)%</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w:t>
            </w: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of operations include the following pro form adjustments as if we had acquired Marucci January 1, 2019:</w:t>
      </w:r>
    </w:p>
    <w:p>
      <w:pPr>
        <w:spacing w:after="0" w:line="101" w:lineRule="exact"/>
        <w:rPr>
          <w:sz w:val="20"/>
          <w:szCs w:val="20"/>
          <w:color w:val="auto"/>
        </w:rPr>
      </w:pPr>
    </w:p>
    <w:p>
      <w:pPr>
        <w:ind w:left="660" w:right="180" w:hanging="328"/>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6"/>
          <w:szCs w:val="16"/>
          <w:color w:val="auto"/>
        </w:rPr>
        <w:t>Depreciation expense associated with the increase in depreciable lives of capital assets of $0.1 million and $0.2 million, respectively, for the three and six months ended June 30, 2020, and $0.3 million and $0.5 million, respectively, for the three and six months ended June 30, 2019.</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499" w:right="339" w:bottom="1440" w:gutter="0" w:footer="0" w:header="0"/>
        </w:sectPr>
      </w:pPr>
    </w:p>
    <w:bookmarkStart w:id="47" w:name="page48"/>
    <w:bookmarkEnd w:id="47"/>
    <w:p>
      <w:pPr>
        <w:ind w:left="660" w:right="40" w:hanging="328"/>
        <w:spacing w:after="0" w:line="249"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Amortization expense associated with the intangible assets recorded in connection with the purchase price allocation for Marucci of $0.4 million and $0.8 million, respectively, for the three and six months ended June 30, 2020, and $1.6 million and $3.1 million, respectively, for the three and six months ended June 30, 2019.</w:t>
      </w:r>
    </w:p>
    <w:p>
      <w:pPr>
        <w:spacing w:after="0" w:line="4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Management fees that would have been payable to the Manager during each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Pro forma three months ended June 30, 2020 compared to pro forma three months ended June 30,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June 30, 2020 were $5.5 million, a decrease of $8.2 million as compared to net sales of $13.7 million for the three months ended June 30, 2019. During this period, Marucci was affected by the economic slowdown resulting from the COVID-19 pandemic with baseball and softball seasons postponed throughout much of the United States. Marucci’s “brick and mortar” retail partners were forced to close as a result of the pandemic and therefore Marucci did not receive fill-in orders during this period. As a result, sales of aluminum and wood bats were significantly less during this period when compared to the prior year period. Additionally, Major League Baseball postponed their season eliminating the need for wood bats to be purchased for the professional season. During June 2020, Marucci began to see demand pick up as the baseball and softball seasons began.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quarter ended June 30, 2020 decreased $7.3 million as compared to the three months ended June 30, 2019. The cost of sales for the three months ended June 30, 2020 includes $3.0 million related to the amortization of the inventory step-up resulting from the acquisition purchase price allocation. Excluding the effect of the inventory step-up, the gross profit as a percentage of net sales for the three months ended June 30, 2020 was 50.6%, as compared to gross profit as a percentage of sales of 51.8% for the three months ended June 30,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for the three months ended June 30, 2020 was $8.0 million, or 145.0% of net sales compared to $6.9 million, or 50.5% of net sales for the three months ended June 30, 2019. Selling, general and administrative expense for the three months ended June 30, 2020 includes $2.0 million in acquisition related costs that were expensed at the close of the Marucci acquisition. After excluding the effect of the acquisition costs, selling, general and administrative expense for the three months ended June 30, 2020 was $6.0 million, a decrease of $0.9 million as compared to the three months ended June 30, 2019. The decrease in selling, general and administrative expense was due to a reduction in Marucci’s expenses that correlate to sales including credit card expenses, royalties, commissions, business development fees, and other variable expenses. Additionally, Marucci reduced its salary expense through terminations, furloughs and pay reductions in order to minimize losses during the period.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from operations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Loss from operations for the three months ended June 30, 2020 was $10.0 million, an increase of $8.4 million when compared to loss from operations of $1.6 million for the same period in 2019, primarily as a result of the factors noted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Pro forma six months ended June 30, 2020 compared to pro forma six months ended June 30,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six months ended June 30, 2020 were $27.8 million, a decrease of $ 7.3 million as compared to net sales of $35.0 million for the six months ended June 30, 2019. During this period, Marucci was affected by the economic slowdown resulting from the COVID-19 pandemic with baseball and softball seasons postponed throughout much of the United States. Marucci's “brick and mortar” retail partners were forced to close as a result of the pandemic thus Marucci did not receive fill-in orders during this period. As a result, sales of aluminum and wood bats were significantly less during this period when compared to the same period last year. Additionally, Major League Baseball postponed their season eliminating the need for wood bats to be purchased for the professional season. During June 2020, Marucci began to see demand pickup as the baseball and softball seasons began.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for the six months ended June 30, 2020 decreased $6.0 million as compared to the six months ended June 30, 2019. Gross profit as a percentage of sales was 43.8% for the six months ended June 30, 2020 as compared to 51.9% for the six months ended June 30, 2019. The cost of sales for the six months ended June 30, 2020 includes $3.0 million related to the amortization of inventory step-up resulting from the acquisition purchase price allocation.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416" w:right="339" w:bottom="1440" w:gutter="0" w:footer="0" w:header="0"/>
        </w:sectPr>
      </w:pPr>
    </w:p>
    <w:bookmarkStart w:id="48" w:name="page49"/>
    <w:bookmarkEnd w:id="48"/>
    <w:p>
      <w:pPr>
        <w:jc w:val="both"/>
        <w:spacing w:after="0" w:line="261" w:lineRule="auto"/>
        <w:rPr>
          <w:sz w:val="20"/>
          <w:szCs w:val="20"/>
          <w:color w:val="auto"/>
        </w:rPr>
      </w:pPr>
      <w:r>
        <w:rPr>
          <w:rFonts w:ascii="Arial" w:cs="Arial" w:eastAsia="Arial" w:hAnsi="Arial"/>
          <w:sz w:val="18"/>
          <w:szCs w:val="18"/>
          <w:color w:val="auto"/>
        </w:rPr>
        <w:t>Excluding the effect of the inventory step-up, the gross profit as a percentage of net sales for the six months ended June 30, 2020 was 54.6%.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for the six months ended June 30, 2020 was $16.0 million, or 57.6% of net sales compared to $14.8 million, or 42.2% of net sales for the six months ended June 30, 2019. Selling, general and administrative expense for the six months ended June 30, 2020 includes $2.0 million in acquisition related costs that were expensed at the close of the Marucci acquisition. Excluding the effect of the acquisition costs, selling, general and administrative expense for the six months ended June 30, 2020 was $14.0 million, a decrease of $0.8 million as compared to the six months ended June 30, 2019 as a result of a reduction in Marucci’s expenses that correlate to sales including credit card expenses, royalties, commissions, business development fees, and other variable expenses. Additionally, Marucci reduced its salary expense through terminations, furloughs and pay reductions in order to minimize losses during the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from operations</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Loss from operations for the six months ended June 30, 2020 was $7.4 million, an increase of $7.3 million when compared to loss from operations of $0.1 million for the same period in 2019, primarily as a result of the factors noted above.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Velocity Outdoor</w:t>
      </w:r>
    </w:p>
    <w:p>
      <w:pPr>
        <w:spacing w:after="0" w:line="257" w:lineRule="exact"/>
        <w:rPr>
          <w:sz w:val="20"/>
          <w:szCs w:val="20"/>
          <w:color w:val="auto"/>
        </w:rPr>
      </w:pPr>
    </w:p>
    <w:tbl>
      <w:tblPr>
        <w:tblLayout w:type="fixed"/>
        <w:tblInd w:w="1040" w:type="dxa"/>
        <w:tblCellMar>
          <w:top w:w="0" w:type="dxa"/>
          <w:left w:w="0" w:type="dxa"/>
          <w:bottom w:w="0" w:type="dxa"/>
          <w:right w:w="0" w:type="dxa"/>
        </w:tblCellMar>
      </w:tblPr>
      <w:tr>
        <w:trPr>
          <w:trHeight w:val="228"/>
        </w:trPr>
        <w:tc>
          <w:tcPr>
            <w:tcW w:w="1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Six months ended</w:t>
            </w:r>
          </w:p>
        </w:tc>
        <w:tc>
          <w:tcPr>
            <w:tcW w:w="760" w:type="dxa"/>
            <w:vAlign w:val="bottom"/>
            <w:tcBorders>
              <w:bottom w:val="single" w:sz="8" w:color="auto"/>
            </w:tcBorders>
          </w:tcPr>
          <w:p>
            <w:pPr>
              <w:spacing w:after="0"/>
              <w:rPr>
                <w:sz w:val="19"/>
                <w:szCs w:val="19"/>
                <w:color w:val="auto"/>
              </w:rPr>
            </w:pPr>
          </w:p>
        </w:tc>
      </w:tr>
      <w:tr>
        <w:trPr>
          <w:trHeight w:val="263"/>
        </w:trPr>
        <w:tc>
          <w:tcPr>
            <w:tcW w:w="1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2020</w:t>
            </w:r>
          </w:p>
        </w:tc>
        <w:tc>
          <w:tcPr>
            <w:tcW w:w="260" w:type="dxa"/>
            <w:vAlign w:val="bottom"/>
          </w:tcPr>
          <w:p>
            <w:pPr>
              <w:spacing w:after="0"/>
              <w:rPr>
                <w:sz w:val="22"/>
                <w:szCs w:val="22"/>
                <w:color w:val="auto"/>
              </w:rPr>
            </w:pPr>
          </w:p>
        </w:tc>
        <w:tc>
          <w:tcPr>
            <w:tcW w:w="1740" w:type="dxa"/>
            <w:vAlign w:val="bottom"/>
            <w:gridSpan w:val="3"/>
          </w:tcPr>
          <w:p>
            <w:pPr>
              <w:ind w:left="160"/>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Pr>
          <w:p>
            <w:pPr>
              <w:spacing w:after="0"/>
              <w:rPr>
                <w:sz w:val="22"/>
                <w:szCs w:val="22"/>
                <w:color w:val="auto"/>
              </w:rPr>
            </w:pPr>
          </w:p>
        </w:tc>
        <w:tc>
          <w:tcPr>
            <w:tcW w:w="1740" w:type="dxa"/>
            <w:vAlign w:val="bottom"/>
            <w:gridSpan w:val="3"/>
          </w:tcPr>
          <w:p>
            <w:pPr>
              <w:ind w:left="160"/>
              <w:spacing w:after="0"/>
              <w:rPr>
                <w:sz w:val="20"/>
                <w:szCs w:val="20"/>
                <w:color w:val="auto"/>
              </w:rPr>
            </w:pPr>
            <w:r>
              <w:rPr>
                <w:rFonts w:ascii="Arial" w:cs="Arial" w:eastAsia="Arial" w:hAnsi="Arial"/>
                <w:sz w:val="16"/>
                <w:szCs w:val="16"/>
                <w:b w:val="1"/>
                <w:bCs w:val="1"/>
                <w:color w:val="auto"/>
              </w:rPr>
              <w:t>June 30, 2020</w:t>
            </w:r>
          </w:p>
        </w:tc>
        <w:tc>
          <w:tcPr>
            <w:tcW w:w="260" w:type="dxa"/>
            <w:vAlign w:val="bottom"/>
          </w:tcPr>
          <w:p>
            <w:pPr>
              <w:spacing w:after="0"/>
              <w:rPr>
                <w:sz w:val="22"/>
                <w:szCs w:val="22"/>
                <w:color w:val="auto"/>
              </w:rPr>
            </w:pPr>
          </w:p>
        </w:tc>
        <w:tc>
          <w:tcPr>
            <w:tcW w:w="158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June 30, 2019</w:t>
            </w:r>
          </w:p>
        </w:tc>
      </w:tr>
      <w:tr>
        <w:trPr>
          <w:trHeight w:val="270"/>
        </w:trPr>
        <w:tc>
          <w:tcPr>
            <w:tcW w:w="1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47,221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29,611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77,611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60,748</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3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12,810</w:t>
            </w:r>
          </w:p>
        </w:tc>
        <w:tc>
          <w:tcPr>
            <w:tcW w:w="84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7,531</w:t>
            </w:r>
          </w:p>
        </w:tc>
        <w:tc>
          <w:tcPr>
            <w:tcW w:w="780" w:type="dxa"/>
            <w:vAlign w:val="bottom"/>
          </w:tcPr>
          <w:p>
            <w:pPr>
              <w:jc w:val="right"/>
              <w:spacing w:after="0"/>
              <w:rPr>
                <w:sz w:val="20"/>
                <w:szCs w:val="20"/>
                <w:color w:val="auto"/>
              </w:rPr>
            </w:pPr>
            <w:r>
              <w:rPr>
                <w:rFonts w:ascii="Arial" w:cs="Arial" w:eastAsia="Arial" w:hAnsi="Arial"/>
                <w:sz w:val="16"/>
                <w:szCs w:val="16"/>
                <w:color w:val="auto"/>
              </w:rPr>
              <w:t>25.4 %</w:t>
            </w:r>
          </w:p>
        </w:tc>
        <w:tc>
          <w:tcPr>
            <w:tcW w:w="12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20,753</w:t>
            </w:r>
          </w:p>
        </w:tc>
        <w:tc>
          <w:tcPr>
            <w:tcW w:w="780" w:type="dxa"/>
            <w:vAlign w:val="bottom"/>
          </w:tcPr>
          <w:p>
            <w:pPr>
              <w:jc w:val="right"/>
              <w:spacing w:after="0"/>
              <w:rPr>
                <w:sz w:val="20"/>
                <w:szCs w:val="20"/>
                <w:color w:val="auto"/>
              </w:rPr>
            </w:pPr>
            <w:r>
              <w:rPr>
                <w:rFonts w:ascii="Arial" w:cs="Arial" w:eastAsia="Arial" w:hAnsi="Arial"/>
                <w:sz w:val="16"/>
                <w:szCs w:val="16"/>
                <w:color w:val="auto"/>
              </w:rPr>
              <w:t>26.7%</w:t>
            </w:r>
          </w:p>
        </w:tc>
        <w:tc>
          <w:tcPr>
            <w:tcW w:w="14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16,818</w:t>
            </w:r>
          </w:p>
        </w:tc>
        <w:tc>
          <w:tcPr>
            <w:tcW w:w="76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80"/>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6,404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5,201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13,103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11,744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8"/>
        </w:trPr>
        <w:tc>
          <w:tcPr>
            <w:tcW w:w="1380" w:type="dxa"/>
            <w:vAlign w:val="bottom"/>
          </w:tcPr>
          <w:p>
            <w:pPr>
              <w:ind w:left="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5"/>
        </w:trPr>
        <w:tc>
          <w:tcPr>
            <w:tcW w:w="1380" w:type="dxa"/>
            <w:vAlign w:val="bottom"/>
          </w:tcPr>
          <w:p>
            <w:pPr>
              <w:ind w:left="20"/>
              <w:spacing w:after="0"/>
              <w:rPr>
                <w:sz w:val="20"/>
                <w:szCs w:val="20"/>
                <w:color w:val="auto"/>
              </w:rPr>
            </w:pPr>
            <w:r>
              <w:rPr>
                <w:rFonts w:ascii="Arial" w:cs="Arial" w:eastAsia="Arial" w:hAnsi="Arial"/>
                <w:sz w:val="16"/>
                <w:szCs w:val="16"/>
                <w:color w:val="auto"/>
              </w:rPr>
              <w:t>income (loss)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3,998</w:t>
            </w:r>
          </w:p>
        </w:tc>
        <w:tc>
          <w:tcPr>
            <w:tcW w:w="84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(74)</w:t>
            </w: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2,834</w:t>
            </w: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267</w:t>
            </w:r>
          </w:p>
        </w:tc>
        <w:tc>
          <w:tcPr>
            <w:tcW w:w="760" w:type="dxa"/>
            <w:vAlign w:val="bottom"/>
          </w:tcPr>
          <w:p>
            <w:pPr>
              <w:jc w:val="right"/>
              <w:spacing w:after="0"/>
              <w:rPr>
                <w:sz w:val="20"/>
                <w:szCs w:val="20"/>
                <w:color w:val="auto"/>
              </w:rPr>
            </w:pPr>
            <w:r>
              <w:rPr>
                <w:rFonts w:ascii="Arial" w:cs="Arial" w:eastAsia="Arial" w:hAnsi="Arial"/>
                <w:sz w:val="16"/>
                <w:szCs w:val="16"/>
                <w:color w:val="auto"/>
              </w:rPr>
              <w:t>0.4%</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three months ended June 30, 2020 were $47.2 million, an increase of $ 17.6 million or 59.5%, compared to the same period in 2019. The increase in net sales for the three months ended June 30, 2020 is primarily due to significant increase in consumer demand for our Crosman products along with new crossbows being launched by our Ravin product line.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for the quarter ended June 30, 2020 increased $5.3 million as compared to the quarter ended June 30, 2019. Gross profit as a percentage of net sales was 27.1% for the three months ended June 30, 2020 as compared to 25.4% in the three months ended June 30, 2019. The increase in gross profit as a percentage of net sales was primarily attributable to favorable sales product mix of airguns, archery equipment and consumables.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June 30, 2020 was $6.4 million, or 13.6% of net sales compared to $5.2 million, or 17.6% of net sales for the three months ended June 30, 2019. The increase in selling, general and administrative expense for the three months ended June 30, 2020 is primarily related to volume driven expenses that correlate to the increase in sales, as well as additional investments in marketing.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(loss) from operations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June 30, 2020 was $4.0 million, an increase of $4.1 million when compared to loss from operations of $0.1 million for the same period in 2019, primarily as a result of the factors noted above.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463"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six months ended June 30, 2020 were $ 77.6 million, an increase of $16.9 million or 27.8%, compared to the same period in 2019. The increase in net sales for the six months ended June 30, 2020 is primarily due to a significant increase in customer demand that we experienced in the second quarter, as well as the introduction of several new products during the first half of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for the six months ended June 30, 2020 increased $3.9 million as compared to the six months ended June 30, 2019. Gross profit as a percentage of net sales was 26.7% for the six months ended June 30, 2020 as compared to 27.7% in the six months ended June 30, 2019. The decrease in gross profit as a percentage of net sales was primarily attributable to product mix, with higher sales of Crosman products, which have lower margins than the Ravin product line, in the current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six months ended June 30, 2020 was $13.1 million, or 16.9% of net sales compared to $11.7 million, or 19.3% of net sales for the six months ended June 30, 2019. The increase in selling, general and administrative expense for the six months ended June 30, 2020 is primarily related to volume driven expenses that correlate to the increase in sales, as well as additional investments in marketing.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six months ended June 30, 2020 was $2.8 million, an increase of $2.6 million when compared to income from operations of $0.3 million for the same period in 2019, primarily as a result of the factors noted above.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Circuits</w:t>
      </w:r>
    </w:p>
    <w:p>
      <w:pPr>
        <w:spacing w:after="0" w:line="311" w:lineRule="exact"/>
        <w:rPr>
          <w:sz w:val="20"/>
          <w:szCs w:val="20"/>
          <w:color w:val="auto"/>
        </w:rPr>
      </w:pPr>
    </w:p>
    <w:tbl>
      <w:tblPr>
        <w:tblLayout w:type="fixed"/>
        <w:tblInd w:w="104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Six months ended</w:t>
            </w:r>
          </w:p>
        </w:tc>
        <w:tc>
          <w:tcPr>
            <w:tcW w:w="760" w:type="dxa"/>
            <w:vAlign w:val="bottom"/>
            <w:tcBorders>
              <w:bottom w:val="single" w:sz="8" w:color="auto"/>
            </w:tcBorders>
          </w:tcPr>
          <w:p>
            <w:pPr>
              <w:spacing w:after="0"/>
              <w:rPr>
                <w:sz w:val="19"/>
                <w:szCs w:val="19"/>
                <w:color w:val="auto"/>
              </w:rPr>
            </w:pPr>
          </w:p>
        </w:tc>
      </w:tr>
      <w:tr>
        <w:trPr>
          <w:trHeight w:val="264"/>
        </w:trPr>
        <w:tc>
          <w:tcPr>
            <w:tcW w:w="1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Pr>
          <w:p>
            <w:pPr>
              <w:spacing w:after="0"/>
              <w:rPr>
                <w:sz w:val="22"/>
                <w:szCs w:val="22"/>
                <w:color w:val="auto"/>
              </w:rPr>
            </w:pPr>
          </w:p>
        </w:tc>
        <w:tc>
          <w:tcPr>
            <w:tcW w:w="168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2019</w:t>
            </w:r>
          </w:p>
        </w:tc>
        <w:tc>
          <w:tcPr>
            <w:tcW w:w="1920" w:type="dxa"/>
            <w:vAlign w:val="bottom"/>
            <w:gridSpan w:val="3"/>
          </w:tcPr>
          <w:p>
            <w:pPr>
              <w:ind w:left="360"/>
              <w:spacing w:after="0"/>
              <w:rPr>
                <w:sz w:val="20"/>
                <w:szCs w:val="20"/>
                <w:color w:val="auto"/>
              </w:rPr>
            </w:pPr>
            <w:r>
              <w:rPr>
                <w:rFonts w:ascii="Arial" w:cs="Arial" w:eastAsia="Arial" w:hAnsi="Arial"/>
                <w:sz w:val="16"/>
                <w:szCs w:val="16"/>
                <w:b w:val="1"/>
                <w:bCs w:val="1"/>
                <w:color w:val="auto"/>
              </w:rPr>
              <w:t>June 30, 2020</w:t>
            </w:r>
          </w:p>
        </w:tc>
        <w:tc>
          <w:tcPr>
            <w:tcW w:w="17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June 30, 2019</w:t>
            </w:r>
          </w:p>
        </w:tc>
      </w:tr>
      <w:tr>
        <w:trPr>
          <w:trHeight w:val="270"/>
        </w:trPr>
        <w:tc>
          <w:tcPr>
            <w:tcW w:w="1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22,956</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22,439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44,652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45,508</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6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10,371</w:t>
            </w:r>
          </w:p>
        </w:tc>
        <w:tc>
          <w:tcPr>
            <w:tcW w:w="820" w:type="dxa"/>
            <w:vAlign w:val="bottom"/>
          </w:tcPr>
          <w:p>
            <w:pPr>
              <w:jc w:val="right"/>
              <w:spacing w:after="0"/>
              <w:rPr>
                <w:sz w:val="20"/>
                <w:szCs w:val="20"/>
                <w:color w:val="auto"/>
              </w:rPr>
            </w:pPr>
            <w:r>
              <w:rPr>
                <w:rFonts w:ascii="Arial" w:cs="Arial" w:eastAsia="Arial" w:hAnsi="Arial"/>
                <w:sz w:val="16"/>
                <w:szCs w:val="16"/>
                <w:color w:val="auto"/>
              </w:rPr>
              <w:t>45.2%</w:t>
            </w:r>
          </w:p>
        </w:tc>
        <w:tc>
          <w:tcPr>
            <w:tcW w:w="14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10,461</w:t>
            </w:r>
          </w:p>
        </w:tc>
        <w:tc>
          <w:tcPr>
            <w:tcW w:w="76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20,108</w:t>
            </w:r>
          </w:p>
        </w:tc>
        <w:tc>
          <w:tcPr>
            <w:tcW w:w="780" w:type="dxa"/>
            <w:vAlign w:val="bottom"/>
          </w:tcPr>
          <w:p>
            <w:pPr>
              <w:jc w:val="right"/>
              <w:spacing w:after="0"/>
              <w:rPr>
                <w:sz w:val="20"/>
                <w:szCs w:val="20"/>
                <w:color w:val="auto"/>
              </w:rPr>
            </w:pPr>
            <w:r>
              <w:rPr>
                <w:rFonts w:ascii="Arial" w:cs="Arial" w:eastAsia="Arial" w:hAnsi="Arial"/>
                <w:sz w:val="16"/>
                <w:szCs w:val="16"/>
                <w:color w:val="auto"/>
              </w:rPr>
              <w:t>45.0%</w:t>
            </w:r>
          </w:p>
        </w:tc>
        <w:tc>
          <w:tcPr>
            <w:tcW w:w="14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21,065</w:t>
            </w:r>
          </w:p>
        </w:tc>
        <w:tc>
          <w:tcPr>
            <w:tcW w:w="760" w:type="dxa"/>
            <w:vAlign w:val="bottom"/>
          </w:tcPr>
          <w:p>
            <w:pPr>
              <w:jc w:val="right"/>
              <w:spacing w:after="0"/>
              <w:rPr>
                <w:sz w:val="20"/>
                <w:szCs w:val="20"/>
                <w:color w:val="auto"/>
              </w:rPr>
            </w:pPr>
            <w:r>
              <w:rPr>
                <w:rFonts w:ascii="Arial" w:cs="Arial" w:eastAsia="Arial" w:hAnsi="Arial"/>
                <w:sz w:val="16"/>
                <w:szCs w:val="16"/>
                <w:color w:val="auto"/>
              </w:rPr>
              <w:t>46.3%</w:t>
            </w:r>
          </w:p>
        </w:tc>
      </w:tr>
      <w:tr>
        <w:trPr>
          <w:trHeight w:val="280"/>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3,847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3,761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7,637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7,528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50"/>
        </w:trPr>
        <w:tc>
          <w:tcPr>
            <w:tcW w:w="16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6,329</w:t>
            </w:r>
          </w:p>
        </w:tc>
        <w:tc>
          <w:tcPr>
            <w:tcW w:w="820" w:type="dxa"/>
            <w:vAlign w:val="bottom"/>
          </w:tcPr>
          <w:p>
            <w:pPr>
              <w:jc w:val="right"/>
              <w:spacing w:after="0"/>
              <w:rPr>
                <w:sz w:val="20"/>
                <w:szCs w:val="20"/>
                <w:color w:val="auto"/>
              </w:rPr>
            </w:pPr>
            <w:r>
              <w:rPr>
                <w:rFonts w:ascii="Arial" w:cs="Arial" w:eastAsia="Arial" w:hAnsi="Arial"/>
                <w:sz w:val="16"/>
                <w:szCs w:val="16"/>
                <w:color w:val="auto"/>
              </w:rPr>
              <w:t>27.6%</w:t>
            </w:r>
          </w:p>
        </w:tc>
        <w:tc>
          <w:tcPr>
            <w:tcW w:w="14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6,484</w:t>
            </w:r>
          </w:p>
        </w:tc>
        <w:tc>
          <w:tcPr>
            <w:tcW w:w="76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12,067</w:t>
            </w:r>
          </w:p>
        </w:tc>
        <w:tc>
          <w:tcPr>
            <w:tcW w:w="780" w:type="dxa"/>
            <w:vAlign w:val="bottom"/>
          </w:tcPr>
          <w:p>
            <w:pPr>
              <w:jc w:val="right"/>
              <w:spacing w:after="0"/>
              <w:rPr>
                <w:sz w:val="20"/>
                <w:szCs w:val="20"/>
                <w:color w:val="auto"/>
              </w:rPr>
            </w:pPr>
            <w:r>
              <w:rPr>
                <w:rFonts w:ascii="Arial" w:cs="Arial" w:eastAsia="Arial" w:hAnsi="Arial"/>
                <w:sz w:val="16"/>
                <w:szCs w:val="16"/>
                <w:color w:val="auto"/>
              </w:rPr>
              <w:t>27.0%</w:t>
            </w:r>
          </w:p>
        </w:tc>
        <w:tc>
          <w:tcPr>
            <w:tcW w:w="140" w:type="dxa"/>
            <w:vAlign w:val="bottom"/>
          </w:tcPr>
          <w:p>
            <w:pPr>
              <w:spacing w:after="0"/>
              <w:rPr>
                <w:sz w:val="21"/>
                <w:szCs w:val="21"/>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12,965</w:t>
            </w:r>
          </w:p>
        </w:tc>
        <w:tc>
          <w:tcPr>
            <w:tcW w:w="760" w:type="dxa"/>
            <w:vAlign w:val="bottom"/>
          </w:tcPr>
          <w:p>
            <w:pPr>
              <w:jc w:val="right"/>
              <w:spacing w:after="0"/>
              <w:rPr>
                <w:sz w:val="20"/>
                <w:szCs w:val="20"/>
                <w:color w:val="auto"/>
              </w:rPr>
            </w:pPr>
            <w:r>
              <w:rPr>
                <w:rFonts w:ascii="Arial" w:cs="Arial" w:eastAsia="Arial" w:hAnsi="Arial"/>
                <w:sz w:val="16"/>
                <w:szCs w:val="16"/>
                <w:color w:val="auto"/>
              </w:rPr>
              <w:t>28.5%</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June 30, 2020 were $23.0 million, an increase of approximately $0.5 million or 2.3% compared to the three months ended June 30, 2019. The increase in net sales in the quarter ended June 30, 2020 as compared to the quarter ended June 30, 2019 was primarily attributable to increased sales in Long-Lead Time PCBs of approximately $0.5 million, Subcontract of approximately $0.2 million, Quick-Turn Production of approximately $0.1 million and decreased promotional allowances of approximately $0.3 million. These sales increases and decreased promotional allowances were partially offset by decreases in Assembly of approximately $0.4 million and Quick-Turn Small-Run of approximately $0.2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as a percentage of net sales decreased 140 basis points during the three months ended June 30, 2020 compared to the corresponding period in 2019 (45.2% at June 30, 2020 compared to 46.6% at June 30, 2019) primarily as a result of sales mix.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was approximately $3.8 million in both the three months ended June 30,</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549" w:right="339" w:bottom="1440" w:gutter="0" w:footer="0" w:header="0"/>
        </w:sectPr>
      </w:pPr>
    </w:p>
    <w:bookmarkStart w:id="50" w:name="page51"/>
    <w:bookmarkEnd w:id="50"/>
    <w:p>
      <w:pPr>
        <w:jc w:val="both"/>
        <w:ind w:right="20"/>
        <w:spacing w:after="0" w:line="261" w:lineRule="auto"/>
        <w:rPr>
          <w:sz w:val="20"/>
          <w:szCs w:val="20"/>
          <w:color w:val="auto"/>
        </w:rPr>
      </w:pPr>
      <w:r>
        <w:rPr>
          <w:rFonts w:ascii="Arial" w:cs="Arial" w:eastAsia="Arial" w:hAnsi="Arial"/>
          <w:sz w:val="18"/>
          <w:szCs w:val="18"/>
          <w:color w:val="auto"/>
        </w:rPr>
        <w:t>2020 and the three months ended June 30, 2019. Selling, general and administrative expense represented 16.8% of net sales for the three months ended June 30, 2020 and 16.8% of net sales in the corresponding period in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June 30, 2020 was approximately $6.3 million compared to $6.5 million in the same period in 2019, a decrease of approximately $0.2 million, principally as a result of the factors described above.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six months ended June 30, 2020 were $44.7 million, a decrease of approximately $0.9 million or 1.9% compared to the six months ended June 30, 2019. The decrease in net sales in the six months ended June 30, 2020 as compared to the six months ended June 30, 2019 was primarily attributable to decreased sales in Assembly of approximately $0.6 million, Quick-Turn Small-Run of approximately $0.4 million, Subcontract of approximately $0.4 million, and Long-Lead Time PCBs of approximately $0.3 million. These decreases were partially offset by decreases in promotional allowances of approximately $0.4 million and increases in Quick-Turn Production of approximately $0.4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decreased 130 basis points during the six months ended June 30, 2020 compared to the corresponding period in 2019 (45.0% for the six months ended June 30, 2020 compared to 46.3% for the six months June 30, 2019) primarily as a result of sales mix.</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was approximately $7.6 million in the six months ended June 30, 2020 as compared to $7.5 million and the six months ended June 30, 2019. Selling, general and administrative expense represented 17.1% of net sales for the six months ended June 30, 2020 compared to 16.5% of net sales in the corresponding period in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six months ended June 30, 2020 was approximately $12.1 million compared to $13.0 million in the same period in 2019, a decrease of approximately $0.9 million, principally as a result of the factors described above.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w:t>
      </w:r>
    </w:p>
    <w:p>
      <w:pPr>
        <w:spacing w:after="0" w:line="365" w:lineRule="exact"/>
        <w:rPr>
          <w:sz w:val="20"/>
          <w:szCs w:val="20"/>
          <w:color w:val="auto"/>
        </w:rPr>
      </w:pPr>
    </w:p>
    <w:tbl>
      <w:tblPr>
        <w:tblLayout w:type="fixed"/>
        <w:tblInd w:w="104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Six months ended</w:t>
            </w:r>
          </w:p>
        </w:tc>
        <w:tc>
          <w:tcPr>
            <w:tcW w:w="760" w:type="dxa"/>
            <w:vAlign w:val="bottom"/>
            <w:tcBorders>
              <w:bottom w:val="single" w:sz="8" w:color="auto"/>
            </w:tcBorders>
          </w:tcPr>
          <w:p>
            <w:pPr>
              <w:spacing w:after="0"/>
              <w:rPr>
                <w:sz w:val="19"/>
                <w:szCs w:val="19"/>
                <w:color w:val="auto"/>
              </w:rPr>
            </w:pPr>
          </w:p>
        </w:tc>
      </w:tr>
      <w:tr>
        <w:trPr>
          <w:trHeight w:val="263"/>
        </w:trPr>
        <w:tc>
          <w:tcPr>
            <w:tcW w:w="1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Pr>
          <w:p>
            <w:pPr>
              <w:spacing w:after="0"/>
              <w:rPr>
                <w:sz w:val="22"/>
                <w:szCs w:val="22"/>
                <w:color w:val="auto"/>
              </w:rPr>
            </w:pPr>
          </w:p>
        </w:tc>
        <w:tc>
          <w:tcPr>
            <w:tcW w:w="168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2019</w:t>
            </w:r>
          </w:p>
        </w:tc>
        <w:tc>
          <w:tcPr>
            <w:tcW w:w="1920" w:type="dxa"/>
            <w:vAlign w:val="bottom"/>
            <w:gridSpan w:val="3"/>
          </w:tcPr>
          <w:p>
            <w:pPr>
              <w:ind w:left="360"/>
              <w:spacing w:after="0"/>
              <w:rPr>
                <w:sz w:val="20"/>
                <w:szCs w:val="20"/>
                <w:color w:val="auto"/>
              </w:rPr>
            </w:pPr>
            <w:r>
              <w:rPr>
                <w:rFonts w:ascii="Arial" w:cs="Arial" w:eastAsia="Arial" w:hAnsi="Arial"/>
                <w:sz w:val="16"/>
                <w:szCs w:val="16"/>
                <w:b w:val="1"/>
                <w:bCs w:val="1"/>
                <w:color w:val="auto"/>
              </w:rPr>
              <w:t>June 30, 2020</w:t>
            </w:r>
          </w:p>
        </w:tc>
        <w:tc>
          <w:tcPr>
            <w:tcW w:w="17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June 30, 2019</w:t>
            </w:r>
          </w:p>
        </w:tc>
      </w:tr>
      <w:tr>
        <w:trPr>
          <w:trHeight w:val="270"/>
        </w:trPr>
        <w:tc>
          <w:tcPr>
            <w:tcW w:w="1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24,270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29,481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53,828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59,509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6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6,148</w:t>
            </w:r>
          </w:p>
        </w:tc>
        <w:tc>
          <w:tcPr>
            <w:tcW w:w="820" w:type="dxa"/>
            <w:vAlign w:val="bottom"/>
          </w:tcPr>
          <w:p>
            <w:pPr>
              <w:jc w:val="right"/>
              <w:spacing w:after="0"/>
              <w:rPr>
                <w:sz w:val="20"/>
                <w:szCs w:val="20"/>
                <w:color w:val="auto"/>
              </w:rPr>
            </w:pPr>
            <w:r>
              <w:rPr>
                <w:rFonts w:ascii="Arial" w:cs="Arial" w:eastAsia="Arial" w:hAnsi="Arial"/>
                <w:sz w:val="16"/>
                <w:szCs w:val="16"/>
                <w:color w:val="auto"/>
              </w:rPr>
              <w:t>25.3%</w:t>
            </w:r>
          </w:p>
        </w:tc>
        <w:tc>
          <w:tcPr>
            <w:tcW w:w="14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7,852</w:t>
            </w:r>
          </w:p>
        </w:tc>
        <w:tc>
          <w:tcPr>
            <w:tcW w:w="76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14,062</w:t>
            </w:r>
          </w:p>
        </w:tc>
        <w:tc>
          <w:tcPr>
            <w:tcW w:w="780" w:type="dxa"/>
            <w:vAlign w:val="bottom"/>
          </w:tcPr>
          <w:p>
            <w:pPr>
              <w:jc w:val="right"/>
              <w:spacing w:after="0"/>
              <w:rPr>
                <w:sz w:val="20"/>
                <w:szCs w:val="20"/>
                <w:color w:val="auto"/>
              </w:rPr>
            </w:pPr>
            <w:r>
              <w:rPr>
                <w:rFonts w:ascii="Arial" w:cs="Arial" w:eastAsia="Arial" w:hAnsi="Arial"/>
                <w:sz w:val="16"/>
                <w:szCs w:val="16"/>
                <w:color w:val="auto"/>
              </w:rPr>
              <w:t>26.1%</w:t>
            </w:r>
          </w:p>
        </w:tc>
        <w:tc>
          <w:tcPr>
            <w:tcW w:w="14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15,091</w:t>
            </w:r>
          </w:p>
        </w:tc>
        <w:tc>
          <w:tcPr>
            <w:tcW w:w="76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280"/>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3,770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4,690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9,096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9,487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50"/>
        </w:trPr>
        <w:tc>
          <w:tcPr>
            <w:tcW w:w="16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1,443</w:t>
            </w:r>
          </w:p>
        </w:tc>
        <w:tc>
          <w:tcPr>
            <w:tcW w:w="82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2,227</w:t>
            </w:r>
          </w:p>
        </w:tc>
        <w:tc>
          <w:tcPr>
            <w:tcW w:w="76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3,096</w:t>
            </w: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21"/>
                <w:szCs w:val="21"/>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3,704</w:t>
            </w:r>
          </w:p>
        </w:tc>
        <w:tc>
          <w:tcPr>
            <w:tcW w:w="760" w:type="dxa"/>
            <w:vAlign w:val="bottom"/>
          </w:tcPr>
          <w:p>
            <w:pPr>
              <w:jc w:val="right"/>
              <w:spacing w:after="0"/>
              <w:rPr>
                <w:sz w:val="20"/>
                <w:szCs w:val="20"/>
                <w:color w:val="auto"/>
              </w:rPr>
            </w:pPr>
            <w:r>
              <w:rPr>
                <w:rFonts w:ascii="Arial" w:cs="Arial" w:eastAsia="Arial" w:hAnsi="Arial"/>
                <w:sz w:val="16"/>
                <w:szCs w:val="16"/>
                <w:color w:val="auto"/>
              </w:rPr>
              <w:t>6.2%</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three months ended June 30, 2020 were approximately $24.3 million, a decrease of $ 5.2 million compared to the same period in 2019. International sales were $ 9.0 million in the three months ended June 30, 2020 and $11.8 million in the three months ended June 30, 2019. The decrease in net sales is primarily a result of softness in the commercial aerospace, oil and gas and advertising specialty markets caused by the global COVID-19 pandemic.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Gross profit for the three months ended June 30, 2020 was approximately $6.1 million compared to approximately $7.9 million in the same period of 2019. Gross profit as a percentage of net sales decreased to 25.3% for the quarter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463" w:right="339" w:bottom="1440" w:gutter="0" w:footer="0" w:header="0"/>
        </w:sectPr>
      </w:pPr>
    </w:p>
    <w:bookmarkStart w:id="51" w:name="page52"/>
    <w:bookmarkEnd w:id="51"/>
    <w:p>
      <w:pPr>
        <w:jc w:val="both"/>
        <w:spacing w:after="0" w:line="261" w:lineRule="auto"/>
        <w:rPr>
          <w:sz w:val="20"/>
          <w:szCs w:val="20"/>
          <w:color w:val="auto"/>
        </w:rPr>
      </w:pPr>
      <w:r>
        <w:rPr>
          <w:rFonts w:ascii="Arial" w:cs="Arial" w:eastAsia="Arial" w:hAnsi="Arial"/>
          <w:sz w:val="18"/>
          <w:szCs w:val="18"/>
          <w:color w:val="auto"/>
        </w:rPr>
        <w:t>ended June 30, 2020 from 26.6% in the quarter ended June 30, 2019 principally due to the lower volume in the markets as noted above, partially offset by improved operating efficiencies.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in the three month period ended June 30, 2020 was $3.8 million, a decrease in expense of approximately $0.9 million compared to $4.7 million for the three months ended June 30, 2019. Selling, general and administrative expense was 15.5% of net sales in the three months ended June 30, 2020 and 15.9% in the three months ended June 30, 2019. The decrease in selling, general and administrative expense as a percentage of net sales was due to lower staffing related costs and lower travel and meeting expense partially offset by increased legal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June 30, 2020 was approximately $1.4 million, a decrease of $0.8 million when compared to the same period in 2019, as a result of the factors noted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six months ended June 30, 2020 were approximately $53.8 million, a decrease of $5.7 million compared to the same period in 2019. International sales were $ 20.0 million in the six months ended June 30, 2020 and $24.0 million in the six months ended June 30, 2019. The decrease in net sales is primarily a result of softness in the commercial aerospace, oil and gas and advertising specialty markets caused by the global COVID-19 pandemic.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six months ended June 30, 2020 was approximately $14.1 million compared to approximately $15.1 million in the same period of 2019. Gross profit as a percentage of net sales increased to 26.1% for the six months ended June 30, 2020 from 25.4% in the six months ended June 30, 2019 principally due to product mix and improvements in operating efficiencies.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in the six month period ended June 30, 2020 was $9.1 million, a decrease in expense of approximately $0.4 million compared to $9.5 million for the six months ended June 30, 2019. The decrease in selling, general and administrative expense was due to lower staffing related costs and lower travel and meeting expense partially offset by increased bad debt reserves due to the adoption of the new credit loss accounting standard and increased legal expenses. Selling, general and administrative expense was 16.9% of net sales in the six months ended June 30, 2020 and 15.9% in the six months ended June 30,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six months ended June 30, 2020 was approximately $3.1 million, a decrease of $0.6 million when compared to the same period in 2019, as a result of the factors noted above.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Foam Fabricators</w:t>
      </w:r>
    </w:p>
    <w:p>
      <w:pPr>
        <w:spacing w:after="0" w:line="257" w:lineRule="exact"/>
        <w:rPr>
          <w:sz w:val="20"/>
          <w:szCs w:val="20"/>
          <w:color w:val="auto"/>
        </w:rPr>
      </w:pPr>
    </w:p>
    <w:tbl>
      <w:tblPr>
        <w:tblLayout w:type="fixed"/>
        <w:tblInd w:w="104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Six months ended</w:t>
            </w:r>
          </w:p>
        </w:tc>
        <w:tc>
          <w:tcPr>
            <w:tcW w:w="740" w:type="dxa"/>
            <w:vAlign w:val="bottom"/>
            <w:tcBorders>
              <w:bottom w:val="single" w:sz="8" w:color="auto"/>
            </w:tcBorders>
          </w:tcPr>
          <w:p>
            <w:pPr>
              <w:spacing w:after="0"/>
              <w:rPr>
                <w:sz w:val="19"/>
                <w:szCs w:val="19"/>
                <w:color w:val="auto"/>
              </w:rPr>
            </w:pPr>
          </w:p>
        </w:tc>
      </w:tr>
      <w:tr>
        <w:trPr>
          <w:trHeight w:val="264"/>
        </w:trPr>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Pr>
          <w:p>
            <w:pPr>
              <w:spacing w:after="0"/>
              <w:rPr>
                <w:sz w:val="22"/>
                <w:szCs w:val="22"/>
                <w:color w:val="auto"/>
              </w:rPr>
            </w:pPr>
          </w:p>
        </w:tc>
        <w:tc>
          <w:tcPr>
            <w:tcW w:w="1640" w:type="dxa"/>
            <w:vAlign w:val="bottom"/>
            <w:gridSpan w:val="3"/>
          </w:tcPr>
          <w:p>
            <w:pPr>
              <w:ind w:left="120"/>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Pr>
          <w:p>
            <w:pPr>
              <w:spacing w:after="0"/>
              <w:rPr>
                <w:sz w:val="22"/>
                <w:szCs w:val="22"/>
                <w:color w:val="auto"/>
              </w:rPr>
            </w:pPr>
          </w:p>
        </w:tc>
        <w:tc>
          <w:tcPr>
            <w:tcW w:w="168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Pr>
          <w:p>
            <w:pPr>
              <w:spacing w:after="0"/>
              <w:rPr>
                <w:sz w:val="22"/>
                <w:szCs w:val="22"/>
                <w:color w:val="auto"/>
              </w:rPr>
            </w:pPr>
          </w:p>
        </w:tc>
        <w:tc>
          <w:tcPr>
            <w:tcW w:w="154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June 30, 2019</w:t>
            </w:r>
          </w:p>
        </w:tc>
      </w:tr>
      <w:tr>
        <w:trPr>
          <w:trHeight w:val="270"/>
        </w:trPr>
        <w:tc>
          <w:tcPr>
            <w:tcW w:w="1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24,429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31,648</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52,812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62,330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16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7,316</w:t>
            </w:r>
          </w:p>
        </w:tc>
        <w:tc>
          <w:tcPr>
            <w:tcW w:w="840" w:type="dxa"/>
            <w:vAlign w:val="bottom"/>
          </w:tcPr>
          <w:p>
            <w:pPr>
              <w:jc w:val="right"/>
              <w:spacing w:after="0"/>
              <w:rPr>
                <w:sz w:val="20"/>
                <w:szCs w:val="20"/>
                <w:color w:val="auto"/>
              </w:rPr>
            </w:pPr>
            <w:r>
              <w:rPr>
                <w:rFonts w:ascii="Arial" w:cs="Arial" w:eastAsia="Arial" w:hAnsi="Arial"/>
                <w:sz w:val="16"/>
                <w:szCs w:val="16"/>
                <w:color w:val="auto"/>
              </w:rPr>
              <w:t>29.9%</w:t>
            </w:r>
          </w:p>
        </w:tc>
        <w:tc>
          <w:tcPr>
            <w:tcW w:w="14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9,356</w:t>
            </w:r>
          </w:p>
        </w:tc>
        <w:tc>
          <w:tcPr>
            <w:tcW w:w="74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15,981</w:t>
            </w:r>
          </w:p>
        </w:tc>
        <w:tc>
          <w:tcPr>
            <w:tcW w:w="760" w:type="dxa"/>
            <w:vAlign w:val="bottom"/>
          </w:tcPr>
          <w:p>
            <w:pPr>
              <w:jc w:val="right"/>
              <w:spacing w:after="0"/>
              <w:rPr>
                <w:sz w:val="20"/>
                <w:szCs w:val="20"/>
                <w:color w:val="auto"/>
              </w:rPr>
            </w:pPr>
            <w:r>
              <w:rPr>
                <w:rFonts w:ascii="Arial" w:cs="Arial" w:eastAsia="Arial" w:hAnsi="Arial"/>
                <w:sz w:val="16"/>
                <w:szCs w:val="16"/>
                <w:color w:val="auto"/>
              </w:rPr>
              <w:t>30.3%</w:t>
            </w:r>
          </w:p>
        </w:tc>
        <w:tc>
          <w:tcPr>
            <w:tcW w:w="14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17,844</w:t>
            </w:r>
          </w:p>
        </w:tc>
        <w:tc>
          <w:tcPr>
            <w:tcW w:w="74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80"/>
        </w:trPr>
        <w:tc>
          <w:tcPr>
            <w:tcW w:w="1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2,746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5,130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5,482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50"/>
        </w:trPr>
        <w:tc>
          <w:tcPr>
            <w:tcW w:w="162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2,847</w:t>
            </w:r>
          </w:p>
        </w:tc>
        <w:tc>
          <w:tcPr>
            <w:tcW w:w="840" w:type="dxa"/>
            <w:vAlign w:val="bottom"/>
          </w:tcPr>
          <w:p>
            <w:pPr>
              <w:jc w:val="right"/>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4,364</w:t>
            </w:r>
          </w:p>
        </w:tc>
        <w:tc>
          <w:tcPr>
            <w:tcW w:w="74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6,359</w:t>
            </w:r>
          </w:p>
        </w:tc>
        <w:tc>
          <w:tcPr>
            <w:tcW w:w="760" w:type="dxa"/>
            <w:vAlign w:val="bottom"/>
          </w:tcPr>
          <w:p>
            <w:pPr>
              <w:jc w:val="right"/>
              <w:spacing w:after="0"/>
              <w:rPr>
                <w:sz w:val="20"/>
                <w:szCs w:val="20"/>
                <w:color w:val="auto"/>
              </w:rPr>
            </w:pPr>
            <w:r>
              <w:rPr>
                <w:rFonts w:ascii="Arial" w:cs="Arial" w:eastAsia="Arial" w:hAnsi="Arial"/>
                <w:sz w:val="16"/>
                <w:szCs w:val="16"/>
                <w:color w:val="auto"/>
              </w:rPr>
              <w:t>12.0%</w:t>
            </w:r>
          </w:p>
        </w:tc>
        <w:tc>
          <w:tcPr>
            <w:tcW w:w="14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7,870</w:t>
            </w:r>
          </w:p>
        </w:tc>
        <w:tc>
          <w:tcPr>
            <w:tcW w:w="740" w:type="dxa"/>
            <w:vAlign w:val="bottom"/>
          </w:tcPr>
          <w:p>
            <w:pPr>
              <w:jc w:val="right"/>
              <w:spacing w:after="0"/>
              <w:rPr>
                <w:sz w:val="20"/>
                <w:szCs w:val="20"/>
                <w:color w:val="auto"/>
              </w:rPr>
            </w:pPr>
            <w:r>
              <w:rPr>
                <w:rFonts w:ascii="Arial" w:cs="Arial" w:eastAsia="Arial" w:hAnsi="Arial"/>
                <w:sz w:val="16"/>
                <w:szCs w:val="16"/>
                <w:color w:val="auto"/>
              </w:rPr>
              <w:t>12.6%</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Net sales for the quarter ended June 30, 2020 were $24.4 million, a decrease of $7.2 million, or 22.8%, compared to the quarter ended June 30, 2019. The decrease in net sales during the quarter was due to a slow-down across our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463" w:right="339" w:bottom="1440" w:gutter="0" w:footer="0" w:header="0"/>
        </w:sectPr>
      </w:pPr>
    </w:p>
    <w:bookmarkStart w:id="52" w:name="page53"/>
    <w:bookmarkEnd w:id="52"/>
    <w:p>
      <w:pPr>
        <w:jc w:val="both"/>
        <w:spacing w:after="0" w:line="261" w:lineRule="auto"/>
        <w:rPr>
          <w:sz w:val="20"/>
          <w:szCs w:val="20"/>
          <w:color w:val="auto"/>
        </w:rPr>
      </w:pPr>
      <w:r>
        <w:rPr>
          <w:rFonts w:ascii="Arial" w:cs="Arial" w:eastAsia="Arial" w:hAnsi="Arial"/>
          <w:sz w:val="18"/>
          <w:szCs w:val="18"/>
          <w:color w:val="auto"/>
        </w:rPr>
        <w:t>sales segments in April and May as a result of the effect of the COVID-19 pandemic on our customers' operations, offset by significant improvement in June in all sectors except appliance and automotive.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was 29.9% and 29.6% for the three months ended June 30, 2020 and 2019, respectively. The increase in gross profit as a percentage of net sales in the quarter ended June 30, 2020 was primarily due to the decreasing price of expanded polystyrene ("EPS") resin. A majority of Foam Fabricator's products are made with EPS resin, an oil and natural gas derived polymer with an added expansion agent, therefore raw material costs will fluctuate based on the price of oil and natural gas.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for the three months ended June 30, 2020 was $2.2 million as compared to $2.7 million for the three months ended June 30, 2019, a decrease of $0.5 million. The decrease in selling, general and administrative expense in the second quarter of 2020 was primarily due to a reduction in performance-based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was $2.8 million in the three months ended June 30, 2020, a decrease of $1.5 million as compared to the three months ended June 30, 2019, based on the factors noted above.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six months ended June 30, 2020 were $52.8 million, a decrease of $9.5 million, or 15.3%, compared to the six months ended June 30, 2019. The decrease in net sales during the first half of 2020 was due to a continued slow-down in our appliance and automotive customer sectors, as well as a general slow-down across our other customer segments in April and May, as a result of the effect of the COVID-19 pandemic on our customers' operations. While most of our customer sectors saw improved performance in June, the appliance and automotive sectors continued to see a slow down in sales through the end of the quarter.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was 30.3% and 28.6% for the six months ended June 30, 2020 and 2019, respectively. The increase in gross profit as a percentage of net sales in the six months ended June 30, 2020 was primarily due to the decreasing price of expanded polystyrene ("EPS") resin. A majority of Foam Fabricator's products are made with EPS resin, an oil and natural gas derived polymer with an added expansion agent, therefore raw material costs will fluctuate based on the price of oil and natural gas.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six months ended June 30, 2020 was $5.1 million as compared to $5.5 million for the six months ended June 30, 2019, a decrease of $ 0.4 million. Selling, general and administrative expense for the six months ended June 30, 2019 included $0.3 million in integration service fees paid to CGM. Excluding the effect of the integration service fee, the selling, general and administrative expense in the first half of 2020 decreased approximately $0.1 million, with decreases in spending partially offset by an increase in professional fees and costs incurred to upgrade its enterprise resource planning system.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was $6.4 million in the six months ended June 30, 2020 as compared to $7.9 million in the six months ended June 30, 2019, a decrease of $1.5 million based on the factors noted above.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46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Sterno</w:t>
      </w:r>
    </w:p>
    <w:p>
      <w:pPr>
        <w:spacing w:after="0" w:line="311" w:lineRule="exact"/>
        <w:rPr>
          <w:sz w:val="20"/>
          <w:szCs w:val="20"/>
          <w:color w:val="auto"/>
        </w:rPr>
      </w:pPr>
    </w:p>
    <w:tbl>
      <w:tblPr>
        <w:tblLayout w:type="fixed"/>
        <w:tblInd w:w="1040" w:type="dxa"/>
        <w:tblCellMar>
          <w:top w:w="0" w:type="dxa"/>
          <w:left w:w="0" w:type="dxa"/>
          <w:bottom w:w="0" w:type="dxa"/>
          <w:right w:w="0" w:type="dxa"/>
        </w:tblCellMar>
      </w:tblPr>
      <w:tr>
        <w:trPr>
          <w:trHeight w:val="228"/>
        </w:trPr>
        <w:tc>
          <w:tcPr>
            <w:tcW w:w="1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Six months ended</w:t>
            </w:r>
          </w:p>
        </w:tc>
        <w:tc>
          <w:tcPr>
            <w:tcW w:w="760" w:type="dxa"/>
            <w:vAlign w:val="bottom"/>
            <w:tcBorders>
              <w:bottom w:val="single" w:sz="8" w:color="auto"/>
            </w:tcBorders>
          </w:tcPr>
          <w:p>
            <w:pPr>
              <w:spacing w:after="0"/>
              <w:rPr>
                <w:sz w:val="19"/>
                <w:szCs w:val="19"/>
                <w:color w:val="auto"/>
              </w:rPr>
            </w:pPr>
          </w:p>
        </w:tc>
      </w:tr>
      <w:tr>
        <w:trPr>
          <w:trHeight w:val="263"/>
        </w:trPr>
        <w:tc>
          <w:tcPr>
            <w:tcW w:w="1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Pr>
          <w:p>
            <w:pPr>
              <w:spacing w:after="0"/>
              <w:rPr>
                <w:sz w:val="22"/>
                <w:szCs w:val="22"/>
                <w:color w:val="auto"/>
              </w:rPr>
            </w:pPr>
          </w:p>
        </w:tc>
        <w:tc>
          <w:tcPr>
            <w:tcW w:w="166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2019</w:t>
            </w:r>
          </w:p>
        </w:tc>
        <w:tc>
          <w:tcPr>
            <w:tcW w:w="1920" w:type="dxa"/>
            <w:vAlign w:val="bottom"/>
            <w:gridSpan w:val="3"/>
          </w:tcPr>
          <w:p>
            <w:pPr>
              <w:ind w:left="3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2"/>
                <w:szCs w:val="22"/>
                <w:color w:val="auto"/>
              </w:rPr>
            </w:pPr>
          </w:p>
        </w:tc>
        <w:tc>
          <w:tcPr>
            <w:tcW w:w="162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June 30, 2019</w:t>
            </w:r>
          </w:p>
        </w:tc>
      </w:tr>
      <w:tr>
        <w:trPr>
          <w:trHeight w:val="260"/>
        </w:trPr>
        <w:tc>
          <w:tcPr>
            <w:tcW w:w="160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77,363</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spacing w:after="0"/>
              <w:rPr>
                <w:sz w:val="22"/>
                <w:szCs w:val="22"/>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86,465</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160,395</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spacing w:after="0"/>
              <w:rPr>
                <w:sz w:val="22"/>
                <w:szCs w:val="22"/>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177,661</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80"/>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17,196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22,665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35,796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45,020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60"/>
        </w:trPr>
        <w:tc>
          <w:tcPr>
            <w:tcW w:w="1600" w:type="dxa"/>
            <w:vAlign w:val="bottom"/>
          </w:tcPr>
          <w:p>
            <w:pPr>
              <w:ind w:left="20"/>
              <w:spacing w:after="0"/>
              <w:rPr>
                <w:sz w:val="20"/>
                <w:szCs w:val="20"/>
                <w:color w:val="auto"/>
              </w:rPr>
            </w:pPr>
            <w:r>
              <w:rPr>
                <w:rFonts w:ascii="Arial" w:cs="Arial" w:eastAsia="Arial" w:hAnsi="Arial"/>
                <w:sz w:val="16"/>
                <w:szCs w:val="16"/>
                <w:color w:val="auto"/>
              </w:rPr>
              <w:t>SG&amp;A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8,855</w:t>
            </w:r>
          </w:p>
        </w:tc>
        <w:tc>
          <w:tcPr>
            <w:tcW w:w="820" w:type="dxa"/>
            <w:vAlign w:val="bottom"/>
          </w:tcPr>
          <w:p>
            <w:pPr>
              <w:jc w:val="right"/>
              <w:spacing w:after="0"/>
              <w:rPr>
                <w:sz w:val="20"/>
                <w:szCs w:val="20"/>
                <w:color w:val="auto"/>
              </w:rPr>
            </w:pPr>
            <w:r>
              <w:rPr>
                <w:rFonts w:ascii="Arial" w:cs="Arial" w:eastAsia="Arial" w:hAnsi="Arial"/>
                <w:sz w:val="16"/>
                <w:szCs w:val="16"/>
                <w:color w:val="auto"/>
              </w:rPr>
              <w:t>11.4%</w:t>
            </w:r>
          </w:p>
        </w:tc>
        <w:tc>
          <w:tcPr>
            <w:tcW w:w="14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10,162</w:t>
            </w:r>
          </w:p>
        </w:tc>
        <w:tc>
          <w:tcPr>
            <w:tcW w:w="74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17,808</w:t>
            </w:r>
          </w:p>
        </w:tc>
        <w:tc>
          <w:tcPr>
            <w:tcW w:w="760" w:type="dxa"/>
            <w:vAlign w:val="bottom"/>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20,254</w:t>
            </w:r>
          </w:p>
        </w:tc>
        <w:tc>
          <w:tcPr>
            <w:tcW w:w="76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80"/>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3,963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8,113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9,232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16,097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three months ended June 30, 2020 were approximately $77.4 million, a decrease of $9.1 million, or 10.5%, compared to the same period in 2019. The net sales variance reflects a decrease in sales at Sterno Products and Sterno Home as a result of the effect of COVID-19 on the food service and retail industries during the second quarter of 2020, partially offset by favorable sales volume at Rimports of wax and essential oils in the second quarter of 2020. We expect the food service and retail industries to continue to be negatively impacted for the remainder of 2020 by COVID-19.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decreased from 26.2% for the three months ended June 30, 2019 to 22.2% for the same period ended June 30, 2020. The decrease in gross profit in the second quarter of 2020 as compared to the second quarter of 2019 was attributable to product mix, with lower margin sales in the second quarter of 2020, higher freight and tariff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June 30, 2020 was approximately $ 8.9 million as compared to $10.2 million for the three months ended June 30, 2019, a decrease of $1.3 million, reflecting lower salaries, commissions, and various cost savings initiatives implemented to address the effects of decreased demand from COVID-19. Selling, general and administrative expense represented 11.4% of net sales for the three months ended June 30, 2020 and 11.8% for the three months ended June 30,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three months ended June 30, 2020 was approximately $4.0 million, a decrease of $4.2 million compared to the three months ended June 30, 2019 based on the factors noted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six months ended June 30, 2020 were approximately $160.4 million, a decrease of $17.3 million, or 9.7%, compared to the same period in 2019. The net sales variance reflects a decrease in sales at Sterno Products and Sterno Home as a result of the effect of COVID-19 on the food service and retail industries during the latter half of March and the second quarter of 2020, partially offset by favorable sales volume at Rimports of wax and essential oils in the first half of 2020. We expect the food service and retail industries to continue to be negatively impacted for the remainder of 2020 by COVID-19.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as a percentage of net sales was 22.3% for the six months ended June 30, 2020 as compared to 25.3% for the six months ended June 30, 2019. The decrease in gross profit in the first half of 2020 as compared to the first half of 2019 was attributable to product mix, with lower margin sales in the first quarter of 2020, higher freight and tariff costs.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for the six months ended June 30, 2020 was approximately $17.8 million as compared to $20.3 million for the six months ended June 30, 2019, a decrease of $2.4 million, reflecting lower salaries, commissions, and various cost savings initiatives implemented to address the effects of decreased demand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441" w:right="339" w:bottom="1440" w:gutter="0" w:footer="0" w:header="0"/>
        </w:sectPr>
      </w:pPr>
    </w:p>
    <w:bookmarkStart w:id="54" w:name="page55"/>
    <w:bookmarkEnd w:id="54"/>
    <w:p>
      <w:pPr>
        <w:jc w:val="both"/>
        <w:ind w:right="20"/>
        <w:spacing w:after="0" w:line="261" w:lineRule="auto"/>
        <w:rPr>
          <w:sz w:val="20"/>
          <w:szCs w:val="20"/>
          <w:color w:val="auto"/>
        </w:rPr>
      </w:pPr>
      <w:r>
        <w:rPr>
          <w:rFonts w:ascii="Arial" w:cs="Arial" w:eastAsia="Arial" w:hAnsi="Arial"/>
          <w:sz w:val="18"/>
          <w:szCs w:val="18"/>
          <w:color w:val="auto"/>
        </w:rPr>
        <w:t>from COVID-19. Selling, general and administrative expense represented 11.1% of net sales for the six months ended June 30, 2020 and 11.4% for the six months ended June 30,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six months ended June 30, 2020 was approximately $9.2 million, a decrease of $6.9 million compared to the six months ended June 30, 2019 based on the factors noted above.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June 30, 2020, we had approximately $205.2 million of cash and cash equivalents on hand, an increase of $104.9 million as compared to the year ended December 31, 2019. In May 2020, we completed an offering of 5,000,000 Trust common shares for net proceeds, after deducting the underwriter's discount and offering costs, of approximately $83.9 million. Also in May 2020, we issued $200 million in additional Senior Notes. We used $200 million of the proceeds from the common share offering and issuance of additional Senior Notes to pay down the outstanding amount on our 2018 Revolving Credit Facility. The remaining cash proceeds will be used for general corporate purposes. The majority of our cash is in non-interest bearing checking accounts or invested in short-term money market accounts and is maintained in accordance with the Company’s investment policy, which identifies allowable investments and specifies credit quality standards. The change in cash and cash equivalents is as follows: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330"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4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4"/>
          </w:tcPr>
          <w:p>
            <w:pPr>
              <w:jc w:val="right"/>
              <w:ind w:right="1344"/>
              <w:spacing w:after="0"/>
              <w:rPr>
                <w:sz w:val="20"/>
                <w:szCs w:val="20"/>
                <w:color w:val="auto"/>
              </w:rPr>
            </w:pPr>
            <w:r>
              <w:rPr>
                <w:rFonts w:ascii="Arial" w:cs="Arial" w:eastAsia="Arial" w:hAnsi="Arial"/>
                <w:sz w:val="15"/>
                <w:szCs w:val="15"/>
                <w:b w:val="1"/>
                <w:bCs w:val="1"/>
                <w:color w:val="auto"/>
              </w:rPr>
              <w:t>Six months ended</w:t>
            </w:r>
          </w:p>
        </w:tc>
      </w:tr>
      <w:tr>
        <w:trPr>
          <w:trHeight w:val="263"/>
        </w:trPr>
        <w:tc>
          <w:tcPr>
            <w:tcW w:w="49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Pr>
          <w:p>
            <w:pPr>
              <w:spacing w:after="0"/>
              <w:rPr>
                <w:sz w:val="22"/>
                <w:szCs w:val="22"/>
                <w:color w:val="auto"/>
              </w:rPr>
            </w:pPr>
          </w:p>
        </w:tc>
        <w:tc>
          <w:tcPr>
            <w:tcW w:w="1840" w:type="dxa"/>
            <w:vAlign w:val="bottom"/>
            <w:gridSpan w:val="2"/>
          </w:tcPr>
          <w:p>
            <w:pPr>
              <w:ind w:left="220"/>
              <w:spacing w:after="0"/>
              <w:rPr>
                <w:sz w:val="20"/>
                <w:szCs w:val="20"/>
                <w:color w:val="auto"/>
              </w:rPr>
            </w:pPr>
            <w:r>
              <w:rPr>
                <w:rFonts w:ascii="Arial" w:cs="Arial" w:eastAsia="Arial" w:hAnsi="Arial"/>
                <w:sz w:val="15"/>
                <w:szCs w:val="15"/>
                <w:b w:val="1"/>
                <w:bCs w:val="1"/>
                <w:color w:val="auto"/>
              </w:rPr>
              <w:t>June 30, 2020</w:t>
            </w:r>
          </w:p>
        </w:tc>
        <w:tc>
          <w:tcPr>
            <w:tcW w:w="300" w:type="dxa"/>
            <w:vAlign w:val="bottom"/>
          </w:tcPr>
          <w:p>
            <w:pPr>
              <w:spacing w:after="0"/>
              <w:rPr>
                <w:sz w:val="22"/>
                <w:szCs w:val="22"/>
                <w:color w:val="auto"/>
              </w:rPr>
            </w:pPr>
          </w:p>
        </w:tc>
        <w:tc>
          <w:tcPr>
            <w:tcW w:w="1720" w:type="dxa"/>
            <w:vAlign w:val="bottom"/>
          </w:tcPr>
          <w:p>
            <w:pPr>
              <w:jc w:val="right"/>
              <w:ind w:right="444"/>
              <w:spacing w:after="0"/>
              <w:rPr>
                <w:sz w:val="20"/>
                <w:szCs w:val="20"/>
                <w:color w:val="auto"/>
              </w:rPr>
            </w:pPr>
            <w:r>
              <w:rPr>
                <w:rFonts w:ascii="Arial" w:cs="Arial" w:eastAsia="Arial" w:hAnsi="Arial"/>
                <w:sz w:val="15"/>
                <w:szCs w:val="15"/>
                <w:b w:val="1"/>
                <w:bCs w:val="1"/>
                <w:color w:val="auto"/>
              </w:rPr>
              <w:t>June 30, 2019</w:t>
            </w:r>
          </w:p>
        </w:tc>
      </w:tr>
      <w:tr>
        <w:trPr>
          <w:trHeight w:val="25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provided by operating activities</w:t>
            </w: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88,330</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8,654</w:t>
            </w:r>
          </w:p>
        </w:tc>
      </w:tr>
    </w:tbl>
    <w:p>
      <w:pPr>
        <w:spacing w:after="0" w:line="3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six months ended June 30, 2020, cash flows provided by operating activities totaled approximately $88.3 million, which represents a $79.7 million increase compared to cash provided by operating activities of $8.7 million during the six-month period ended June 30, 2019. The increase in cash flows in the first half of 2020 is attributable to a smaller net loss from continuing operations in the first half of 2020 as compared to the first half of 2019, and a significant increase in cash provided by working capital. In the prior year, the Company incurred interest expense related to the 2018 Term Loan, which we paid off in the third and fourth quarter of 2019 using the proceeds from the sale of Clean Earth and our Series C Preferred Share Offering. The payoff of the 2018 Term Loan decreased our interest expense in the first six months of 2020 as compared to the first six months of 2019 by approximately $17.1 million. In the prior year, we also recognized a loss of $5.3 million related to the sale of common shares received as part of the consideration for the sale of Manitoba Harvest. Cash provided by operating activities for working capital for the six months ended June 30, 2020 was $39.9 million, as compared to cash used in operating activities for working capital of $17.5 million for the six months ended June 30, 2019. The increase in cash provided by working capital in the current year primarily reflects decreases in accounts receivable and inventory as our businesses attempted to conserve cash in expectation that COVID-19 would have a negative impact on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330"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4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4"/>
          </w:tcPr>
          <w:p>
            <w:pPr>
              <w:jc w:val="right"/>
              <w:ind w:right="1344"/>
              <w:spacing w:after="0"/>
              <w:rPr>
                <w:sz w:val="20"/>
                <w:szCs w:val="20"/>
                <w:color w:val="auto"/>
              </w:rPr>
            </w:pPr>
            <w:r>
              <w:rPr>
                <w:rFonts w:ascii="Arial" w:cs="Arial" w:eastAsia="Arial" w:hAnsi="Arial"/>
                <w:sz w:val="15"/>
                <w:szCs w:val="15"/>
                <w:b w:val="1"/>
                <w:bCs w:val="1"/>
                <w:color w:val="auto"/>
              </w:rPr>
              <w:t>Six months ended</w:t>
            </w:r>
          </w:p>
        </w:tc>
      </w:tr>
      <w:tr>
        <w:trPr>
          <w:trHeight w:val="263"/>
        </w:trPr>
        <w:tc>
          <w:tcPr>
            <w:tcW w:w="49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Pr>
          <w:p>
            <w:pPr>
              <w:spacing w:after="0"/>
              <w:rPr>
                <w:sz w:val="22"/>
                <w:szCs w:val="22"/>
                <w:color w:val="auto"/>
              </w:rPr>
            </w:pPr>
          </w:p>
        </w:tc>
        <w:tc>
          <w:tcPr>
            <w:tcW w:w="1840" w:type="dxa"/>
            <w:vAlign w:val="bottom"/>
            <w:gridSpan w:val="2"/>
          </w:tcPr>
          <w:p>
            <w:pPr>
              <w:ind w:left="220"/>
              <w:spacing w:after="0"/>
              <w:rPr>
                <w:sz w:val="20"/>
                <w:szCs w:val="20"/>
                <w:color w:val="auto"/>
              </w:rPr>
            </w:pPr>
            <w:r>
              <w:rPr>
                <w:rFonts w:ascii="Arial" w:cs="Arial" w:eastAsia="Arial" w:hAnsi="Arial"/>
                <w:sz w:val="15"/>
                <w:szCs w:val="15"/>
                <w:b w:val="1"/>
                <w:bCs w:val="1"/>
                <w:color w:val="auto"/>
              </w:rPr>
              <w:t>June 30, 2020</w:t>
            </w:r>
          </w:p>
        </w:tc>
        <w:tc>
          <w:tcPr>
            <w:tcW w:w="300" w:type="dxa"/>
            <w:vAlign w:val="bottom"/>
          </w:tcPr>
          <w:p>
            <w:pPr>
              <w:spacing w:after="0"/>
              <w:rPr>
                <w:sz w:val="22"/>
                <w:szCs w:val="22"/>
                <w:color w:val="auto"/>
              </w:rPr>
            </w:pPr>
          </w:p>
        </w:tc>
        <w:tc>
          <w:tcPr>
            <w:tcW w:w="1720" w:type="dxa"/>
            <w:vAlign w:val="bottom"/>
          </w:tcPr>
          <w:p>
            <w:pPr>
              <w:jc w:val="right"/>
              <w:ind w:right="444"/>
              <w:spacing w:after="0"/>
              <w:rPr>
                <w:sz w:val="20"/>
                <w:szCs w:val="20"/>
                <w:color w:val="auto"/>
              </w:rPr>
            </w:pPr>
            <w:r>
              <w:rPr>
                <w:rFonts w:ascii="Arial" w:cs="Arial" w:eastAsia="Arial" w:hAnsi="Arial"/>
                <w:sz w:val="15"/>
                <w:szCs w:val="15"/>
                <w:b w:val="1"/>
                <w:bCs w:val="1"/>
                <w:color w:val="auto"/>
              </w:rPr>
              <w:t>June 30, 2019</w:t>
            </w:r>
          </w:p>
        </w:tc>
      </w:tr>
      <w:tr>
        <w:trPr>
          <w:trHeight w:val="25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(used in) provided by investing activities</w:t>
            </w: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(212,990)</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718,000</w:t>
            </w:r>
          </w:p>
        </w:tc>
      </w:tr>
    </w:tbl>
    <w:p>
      <w:pPr>
        <w:spacing w:after="0" w:line="3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flows used in investing activities for the six months ended June 30, 2020 totaled $213.0 million, compared to cash provided by investing activities of $ 718.0 million in the same period of 2019. Cash provided by investing activities in the prior year quarter primarily related to the proceeds received from the sale of Manitoba Harvest, while investing activities in the six months ended June 30, 2020 reflect the acquisition of Marucci Sports in April 2020 and capital expenditures. We expect capital expenditures for the full year of 2020 to be approximately $30 million to $35 million, which reflects a reduction in our capital spending from the December 31, 2019 expectation in response to the expected effect of COVID-19 on our cash flows.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46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Financing Activities:</w:t>
      </w:r>
    </w:p>
    <w:p>
      <w:pPr>
        <w:spacing w:after="0" w:line="384"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4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4"/>
          </w:tcPr>
          <w:p>
            <w:pPr>
              <w:jc w:val="right"/>
              <w:ind w:right="1344"/>
              <w:spacing w:after="0"/>
              <w:rPr>
                <w:sz w:val="20"/>
                <w:szCs w:val="20"/>
                <w:color w:val="auto"/>
              </w:rPr>
            </w:pPr>
            <w:r>
              <w:rPr>
                <w:rFonts w:ascii="Arial" w:cs="Arial" w:eastAsia="Arial" w:hAnsi="Arial"/>
                <w:sz w:val="15"/>
                <w:szCs w:val="15"/>
                <w:b w:val="1"/>
                <w:bCs w:val="1"/>
                <w:color w:val="auto"/>
              </w:rPr>
              <w:t>Six months ended</w:t>
            </w:r>
          </w:p>
        </w:tc>
      </w:tr>
      <w:tr>
        <w:trPr>
          <w:trHeight w:val="263"/>
        </w:trPr>
        <w:tc>
          <w:tcPr>
            <w:tcW w:w="49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Pr>
          <w:p>
            <w:pPr>
              <w:spacing w:after="0"/>
              <w:rPr>
                <w:sz w:val="22"/>
                <w:szCs w:val="22"/>
                <w:color w:val="auto"/>
              </w:rPr>
            </w:pPr>
          </w:p>
        </w:tc>
        <w:tc>
          <w:tcPr>
            <w:tcW w:w="1840" w:type="dxa"/>
            <w:vAlign w:val="bottom"/>
            <w:gridSpan w:val="2"/>
          </w:tcPr>
          <w:p>
            <w:pPr>
              <w:ind w:left="220"/>
              <w:spacing w:after="0"/>
              <w:rPr>
                <w:sz w:val="20"/>
                <w:szCs w:val="20"/>
                <w:color w:val="auto"/>
              </w:rPr>
            </w:pPr>
            <w:r>
              <w:rPr>
                <w:rFonts w:ascii="Arial" w:cs="Arial" w:eastAsia="Arial" w:hAnsi="Arial"/>
                <w:sz w:val="15"/>
                <w:szCs w:val="15"/>
                <w:b w:val="1"/>
                <w:bCs w:val="1"/>
                <w:color w:val="auto"/>
              </w:rPr>
              <w:t>June 30, 2020</w:t>
            </w:r>
          </w:p>
        </w:tc>
        <w:tc>
          <w:tcPr>
            <w:tcW w:w="300" w:type="dxa"/>
            <w:vAlign w:val="bottom"/>
          </w:tcPr>
          <w:p>
            <w:pPr>
              <w:spacing w:after="0"/>
              <w:rPr>
                <w:sz w:val="22"/>
                <w:szCs w:val="22"/>
                <w:color w:val="auto"/>
              </w:rPr>
            </w:pPr>
          </w:p>
        </w:tc>
        <w:tc>
          <w:tcPr>
            <w:tcW w:w="1720" w:type="dxa"/>
            <w:vAlign w:val="bottom"/>
          </w:tcPr>
          <w:p>
            <w:pPr>
              <w:jc w:val="right"/>
              <w:ind w:right="444"/>
              <w:spacing w:after="0"/>
              <w:rPr>
                <w:sz w:val="20"/>
                <w:szCs w:val="20"/>
                <w:color w:val="auto"/>
              </w:rPr>
            </w:pPr>
            <w:r>
              <w:rPr>
                <w:rFonts w:ascii="Arial" w:cs="Arial" w:eastAsia="Arial" w:hAnsi="Arial"/>
                <w:sz w:val="15"/>
                <w:szCs w:val="15"/>
                <w:b w:val="1"/>
                <w:bCs w:val="1"/>
                <w:color w:val="auto"/>
              </w:rPr>
              <w:t>June 30, 2019</w:t>
            </w:r>
          </w:p>
        </w:tc>
      </w:tr>
      <w:tr>
        <w:trPr>
          <w:trHeight w:val="25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provided by (used in) financing activities</w:t>
            </w: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230,595</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(292,750)</w:t>
            </w:r>
          </w:p>
        </w:tc>
      </w:tr>
    </w:tbl>
    <w:p>
      <w:pPr>
        <w:spacing w:after="0" w:line="3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flows provided by financing activities totaled approximately $ 230.6 million during the six months ended June 30, 2020 compared to cash flows used in financing activities of $292.8 million during the six months ended June 30, 2019. Financing activities in both periods reflect the payment of our common and preferred share distributions, with a $4.0 million increase in the preferred share distribution as a result of the issuance of our Series C Preferred Shares in November 2019. In the prior year, we used the proceeds from our sale of Manitoba Harvest and Clean Earth to repay amounts outstanding under our 2018 Revolving Credit Facility and 2018 Term Loan, while in the current year, we completed a common share offering and the issuance of $200 million in Senior Notes, resulting in net proceeds of $285.9 million. A portion of the proceeds received from the issuance of Senior Notes and common share offering were used to pay down the amount outstanding on our 2018 Revolving Credit facility. During the six months ended June 30, 2020, we also made a distribution to the Allocation Member of $9.1 million related to the five year Holding event for our Sterno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Intercompany Debt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component of our acquisition financing strategy that we utilize in acquiring the businesses we own and manage is to provide both equity capital and debt capital, raised at the parent level through our existing credit facility. Our strategy of providing intercompany debt financing within the capital structure of the businesses that we acquire and manage allows us the ability to distribute cash to the parent company through monthly interest payments and amortization of the principal on these intercompany loans. Each loan to our businesses has a scheduled maturity and each business is entitled to repay all or a portion of the principal amount of the outstanding loans, without penalty, prior to maturity. Certain of our businesses have paid down their respective intercompany debt balances through the cash flow generated by these businesses and we have recapitalized, and expect to continue to recapitalize, these businesses in the normal course of our business. The recapitalization process involves funding the intercompany debt using either cash on hand at the parent or our applicable Credit Facility, and serves the purpose of optimizing the capital structure at our subsidiaries and providing the noncontrolling shareholders with a distribution on their ownership interest in a cash flow positive business. All of our subsidiaries were in compliance with the financial covenants included within their intercompany credit arrangements at June 30,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had the following outstanding loans due from each of our businesses:</w:t>
      </w:r>
    </w:p>
    <w:p>
      <w:pPr>
        <w:spacing w:after="0" w:line="235" w:lineRule="exact"/>
        <w:rPr>
          <w:sz w:val="20"/>
          <w:szCs w:val="20"/>
          <w:color w:val="auto"/>
        </w:rPr>
      </w:pPr>
    </w:p>
    <w:p>
      <w:pPr>
        <w:ind w:left="3280"/>
        <w:spacing w:after="0"/>
        <w:rPr>
          <w:sz w:val="20"/>
          <w:szCs w:val="20"/>
          <w:color w:val="auto"/>
        </w:rPr>
      </w:pPr>
      <w:r>
        <w:rPr>
          <w:rFonts w:ascii="Arial" w:cs="Arial" w:eastAsia="Arial" w:hAnsi="Arial"/>
          <w:sz w:val="13"/>
          <w:szCs w:val="13"/>
          <w:i w:val="1"/>
          <w:iCs w:val="1"/>
          <w:color w:val="auto"/>
        </w:rPr>
        <w:t>(in thousands)</w:t>
      </w:r>
    </w:p>
    <w:p>
      <w:pPr>
        <w:spacing w:after="0" w:line="14" w:lineRule="exact"/>
        <w:rPr>
          <w:sz w:val="20"/>
          <w:szCs w:val="20"/>
          <w:color w:val="auto"/>
        </w:rPr>
      </w:pPr>
    </w:p>
    <w:tbl>
      <w:tblPr>
        <w:tblLayout w:type="fixed"/>
        <w:tblInd w:w="3260" w:type="dxa"/>
        <w:tblCellMar>
          <w:top w:w="0" w:type="dxa"/>
          <w:left w:w="0" w:type="dxa"/>
          <w:bottom w:w="0" w:type="dxa"/>
          <w:right w:w="0" w:type="dxa"/>
        </w:tblCellMar>
      </w:tblPr>
      <w:tr>
        <w:trPr>
          <w:trHeight w:val="280"/>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150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178,329</w:t>
            </w:r>
          </w:p>
        </w:tc>
      </w:tr>
      <w:tr>
        <w:trPr>
          <w:trHeight w:val="266"/>
        </w:trPr>
        <w:tc>
          <w:tcPr>
            <w:tcW w:w="2260" w:type="dxa"/>
            <w:vAlign w:val="bottom"/>
          </w:tcPr>
          <w:p>
            <w:pPr>
              <w:ind w:left="20"/>
              <w:spacing w:after="0"/>
              <w:rPr>
                <w:sz w:val="20"/>
                <w:szCs w:val="20"/>
                <w:color w:val="auto"/>
              </w:rPr>
            </w:pPr>
            <w:r>
              <w:rPr>
                <w:rFonts w:ascii="Arial" w:cs="Arial" w:eastAsia="Arial" w:hAnsi="Arial"/>
                <w:sz w:val="15"/>
                <w:szCs w:val="15"/>
                <w:color w:val="auto"/>
              </w:rPr>
              <w:t>Ergobaby</w:t>
            </w:r>
          </w:p>
        </w:tc>
        <w:tc>
          <w:tcPr>
            <w:tcW w:w="15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32,940</w:t>
            </w:r>
          </w:p>
        </w:tc>
      </w:tr>
      <w:tr>
        <w:trPr>
          <w:trHeight w:val="274"/>
        </w:trPr>
        <w:tc>
          <w:tcPr>
            <w:tcW w:w="2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Liberty</w:t>
            </w:r>
          </w:p>
        </w:tc>
        <w:tc>
          <w:tcPr>
            <w:tcW w:w="150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41,874</w:t>
            </w:r>
          </w:p>
        </w:tc>
      </w:tr>
      <w:tr>
        <w:trPr>
          <w:trHeight w:val="266"/>
        </w:trPr>
        <w:tc>
          <w:tcPr>
            <w:tcW w:w="2260" w:type="dxa"/>
            <w:vAlign w:val="bottom"/>
          </w:tcPr>
          <w:p>
            <w:pPr>
              <w:ind w:left="20"/>
              <w:spacing w:after="0"/>
              <w:rPr>
                <w:sz w:val="20"/>
                <w:szCs w:val="20"/>
                <w:color w:val="auto"/>
              </w:rPr>
            </w:pPr>
            <w:r>
              <w:rPr>
                <w:rFonts w:ascii="Arial" w:cs="Arial" w:eastAsia="Arial" w:hAnsi="Arial"/>
                <w:sz w:val="15"/>
                <w:szCs w:val="15"/>
                <w:color w:val="auto"/>
              </w:rPr>
              <w:t>Marucci</w:t>
            </w:r>
          </w:p>
        </w:tc>
        <w:tc>
          <w:tcPr>
            <w:tcW w:w="15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39,625</w:t>
            </w:r>
          </w:p>
        </w:tc>
      </w:tr>
      <w:tr>
        <w:trPr>
          <w:trHeight w:val="274"/>
        </w:trPr>
        <w:tc>
          <w:tcPr>
            <w:tcW w:w="2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Velocity Outdoor</w:t>
            </w:r>
          </w:p>
        </w:tc>
        <w:tc>
          <w:tcPr>
            <w:tcW w:w="150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109,670</w:t>
            </w:r>
          </w:p>
        </w:tc>
      </w:tr>
      <w:tr>
        <w:trPr>
          <w:trHeight w:val="266"/>
        </w:trPr>
        <w:tc>
          <w:tcPr>
            <w:tcW w:w="2260" w:type="dxa"/>
            <w:vAlign w:val="bottom"/>
          </w:tcPr>
          <w:p>
            <w:pPr>
              <w:ind w:left="20"/>
              <w:spacing w:after="0"/>
              <w:rPr>
                <w:sz w:val="20"/>
                <w:szCs w:val="20"/>
                <w:color w:val="auto"/>
              </w:rPr>
            </w:pPr>
            <w:r>
              <w:rPr>
                <w:rFonts w:ascii="Arial" w:cs="Arial" w:eastAsia="Arial" w:hAnsi="Arial"/>
                <w:sz w:val="15"/>
                <w:szCs w:val="15"/>
                <w:color w:val="auto"/>
              </w:rPr>
              <w:t>Advanced Circuits</w:t>
            </w:r>
          </w:p>
        </w:tc>
        <w:tc>
          <w:tcPr>
            <w:tcW w:w="15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54,730</w:t>
            </w:r>
          </w:p>
        </w:tc>
      </w:tr>
      <w:tr>
        <w:trPr>
          <w:trHeight w:val="274"/>
        </w:trPr>
        <w:tc>
          <w:tcPr>
            <w:tcW w:w="2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Arnold</w:t>
            </w:r>
          </w:p>
        </w:tc>
        <w:tc>
          <w:tcPr>
            <w:tcW w:w="150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73,880</w:t>
            </w:r>
          </w:p>
        </w:tc>
      </w:tr>
      <w:tr>
        <w:trPr>
          <w:trHeight w:val="266"/>
        </w:trPr>
        <w:tc>
          <w:tcPr>
            <w:tcW w:w="2260" w:type="dxa"/>
            <w:vAlign w:val="bottom"/>
          </w:tcPr>
          <w:p>
            <w:pPr>
              <w:ind w:left="20"/>
              <w:spacing w:after="0"/>
              <w:rPr>
                <w:sz w:val="20"/>
                <w:szCs w:val="20"/>
                <w:color w:val="auto"/>
              </w:rPr>
            </w:pPr>
            <w:r>
              <w:rPr>
                <w:rFonts w:ascii="Arial" w:cs="Arial" w:eastAsia="Arial" w:hAnsi="Arial"/>
                <w:sz w:val="15"/>
                <w:szCs w:val="15"/>
                <w:color w:val="auto"/>
              </w:rPr>
              <w:t>Foam Fabricators</w:t>
            </w:r>
          </w:p>
        </w:tc>
        <w:tc>
          <w:tcPr>
            <w:tcW w:w="15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92,012</w:t>
            </w:r>
          </w:p>
        </w:tc>
      </w:tr>
      <w:tr>
        <w:trPr>
          <w:trHeight w:val="274"/>
        </w:trPr>
        <w:tc>
          <w:tcPr>
            <w:tcW w:w="2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Sterno</w:t>
            </w:r>
          </w:p>
        </w:tc>
        <w:tc>
          <w:tcPr>
            <w:tcW w:w="150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220,053</w:t>
            </w: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primary source of cash is from the receipt of interest and principal on the outstanding loans to our businesses. Accordingly, we are dependent upon the earnings of and cash flow from these businesses, which are available for (i) operating expenses; (ii) payment of principal and interest under our 2018 Credit Facility and interest on our Senior Notes; (iii) payments to CGM due pursuant to the MSA and the LLC Agreement; (iv) cash distributions to our shareholders; and (v) investments in future acquisitions. Payments made under (iii) above are required to be paid before distributions to shareholders and may be significant and exceed the funds held by us, which may require us to dispose of assets or incur debt to fund such expenditures.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49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April 2018, we entered into an Amended and Restated Credit Agreement (the "2018 Credit Facility") to amend and restate the 2014 Credit Facility. The 2018 Credit Facility provides for (i) revolving loans, swing line loans and letters of credit (the “2018 Revolving Credit Facility”) up to a maximum aggregate amount of $600 million, and (ii) a $500 million term loan (the “2018 Term Loan”). The 2018 Credit Facility also permits the Company, prior to the applicable maturity date, to increase the revolving loan commitment and/or obtain additional term loans in an aggregate amount of up to $250 million (the “Incremental Loans”), subject to certain restrictions and conditions. In July 2019, we repaid $193.8 million of the 2018 Term Loan, and in November 2019, we repaid the remaining $298.8 million due under the 2018 Term Loan.</w:t>
      </w:r>
    </w:p>
    <w:p>
      <w:pPr>
        <w:spacing w:after="0" w:line="15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had $598.8 million in net availability under the 2018 Revolving Credit Facility at June 30, 2020. The outstanding borrowings under the 2018 Revolving Credit Facility include $1.2 million of outstanding letters of credit at June 30,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18, 2018, we consummated the issuance and sale of $400 million aggregate principal amount of our 8.000% due 2026 (the "Notes" or "Senior Notes") offered pursuant to a private offering to qualified institutional buyers in accordance with Rule 144A under the Securities Act, and to non-U.S. persons under Regulation S under the Securities Act. The Notes were issued pursuant to an indenture, dated as of April 18, 2018 (the “Indenture”), between the Company and U.S. Bank National Association, as trustee. The Notes bear interest at the rate of 8.000% per annum and will mature on May 1, 2026. Interest on the Notes is payable in cash on May 1st and November 1st of each year. On May 7, 2020, we consummated the issuance and sale of $200 million aggregate principal amount of its 8.000% Senior Notes due 2026 (the "Additional Notes"). The proceeds from the Additional Notes were used to pay down the amount outstanding on the Company's 2018 Revolving Credit Facility. The Notes and Additional Notes are general senior unsecured obligations of the Company and are not guaranteed by our subsidiaries.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reflects required and actual financial ratios as of June 30, 2020 included as part of the affirmative covenants in our 2018 Credit Facility.</w:t>
      </w:r>
    </w:p>
    <w:p>
      <w:pPr>
        <w:spacing w:after="0" w:line="177"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4820" w:type="dxa"/>
            <w:vAlign w:val="bottom"/>
            <w:gridSpan w:val="2"/>
          </w:tcPr>
          <w:p>
            <w:pPr>
              <w:ind w:left="40"/>
              <w:spacing w:after="0"/>
              <w:rPr>
                <w:sz w:val="20"/>
                <w:szCs w:val="20"/>
                <w:color w:val="auto"/>
              </w:rPr>
            </w:pPr>
            <w:r>
              <w:rPr>
                <w:rFonts w:ascii="Arial" w:cs="Arial" w:eastAsia="Arial" w:hAnsi="Arial"/>
                <w:sz w:val="15"/>
                <w:szCs w:val="15"/>
                <w:b w:val="1"/>
                <w:bCs w:val="1"/>
                <w:color w:val="auto"/>
              </w:rPr>
              <w:t>Description of Required Covenant Ratio</w:t>
            </w:r>
          </w:p>
        </w:tc>
        <w:tc>
          <w:tcPr>
            <w:tcW w:w="3740" w:type="dxa"/>
            <w:vAlign w:val="bottom"/>
            <w:gridSpan w:val="2"/>
          </w:tcPr>
          <w:p>
            <w:pPr>
              <w:ind w:left="40"/>
              <w:spacing w:after="0"/>
              <w:rPr>
                <w:sz w:val="20"/>
                <w:szCs w:val="20"/>
                <w:color w:val="auto"/>
              </w:rPr>
            </w:pPr>
            <w:r>
              <w:rPr>
                <w:rFonts w:ascii="Arial" w:cs="Arial" w:eastAsia="Arial" w:hAnsi="Arial"/>
                <w:sz w:val="15"/>
                <w:szCs w:val="15"/>
                <w:b w:val="1"/>
                <w:bCs w:val="1"/>
                <w:color w:val="auto"/>
              </w:rPr>
              <w:t>Covenant Ratio Requirement</w:t>
            </w:r>
          </w:p>
        </w:tc>
        <w:tc>
          <w:tcPr>
            <w:tcW w:w="1280" w:type="dxa"/>
            <w:vAlign w:val="bottom"/>
          </w:tcPr>
          <w:p>
            <w:pPr>
              <w:jc w:val="right"/>
              <w:ind w:right="124"/>
              <w:spacing w:after="0"/>
              <w:rPr>
                <w:sz w:val="20"/>
                <w:szCs w:val="20"/>
                <w:color w:val="auto"/>
              </w:rPr>
            </w:pPr>
            <w:r>
              <w:rPr>
                <w:rFonts w:ascii="Arial" w:cs="Arial" w:eastAsia="Arial" w:hAnsi="Arial"/>
                <w:sz w:val="15"/>
                <w:szCs w:val="15"/>
                <w:b w:val="1"/>
                <w:bCs w:val="1"/>
                <w:color w:val="auto"/>
              </w:rPr>
              <w:t>Actual Ratio</w:t>
            </w:r>
          </w:p>
        </w:tc>
      </w:tr>
      <w:tr>
        <w:trPr>
          <w:trHeight w:val="173"/>
        </w:trPr>
        <w:tc>
          <w:tcPr>
            <w:tcW w:w="414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306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27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Consolidated Fixed Charge Coverage Ratio</w:t>
            </w: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Greater than or equal to 1.50:1.0</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3.30:1.0</w:t>
            </w:r>
          </w:p>
        </w:tc>
      </w:tr>
      <w:tr>
        <w:trPr>
          <w:trHeight w:val="266"/>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Consolidated Senior Secured Leverage Ratio</w:t>
            </w:r>
          </w:p>
        </w:tc>
        <w:tc>
          <w:tcPr>
            <w:tcW w:w="3740" w:type="dxa"/>
            <w:vAlign w:val="bottom"/>
            <w:gridSpan w:val="2"/>
          </w:tcPr>
          <w:p>
            <w:pPr>
              <w:ind w:left="40"/>
              <w:spacing w:after="0"/>
              <w:rPr>
                <w:sz w:val="20"/>
                <w:szCs w:val="20"/>
                <w:color w:val="auto"/>
              </w:rPr>
            </w:pPr>
            <w:r>
              <w:rPr>
                <w:rFonts w:ascii="Arial" w:cs="Arial" w:eastAsia="Arial" w:hAnsi="Arial"/>
                <w:sz w:val="15"/>
                <w:szCs w:val="15"/>
                <w:color w:val="auto"/>
              </w:rPr>
              <w:t>Less than or equal to 3.50:1.0</w:t>
            </w:r>
          </w:p>
        </w:tc>
        <w:tc>
          <w:tcPr>
            <w:tcW w:w="1280" w:type="dxa"/>
            <w:vAlign w:val="bottom"/>
          </w:tcPr>
          <w:p>
            <w:pPr>
              <w:jc w:val="right"/>
              <w:spacing w:after="0"/>
              <w:rPr>
                <w:sz w:val="20"/>
                <w:szCs w:val="20"/>
                <w:color w:val="auto"/>
              </w:rPr>
            </w:pPr>
            <w:r>
              <w:rPr>
                <w:rFonts w:ascii="Arial" w:cs="Arial" w:eastAsia="Arial" w:hAnsi="Arial"/>
                <w:sz w:val="15"/>
                <w:szCs w:val="15"/>
                <w:color w:val="auto"/>
              </w:rPr>
              <w:t>0.00:1.0</w:t>
            </w:r>
          </w:p>
        </w:tc>
      </w:tr>
      <w:tr>
        <w:trPr>
          <w:trHeight w:val="274"/>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Consolidated Total Leverage Ratio</w:t>
            </w: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Less than or equal to 5.00:1.0</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1.87:1.0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and periodic interest charges on outstanding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560" w:type="dxa"/>
        <w:tblCellMar>
          <w:top w:w="0" w:type="dxa"/>
          <w:left w:w="0" w:type="dxa"/>
          <w:bottom w:w="0" w:type="dxa"/>
          <w:right w:w="0" w:type="dxa"/>
        </w:tblCellMar>
      </w:tblPr>
      <w:tr>
        <w:trPr>
          <w:trHeight w:val="206"/>
        </w:trPr>
        <w:tc>
          <w:tcPr>
            <w:tcW w:w="64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764"/>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263"/>
        </w:trPr>
        <w:tc>
          <w:tcPr>
            <w:tcW w:w="64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on credit facilities</w:t>
            </w:r>
          </w:p>
        </w:tc>
        <w:tc>
          <w:tcPr>
            <w:tcW w:w="420" w:type="dxa"/>
            <w:vAlign w:val="bottom"/>
            <w:vMerge w:val="restart"/>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13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693</w:t>
            </w:r>
          </w:p>
        </w:tc>
        <w:tc>
          <w:tcPr>
            <w:tcW w:w="12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3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16,322</w:t>
            </w:r>
          </w:p>
        </w:tc>
        <w:tc>
          <w:tcPr>
            <w:tcW w:w="0" w:type="dxa"/>
            <w:vAlign w:val="bottom"/>
          </w:tcPr>
          <w:p>
            <w:pPr>
              <w:spacing w:after="0"/>
              <w:rPr>
                <w:sz w:val="1"/>
                <w:szCs w:val="1"/>
                <w:color w:val="auto"/>
              </w:rPr>
            </w:pPr>
          </w:p>
        </w:tc>
      </w:tr>
      <w:tr>
        <w:trPr>
          <w:trHeight w:val="62"/>
        </w:trPr>
        <w:tc>
          <w:tcPr>
            <w:tcW w:w="642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420" w:type="dxa"/>
            <w:vAlign w:val="bottom"/>
          </w:tcPr>
          <w:p>
            <w:pPr>
              <w:ind w:left="20"/>
              <w:spacing w:after="0"/>
              <w:rPr>
                <w:sz w:val="20"/>
                <w:szCs w:val="20"/>
                <w:color w:val="auto"/>
              </w:rPr>
            </w:pPr>
            <w:r>
              <w:rPr>
                <w:rFonts w:ascii="Arial" w:cs="Arial" w:eastAsia="Arial" w:hAnsi="Arial"/>
                <w:sz w:val="15"/>
                <w:szCs w:val="15"/>
                <w:color w:val="auto"/>
              </w:rPr>
              <w:t>Interest on Senior Notes</w:t>
            </w:r>
          </w:p>
        </w:tc>
        <w:tc>
          <w:tcPr>
            <w:tcW w:w="420" w:type="dxa"/>
            <w:vAlign w:val="bottom"/>
          </w:tcPr>
          <w:p>
            <w:pPr>
              <w:spacing w:after="0"/>
              <w:rPr>
                <w:sz w:val="18"/>
                <w:szCs w:val="18"/>
                <w:color w:val="auto"/>
              </w:rPr>
            </w:pPr>
          </w:p>
        </w:tc>
        <w:tc>
          <w:tcPr>
            <w:tcW w:w="1380" w:type="dxa"/>
            <w:vAlign w:val="bottom"/>
            <w:vMerge w:val="restart"/>
          </w:tcPr>
          <w:p>
            <w:pPr>
              <w:jc w:val="right"/>
              <w:ind w:right="104"/>
              <w:spacing w:after="0"/>
              <w:rPr>
                <w:sz w:val="20"/>
                <w:szCs w:val="20"/>
                <w:color w:val="auto"/>
              </w:rPr>
            </w:pPr>
            <w:r>
              <w:rPr>
                <w:rFonts w:ascii="Arial" w:cs="Arial" w:eastAsia="Arial" w:hAnsi="Arial"/>
                <w:sz w:val="15"/>
                <w:szCs w:val="15"/>
                <w:color w:val="auto"/>
              </w:rPr>
              <w:t>18,400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vMerge w:val="restart"/>
          </w:tcPr>
          <w:p>
            <w:pPr>
              <w:jc w:val="right"/>
              <w:ind w:right="84"/>
              <w:spacing w:after="0"/>
              <w:rPr>
                <w:sz w:val="20"/>
                <w:szCs w:val="20"/>
                <w:color w:val="auto"/>
              </w:rPr>
            </w:pPr>
            <w:r>
              <w:rPr>
                <w:rFonts w:ascii="Arial" w:cs="Arial" w:eastAsia="Arial" w:hAnsi="Arial"/>
                <w:sz w:val="15"/>
                <w:szCs w:val="15"/>
                <w:color w:val="auto"/>
              </w:rPr>
              <w:t>16,000</w:t>
            </w:r>
          </w:p>
        </w:tc>
        <w:tc>
          <w:tcPr>
            <w:tcW w:w="0" w:type="dxa"/>
            <w:vAlign w:val="bottom"/>
          </w:tcPr>
          <w:p>
            <w:pPr>
              <w:spacing w:after="0"/>
              <w:rPr>
                <w:sz w:val="1"/>
                <w:szCs w:val="1"/>
                <w:color w:val="auto"/>
              </w:rPr>
            </w:pPr>
          </w:p>
        </w:tc>
      </w:tr>
      <w:tr>
        <w:trPr>
          <w:trHeight w:val="58"/>
        </w:trPr>
        <w:tc>
          <w:tcPr>
            <w:tcW w:w="6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Unused fee on Revolving Credit Facility</w:t>
            </w:r>
          </w:p>
        </w:tc>
        <w:tc>
          <w:tcPr>
            <w:tcW w:w="4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728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882</w:t>
            </w:r>
          </w:p>
        </w:tc>
        <w:tc>
          <w:tcPr>
            <w:tcW w:w="0" w:type="dxa"/>
            <w:vAlign w:val="bottom"/>
          </w:tcPr>
          <w:p>
            <w:pPr>
              <w:spacing w:after="0"/>
              <w:rPr>
                <w:sz w:val="1"/>
                <w:szCs w:val="1"/>
                <w:color w:val="auto"/>
              </w:rPr>
            </w:pPr>
          </w:p>
        </w:tc>
      </w:tr>
      <w:tr>
        <w:trPr>
          <w:trHeight w:val="62"/>
        </w:trPr>
        <w:tc>
          <w:tcPr>
            <w:tcW w:w="64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420" w:type="dxa"/>
            <w:vAlign w:val="bottom"/>
          </w:tcPr>
          <w:p>
            <w:pPr>
              <w:ind w:left="20"/>
              <w:spacing w:after="0"/>
              <w:rPr>
                <w:sz w:val="20"/>
                <w:szCs w:val="20"/>
                <w:color w:val="auto"/>
              </w:rPr>
            </w:pPr>
            <w:r>
              <w:rPr>
                <w:rFonts w:ascii="Arial" w:cs="Arial" w:eastAsia="Arial" w:hAnsi="Arial"/>
                <w:sz w:val="15"/>
                <w:szCs w:val="15"/>
                <w:color w:val="auto"/>
              </w:rPr>
              <w:t>Amortization of bond premium/ original issue discount</w:t>
            </w:r>
          </w:p>
        </w:tc>
        <w:tc>
          <w:tcPr>
            <w:tcW w:w="420" w:type="dxa"/>
            <w:vAlign w:val="bottom"/>
          </w:tcPr>
          <w:p>
            <w:pPr>
              <w:spacing w:after="0"/>
              <w:rPr>
                <w:sz w:val="18"/>
                <w:szCs w:val="18"/>
                <w:color w:val="auto"/>
              </w:rPr>
            </w:pPr>
          </w:p>
        </w:tc>
        <w:tc>
          <w:tcPr>
            <w:tcW w:w="1380" w:type="dxa"/>
            <w:vAlign w:val="bottom"/>
            <w:vMerge w:val="restart"/>
          </w:tcPr>
          <w:p>
            <w:pPr>
              <w:jc w:val="right"/>
              <w:ind w:right="44"/>
              <w:spacing w:after="0"/>
              <w:rPr>
                <w:sz w:val="20"/>
                <w:szCs w:val="20"/>
                <w:color w:val="auto"/>
              </w:rPr>
            </w:pPr>
            <w:r>
              <w:rPr>
                <w:rFonts w:ascii="Arial" w:cs="Arial" w:eastAsia="Arial" w:hAnsi="Arial"/>
                <w:sz w:val="15"/>
                <w:szCs w:val="15"/>
                <w:color w:val="auto"/>
              </w:rPr>
              <w:t>(56)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vMerge w:val="restart"/>
          </w:tcPr>
          <w:p>
            <w:pPr>
              <w:jc w:val="right"/>
              <w:ind w:right="84"/>
              <w:spacing w:after="0"/>
              <w:rPr>
                <w:sz w:val="20"/>
                <w:szCs w:val="20"/>
                <w:color w:val="auto"/>
              </w:rPr>
            </w:pPr>
            <w:r>
              <w:rPr>
                <w:rFonts w:ascii="Arial" w:cs="Arial" w:eastAsia="Arial" w:hAnsi="Arial"/>
                <w:sz w:val="15"/>
                <w:szCs w:val="15"/>
                <w:color w:val="auto"/>
              </w:rPr>
              <w:t>304</w:t>
            </w:r>
          </w:p>
        </w:tc>
        <w:tc>
          <w:tcPr>
            <w:tcW w:w="0" w:type="dxa"/>
            <w:vAlign w:val="bottom"/>
          </w:tcPr>
          <w:p>
            <w:pPr>
              <w:spacing w:after="0"/>
              <w:rPr>
                <w:sz w:val="1"/>
                <w:szCs w:val="1"/>
                <w:color w:val="auto"/>
              </w:rPr>
            </w:pPr>
          </w:p>
        </w:tc>
      </w:tr>
      <w:tr>
        <w:trPr>
          <w:trHeight w:val="58"/>
        </w:trPr>
        <w:tc>
          <w:tcPr>
            <w:tcW w:w="6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Unrealized loss on interest rate derivative </w:t>
            </w:r>
            <w:r>
              <w:rPr>
                <w:rFonts w:ascii="Arial" w:cs="Arial" w:eastAsia="Arial" w:hAnsi="Arial"/>
                <w:sz w:val="12"/>
                <w:szCs w:val="12"/>
                <w:color w:val="auto"/>
              </w:rPr>
              <w:t>(1)</w:t>
            </w:r>
          </w:p>
        </w:tc>
        <w:tc>
          <w:tcPr>
            <w:tcW w:w="42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3,350</w:t>
            </w:r>
          </w:p>
        </w:tc>
        <w:tc>
          <w:tcPr>
            <w:tcW w:w="0" w:type="dxa"/>
            <w:vAlign w:val="bottom"/>
          </w:tcPr>
          <w:p>
            <w:pPr>
              <w:spacing w:after="0"/>
              <w:rPr>
                <w:sz w:val="1"/>
                <w:szCs w:val="1"/>
                <w:color w:val="auto"/>
              </w:rPr>
            </w:pPr>
          </w:p>
        </w:tc>
      </w:tr>
      <w:tr>
        <w:trPr>
          <w:trHeight w:val="62"/>
        </w:trPr>
        <w:tc>
          <w:tcPr>
            <w:tcW w:w="64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500" w:type="dxa"/>
            <w:vAlign w:val="bottom"/>
            <w:gridSpan w:val="2"/>
            <w:vMerge w:val="continue"/>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420" w:type="dxa"/>
            <w:vAlign w:val="bottom"/>
          </w:tcPr>
          <w:p>
            <w:pPr>
              <w:ind w:left="20"/>
              <w:spacing w:after="0"/>
              <w:rPr>
                <w:sz w:val="20"/>
                <w:szCs w:val="20"/>
                <w:color w:val="auto"/>
              </w:rPr>
            </w:pPr>
            <w:r>
              <w:rPr>
                <w:rFonts w:ascii="Arial" w:cs="Arial" w:eastAsia="Arial" w:hAnsi="Arial"/>
                <w:sz w:val="15"/>
                <w:szCs w:val="15"/>
                <w:color w:val="auto"/>
              </w:rPr>
              <w:t>Other interest expense</w:t>
            </w:r>
          </w:p>
        </w:tc>
        <w:tc>
          <w:tcPr>
            <w:tcW w:w="420" w:type="dxa"/>
            <w:vAlign w:val="bottom"/>
          </w:tcPr>
          <w:p>
            <w:pPr>
              <w:spacing w:after="0"/>
              <w:rPr>
                <w:sz w:val="18"/>
                <w:szCs w:val="18"/>
                <w:color w:val="auto"/>
              </w:rPr>
            </w:pPr>
          </w:p>
        </w:tc>
        <w:tc>
          <w:tcPr>
            <w:tcW w:w="1380" w:type="dxa"/>
            <w:vAlign w:val="bottom"/>
            <w:vMerge w:val="restart"/>
          </w:tcPr>
          <w:p>
            <w:pPr>
              <w:jc w:val="right"/>
              <w:ind w:right="104"/>
              <w:spacing w:after="0"/>
              <w:rPr>
                <w:sz w:val="20"/>
                <w:szCs w:val="20"/>
                <w:color w:val="auto"/>
              </w:rPr>
            </w:pPr>
            <w:r>
              <w:rPr>
                <w:rFonts w:ascii="Arial" w:cs="Arial" w:eastAsia="Arial" w:hAnsi="Arial"/>
                <w:sz w:val="15"/>
                <w:szCs w:val="15"/>
                <w:color w:val="auto"/>
              </w:rPr>
              <w:t>164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vMerge w:val="restart"/>
          </w:tcPr>
          <w:p>
            <w:pPr>
              <w:jc w:val="right"/>
              <w:ind w:right="84"/>
              <w:spacing w:after="0"/>
              <w:rPr>
                <w:sz w:val="20"/>
                <w:szCs w:val="20"/>
                <w:color w:val="auto"/>
              </w:rPr>
            </w:pPr>
            <w:r>
              <w:rPr>
                <w:rFonts w:ascii="Arial" w:cs="Arial" w:eastAsia="Arial" w:hAnsi="Arial"/>
                <w:sz w:val="15"/>
                <w:szCs w:val="15"/>
                <w:color w:val="auto"/>
              </w:rPr>
              <w:t>133</w:t>
            </w:r>
          </w:p>
        </w:tc>
        <w:tc>
          <w:tcPr>
            <w:tcW w:w="0" w:type="dxa"/>
            <w:vAlign w:val="bottom"/>
          </w:tcPr>
          <w:p>
            <w:pPr>
              <w:spacing w:after="0"/>
              <w:rPr>
                <w:sz w:val="1"/>
                <w:szCs w:val="1"/>
                <w:color w:val="auto"/>
              </w:rPr>
            </w:pPr>
          </w:p>
        </w:tc>
      </w:tr>
      <w:tr>
        <w:trPr>
          <w:trHeight w:val="58"/>
        </w:trPr>
        <w:tc>
          <w:tcPr>
            <w:tcW w:w="6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4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(158)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62"/>
        </w:trPr>
        <w:tc>
          <w:tcPr>
            <w:tcW w:w="6420" w:type="dxa"/>
            <w:vAlign w:val="bottom"/>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42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Interest expense</w:t>
            </w:r>
          </w:p>
        </w:tc>
        <w:tc>
          <w:tcPr>
            <w:tcW w:w="4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19,771</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36,899</w:t>
            </w:r>
          </w:p>
        </w:tc>
        <w:tc>
          <w:tcPr>
            <w:tcW w:w="0" w:type="dxa"/>
            <w:vAlign w:val="bottom"/>
          </w:tcPr>
          <w:p>
            <w:pPr>
              <w:spacing w:after="0"/>
              <w:rPr>
                <w:sz w:val="1"/>
                <w:szCs w:val="1"/>
                <w:color w:val="auto"/>
              </w:rPr>
            </w:pPr>
          </w:p>
        </w:tc>
      </w:tr>
      <w:tr>
        <w:trPr>
          <w:trHeight w:val="322"/>
        </w:trPr>
        <w:tc>
          <w:tcPr>
            <w:tcW w:w="64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20"/>
              <w:spacing w:after="0"/>
              <w:rPr>
                <w:sz w:val="20"/>
                <w:szCs w:val="20"/>
                <w:color w:val="auto"/>
              </w:rPr>
            </w:pPr>
            <w:r>
              <w:rPr>
                <w:rFonts w:ascii="Arial" w:cs="Arial" w:eastAsia="Arial" w:hAnsi="Arial"/>
                <w:sz w:val="15"/>
                <w:szCs w:val="15"/>
                <w:color w:val="auto"/>
              </w:rPr>
              <w:t>Average daily balance outstanding - credit facilities</w:t>
            </w: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420" w:type="dxa"/>
            <w:vAlign w:val="bottom"/>
            <w:tcBorders>
              <w:bottom w:val="single" w:sz="8" w:color="CCEEFF"/>
            </w:tcBorders>
            <w:vMerge w:val="continue"/>
          </w:tcPr>
          <w:p>
            <w:pPr>
              <w:spacing w:after="0"/>
              <w:rPr>
                <w:sz w:val="21"/>
                <w:szCs w:val="21"/>
                <w:color w:val="auto"/>
              </w:rPr>
            </w:pPr>
          </w:p>
        </w:tc>
        <w:tc>
          <w:tcPr>
            <w:tcW w:w="4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58,242</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659,997</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shd w:val="clear" w:color="auto" w:fill="CCEEFF"/>
          </w:tcPr>
          <w:p>
            <w:pPr>
              <w:ind w:left="20"/>
              <w:spacing w:after="0" w:line="166" w:lineRule="exact"/>
              <w:rPr>
                <w:sz w:val="20"/>
                <w:szCs w:val="20"/>
                <w:color w:val="auto"/>
              </w:rPr>
            </w:pPr>
            <w:r>
              <w:rPr>
                <w:rFonts w:ascii="Arial" w:cs="Arial" w:eastAsia="Arial" w:hAnsi="Arial"/>
                <w:sz w:val="15"/>
                <w:szCs w:val="15"/>
                <w:color w:val="auto"/>
              </w:rPr>
              <w:t>Effective interest rate - credit facilities</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553" w:right="339" w:bottom="1440" w:gutter="0" w:footer="0" w:header="0"/>
        </w:sectPr>
      </w:pPr>
    </w:p>
    <w:bookmarkStart w:id="57" w:name="page58"/>
    <w:bookmarkEnd w:id="57"/>
    <w:p>
      <w:pPr>
        <w:jc w:val="both"/>
        <w:ind w:firstLine="8"/>
        <w:spacing w:after="0" w:line="278" w:lineRule="auto"/>
        <w:tabs>
          <w:tab w:leader="none" w:pos="175" w:val="left"/>
        </w:tabs>
        <w:numPr>
          <w:ilvl w:val="0"/>
          <w:numId w:val="27"/>
        </w:numPr>
        <w:rPr>
          <w:rFonts w:ascii="Arial" w:cs="Arial" w:eastAsia="Arial" w:hAnsi="Arial"/>
          <w:sz w:val="19"/>
          <w:szCs w:val="19"/>
          <w:b w:val="1"/>
          <w:bCs w:val="1"/>
          <w:color w:val="auto"/>
          <w:vertAlign w:val="superscript"/>
        </w:rPr>
      </w:pPr>
      <w:r>
        <w:rPr>
          <w:rFonts w:ascii="Arial" w:cs="Arial" w:eastAsia="Arial" w:hAnsi="Arial"/>
          <w:sz w:val="16"/>
          <w:szCs w:val="16"/>
          <w:color w:val="auto"/>
        </w:rPr>
        <w:t>On September 16, 2014, we purchased an interest rate swap (the "Swap") with a notional amount of $220 million effective April 1, 2016 through June 6, 2021. The agreement required us to pay interest on the notional amount at the rate of 2.97% in exchange for the three-month LIBOR rate. In connection with the repayment of the 2018 Term Loan in November 2019, the Company settled the Swap with a payment of $4.9 million, the fair value of the Swap as of the date of termination.</w:t>
      </w: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above table, we provide the effective interest rate on our credit facilities, including the effect of the Swap, and excluding the interest on our Senior Notes, which is at a fixed 8.000%.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are provided as additional information to investors in order to provide them with an alternative method for assessing our financial condition and operating results. These measures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tables below reconcile the most directly comparable GAAP financial measures to Earnings before Interest, Income Taxes, Depreciation and Amortization ("EBITDA"), Adjusted EBITDA, and Cash Flow Available for Distribution and Reinvestment ("CAD").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Reconciliation of Net income (Loss) to EBITDA and Adjusted EBITDA</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 EBITDA is calculated as net income (loss) before interest expense, income tax expense (benefit), depreciation expense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expense. Amortization expenses consist of amortization of intangibles and debt charges, including debt issuance costs, discounts, etc.</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 Adjusted EBITDA is calculated utilizing the same calculation as described above in arriving at EBITDA further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by: (i) 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(iii) management fees, which reflect fees due quarterly to our Manager in connection with our MSA, as well as Integration Services Fees paid by newly acquired companies; (iv) impairment charges, which reflect write downs to goodwill or other intangible assets; (v) foreign currency transaction gains or losses incurred in connection with the conversion of intercompany debt from a foreign functional currency to U.S. dollar and (vi) items of other income or expense that are material to a subsidiary and non-recurring in nature.</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EBITDA and Adjusted EBITDA provide useful information to investors and reflect important financial measures as they exclude the effects of items which reflect the impact of long-term investment decisions, rather than the performance of near term operations. When compared to net income (loss) these financial measures are limited in that they do not reflect the periodic costs of certain capital assets used in generating revenues of our businesses or the non-cash charges associated with impairments. This presentation also allows investors to view the performance of our businesses in a manner similar to the methods used by us and the management of our businesses, provides additional insight into our operating results and provides a measure for evaluating targeted businesses for acquisition.</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these measurements are also useful in measuring our ability to service debt and other payment obligations. EBITDA and Adjusted EBITDA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following tables reconcile EBITDA and Adjusted EBITDA to net income (loss), which we consider to be the most comparable GAAP financial measure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355"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414020</wp:posOffset>
            </wp:positionH>
            <wp:positionV relativeFrom="page">
              <wp:posOffset>551815</wp:posOffset>
            </wp:positionV>
            <wp:extent cx="6926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6580" cy="8255"/>
                    </a:xfrm>
                    <a:prstGeom prst="rect">
                      <a:avLst/>
                    </a:prstGeom>
                    <a:noFill/>
                  </pic:spPr>
                </pic:pic>
              </a:graphicData>
            </a:graphic>
          </wp:anchor>
        </w:drawing>
        <w:t>Adjusted EBITDA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6926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Marucci</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Velocity</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7"/>
                <w:szCs w:val="17"/>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rPr>
              <w:t>5.11</w:t>
            </w:r>
          </w:p>
        </w:tc>
        <w:tc>
          <w:tcPr>
            <w:tcW w:w="120" w:type="dxa"/>
            <w:vAlign w:val="bottom"/>
          </w:tcPr>
          <w:p>
            <w:pPr>
              <w:spacing w:after="0"/>
              <w:rPr>
                <w:sz w:val="17"/>
                <w:szCs w:val="17"/>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Ergobaby</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Liberty</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Sports</w:t>
            </w: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Outdoor</w:t>
            </w:r>
          </w:p>
        </w:tc>
        <w:tc>
          <w:tcPr>
            <w:tcW w:w="120" w:type="dxa"/>
            <w:vAlign w:val="bottom"/>
          </w:tcPr>
          <w:p>
            <w:pPr>
              <w:spacing w:after="0"/>
              <w:rPr>
                <w:sz w:val="17"/>
                <w:szCs w:val="17"/>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Arnold</w:t>
            </w:r>
          </w:p>
        </w:tc>
        <w:tc>
          <w:tcPr>
            <w:tcW w:w="12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Foam</w:t>
            </w: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Sterno</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w:t>
            </w: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(3,521)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2,120</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1,160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3,460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(6,325)</w:t>
            </w: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(9,541)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7,312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1,472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2,146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(2,486)</w:t>
            </w:r>
          </w:p>
        </w:tc>
        <w:tc>
          <w:tcPr>
            <w:tcW w:w="0" w:type="dxa"/>
            <w:vAlign w:val="bottom"/>
          </w:tcPr>
          <w:p>
            <w:pPr>
              <w:spacing w:after="0"/>
              <w:rPr>
                <w:sz w:val="1"/>
                <w:szCs w:val="1"/>
                <w:color w:val="auto"/>
              </w:rPr>
            </w:pPr>
          </w:p>
        </w:tc>
      </w:tr>
      <w:tr>
        <w:trPr>
          <w:trHeight w:val="64"/>
        </w:trPr>
        <w:tc>
          <w:tcPr>
            <w:tcW w:w="208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5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080" w:type="dxa"/>
            <w:vAlign w:val="bottom"/>
          </w:tcPr>
          <w:p>
            <w:pPr>
              <w:ind w:left="20"/>
              <w:spacing w:after="0"/>
              <w:rPr>
                <w:sz w:val="20"/>
                <w:szCs w:val="20"/>
                <w:color w:val="auto"/>
              </w:rPr>
            </w:pPr>
            <w:r>
              <w:rPr>
                <w:rFonts w:ascii="Arial" w:cs="Arial" w:eastAsia="Arial" w:hAnsi="Arial"/>
                <w:sz w:val="15"/>
                <w:szCs w:val="15"/>
                <w:color w:val="auto"/>
              </w:rPr>
              <w:t>Adjusted for:</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Provision (benefit) for</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income taxes</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(1,944)</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(1,306)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6,871</w:t>
            </w:r>
          </w:p>
        </w:tc>
        <w:tc>
          <w:tcPr>
            <w:tcW w:w="0" w:type="dxa"/>
            <w:vAlign w:val="bottom"/>
          </w:tcPr>
          <w:p>
            <w:pPr>
              <w:spacing w:after="0"/>
              <w:rPr>
                <w:sz w:val="1"/>
                <w:szCs w:val="1"/>
                <w:color w:val="auto"/>
              </w:rPr>
            </w:pPr>
          </w:p>
        </w:tc>
      </w:tr>
      <w:tr>
        <w:trPr>
          <w:trHeight w:val="264"/>
        </w:trPr>
        <w:tc>
          <w:tcPr>
            <w:tcW w:w="2080" w:type="dxa"/>
            <w:vAlign w:val="bottom"/>
          </w:tcPr>
          <w:p>
            <w:pPr>
              <w:ind w:left="260"/>
              <w:spacing w:after="0"/>
              <w:rPr>
                <w:sz w:val="20"/>
                <w:szCs w:val="20"/>
                <w:color w:val="auto"/>
              </w:rPr>
            </w:pPr>
            <w:r>
              <w:rPr>
                <w:rFonts w:ascii="Arial" w:cs="Arial" w:eastAsia="Arial" w:hAnsi="Arial"/>
                <w:sz w:val="15"/>
                <w:szCs w:val="15"/>
                <w:color w:val="auto"/>
              </w:rPr>
              <w:t>Interest expense, net</w:t>
            </w:r>
          </w:p>
        </w:tc>
        <w:tc>
          <w:tcPr>
            <w:tcW w:w="14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19,651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19,771</w:t>
            </w:r>
          </w:p>
        </w:tc>
        <w:tc>
          <w:tcPr>
            <w:tcW w:w="0" w:type="dxa"/>
            <w:vAlign w:val="bottom"/>
          </w:tcPr>
          <w:p>
            <w:pPr>
              <w:spacing w:after="0"/>
              <w:rPr>
                <w:sz w:val="1"/>
                <w:szCs w:val="1"/>
                <w:color w:val="auto"/>
              </w:rPr>
            </w:pPr>
          </w:p>
        </w:tc>
      </w:tr>
      <w:tr>
        <w:trPr>
          <w:trHeight w:val="276"/>
        </w:trPr>
        <w:tc>
          <w:tcPr>
            <w:tcW w:w="2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Intercompany interest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80" w:type="dxa"/>
            <w:vAlign w:val="bottom"/>
          </w:tcPr>
          <w:p>
            <w:pPr>
              <w:ind w:left="260"/>
              <w:spacing w:after="0"/>
              <w:rPr>
                <w:sz w:val="20"/>
                <w:szCs w:val="20"/>
                <w:color w:val="auto"/>
              </w:rPr>
            </w:pPr>
            <w:r>
              <w:rPr>
                <w:rFonts w:ascii="Arial" w:cs="Arial" w:eastAsia="Arial" w:hAnsi="Arial"/>
                <w:sz w:val="15"/>
                <w:szCs w:val="15"/>
                <w:color w:val="auto"/>
              </w:rPr>
              <w:t>Depreciation and</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amortization</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7"/>
              </w:rPr>
              <w:t>10,639</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4,106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862</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4,717</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6,474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1,347</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6,108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11,489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49,321</w:t>
            </w:r>
          </w:p>
        </w:tc>
        <w:tc>
          <w:tcPr>
            <w:tcW w:w="0" w:type="dxa"/>
            <w:vAlign w:val="bottom"/>
          </w:tcPr>
          <w:p>
            <w:pPr>
              <w:spacing w:after="0"/>
              <w:rPr>
                <w:sz w:val="1"/>
                <w:szCs w:val="1"/>
                <w:color w:val="auto"/>
              </w:rPr>
            </w:pPr>
          </w:p>
        </w:tc>
      </w:tr>
      <w:tr>
        <w:trPr>
          <w:trHeight w:val="191"/>
        </w:trPr>
        <w:tc>
          <w:tcPr>
            <w:tcW w:w="208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EBITDA</w:t>
            </w:r>
          </w:p>
        </w:tc>
        <w:tc>
          <w:tcPr>
            <w:tcW w:w="1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7"/>
              </w:rPr>
              <w:t>18,556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7,672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(3,016)</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7"/>
              </w:rPr>
              <w:t>13,321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7"/>
              </w:rPr>
              <w:t>12,908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20,413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73,477</w:t>
            </w:r>
          </w:p>
        </w:tc>
        <w:tc>
          <w:tcPr>
            <w:tcW w:w="0" w:type="dxa"/>
            <w:vAlign w:val="bottom"/>
          </w:tcPr>
          <w:p>
            <w:pPr>
              <w:spacing w:after="0"/>
              <w:rPr>
                <w:sz w:val="1"/>
                <w:szCs w:val="1"/>
                <w:color w:val="auto"/>
              </w:rPr>
            </w:pPr>
          </w:p>
        </w:tc>
      </w:tr>
      <w:tr>
        <w:trPr>
          <w:trHeight w:val="64"/>
        </w:trPr>
        <w:tc>
          <w:tcPr>
            <w:tcW w:w="20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80" w:type="dxa"/>
            <w:vAlign w:val="bottom"/>
          </w:tcPr>
          <w:p>
            <w:pPr>
              <w:ind w:left="260"/>
              <w:spacing w:after="0"/>
              <w:rPr>
                <w:sz w:val="20"/>
                <w:szCs w:val="20"/>
                <w:color w:val="auto"/>
              </w:rPr>
            </w:pPr>
            <w:r>
              <w:rPr>
                <w:rFonts w:ascii="Arial" w:cs="Arial" w:eastAsia="Arial" w:hAnsi="Arial"/>
                <w:sz w:val="15"/>
                <w:szCs w:val="15"/>
                <w:color w:val="auto"/>
              </w:rPr>
              <w:t>Other (income) expense</w:t>
            </w:r>
          </w:p>
        </w:tc>
        <w:tc>
          <w:tcPr>
            <w:tcW w:w="14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1,168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1,725</w:t>
            </w: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Noncontrolling shareholder</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compensation</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190"/>
        </w:trPr>
        <w:tc>
          <w:tcPr>
            <w:tcW w:w="2080" w:type="dxa"/>
            <w:vAlign w:val="bottom"/>
          </w:tcPr>
          <w:p>
            <w:pPr>
              <w:ind w:left="260"/>
              <w:spacing w:after="0"/>
              <w:rPr>
                <w:sz w:val="20"/>
                <w:szCs w:val="20"/>
                <w:color w:val="auto"/>
              </w:rPr>
            </w:pPr>
            <w:r>
              <w:rPr>
                <w:rFonts w:ascii="Arial" w:cs="Arial" w:eastAsia="Arial" w:hAnsi="Arial"/>
                <w:sz w:val="15"/>
                <w:szCs w:val="15"/>
                <w:color w:val="auto"/>
              </w:rPr>
              <w:t>Acquisition expenses and</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tcPr>
          <w:p>
            <w:pPr>
              <w:ind w:left="260"/>
              <w:spacing w:after="0"/>
              <w:rPr>
                <w:sz w:val="20"/>
                <w:szCs w:val="20"/>
                <w:color w:val="auto"/>
              </w:rPr>
            </w:pPr>
            <w:r>
              <w:rPr>
                <w:rFonts w:ascii="Arial" w:cs="Arial" w:eastAsia="Arial" w:hAnsi="Arial"/>
                <w:sz w:val="15"/>
                <w:szCs w:val="15"/>
                <w:color w:val="auto"/>
              </w:rPr>
              <w:t>other</w:t>
            </w: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2,042</w:t>
            </w: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2,042</w:t>
            </w:r>
          </w:p>
        </w:tc>
        <w:tc>
          <w:tcPr>
            <w:tcW w:w="0" w:type="dxa"/>
            <w:vAlign w:val="bottom"/>
          </w:tcPr>
          <w:p>
            <w:pPr>
              <w:spacing w:after="0"/>
              <w:rPr>
                <w:sz w:val="1"/>
                <w:szCs w:val="1"/>
                <w:color w:val="auto"/>
              </w:rPr>
            </w:pPr>
          </w:p>
        </w:tc>
      </w:tr>
      <w:tr>
        <w:trPr>
          <w:trHeight w:val="275"/>
        </w:trPr>
        <w:tc>
          <w:tcPr>
            <w:tcW w:w="2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Other</w:t>
            </w:r>
          </w:p>
        </w:tc>
        <w:tc>
          <w:tcPr>
            <w:tcW w:w="1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Management fees</w:t>
            </w: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11,305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13,777</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Adjusted EBITDA</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7"/>
              </w:rPr>
              <w:t>21,379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7"/>
              </w:rPr>
              <w:t>13,835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13,231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95,564</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900"/>
          </w:cols>
          <w:pgMar w:left="660" w:top="1102" w:right="339" w:bottom="1440" w:gutter="0" w:footer="0" w:header="0"/>
        </w:sectPr>
      </w:pPr>
    </w:p>
    <w:bookmarkStart w:id="59" w:name="page60"/>
    <w:bookmarkEnd w:id="59"/>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757555</wp:posOffset>
            </wp:positionV>
            <wp:extent cx="6926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jc w:val="center"/>
        <w:ind w:right="-331"/>
        <w:spacing w:after="0"/>
        <w:rPr>
          <w:sz w:val="20"/>
          <w:szCs w:val="20"/>
          <w:color w:val="auto"/>
        </w:rPr>
      </w:pPr>
      <w:r>
        <w:rPr>
          <w:rFonts w:ascii="Arial" w:cs="Arial" w:eastAsia="Arial" w:hAnsi="Arial"/>
          <w:sz w:val="18"/>
          <w:szCs w:val="18"/>
          <w:b w:val="1"/>
          <w:bCs w:val="1"/>
          <w:color w:val="auto"/>
        </w:rPr>
        <w:t>Adjusted EBITDA</w:t>
      </w:r>
    </w:p>
    <w:p>
      <w:pPr>
        <w:spacing w:after="0" w:line="50" w:lineRule="exact"/>
        <w:rPr>
          <w:sz w:val="20"/>
          <w:szCs w:val="20"/>
          <w:color w:val="auto"/>
        </w:rPr>
      </w:pPr>
    </w:p>
    <w:p>
      <w:pPr>
        <w:jc w:val="center"/>
        <w:ind w:right="-331"/>
        <w:spacing w:after="0"/>
        <w:rPr>
          <w:sz w:val="20"/>
          <w:szCs w:val="20"/>
          <w:color w:val="auto"/>
        </w:rPr>
      </w:pPr>
      <w:r>
        <w:rPr>
          <w:rFonts w:ascii="Arial" w:cs="Arial" w:eastAsia="Arial" w:hAnsi="Arial"/>
          <w:sz w:val="18"/>
          <w:szCs w:val="18"/>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28575</wp:posOffset>
            </wp:positionV>
            <wp:extent cx="6926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53" w:lineRule="exact"/>
        <w:rPr>
          <w:sz w:val="20"/>
          <w:szCs w:val="20"/>
          <w:color w:val="auto"/>
        </w:rPr>
      </w:pPr>
    </w:p>
    <w:tbl>
      <w:tblPr>
        <w:tblLayout w:type="fixed"/>
        <w:tblInd w:w="332"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Marucci</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Velocity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208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700" w:type="dxa"/>
            <w:vAlign w:val="bottom"/>
          </w:tcPr>
          <w:p>
            <w:pPr>
              <w:jc w:val="right"/>
              <w:ind w:right="168"/>
              <w:spacing w:after="0"/>
              <w:rPr>
                <w:sz w:val="20"/>
                <w:szCs w:val="20"/>
                <w:color w:val="auto"/>
              </w:rPr>
            </w:pPr>
            <w:r>
              <w:rPr>
                <w:rFonts w:ascii="Arial" w:cs="Arial" w:eastAsia="Arial" w:hAnsi="Arial"/>
                <w:sz w:val="14"/>
                <w:szCs w:val="14"/>
                <w:b w:val="1"/>
                <w:bCs w:val="1"/>
                <w:color w:val="auto"/>
              </w:rPr>
              <w:t>5.11</w:t>
            </w: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Ergobaby</w:t>
            </w: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Liberty</w:t>
            </w:r>
          </w:p>
        </w:tc>
        <w:tc>
          <w:tcPr>
            <w:tcW w:w="120" w:type="dxa"/>
            <w:vAlign w:val="bottom"/>
          </w:tcPr>
          <w:p>
            <w:pPr>
              <w:spacing w:after="0"/>
              <w:rPr>
                <w:sz w:val="17"/>
                <w:szCs w:val="17"/>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Sports</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Outdoor</w:t>
            </w:r>
          </w:p>
        </w:tc>
        <w:tc>
          <w:tcPr>
            <w:tcW w:w="780" w:type="dxa"/>
            <w:vAlign w:val="bottom"/>
            <w:gridSpan w:val="2"/>
          </w:tcPr>
          <w:p>
            <w:pPr>
              <w:ind w:left="220"/>
              <w:spacing w:after="0"/>
              <w:rPr>
                <w:sz w:val="20"/>
                <w:szCs w:val="20"/>
                <w:color w:val="auto"/>
              </w:rPr>
            </w:pPr>
            <w:r>
              <w:rPr>
                <w:rFonts w:ascii="Arial" w:cs="Arial" w:eastAsia="Arial" w:hAnsi="Arial"/>
                <w:sz w:val="14"/>
                <w:szCs w:val="14"/>
                <w:b w:val="1"/>
                <w:bCs w:val="1"/>
                <w:color w:val="auto"/>
              </w:rPr>
              <w:t>ACI</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Arnold</w:t>
            </w: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Foam</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Sterno</w:t>
            </w:r>
          </w:p>
        </w:tc>
        <w:tc>
          <w:tcPr>
            <w:tcW w:w="980" w:type="dxa"/>
            <w:vAlign w:val="bottom"/>
          </w:tcPr>
          <w:p>
            <w:pPr>
              <w:ind w:left="40"/>
              <w:spacing w:after="0"/>
              <w:rPr>
                <w:sz w:val="20"/>
                <w:szCs w:val="20"/>
                <w:color w:val="auto"/>
              </w:rPr>
            </w:pPr>
            <w:r>
              <w:rPr>
                <w:rFonts w:ascii="Arial" w:cs="Arial" w:eastAsia="Arial" w:hAnsi="Arial"/>
                <w:sz w:val="14"/>
                <w:szCs w:val="14"/>
                <w:b w:val="1"/>
                <w:bCs w:val="1"/>
                <w:color w:val="auto"/>
              </w:rPr>
              <w:t>Consolidated</w:t>
            </w:r>
          </w:p>
        </w:tc>
      </w:tr>
      <w:tr>
        <w:trPr>
          <w:trHeight w:val="270"/>
        </w:trPr>
        <w:tc>
          <w:tcPr>
            <w:tcW w:w="2080" w:type="dxa"/>
            <w:vAlign w:val="bottom"/>
            <w:tcBorders>
              <w:top w:val="single" w:sz="8" w:color="CCEEFF"/>
            </w:tcBorders>
            <w:shd w:val="clear" w:color="auto" w:fill="CCEEFF"/>
          </w:tcPr>
          <w:p>
            <w:pPr>
              <w:ind w:left="20"/>
              <w:spacing w:after="0" w:line="270" w:lineRule="exact"/>
              <w:rPr>
                <w:sz w:val="20"/>
                <w:szCs w:val="20"/>
                <w:color w:val="auto"/>
              </w:rPr>
            </w:pPr>
            <w:r>
              <w:rPr>
                <w:rFonts w:ascii="Arial" w:cs="Arial" w:eastAsia="Arial" w:hAnsi="Arial"/>
                <w:sz w:val="15"/>
                <w:szCs w:val="15"/>
                <w:b w:val="1"/>
                <w:bCs w:val="1"/>
                <w:color w:val="auto"/>
              </w:rPr>
              <w:t xml:space="preserve">Net income (loss) </w:t>
            </w:r>
            <w:r>
              <w:rPr>
                <w:rFonts w:ascii="Arial" w:cs="Arial" w:eastAsia="Arial" w:hAnsi="Arial"/>
                <w:sz w:val="24"/>
                <w:szCs w:val="24"/>
                <w:b w:val="1"/>
                <w:bCs w:val="1"/>
                <w:color w:val="auto"/>
                <w:vertAlign w:val="superscript"/>
              </w:rPr>
              <w:t>(1)</w:t>
            </w: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$ 303,610</w:t>
            </w: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(2,255)</w:t>
            </w:r>
          </w:p>
        </w:tc>
        <w:tc>
          <w:tcPr>
            <w:tcW w:w="8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  2,672</w:t>
            </w:r>
          </w:p>
        </w:tc>
        <w:tc>
          <w:tcPr>
            <w:tcW w:w="10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490</w:t>
            </w:r>
          </w:p>
        </w:tc>
        <w:tc>
          <w:tcPr>
            <w:tcW w:w="12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 (5,636)</w:t>
            </w:r>
          </w:p>
        </w:tc>
        <w:tc>
          <w:tcPr>
            <w:tcW w:w="10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$ 7,578</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$ 1,906</w:t>
            </w:r>
          </w:p>
        </w:tc>
        <w:tc>
          <w:tcPr>
            <w:tcW w:w="10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$ 3,054</w:t>
            </w:r>
          </w:p>
        </w:tc>
        <w:tc>
          <w:tcPr>
            <w:tcW w:w="10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   311,430</w:t>
            </w:r>
          </w:p>
        </w:tc>
      </w:tr>
    </w:tbl>
    <w:p>
      <w:pPr>
        <w:spacing w:after="0" w:line="28" w:lineRule="exact"/>
        <w:rPr>
          <w:sz w:val="20"/>
          <w:szCs w:val="20"/>
          <w:color w:val="auto"/>
        </w:rPr>
      </w:pPr>
    </w:p>
    <w:p>
      <w:pPr>
        <w:sectPr>
          <w:pgSz w:w="11900" w:h="16838" w:orient="portrait"/>
          <w:cols w:equalWidth="0" w:num="1">
            <w:col w:w="11232"/>
          </w:cols>
          <w:pgMar w:left="328" w:top="1440" w:right="339" w:bottom="1440" w:gutter="0" w:footer="0" w:header="0"/>
        </w:sectPr>
      </w:pPr>
    </w:p>
    <w:p>
      <w:pPr>
        <w:ind w:left="352"/>
        <w:spacing w:after="0"/>
        <w:rPr>
          <w:sz w:val="20"/>
          <w:szCs w:val="20"/>
          <w:color w:val="auto"/>
        </w:rPr>
      </w:pPr>
      <w:r>
        <w:rPr>
          <w:rFonts w:ascii="Arial" w:cs="Arial" w:eastAsia="Arial" w:hAnsi="Arial"/>
          <w:sz w:val="15"/>
          <w:szCs w:val="15"/>
          <w:color w:val="auto"/>
        </w:rPr>
        <w:t>Adjusted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44450</wp:posOffset>
            </wp:positionV>
            <wp:extent cx="3300095" cy="240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00095" cy="240030"/>
                    </a:xfrm>
                    <a:prstGeom prst="rect">
                      <a:avLst/>
                    </a:prstGeom>
                    <a:noFill/>
                  </pic:spPr>
                </pic:pic>
              </a:graphicData>
            </a:graphic>
          </wp:anchor>
        </w:drawing>
      </w:r>
    </w:p>
    <w:p>
      <w:pPr>
        <w:spacing w:after="0" w:line="67" w:lineRule="exact"/>
        <w:rPr>
          <w:sz w:val="20"/>
          <w:szCs w:val="20"/>
          <w:color w:val="auto"/>
        </w:rPr>
      </w:pPr>
    </w:p>
    <w:p>
      <w:pPr>
        <w:ind w:left="712"/>
        <w:spacing w:after="0"/>
        <w:rPr>
          <w:sz w:val="20"/>
          <w:szCs w:val="20"/>
          <w:color w:val="auto"/>
        </w:rPr>
      </w:pPr>
      <w:r>
        <w:rPr>
          <w:rFonts w:ascii="Arial" w:cs="Arial" w:eastAsia="Arial" w:hAnsi="Arial"/>
          <w:sz w:val="15"/>
          <w:szCs w:val="15"/>
          <w:color w:val="auto"/>
        </w:rPr>
        <w:t>Provision (benefit) for</w:t>
      </w:r>
    </w:p>
    <w:tbl>
      <w:tblPr>
        <w:tblLayout w:type="fixed"/>
        <w:tblInd w:w="332" w:type="dxa"/>
        <w:tblCellMar>
          <w:top w:w="0" w:type="dxa"/>
          <w:left w:w="0" w:type="dxa"/>
          <w:bottom w:w="0" w:type="dxa"/>
          <w:right w:w="0" w:type="dxa"/>
        </w:tblCellMar>
      </w:tblPr>
      <w:tr>
        <w:trPr>
          <w:trHeight w:val="178"/>
        </w:trPr>
        <w:tc>
          <w:tcPr>
            <w:tcW w:w="2080" w:type="dxa"/>
            <w:vAlign w:val="bottom"/>
          </w:tcPr>
          <w:p>
            <w:pPr>
              <w:ind w:left="380"/>
              <w:spacing w:after="0"/>
              <w:rPr>
                <w:sz w:val="20"/>
                <w:szCs w:val="20"/>
                <w:color w:val="auto"/>
              </w:rPr>
            </w:pPr>
            <w:r>
              <w:rPr>
                <w:rFonts w:ascii="Arial" w:cs="Arial" w:eastAsia="Arial" w:hAnsi="Arial"/>
                <w:sz w:val="15"/>
                <w:szCs w:val="15"/>
                <w:color w:val="auto"/>
              </w:rPr>
              <w:t>income taxes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1,380</w:t>
            </w:r>
          </w:p>
        </w:tc>
        <w:tc>
          <w:tcPr>
            <w:tcW w:w="10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368</w:t>
            </w:r>
          </w:p>
        </w:tc>
      </w:tr>
      <w:tr>
        <w:trPr>
          <w:trHeight w:val="274"/>
        </w:trPr>
        <w:tc>
          <w:tcPr>
            <w:tcW w:w="2080" w:type="dxa"/>
            <w:vAlign w:val="bottom"/>
          </w:tcPr>
          <w:p>
            <w:pPr>
              <w:ind w:left="380"/>
              <w:spacing w:after="0"/>
              <w:rPr>
                <w:sz w:val="20"/>
                <w:szCs w:val="20"/>
                <w:color w:val="auto"/>
              </w:rPr>
            </w:pPr>
            <w:r>
              <w:rPr>
                <w:rFonts w:ascii="Arial" w:cs="Arial" w:eastAsia="Arial" w:hAnsi="Arial"/>
                <w:sz w:val="15"/>
                <w:szCs w:val="15"/>
                <w:color w:val="auto"/>
              </w:rPr>
              <w:t>Interest expense, net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36,786</w:t>
            </w:r>
          </w:p>
        </w:tc>
        <w:tc>
          <w:tcPr>
            <w:tcW w:w="1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Intercompany interest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(41,454)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9,110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2,157</w:t>
            </w:r>
          </w:p>
        </w:tc>
      </w:tr>
      <w:tr>
        <w:trPr>
          <w:trHeight w:val="190"/>
        </w:trPr>
        <w:tc>
          <w:tcPr>
            <w:tcW w:w="2080" w:type="dxa"/>
            <w:vAlign w:val="bottom"/>
          </w:tcPr>
          <w:p>
            <w:pPr>
              <w:ind w:left="380"/>
              <w:spacing w:after="0"/>
              <w:rPr>
                <w:sz w:val="20"/>
                <w:szCs w:val="20"/>
                <w:color w:val="auto"/>
              </w:rPr>
            </w:pPr>
            <w:r>
              <w:rPr>
                <w:rFonts w:ascii="Arial" w:cs="Arial" w:eastAsia="Arial" w:hAnsi="Arial"/>
                <w:sz w:val="15"/>
                <w:szCs w:val="15"/>
                <w:color w:val="auto"/>
              </w:rPr>
              <w:t>Depreciation and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3"/>
        </w:trPr>
        <w:tc>
          <w:tcPr>
            <w:tcW w:w="208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amortization</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993</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10,658</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4,239</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w:t>
            </w:r>
          </w:p>
        </w:tc>
      </w:tr>
      <w:tr>
        <w:trPr>
          <w:trHeight w:val="255"/>
        </w:trPr>
        <w:tc>
          <w:tcPr>
            <w:tcW w:w="208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EBITDA</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299,935</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17,826</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10,159</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3,854</w:t>
            </w:r>
          </w:p>
        </w:tc>
      </w:tr>
      <w:tr>
        <w:trPr>
          <w:trHeight w:val="190"/>
        </w:trPr>
        <w:tc>
          <w:tcPr>
            <w:tcW w:w="2080" w:type="dxa"/>
            <w:vAlign w:val="bottom"/>
          </w:tcPr>
          <w:p>
            <w:pPr>
              <w:ind w:left="380"/>
              <w:spacing w:after="0"/>
              <w:rPr>
                <w:sz w:val="20"/>
                <w:szCs w:val="20"/>
                <w:color w:val="auto"/>
              </w:rPr>
            </w:pPr>
            <w:r>
              <w:rPr>
                <w:rFonts w:ascii="Arial" w:cs="Arial" w:eastAsia="Arial" w:hAnsi="Arial"/>
                <w:sz w:val="15"/>
                <w:szCs w:val="15"/>
                <w:color w:val="auto"/>
              </w:rPr>
              <w:t>Gain on sale of</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3"/>
        </w:trPr>
        <w:tc>
          <w:tcPr>
            <w:tcW w:w="2080" w:type="dxa"/>
            <w:vAlign w:val="bottom"/>
          </w:tcPr>
          <w:p>
            <w:pPr>
              <w:ind w:left="380"/>
              <w:spacing w:after="0"/>
              <w:rPr>
                <w:sz w:val="20"/>
                <w:szCs w:val="20"/>
                <w:color w:val="auto"/>
              </w:rPr>
            </w:pPr>
            <w:r>
              <w:rPr>
                <w:rFonts w:ascii="Arial" w:cs="Arial" w:eastAsia="Arial" w:hAnsi="Arial"/>
                <w:sz w:val="15"/>
                <w:szCs w:val="15"/>
                <w:color w:val="auto"/>
              </w:rPr>
              <w:t>businesses</w:t>
            </w:r>
          </w:p>
        </w:tc>
        <w:tc>
          <w:tcPr>
            <w:tcW w:w="740" w:type="dxa"/>
            <w:vAlign w:val="bottom"/>
          </w:tcPr>
          <w:p>
            <w:pPr>
              <w:jc w:val="right"/>
              <w:spacing w:after="0"/>
              <w:rPr>
                <w:sz w:val="20"/>
                <w:szCs w:val="20"/>
                <w:color w:val="auto"/>
              </w:rPr>
            </w:pPr>
            <w:r>
              <w:rPr>
                <w:rFonts w:ascii="Arial" w:cs="Arial" w:eastAsia="Arial" w:hAnsi="Arial"/>
                <w:sz w:val="14"/>
                <w:szCs w:val="14"/>
                <w:color w:val="auto"/>
              </w:rPr>
              <w:t>(328,164)</w:t>
            </w: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5"/>
        </w:trPr>
        <w:tc>
          <w:tcPr>
            <w:tcW w:w="2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(income) expense</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190"/>
        </w:trPr>
        <w:tc>
          <w:tcPr>
            <w:tcW w:w="2080" w:type="dxa"/>
            <w:vAlign w:val="bottom"/>
          </w:tcPr>
          <w:p>
            <w:pPr>
              <w:ind w:left="380"/>
              <w:spacing w:after="0"/>
              <w:rPr>
                <w:sz w:val="20"/>
                <w:szCs w:val="20"/>
                <w:color w:val="auto"/>
              </w:rPr>
            </w:pPr>
            <w:r>
              <w:rPr>
                <w:rFonts w:ascii="Arial" w:cs="Arial" w:eastAsia="Arial" w:hAnsi="Arial"/>
                <w:sz w:val="15"/>
                <w:szCs w:val="15"/>
                <w:color w:val="auto"/>
              </w:rPr>
              <w:t>Noncontrolling</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62"/>
        </w:trPr>
        <w:tc>
          <w:tcPr>
            <w:tcW w:w="2080" w:type="dxa"/>
            <w:vAlign w:val="bottom"/>
          </w:tcPr>
          <w:p>
            <w:pPr>
              <w:ind w:left="380"/>
              <w:spacing w:after="0" w:line="162" w:lineRule="exact"/>
              <w:rPr>
                <w:sz w:val="20"/>
                <w:szCs w:val="20"/>
                <w:color w:val="auto"/>
              </w:rPr>
            </w:pPr>
            <w:r>
              <w:rPr>
                <w:rFonts w:ascii="Arial" w:cs="Arial" w:eastAsia="Arial" w:hAnsi="Arial"/>
                <w:sz w:val="15"/>
                <w:szCs w:val="15"/>
                <w:color w:val="auto"/>
              </w:rPr>
              <w:t>shareholder</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3"/>
        </w:trPr>
        <w:tc>
          <w:tcPr>
            <w:tcW w:w="2080" w:type="dxa"/>
            <w:vAlign w:val="bottom"/>
          </w:tcPr>
          <w:p>
            <w:pPr>
              <w:ind w:left="380"/>
              <w:spacing w:after="0"/>
              <w:rPr>
                <w:sz w:val="20"/>
                <w:szCs w:val="20"/>
                <w:color w:val="auto"/>
              </w:rPr>
            </w:pPr>
            <w:r>
              <w:rPr>
                <w:rFonts w:ascii="Arial" w:cs="Arial" w:eastAsia="Arial" w:hAnsi="Arial"/>
                <w:sz w:val="15"/>
                <w:szCs w:val="15"/>
                <w:color w:val="auto"/>
              </w:rPr>
              <w:t>compensation</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1,196</w:t>
            </w:r>
          </w:p>
        </w:tc>
        <w:tc>
          <w:tcPr>
            <w:tcW w:w="1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195"/>
        </w:trPr>
        <w:tc>
          <w:tcPr>
            <w:tcW w:w="2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Loss on sale of</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8"/>
        </w:trPr>
        <w:tc>
          <w:tcPr>
            <w:tcW w:w="2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investment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5,300</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080" w:type="dxa"/>
            <w:vAlign w:val="bottom"/>
          </w:tcPr>
          <w:p>
            <w:pPr>
              <w:ind w:left="380"/>
              <w:spacing w:after="0"/>
              <w:rPr>
                <w:sz w:val="20"/>
                <w:szCs w:val="20"/>
                <w:color w:val="auto"/>
              </w:rPr>
            </w:pPr>
            <w:r>
              <w:rPr>
                <w:rFonts w:ascii="Arial" w:cs="Arial" w:eastAsia="Arial" w:hAnsi="Arial"/>
                <w:sz w:val="15"/>
                <w:szCs w:val="15"/>
                <w:color w:val="auto"/>
              </w:rPr>
              <w:t>Integration services fee</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w:t>
      </w:r>
    </w:p>
    <w:p>
      <w:pPr>
        <w:jc w:val="center"/>
        <w:spacing w:after="0"/>
        <w:rPr>
          <w:sz w:val="20"/>
          <w:szCs w:val="20"/>
          <w:color w:val="auto"/>
        </w:rPr>
      </w:pPr>
      <w:r>
        <w:rPr>
          <w:rFonts w:ascii="Arial" w:cs="Arial" w:eastAsia="Arial" w:hAnsi="Arial"/>
          <w:sz w:val="14"/>
          <w:szCs w:val="14"/>
          <w:color w:val="auto"/>
        </w:rPr>
        <w:t>Applicable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8"/>
        </w:trPr>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1,973</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5,975</w:t>
            </w:r>
          </w:p>
        </w:tc>
      </w:tr>
      <w:tr>
        <w:trPr>
          <w:trHeight w:val="264"/>
        </w:trPr>
        <w:tc>
          <w:tcPr>
            <w:tcW w:w="66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36,899</w:t>
            </w:r>
          </w:p>
        </w:tc>
      </w:tr>
      <w:tr>
        <w:trPr>
          <w:trHeight w:val="276"/>
        </w:trPr>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5,599</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3,424</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4,524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11,574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372"/>
        </w:trPr>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6,661</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1,267</w:t>
            </w: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3,245</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6,148</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11,142</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45,192</w:t>
            </w:r>
          </w:p>
        </w:tc>
      </w:tr>
      <w:tr>
        <w:trPr>
          <w:trHeight w:val="256"/>
        </w:trPr>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6,088</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14,242</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6,907</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13,555</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26,930</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399,496</w:t>
            </w:r>
          </w:p>
        </w:tc>
      </w:tr>
      <w:tr>
        <w:trPr>
          <w:trHeight w:val="372"/>
        </w:trPr>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(328,164)</w:t>
            </w:r>
          </w:p>
        </w:tc>
      </w:tr>
      <w:tr>
        <w:trPr>
          <w:trHeight w:val="276"/>
        </w:trPr>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r>
      <w:tr>
        <w:trPr>
          <w:trHeight w:val="534"/>
        </w:trPr>
        <w:tc>
          <w:tcPr>
            <w:tcW w:w="660" w:type="dxa"/>
            <w:vAlign w:val="bottom"/>
          </w:tcPr>
          <w:p>
            <w:pPr>
              <w:jc w:val="right"/>
              <w:ind w:right="48"/>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3,329</w:t>
            </w:r>
          </w:p>
        </w:tc>
      </w:tr>
      <w:tr>
        <w:trPr>
          <w:trHeight w:val="384"/>
        </w:trPr>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5,300</w:t>
            </w:r>
          </w:p>
        </w:tc>
      </w:tr>
      <w:tr>
        <w:trPr>
          <w:trHeight w:val="264"/>
        </w:trPr>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281</w:t>
            </w:r>
          </w:p>
        </w:tc>
      </w:tr>
      <w:tr>
        <w:trPr>
          <w:trHeight w:val="276"/>
        </w:trPr>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w:t>
            </w:r>
          </w:p>
        </w:tc>
      </w:tr>
    </w:tbl>
    <w:p>
      <w:pPr>
        <w:spacing w:after="0" w:line="55" w:lineRule="exact"/>
        <w:rPr>
          <w:sz w:val="20"/>
          <w:szCs w:val="20"/>
          <w:color w:val="auto"/>
        </w:rPr>
      </w:pPr>
    </w:p>
    <w:p>
      <w:pPr>
        <w:sectPr>
          <w:pgSz w:w="11900" w:h="16838" w:orient="portrait"/>
          <w:cols w:equalWidth="0" w:num="3">
            <w:col w:w="5512" w:space="140"/>
            <w:col w:w="660" w:space="120"/>
            <w:col w:w="4800"/>
          </w:cols>
          <w:pgMar w:left="328" w:top="1440" w:right="339" w:bottom="1440" w:gutter="0" w:footer="0" w:header="0"/>
          <w:type w:val="continuous"/>
        </w:sectPr>
      </w:pPr>
    </w:p>
    <w:tbl>
      <w:tblPr>
        <w:tblLayout w:type="fixed"/>
        <w:tblInd w:w="332" w:type="dxa"/>
        <w:tblCellMar>
          <w:top w:w="0" w:type="dxa"/>
          <w:left w:w="0" w:type="dxa"/>
          <w:bottom w:w="0" w:type="dxa"/>
          <w:right w:w="0" w:type="dxa"/>
        </w:tblCellMar>
      </w:tblPr>
      <w:tr>
        <w:trPr>
          <w:trHeight w:val="209"/>
        </w:trPr>
        <w:tc>
          <w:tcPr>
            <w:tcW w:w="2080" w:type="dxa"/>
            <w:vAlign w:val="bottom"/>
          </w:tcPr>
          <w:p>
            <w:pPr>
              <w:ind w:left="380"/>
              <w:spacing w:after="0"/>
              <w:rPr>
                <w:sz w:val="20"/>
                <w:szCs w:val="20"/>
                <w:color w:val="auto"/>
              </w:rPr>
            </w:pPr>
            <w:r>
              <w:rPr>
                <w:rFonts w:ascii="Arial" w:cs="Arial" w:eastAsia="Arial" w:hAnsi="Arial"/>
                <w:sz w:val="15"/>
                <w:szCs w:val="15"/>
                <w:color w:val="auto"/>
              </w:rPr>
              <w:t>Management fees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17,103</w:t>
            </w:r>
          </w:p>
        </w:tc>
        <w:tc>
          <w:tcPr>
            <w:tcW w:w="12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580" w:type="dxa"/>
            <w:vAlign w:val="bottom"/>
            <w:gridSpan w:val="2"/>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8"/>
                <w:szCs w:val="18"/>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8"/>
                <w:szCs w:val="18"/>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19,478</w:t>
            </w:r>
          </w:p>
        </w:tc>
      </w:tr>
      <w:tr>
        <w:trPr>
          <w:trHeight w:val="269"/>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Adjusted EBITDA</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(6,408)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$19,561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$ 10,817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6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$ 4,417</w:t>
            </w:r>
          </w:p>
        </w:tc>
        <w:tc>
          <w:tcPr>
            <w:tcW w:w="920" w:type="dxa"/>
            <w:vAlign w:val="bottom"/>
          </w:tcPr>
          <w:p>
            <w:pPr>
              <w:spacing w:after="0"/>
              <w:rPr>
                <w:sz w:val="23"/>
                <w:szCs w:val="23"/>
                <w:color w:val="auto"/>
              </w:rPr>
            </w:pPr>
          </w:p>
        </w:tc>
        <w:tc>
          <w:tcPr>
            <w:tcW w:w="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$ 7,721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$14,511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$ 7,163</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$15,046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$27,740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100,568</w:t>
            </w:r>
          </w:p>
        </w:tc>
      </w:tr>
      <w:tr>
        <w:trPr>
          <w:trHeight w:val="20"/>
        </w:trPr>
        <w:tc>
          <w:tcPr>
            <w:tcW w:w="2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ind w:left="172" w:hanging="172"/>
        <w:spacing w:after="0"/>
        <w:tabs>
          <w:tab w:leader="none" w:pos="172" w:val="left"/>
        </w:tabs>
        <w:numPr>
          <w:ilvl w:val="0"/>
          <w:numId w:val="28"/>
        </w:numPr>
        <w:rPr>
          <w:rFonts w:ascii="Arial" w:cs="Arial" w:eastAsia="Arial" w:hAnsi="Arial"/>
          <w:sz w:val="21"/>
          <w:szCs w:val="21"/>
          <w:b w:val="1"/>
          <w:bCs w:val="1"/>
          <w:color w:val="auto"/>
          <w:vertAlign w:val="superscript"/>
        </w:rPr>
      </w:pPr>
      <w:r>
        <w:rPr>
          <w:rFonts w:ascii="Arial" w:cs="Arial" w:eastAsia="Arial" w:hAnsi="Arial"/>
          <w:sz w:val="15"/>
          <w:szCs w:val="15"/>
          <w:color w:val="auto"/>
        </w:rPr>
        <w:t>Net income (loss) does not include loss from discontinued operations for the six months ended June 30, 2019.</w:t>
      </w:r>
    </w:p>
    <w:p>
      <w:pPr>
        <w:spacing w:after="0" w:line="200" w:lineRule="exact"/>
        <w:rPr>
          <w:rFonts w:ascii="Arial" w:cs="Arial" w:eastAsia="Arial" w:hAnsi="Arial"/>
          <w:sz w:val="21"/>
          <w:szCs w:val="21"/>
          <w:b w:val="1"/>
          <w:bCs w:val="1"/>
          <w:color w:val="auto"/>
          <w:vertAlign w:val="superscript"/>
        </w:rPr>
      </w:pPr>
    </w:p>
    <w:p>
      <w:pPr>
        <w:spacing w:after="0" w:line="200" w:lineRule="exact"/>
        <w:rPr>
          <w:rFonts w:ascii="Arial" w:cs="Arial" w:eastAsia="Arial" w:hAnsi="Arial"/>
          <w:sz w:val="21"/>
          <w:szCs w:val="21"/>
          <w:b w:val="1"/>
          <w:bCs w:val="1"/>
          <w:color w:val="auto"/>
          <w:vertAlign w:val="superscript"/>
        </w:rPr>
      </w:pPr>
    </w:p>
    <w:p>
      <w:pPr>
        <w:spacing w:after="0" w:line="228" w:lineRule="exact"/>
        <w:rPr>
          <w:rFonts w:ascii="Arial" w:cs="Arial" w:eastAsia="Arial" w:hAnsi="Arial"/>
          <w:sz w:val="21"/>
          <w:szCs w:val="21"/>
          <w:b w:val="1"/>
          <w:bCs w:val="1"/>
          <w:color w:val="auto"/>
          <w:vertAlign w:val="superscript"/>
        </w:rPr>
      </w:pPr>
    </w:p>
    <w:p>
      <w:pPr>
        <w:ind w:left="5532"/>
        <w:spacing w:after="0"/>
        <w:rPr>
          <w:rFonts w:ascii="Arial" w:cs="Arial" w:eastAsia="Arial" w:hAnsi="Arial"/>
          <w:sz w:val="21"/>
          <w:szCs w:val="21"/>
          <w:b w:val="1"/>
          <w:bCs w:val="1"/>
          <w:color w:val="auto"/>
          <w:vertAlign w:val="superscript"/>
        </w:rPr>
      </w:pPr>
      <w:r>
        <w:rPr>
          <w:rFonts w:ascii="Arial" w:cs="Arial" w:eastAsia="Arial" w:hAnsi="Arial"/>
          <w:sz w:val="16"/>
          <w:szCs w:val="16"/>
          <w:color w:val="auto"/>
        </w:rPr>
        <w:t>60</w:t>
      </w:r>
    </w:p>
    <w:p>
      <w:pPr>
        <w:sectPr>
          <w:pgSz w:w="11900" w:h="16838" w:orient="portrait"/>
          <w:cols w:equalWidth="0" w:num="1">
            <w:col w:w="11232"/>
          </w:cols>
          <w:pgMar w:left="328" w:top="1440"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i w:val="1"/>
          <w:iCs w:val="1"/>
          <w:u w:val="single" w:color="auto"/>
          <w:color w:val="auto"/>
        </w:rPr>
        <w:t>Reconciliation of Cash Flow Available for Distribution and Reinvestment</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details cash receipts and payments that are not reflected on our income statement in order to provide an additional measure of management's estimate of cash flow available for distribution ("CAD"). CAD is a non-GAAP measure that we believe provides additional, useful information to our shareholders in order to enable them to evaluate our ability to make anticipated quarterly distributions. CAD is not meant to be a substitute for GAAP, and may be different from or otherwise inconsistent with non-GAAP financial measures used by other companies.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reconciles CAD to net income (loss) and cash flows provided by operating activities, which we consider to be the most directly comparable financial measure calculated and presented in accordance with GAAP.</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6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1264"/>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64"/>
        </w:trPr>
        <w:tc>
          <w:tcPr>
            <w:tcW w:w="6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22"/>
                <w:szCs w:val="22"/>
                <w:color w:val="auto"/>
              </w:rPr>
            </w:pPr>
          </w:p>
        </w:tc>
        <w:tc>
          <w:tcPr>
            <w:tcW w:w="176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 2020</w:t>
            </w:r>
          </w:p>
        </w:tc>
        <w:tc>
          <w:tcPr>
            <w:tcW w:w="300" w:type="dxa"/>
            <w:vAlign w:val="bottom"/>
          </w:tcPr>
          <w:p>
            <w:pPr>
              <w:spacing w:after="0"/>
              <w:rPr>
                <w:sz w:val="22"/>
                <w:szCs w:val="22"/>
                <w:color w:val="auto"/>
              </w:rPr>
            </w:pPr>
          </w:p>
        </w:tc>
        <w:tc>
          <w:tcPr>
            <w:tcW w:w="1660" w:type="dxa"/>
            <w:vAlign w:val="bottom"/>
          </w:tcPr>
          <w:p>
            <w:pPr>
              <w:jc w:val="right"/>
              <w:ind w:right="404"/>
              <w:spacing w:after="0"/>
              <w:rPr>
                <w:sz w:val="20"/>
                <w:szCs w:val="20"/>
                <w:color w:val="auto"/>
              </w:rPr>
            </w:pPr>
            <w:r>
              <w:rPr>
                <w:rFonts w:ascii="Arial" w:cs="Arial" w:eastAsia="Arial" w:hAnsi="Arial"/>
                <w:sz w:val="15"/>
                <w:szCs w:val="15"/>
                <w:b w:val="1"/>
                <w:bCs w:val="1"/>
                <w:color w:val="auto"/>
              </w:rPr>
              <w:t>June 30, 2019</w:t>
            </w:r>
          </w:p>
        </w:tc>
        <w:tc>
          <w:tcPr>
            <w:tcW w:w="0" w:type="dxa"/>
            <w:vAlign w:val="bottom"/>
          </w:tcPr>
          <w:p>
            <w:pPr>
              <w:spacing w:after="0"/>
              <w:rPr>
                <w:sz w:val="1"/>
                <w:szCs w:val="1"/>
                <w:color w:val="auto"/>
              </w:rPr>
            </w:pPr>
          </w:p>
        </w:tc>
      </w:tr>
      <w:tr>
        <w:trPr>
          <w:trHeight w:val="254"/>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6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328,331</w:t>
            </w:r>
          </w:p>
        </w:tc>
        <w:tc>
          <w:tcPr>
            <w:tcW w:w="0" w:type="dxa"/>
            <w:vAlign w:val="bottom"/>
          </w:tcPr>
          <w:p>
            <w:pPr>
              <w:spacing w:after="0"/>
              <w:rPr>
                <w:sz w:val="1"/>
                <w:szCs w:val="1"/>
                <w:color w:val="auto"/>
              </w:rPr>
            </w:pPr>
          </w:p>
        </w:tc>
      </w:tr>
      <w:tr>
        <w:trPr>
          <w:trHeight w:val="235"/>
        </w:trPr>
        <w:tc>
          <w:tcPr>
            <w:tcW w:w="6800" w:type="dxa"/>
            <w:vAlign w:val="bottom"/>
          </w:tcPr>
          <w:p>
            <w:pPr>
              <w:ind w:left="360"/>
              <w:spacing w:after="0"/>
              <w:rPr>
                <w:sz w:val="20"/>
                <w:szCs w:val="20"/>
                <w:color w:val="auto"/>
              </w:rPr>
            </w:pPr>
            <w:r>
              <w:rPr>
                <w:rFonts w:ascii="Arial" w:cs="Arial" w:eastAsia="Arial" w:hAnsi="Arial"/>
                <w:sz w:val="15"/>
                <w:szCs w:val="15"/>
                <w:color w:val="auto"/>
              </w:rPr>
              <w:t>Adjustment to reconcile net income (loss) to cash provided by operating activities: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6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Depreciation and amortization</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48,186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56,491</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Gain on sale of businesses</w:t>
            </w:r>
          </w:p>
        </w:tc>
        <w:tc>
          <w:tcPr>
            <w:tcW w:w="300" w:type="dxa"/>
            <w:vAlign w:val="bottom"/>
          </w:tcPr>
          <w:p>
            <w:pPr>
              <w:spacing w:after="0"/>
              <w:rPr>
                <w:sz w:val="18"/>
                <w:szCs w:val="18"/>
                <w:color w:val="auto"/>
              </w:rPr>
            </w:pPr>
          </w:p>
        </w:tc>
        <w:tc>
          <w:tcPr>
            <w:tcW w:w="17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color w:val="auto"/>
              </w:rPr>
              <w:t>(328,164)</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Amortization of debt issuance costs, discount and premium</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1,079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2,159</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Unrealized loss on interest rate hedge</w:t>
            </w:r>
          </w:p>
        </w:tc>
        <w:tc>
          <w:tcPr>
            <w:tcW w:w="300" w:type="dxa"/>
            <w:vAlign w:val="bottom"/>
          </w:tcPr>
          <w:p>
            <w:pPr>
              <w:spacing w:after="0"/>
              <w:rPr>
                <w:sz w:val="18"/>
                <w:szCs w:val="18"/>
                <w:color w:val="auto"/>
              </w:rPr>
            </w:pPr>
          </w:p>
        </w:tc>
        <w:tc>
          <w:tcPr>
            <w:tcW w:w="17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3,350</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Noncontrolling shareholder charges</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3,945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5,268</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Provision for loss on receivables</w:t>
            </w: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2,519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745</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Deferred taxes</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(12,366)</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Other</w:t>
            </w: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1,155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496</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Changes in operating assets and liabilities</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39,865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(47,656)</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6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6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800" w:type="dxa"/>
            <w:vAlign w:val="bottom"/>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00" w:type="dxa"/>
            <w:vAlign w:val="bottom"/>
          </w:tcPr>
          <w:p>
            <w:pPr>
              <w:spacing w:after="0"/>
              <w:rPr>
                <w:sz w:val="16"/>
                <w:szCs w:val="16"/>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88,330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8,654</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Plus:</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360"/>
              <w:spacing w:after="0"/>
              <w:rPr>
                <w:sz w:val="20"/>
                <w:szCs w:val="20"/>
                <w:color w:val="auto"/>
              </w:rPr>
            </w:pPr>
            <w:r>
              <w:rPr>
                <w:rFonts w:ascii="Arial" w:cs="Arial" w:eastAsia="Arial" w:hAnsi="Arial"/>
                <w:sz w:val="15"/>
                <w:szCs w:val="15"/>
                <w:color w:val="auto"/>
              </w:rPr>
              <w:t>Unused fee on revolving credit facility</w:t>
            </w: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728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882</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 xml:space="preserve">Integration services fee </w:t>
            </w:r>
            <w:r>
              <w:rPr>
                <w:rFonts w:ascii="Arial" w:cs="Arial" w:eastAsia="Arial" w:hAnsi="Arial"/>
                <w:sz w:val="12"/>
                <w:szCs w:val="12"/>
                <w:color w:val="auto"/>
              </w:rPr>
              <w:t>(1)</w:t>
            </w:r>
          </w:p>
        </w:tc>
        <w:tc>
          <w:tcPr>
            <w:tcW w:w="300" w:type="dxa"/>
            <w:vAlign w:val="bottom"/>
            <w:shd w:val="clear" w:color="auto" w:fill="CCEEFF"/>
          </w:tcPr>
          <w:p>
            <w:pPr>
              <w:spacing w:after="0"/>
              <w:rPr>
                <w:sz w:val="18"/>
                <w:szCs w:val="18"/>
                <w:color w:val="auto"/>
              </w:rPr>
            </w:pPr>
          </w:p>
        </w:tc>
        <w:tc>
          <w:tcPr>
            <w:tcW w:w="1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281</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76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360"/>
              <w:spacing w:after="0"/>
              <w:rPr>
                <w:sz w:val="20"/>
                <w:szCs w:val="20"/>
                <w:color w:val="auto"/>
              </w:rPr>
            </w:pPr>
            <w:r>
              <w:rPr>
                <w:rFonts w:ascii="Arial" w:cs="Arial" w:eastAsia="Arial" w:hAnsi="Arial"/>
                <w:sz w:val="15"/>
                <w:szCs w:val="15"/>
                <w:color w:val="auto"/>
              </w:rPr>
              <w:t>Successful acquisition costs</w:t>
            </w: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2,042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596</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 xml:space="preserve">Realized loss from foreign currency </w:t>
            </w:r>
            <w:r>
              <w:rPr>
                <w:rFonts w:ascii="Arial" w:cs="Arial" w:eastAsia="Arial" w:hAnsi="Arial"/>
                <w:sz w:val="12"/>
                <w:szCs w:val="12"/>
                <w:color w:val="auto"/>
              </w:rPr>
              <w:t>(2)</w:t>
            </w:r>
          </w:p>
        </w:tc>
        <w:tc>
          <w:tcPr>
            <w:tcW w:w="300" w:type="dxa"/>
            <w:vAlign w:val="bottom"/>
            <w:shd w:val="clear" w:color="auto" w:fill="CCEEFF"/>
          </w:tcPr>
          <w:p>
            <w:pPr>
              <w:spacing w:after="0"/>
              <w:rPr>
                <w:sz w:val="18"/>
                <w:szCs w:val="18"/>
                <w:color w:val="auto"/>
              </w:rPr>
            </w:pPr>
          </w:p>
        </w:tc>
        <w:tc>
          <w:tcPr>
            <w:tcW w:w="1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76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360"/>
              <w:spacing w:after="0"/>
              <w:rPr>
                <w:sz w:val="20"/>
                <w:szCs w:val="20"/>
                <w:color w:val="auto"/>
              </w:rPr>
            </w:pPr>
            <w:r>
              <w:rPr>
                <w:rFonts w:ascii="Arial" w:cs="Arial" w:eastAsia="Arial" w:hAnsi="Arial"/>
                <w:sz w:val="15"/>
                <w:szCs w:val="15"/>
                <w:color w:val="auto"/>
              </w:rPr>
              <w:t>Loss on sale of Tilray Common Stock</w:t>
            </w:r>
          </w:p>
        </w:tc>
        <w:tc>
          <w:tcPr>
            <w:tcW w:w="300" w:type="dxa"/>
            <w:vAlign w:val="bottom"/>
          </w:tcPr>
          <w:p>
            <w:pPr>
              <w:spacing w:after="0"/>
              <w:rPr>
                <w:sz w:val="18"/>
                <w:szCs w:val="18"/>
                <w:color w:val="auto"/>
              </w:rPr>
            </w:pPr>
          </w:p>
        </w:tc>
        <w:tc>
          <w:tcPr>
            <w:tcW w:w="17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5,300</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300" w:type="dxa"/>
            <w:vAlign w:val="bottom"/>
            <w:shd w:val="clear" w:color="auto" w:fill="CCEEFF"/>
          </w:tcPr>
          <w:p>
            <w:pPr>
              <w:spacing w:after="0"/>
              <w:rPr>
                <w:sz w:val="18"/>
                <w:szCs w:val="18"/>
                <w:color w:val="auto"/>
              </w:rPr>
            </w:pPr>
          </w:p>
        </w:tc>
        <w:tc>
          <w:tcPr>
            <w:tcW w:w="1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47,656</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76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20"/>
              <w:spacing w:after="0"/>
              <w:rPr>
                <w:sz w:val="20"/>
                <w:szCs w:val="20"/>
                <w:color w:val="auto"/>
              </w:rPr>
            </w:pPr>
            <w:r>
              <w:rPr>
                <w:rFonts w:ascii="Arial" w:cs="Arial" w:eastAsia="Arial" w:hAnsi="Arial"/>
                <w:sz w:val="15"/>
                <w:szCs w:val="15"/>
                <w:color w:val="auto"/>
              </w:rPr>
              <w:t>Less:</w:t>
            </w: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Payment of interest rate swap</w:t>
            </w:r>
          </w:p>
        </w:tc>
        <w:tc>
          <w:tcPr>
            <w:tcW w:w="300" w:type="dxa"/>
            <w:vAlign w:val="bottom"/>
            <w:shd w:val="clear" w:color="auto" w:fill="CCEEFF"/>
          </w:tcPr>
          <w:p>
            <w:pPr>
              <w:spacing w:after="0"/>
              <w:rPr>
                <w:sz w:val="18"/>
                <w:szCs w:val="18"/>
                <w:color w:val="auto"/>
              </w:rPr>
            </w:pPr>
          </w:p>
        </w:tc>
        <w:tc>
          <w:tcPr>
            <w:tcW w:w="1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303</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76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39,865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 xml:space="preserve">Maintenance capital expenditures: </w:t>
            </w:r>
            <w:r>
              <w:rPr>
                <w:rFonts w:ascii="Arial" w:cs="Arial" w:eastAsia="Arial" w:hAnsi="Arial"/>
                <w:sz w:val="12"/>
                <w:szCs w:val="12"/>
                <w:color w:val="auto"/>
              </w:rPr>
              <w:t>(3)</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Compass Group Diversified Holdings LLC</w:t>
            </w:r>
          </w:p>
        </w:tc>
        <w:tc>
          <w:tcPr>
            <w:tcW w:w="300" w:type="dxa"/>
            <w:vAlign w:val="bottom"/>
          </w:tcPr>
          <w:p>
            <w:pPr>
              <w:spacing w:after="0"/>
              <w:rPr>
                <w:sz w:val="18"/>
                <w:szCs w:val="18"/>
                <w:color w:val="auto"/>
              </w:rPr>
            </w:pPr>
          </w:p>
        </w:tc>
        <w:tc>
          <w:tcPr>
            <w:tcW w:w="17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5.11</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784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1,336</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Advanced Circuits</w:t>
            </w: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1,126</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Arnold</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1,630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1,806</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Clean Earth</w:t>
            </w:r>
          </w:p>
        </w:tc>
        <w:tc>
          <w:tcPr>
            <w:tcW w:w="300" w:type="dxa"/>
            <w:vAlign w:val="bottom"/>
          </w:tcPr>
          <w:p>
            <w:pPr>
              <w:spacing w:after="0"/>
              <w:rPr>
                <w:sz w:val="18"/>
                <w:szCs w:val="18"/>
                <w:color w:val="auto"/>
              </w:rPr>
            </w:pPr>
          </w:p>
        </w:tc>
        <w:tc>
          <w:tcPr>
            <w:tcW w:w="17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3,495</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Ergobaby</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237</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Foam Fabricators</w:t>
            </w: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975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936</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Liberty</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307</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Marucci Sports</w:t>
            </w: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Sterno</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915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1,221</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Velocity Outdoor</w:t>
            </w: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1,673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1,040</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w:t>
            </w: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1,919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535</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360"/>
              <w:spacing w:after="0"/>
              <w:rPr>
                <w:sz w:val="20"/>
                <w:szCs w:val="20"/>
                <w:color w:val="auto"/>
              </w:rPr>
            </w:pPr>
            <w:r>
              <w:rPr>
                <w:rFonts w:ascii="Arial" w:cs="Arial" w:eastAsia="Arial" w:hAnsi="Arial"/>
                <w:sz w:val="15"/>
                <w:szCs w:val="15"/>
                <w:color w:val="auto"/>
              </w:rPr>
              <w:t>Preferred share distribution</w:t>
            </w: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11,587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7,563</w:t>
            </w:r>
          </w:p>
        </w:tc>
        <w:tc>
          <w:tcPr>
            <w:tcW w:w="0" w:type="dxa"/>
            <w:vAlign w:val="bottom"/>
          </w:tcPr>
          <w:p>
            <w:pPr>
              <w:spacing w:after="0"/>
              <w:rPr>
                <w:sz w:val="1"/>
                <w:szCs w:val="1"/>
                <w:color w:val="auto"/>
              </w:rPr>
            </w:pPr>
          </w:p>
        </w:tc>
      </w:tr>
      <w:tr>
        <w:trPr>
          <w:trHeight w:val="58"/>
        </w:trPr>
        <w:tc>
          <w:tcPr>
            <w:tcW w:w="6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Estimated cash flow available for distribution and reinvestment</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31,192</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6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43,827</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 paid in April 2020/2019</w:t>
            </w:r>
          </w:p>
        </w:tc>
        <w:tc>
          <w:tcPr>
            <w:tcW w:w="3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(21,564)</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(21,564)</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20"/>
              <w:spacing w:after="0"/>
              <w:rPr>
                <w:sz w:val="20"/>
                <w:szCs w:val="20"/>
                <w:color w:val="auto"/>
              </w:rPr>
            </w:pPr>
            <w:r>
              <w:rPr>
                <w:rFonts w:ascii="Arial" w:cs="Arial" w:eastAsia="Arial" w:hAnsi="Arial"/>
                <w:sz w:val="15"/>
                <w:szCs w:val="15"/>
                <w:color w:val="auto"/>
              </w:rPr>
              <w:t>Distribution paid in July 2020/2019</w:t>
            </w:r>
          </w:p>
        </w:tc>
        <w:tc>
          <w:tcPr>
            <w:tcW w:w="300" w:type="dxa"/>
            <w:vAlign w:val="bottom"/>
          </w:tcPr>
          <w:p>
            <w:pPr>
              <w:spacing w:after="0"/>
              <w:rPr>
                <w:sz w:val="18"/>
                <w:szCs w:val="18"/>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color w:val="auto"/>
              </w:rPr>
              <w:t>(23,364)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color w:val="auto"/>
              </w:rPr>
              <w:t>(21,564)</w:t>
            </w:r>
          </w:p>
        </w:tc>
        <w:tc>
          <w:tcPr>
            <w:tcW w:w="0" w:type="dxa"/>
            <w:vAlign w:val="bottom"/>
          </w:tcPr>
          <w:p>
            <w:pPr>
              <w:spacing w:after="0"/>
              <w:rPr>
                <w:sz w:val="1"/>
                <w:szCs w:val="1"/>
                <w:color w:val="auto"/>
              </w:rPr>
            </w:pPr>
          </w:p>
        </w:tc>
      </w:tr>
      <w:tr>
        <w:trPr>
          <w:trHeight w:val="58"/>
        </w:trPr>
        <w:tc>
          <w:tcPr>
            <w:tcW w:w="6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6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(44,928)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(43,128)</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91" w:right="339" w:bottom="1440" w:gutter="0" w:footer="0" w:header="0"/>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391" w:right="339" w:bottom="1440" w:gutter="0" w:footer="0" w:header="0"/>
          <w:type w:val="continuous"/>
        </w:sectPr>
      </w:pPr>
    </w:p>
    <w:bookmarkStart w:id="61" w:name="page62"/>
    <w:bookmarkEnd w:id="61"/>
    <w:p>
      <w:pPr>
        <w:ind w:left="420" w:hanging="250"/>
        <w:spacing w:after="0" w:line="218" w:lineRule="auto"/>
        <w:tabs>
          <w:tab w:leader="none" w:pos="352" w:val="left"/>
        </w:tabs>
        <w:numPr>
          <w:ilvl w:val="0"/>
          <w:numId w:val="29"/>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fees paid by newly acquired companies to the Manager for integration services performed during the first year of ownership, payable quarterly.</w:t>
      </w:r>
    </w:p>
    <w:p>
      <w:pPr>
        <w:spacing w:after="0" w:line="92" w:lineRule="exact"/>
        <w:rPr>
          <w:rFonts w:ascii="Arial" w:cs="Arial" w:eastAsia="Arial" w:hAnsi="Arial"/>
          <w:sz w:val="22"/>
          <w:szCs w:val="22"/>
          <w:b w:val="1"/>
          <w:bCs w:val="1"/>
          <w:color w:val="auto"/>
          <w:vertAlign w:val="superscript"/>
        </w:rPr>
      </w:pPr>
    </w:p>
    <w:p>
      <w:pPr>
        <w:ind w:left="340" w:hanging="170"/>
        <w:spacing w:after="0"/>
        <w:tabs>
          <w:tab w:leader="none" w:pos="340" w:val="left"/>
        </w:tabs>
        <w:numPr>
          <w:ilvl w:val="0"/>
          <w:numId w:val="29"/>
        </w:numPr>
        <w:rPr>
          <w:rFonts w:ascii="Arial" w:cs="Arial" w:eastAsia="Arial" w:hAnsi="Arial"/>
          <w:sz w:val="19"/>
          <w:szCs w:val="19"/>
          <w:b w:val="1"/>
          <w:bCs w:val="1"/>
          <w:color w:val="auto"/>
          <w:vertAlign w:val="superscript"/>
        </w:rPr>
      </w:pPr>
      <w:r>
        <w:rPr>
          <w:rFonts w:ascii="Arial" w:cs="Arial" w:eastAsia="Arial" w:hAnsi="Arial"/>
          <w:sz w:val="15"/>
          <w:szCs w:val="15"/>
          <w:color w:val="auto"/>
        </w:rPr>
        <w:t>Reflects the foreign currency transaction gain or loss resulting from the Canadian dollar intercompany loans issued to Manitoba Harvest.</w:t>
      </w:r>
    </w:p>
    <w:p>
      <w:pPr>
        <w:spacing w:after="0" w:line="210" w:lineRule="exact"/>
        <w:rPr>
          <w:rFonts w:ascii="Arial" w:cs="Arial" w:eastAsia="Arial" w:hAnsi="Arial"/>
          <w:sz w:val="19"/>
          <w:szCs w:val="19"/>
          <w:b w:val="1"/>
          <w:bCs w:val="1"/>
          <w:color w:val="auto"/>
          <w:vertAlign w:val="superscript"/>
        </w:rPr>
      </w:pPr>
    </w:p>
    <w:p>
      <w:pPr>
        <w:jc w:val="both"/>
        <w:ind w:left="420" w:hanging="250"/>
        <w:spacing w:after="0" w:line="221" w:lineRule="auto"/>
        <w:tabs>
          <w:tab w:leader="none" w:pos="420" w:val="left"/>
        </w:tabs>
        <w:numPr>
          <w:ilvl w:val="0"/>
          <w:numId w:val="29"/>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maintenance capital expenditures that were funded from operating cash flow, net of proceeds from the sale of property, plant and equipment, and excludes growth capital expenditures of approximately $5.6 million for the six months ended June 30, 2020 and $8.5 million for the six months ended June 30,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produce the highest net sales during our fiscal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We entered into the MSA with CGM effective May 16, 2006. The MSA provides for, among other things, CGM to perform services for the Company in exchange for a management fee paid quarterly and equal to 0.5% of the Company's adjusted net assets, as defined in the MSA. Concurrent with the June 2019 sale of Clean Earth (refer to </w:t>
      </w:r>
      <w:hyperlink w:anchor="page16">
        <w:r>
          <w:rPr>
            <w:rFonts w:ascii="Arial" w:cs="Arial" w:eastAsia="Arial" w:hAnsi="Arial"/>
            <w:sz w:val="18"/>
            <w:szCs w:val="18"/>
            <w:u w:val="single" w:color="auto"/>
            <w:color w:val="0000EE"/>
          </w:rPr>
          <w:t>Note C - Discontinued Operations</w:t>
        </w:r>
      </w:hyperlink>
      <w:r>
        <w:rPr>
          <w:rFonts w:ascii="Arial" w:cs="Arial" w:eastAsia="Arial" w:hAnsi="Arial"/>
          <w:sz w:val="18"/>
          <w:szCs w:val="18"/>
          <w:color w:val="auto"/>
        </w:rPr>
        <w:t>), CGM agreed to waive the management fee on cash balances held at the Company, commencing with the quarter ended June 30, 2019 and continuing until the quarter during which the Company next borrowed under the 2018 Revolving Credit Facility. In March 2020, as a proactive measure to provide the Company with additional cash liquidity in light of the COVID-19 pandemic, the Company elected to draw down $200 million on our 2018 Revolving Credit Facility. The Company and CGM entered into a waiver agreement whereby CGM agreed to waive the portion of the management fee attributable to the cash balances held at the Company as of March 31, 2020. In addition, as a result of an expected decline in earnings and cash flows in the second quarter of 2020, CGM agreed to waive 50% of the management fee calculated at June 30, 2020 that was paid in July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Integrations Services Agreements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Marucci Sports, which was acquired in April 2020, entered into an Integration Services Agreement ("ISA") with CGM. The ISA provides for CGM to provide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 CGM will receive integration service fees of $2.0 million payable quarterly over a twelve month period as services are rendered beginning in the quarter ended September 30, 2020. Foam Fabricators, which was acquired in 2018, entered into an ISA with CGM. Foam Fabricators paid CGM $2.3 million over the term of the ISA, with $2.0 million paid in 2018 and $0.3 million in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5.11 - Related Party Vendor Purchases</w:t>
      </w:r>
    </w:p>
    <w:p>
      <w:pPr>
        <w:spacing w:after="0" w:line="1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5.11 purchases inventory from a vendor who is a related party to 5.11 through one of the executive officers of 5.11 via the executive's 40% ownership interest in the vendor. During the three and six months ended June 30, 2020, 5.11 purchased approximately $1.0 million and $1.5 million, respectively, in inventory from the vendor.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 Allocation Payments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October 2019 represented the five-year anniversary of the Company's acquisition of Sterno, which qualified as a Holding Event under the Company's LLC Agreement (the "Sterno Holding Event"). During the first quarter of 2020, the Company declared and paid a distribution of $9.1 million to the Allocation Member related to the Sterno Holding Event. The ten-year anniversary of Liberty occurred in March 2020 which represented a Holding Event. The holders of the Allocation Interests elected to defer the distribution of $3.3 million until after the end of 2020.</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sales of Manitoba Harvest in February 2019 and Clean Earth in June 2019 each qualified as a Sale Event under the Company's LLC Agreement. During the second quarter of 2019, the Company declared and paid a distribution to the Allocation Member of $8.0 million related to the sale of Manitoba Harvest and working capital settlements from prior Sale Events. The profit allocation distribution was calculated based on the portion of the gain on sale related to the Closing Date Consideration, less the loss on sale of shares that were received as part of the Closing Consideration. During the third quarter of 2019, the Company declared and paid a distribution to the Allocation Member of $43.3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465" w:right="339" w:bottom="1440" w:gutter="0" w:footer="0" w:header="0"/>
        </w:sectPr>
      </w:pPr>
    </w:p>
    <w:bookmarkStart w:id="62" w:name="page63"/>
    <w:bookmarkEnd w:id="62"/>
    <w:p>
      <w:pPr>
        <w:jc w:val="both"/>
        <w:spacing w:after="0" w:line="256" w:lineRule="auto"/>
        <w:rPr>
          <w:sz w:val="20"/>
          <w:szCs w:val="20"/>
          <w:color w:val="auto"/>
        </w:rPr>
      </w:pPr>
      <w:r>
        <w:rPr>
          <w:rFonts w:ascii="Arial" w:cs="Arial" w:eastAsia="Arial" w:hAnsi="Arial"/>
          <w:sz w:val="18"/>
          <w:szCs w:val="18"/>
          <w:color w:val="auto"/>
        </w:rPr>
        <w:t>million related to the sale of Clean Earth. During the fourth quarter of 2019, the Company declared and paid a distribution to the Allocation Member of $ 9.1 million related to the Deferred Consideration from the Manitoba Harvest sale and the working capital settlement received from the sale of Clean Earth.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no special purpose entities or off-balance sheet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Long-term contractual obligations, except for our long-term debt obligations and operating lease liabilities, are generally not recognized in our consolidated balance sheet. Non-cancelable purchase obligations are obligations we incur during the normal course of business, based on projected needs.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payment schedule of our contractual obligations at June 30, 2020:</w:t>
      </w:r>
    </w:p>
    <w:p>
      <w:pPr>
        <w:sectPr>
          <w:pgSz w:w="11900" w:h="16838" w:orient="portrait"/>
          <w:cols w:equalWidth="0" w:num="1">
            <w:col w:w="11240"/>
          </w:cols>
          <w:pgMar w:left="320" w:top="463"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Long-term debt obligations </w:t>
      </w:r>
      <w:r>
        <w:rPr>
          <w:rFonts w:ascii="Arial" w:cs="Arial" w:eastAsia="Arial" w:hAnsi="Arial"/>
          <w:sz w:val="21"/>
          <w:szCs w:val="21"/>
          <w:color w:val="auto"/>
          <w:vertAlign w:val="superscript"/>
        </w:rPr>
        <w:t>(1)</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Operating lease obligations </w:t>
      </w:r>
      <w:r>
        <w:rPr>
          <w:rFonts w:ascii="Arial" w:cs="Arial" w:eastAsia="Arial" w:hAnsi="Arial"/>
          <w:sz w:val="20"/>
          <w:szCs w:val="20"/>
          <w:color w:val="auto"/>
          <w:vertAlign w:val="superscript"/>
        </w:rPr>
        <w:t>(2)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1"/>
          <w:szCs w:val="21"/>
          <w:color w:val="auto"/>
          <w:vertAlign w:val="superscript"/>
        </w:rPr>
        <w:t>(3)</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color w:val="auto"/>
              </w:rPr>
              <w:t>Less than 1</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61"/>
              <w:spacing w:after="0"/>
              <w:rPr>
                <w:sz w:val="20"/>
                <w:szCs w:val="20"/>
                <w:color w:val="auto"/>
              </w:rPr>
            </w:pPr>
            <w:r>
              <w:rPr>
                <w:rFonts w:ascii="Arial" w:cs="Arial" w:eastAsia="Arial" w:hAnsi="Arial"/>
                <w:sz w:val="15"/>
                <w:szCs w:val="15"/>
                <w:color w:val="auto"/>
              </w:rPr>
              <w:t>More than</w:t>
            </w:r>
          </w:p>
        </w:tc>
      </w:tr>
      <w:tr>
        <w:trPr>
          <w:trHeight w:val="188"/>
        </w:trPr>
        <w:tc>
          <w:tcPr>
            <w:tcW w:w="3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Arial" w:cs="Arial" w:eastAsia="Arial" w:hAnsi="Arial"/>
                <w:sz w:val="15"/>
                <w:szCs w:val="15"/>
                <w:color w:val="auto"/>
              </w:rPr>
              <w:t>Total</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color w:val="auto"/>
                <w:w w:val="94"/>
              </w:rPr>
              <w:t>Year</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color w:val="auto"/>
              </w:rPr>
              <w:t>1-3 Years</w:t>
            </w:r>
          </w:p>
        </w:tc>
        <w:tc>
          <w:tcPr>
            <w:tcW w:w="2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3-5 Years</w:t>
            </w:r>
          </w:p>
        </w:tc>
        <w:tc>
          <w:tcPr>
            <w:tcW w:w="240" w:type="dxa"/>
            <w:vAlign w:val="bottom"/>
          </w:tcPr>
          <w:p>
            <w:pPr>
              <w:spacing w:after="0"/>
              <w:rPr>
                <w:sz w:val="16"/>
                <w:szCs w:val="16"/>
                <w:color w:val="auto"/>
              </w:rPr>
            </w:pPr>
          </w:p>
        </w:tc>
        <w:tc>
          <w:tcPr>
            <w:tcW w:w="1120" w:type="dxa"/>
            <w:vAlign w:val="bottom"/>
          </w:tcPr>
          <w:p>
            <w:pPr>
              <w:jc w:val="right"/>
              <w:ind w:right="341"/>
              <w:spacing w:after="0"/>
              <w:rPr>
                <w:sz w:val="20"/>
                <w:szCs w:val="20"/>
                <w:color w:val="auto"/>
              </w:rPr>
            </w:pPr>
            <w:r>
              <w:rPr>
                <w:rFonts w:ascii="Arial" w:cs="Arial" w:eastAsia="Arial" w:hAnsi="Arial"/>
                <w:sz w:val="15"/>
                <w:szCs w:val="15"/>
                <w:color w:val="auto"/>
              </w:rPr>
              <w:t>5 Years</w:t>
            </w:r>
          </w:p>
        </w:tc>
      </w:tr>
      <w:tr>
        <w:trPr>
          <w:trHeight w:val="235"/>
        </w:trPr>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865,233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24,000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96,000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97,233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648,000</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135,708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12,318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50,306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30,629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42,455</w:t>
            </w:r>
          </w:p>
        </w:tc>
      </w:tr>
      <w:tr>
        <w:trPr>
          <w:trHeight w:val="283"/>
        </w:trPr>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792,019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217,523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287,324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287,172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1,792,960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253,841</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433,630</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415,034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690,455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-702310</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-359410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720"/>
            <w:col w:w="7180"/>
          </w:cols>
          <w:pgMar w:left="320" w:top="463" w:right="339" w:bottom="1440" w:gutter="0" w:footer="0" w:header="0"/>
          <w:type w:val="continuous"/>
        </w:sectPr>
      </w:pPr>
    </w:p>
    <w:p>
      <w:pPr>
        <w:spacing w:after="0" w:line="54"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22"/>
          <w:szCs w:val="22"/>
          <w:b w:val="1"/>
          <w:bCs w:val="1"/>
          <w:color w:val="auto"/>
          <w:vertAlign w:val="superscript"/>
        </w:rPr>
      </w:pPr>
      <w:r>
        <w:rPr>
          <w:rFonts w:ascii="Arial" w:cs="Arial" w:eastAsia="Arial" w:hAnsi="Arial"/>
          <w:sz w:val="16"/>
          <w:szCs w:val="16"/>
          <w:color w:val="auto"/>
        </w:rPr>
        <w:t>Reflects amounts due under our 2018 Credit Facility, as well as our Senior Notes, together with interest on our debt obligations.</w:t>
      </w:r>
    </w:p>
    <w:p>
      <w:pPr>
        <w:spacing w:after="0" w:line="48" w:lineRule="exact"/>
        <w:rPr>
          <w:rFonts w:ascii="Arial" w:cs="Arial" w:eastAsia="Arial" w:hAnsi="Arial"/>
          <w:sz w:val="22"/>
          <w:szCs w:val="22"/>
          <w:b w:val="1"/>
          <w:bCs w:val="1"/>
          <w:color w:val="auto"/>
          <w:vertAlign w:val="superscript"/>
        </w:rPr>
      </w:pPr>
    </w:p>
    <w:p>
      <w:pPr>
        <w:ind w:left="340" w:hanging="332"/>
        <w:spacing w:after="0" w:line="184" w:lineRule="auto"/>
        <w:tabs>
          <w:tab w:leader="none" w:pos="340" w:val="left"/>
        </w:tabs>
        <w:numPr>
          <w:ilvl w:val="0"/>
          <w:numId w:val="30"/>
        </w:numPr>
        <w:rPr>
          <w:rFonts w:ascii="Arial" w:cs="Arial" w:eastAsia="Arial" w:hAnsi="Arial"/>
          <w:sz w:val="22"/>
          <w:szCs w:val="22"/>
          <w:b w:val="1"/>
          <w:bCs w:val="1"/>
          <w:color w:val="auto"/>
          <w:vertAlign w:val="superscript"/>
        </w:rPr>
      </w:pPr>
      <w:r>
        <w:rPr>
          <w:rFonts w:ascii="Arial" w:cs="Arial" w:eastAsia="Arial" w:hAnsi="Arial"/>
          <w:sz w:val="16"/>
          <w:szCs w:val="16"/>
          <w:color w:val="auto"/>
        </w:rPr>
        <w:t>Reflects various operating leases for office space, manufacturing facilities and equipment from third parties with various lease terms.</w:t>
      </w:r>
    </w:p>
    <w:p>
      <w:pPr>
        <w:spacing w:after="0" w:line="49" w:lineRule="exact"/>
        <w:rPr>
          <w:rFonts w:ascii="Arial" w:cs="Arial" w:eastAsia="Arial" w:hAnsi="Arial"/>
          <w:sz w:val="22"/>
          <w:szCs w:val="22"/>
          <w:b w:val="1"/>
          <w:bCs w:val="1"/>
          <w:color w:val="auto"/>
          <w:vertAlign w:val="superscript"/>
        </w:rPr>
      </w:pPr>
    </w:p>
    <w:p>
      <w:pPr>
        <w:jc w:val="both"/>
        <w:ind w:left="340" w:hanging="332"/>
        <w:spacing w:after="0" w:line="227" w:lineRule="auto"/>
        <w:tabs>
          <w:tab w:leader="none" w:pos="340" w:val="left"/>
        </w:tabs>
        <w:numPr>
          <w:ilvl w:val="0"/>
          <w:numId w:val="30"/>
        </w:numPr>
        <w:rPr>
          <w:rFonts w:ascii="Arial" w:cs="Arial" w:eastAsia="Arial" w:hAnsi="Arial"/>
          <w:sz w:val="22"/>
          <w:szCs w:val="22"/>
          <w:b w:val="1"/>
          <w:bCs w:val="1"/>
          <w:color w:val="auto"/>
          <w:vertAlign w:val="superscript"/>
        </w:rPr>
      </w:pPr>
      <w:r>
        <w:rPr>
          <w:rFonts w:ascii="Arial" w:cs="Arial" w:eastAsia="Arial" w:hAnsi="Arial"/>
          <w:sz w:val="16"/>
          <w:szCs w:val="16"/>
          <w:color w:val="auto"/>
        </w:rPr>
        <w:t>Reflects non-cancelable commitments as of June 30, 2020, including: (i) shareholder distributions of $110.4 million; (ii) estimated management fees of $30.9 million per year over the next five years; and (iii) other obligations including amounts due under employment agreements. Distributions to our shareholders are approved by our board of directors each quarter. The amount ultimately approved as future quarterly distributions may differ from the amount included in this schedule.</w:t>
      </w:r>
    </w:p>
    <w:p>
      <w:pPr>
        <w:spacing w:after="0" w:line="48" w:lineRule="exact"/>
        <w:rPr>
          <w:rFonts w:ascii="Arial" w:cs="Arial" w:eastAsia="Arial" w:hAnsi="Arial"/>
          <w:sz w:val="22"/>
          <w:szCs w:val="22"/>
          <w:b w:val="1"/>
          <w:bCs w:val="1"/>
          <w:color w:val="auto"/>
          <w:vertAlign w:val="superscript"/>
        </w:rPr>
      </w:pPr>
    </w:p>
    <w:p>
      <w:pPr>
        <w:ind w:left="340" w:right="20" w:hanging="332"/>
        <w:spacing w:after="0" w:line="210" w:lineRule="auto"/>
        <w:tabs>
          <w:tab w:leader="none" w:pos="340" w:val="left"/>
        </w:tabs>
        <w:numPr>
          <w:ilvl w:val="0"/>
          <w:numId w:val="30"/>
        </w:numPr>
        <w:rPr>
          <w:rFonts w:ascii="Arial" w:cs="Arial" w:eastAsia="Arial" w:hAnsi="Arial"/>
          <w:sz w:val="22"/>
          <w:szCs w:val="22"/>
          <w:b w:val="1"/>
          <w:bCs w:val="1"/>
          <w:color w:val="auto"/>
          <w:vertAlign w:val="superscript"/>
        </w:rPr>
      </w:pPr>
      <w:r>
        <w:rPr>
          <w:rFonts w:ascii="Arial" w:cs="Arial" w:eastAsia="Arial" w:hAnsi="Arial"/>
          <w:sz w:val="16"/>
          <w:szCs w:val="16"/>
          <w:color w:val="auto"/>
        </w:rPr>
        <w:t>The contractual obligation table does not include approximately $1.1 million in liabilities associated with unrecognized tax benefits as of June 30, 2020 as the timing of the recognition of this liability is not certain. The amount of the liability is not expected to significantly change in the next twelve months.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our financial statements in conformity with GAAP requires management to adopt accounting policies and make estimates and judgments that affect the amounts reported in the financial statements and accompanying notes. Actual results could differ from these estimates under different assumptions and judgments and uncertainties, and potentially could result in materially different results under different conditions. These critical accounting policies and estimates are reviewed periodically by our independent auditors and the audit committee of our board of directors.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Except as set forth below, our critical accounting estimates have not changed materially from those disclosed in Management’s Discussion and Analysis of Financial Condition and Results of Operations included in our Annual Report on Form 10-K, for the year ended December 31, 2019, as filed with the Securities and Exchange Commission ("SEC") on February 26,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Indefinite-lived Intangible Asset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Goodwill represents the excess amount of the purchase price over the fair value of the assets acquired. Our goodwill and indefinite lived intangible assets are tested for impairment on an annual basis as of March 31</w:t>
      </w:r>
      <w:r>
        <w:rPr>
          <w:rFonts w:ascii="Arial" w:cs="Arial" w:eastAsia="Arial" w:hAnsi="Arial"/>
          <w:sz w:val="21"/>
          <w:szCs w:val="21"/>
          <w:color w:val="auto"/>
          <w:vertAlign w:val="superscript"/>
        </w:rPr>
        <w:t>st</w:t>
      </w:r>
      <w:r>
        <w:rPr>
          <w:rFonts w:ascii="Arial" w:cs="Arial" w:eastAsia="Arial" w:hAnsi="Arial"/>
          <w:sz w:val="18"/>
          <w:szCs w:val="18"/>
          <w:color w:val="auto"/>
        </w:rPr>
        <w:t>, and if current events or circumstances require, on an interim basis. Goodwill is allocated to various reporting units, which are generally an operating segment or one level below the operating segment. Each of our businesses represents a reporting unit.</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 a qualitative approach to test goodwill for impairment by first assessing qualitative factors to determine whether it is more-likely-than-not that the fair value of a reporting unit is greater than its carrying amount as a basis for determining whether it is necessary to perform the two-step goodwill impairment testing. The qualitative factors we consider include,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0"/>
          </w:cols>
          <w:pgMar w:left="320" w:top="463" w:right="339" w:bottom="1440" w:gutter="0" w:footer="0" w:header="0"/>
          <w:type w:val="continuous"/>
        </w:sectPr>
      </w:pPr>
    </w:p>
    <w:bookmarkStart w:id="63" w:name="page64"/>
    <w:bookmarkEnd w:id="63"/>
    <w:p>
      <w:pPr>
        <w:jc w:val="both"/>
        <w:spacing w:after="0" w:line="251" w:lineRule="auto"/>
        <w:rPr>
          <w:sz w:val="20"/>
          <w:szCs w:val="20"/>
          <w:color w:val="auto"/>
        </w:rPr>
      </w:pPr>
      <w:r>
        <w:rPr>
          <w:rFonts w:ascii="Arial" w:cs="Arial" w:eastAsia="Arial" w:hAnsi="Arial"/>
          <w:sz w:val="18"/>
          <w:szCs w:val="18"/>
          <w:color w:val="auto"/>
        </w:rPr>
        <w:t>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If qualitative factors are not sufficient to determine that the fair value of a reporting unit is more likely than not to exceed its carrying value, we will perform a quantitative test of the reporting unit whereby we estimate the fair value of the reporting unit using an income approach or market approach, or a weighting of the two methods. Under the income approach, we estimate the fair value of our reporting unit based on the present value of future cash flows. Cash flow projections are based on management's estimate of revenue growth rates and operating margins and take into consideration industry and market conditions as well as company specific economic factors. The discount rate used is based on the weighted average cost of capital adjusted for the relevant risk associated with the business and the uncertainty associated with the reporting unit's ability to execute on the projected cash flows. Under the market approach, we estimate fair value based on market multiples of revenue and earnings derived from comparable public companies with operating characteristics that are similar to the reporting unit. When market comparables are not meaningful or available, we estimate the fair value of the reporting unit using only the income approach.</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2020 Annual Impairment Testing - </w:t>
      </w:r>
      <w:r>
        <w:rPr>
          <w:rFonts w:ascii="Arial" w:cs="Arial" w:eastAsia="Arial" w:hAnsi="Arial"/>
          <w:sz w:val="18"/>
          <w:szCs w:val="18"/>
          <w:color w:val="auto"/>
        </w:rPr>
        <w:t>For our annual impairment testing at March 31, 2020, we performed a qualitative assessment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units. As part of our current year analysis, we have considered how we expect the COVID-19 pandemic to impact our future operating results and short and long-term financial condition. In addition to the typical qualitative factors we consider as part of the assessment, we went through a process with each of our reporting units whereby we considered various scenarios for the remainder of the year, probability weighted for what we consider the most likely outcome given existing facts and circumstances. This process included consideration of the reporting unit's industry and customers, including customer liquidity, operational capacity given local government restrictions imposed to prevent spread of the COVID-19 virus, supply chain constraints that may exist as a result of the virus and ability of the subsidiary to reduce cash outflows. The results of the qualitative analysis indicated that it was more-likely-than-not that the fair value of our 5.11, ACI, Arnold, Liberty and Sterno reporting units exceeded their carrying value. Based on our analysis, we determined that our Ergobaby, Foam Fabricators and Velocity operating segments required quantitative testing because we could not conclude that the fair value of these reporting units significantly exceeded the carrying value based on qualitative factors alone.</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performed the quantitative tests of Ergobaby, Foam Fabricators and Velocity using an income approach to determine the fair value of the reporting units. We were unable to use a market approach due to the current market conditions as a result of the COVID-19 pandemic resulting in significant volatility and lack of available market comparables. In developing the prospective financial information used in the income approach, we considered recent market conditions, taking into consideration the uncertainty associated with the COVID-19 pandemic and its economic fallout. The prospective financial information considers reporting unit specific facts and circumstances and is our best estimate of operational results and cash flows for each reporting unit as of the date of our impairment testing. For Ergobaby, the discount rate used in the income approach was 15.9% and the results of the quantitative impairment testing indicated that the fair value of the Ergobaby reporting unit exceeded the carrying value by 14.0%. For Foam Fabricators, the discount rate used in the income approach was 13.3%, and the results of the quantitative impairment testing indicated that the fair value of the Foam Fabricators reporting unit exceeded the carrying value by 3.8%. The impairment test for Velocity used a discount rate of 12.8% in the income approach, and the results of the quantitative impairment testing indicated that the fair value of the Velocity reporting unit exceeded the carrying value by 16.4%. The prospective financial information that is used to determine the fair values of the reporting units requires us to make assumptions regarding future operational results including revenue growth rates and gross margins. If we do not achieve the forecasted revenue growth rates and gross margins, the results of the quantitative testing could change, potentially leading to additional testing and impairment at the reporting units that were tested quantitatively.</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2019 Interim Impairment Testing - </w:t>
      </w:r>
      <w:r>
        <w:rPr>
          <w:rFonts w:ascii="Arial" w:cs="Arial" w:eastAsia="Arial" w:hAnsi="Arial"/>
          <w:sz w:val="18"/>
          <w:szCs w:val="18"/>
          <w:color w:val="auto"/>
        </w:rPr>
        <w:t>As a result of operating results below forecasts in the current period as well as a re-forecast of the Velocity</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 which planned earnings and revenue fell below the forecasts of prior periods, we determined that a triggering event had occurred at Velocity Outdoor in the third quarter of 2019. We performed goodwill impairment testing at Velocity as of September 30, 2019. For the quantitative impairment test at Velocity, we utilized an income approach. Cash flow projections are based on management's estimate of revenue growth rates and operating margins, and take into consideration industry and market conditions as well as company specific economic factors. We used a weighted average cost of capital of 12.2% in the income approach. The discount rate used was based on the weighted average cost of capital adjusted for the relevant risk associated with business specific characteristics and Velocity's ability to execute on the projected cash flows. Based on the results of the impairment test, the fair value of Velocity did not exceed the carrying value, indicating that the goodwill at Velocity is impaired. The difference between the carrying value and fair value of the Velocity business was $32.9 million, which the Company recorded as impairment expense during the year ended December 31, 2019.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40"/>
          </w:cols>
          <w:pgMar w:left="320" w:top="517" w:right="339" w:bottom="1440" w:gutter="0" w:footer="0" w:header="0"/>
        </w:sectPr>
      </w:pPr>
    </w:p>
    <w:bookmarkStart w:id="64" w:name="page65"/>
    <w:bookmarkEnd w:id="64"/>
    <w:p>
      <w:pPr>
        <w:jc w:val="both"/>
        <w:spacing w:after="0" w:line="256" w:lineRule="auto"/>
        <w:rPr>
          <w:sz w:val="20"/>
          <w:szCs w:val="20"/>
          <w:color w:val="auto"/>
        </w:rPr>
      </w:pPr>
      <w:r>
        <w:rPr>
          <w:rFonts w:ascii="Arial" w:cs="Arial" w:eastAsia="Arial" w:hAnsi="Arial"/>
          <w:sz w:val="18"/>
          <w:szCs w:val="18"/>
          <w:i w:val="1"/>
          <w:iCs w:val="1"/>
          <w:color w:val="auto"/>
        </w:rPr>
        <w:t xml:space="preserve">2019 Annual Impairment Testing </w:t>
      </w:r>
      <w:r>
        <w:rPr>
          <w:rFonts w:ascii="Arial" w:cs="Arial" w:eastAsia="Arial" w:hAnsi="Arial"/>
          <w:sz w:val="18"/>
          <w:szCs w:val="18"/>
          <w:color w:val="auto"/>
        </w:rPr>
        <w:t>- For our annual impairment testing at March 31, 2019, we determined that our Liberty operating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quantitative testing because we could not conclude that the fair value of Liberty significantly exceeded its carrying value based on qualitative factors alone. We concluded the goodwill impairment testing during the quarter ended June 30, 2019. The results of the quantitative impairment testing of the Liberty reporting unit indicated that the fair value of the Liberty reporting unit exceeded the carrying value by 135%. All of our other reporting units were tested qualitatively as of March 31, 2019, and the results of the qualitative analysis indicated that the fair value exceeded their carrying value.</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reporting units that were tested qualitatively for the 2019 annual impairment testing, the results of the qualitative analysis indicated that it was more-likely-than-not that the fair value exceeded their carrying value.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a qualitative approach to test indefinite 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Our indefinite-lived intangible assets consist of trade names with a carrying value of approximately $ 60.0 million. The results of the qualitative analysis of our reporting unit's indefinite-lived intangible assets, which we completed as of March 31, 2020 and 2019, indicated that the fair value of the indefinite lived intangible assets exceeded their carrying value. The Ergobaby and Liberty reporting units have indefinite lived trade names that were tested in conjunction with the goodwill impairment tests at March 31, 2020 and March 31, 2019, respectively. The results of the quantitative impairment testing indicated that the trade names were not impaired.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from Contracts with Customers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recognizes revenue in accordance with the provisions of Revenue from Contracts with Customers, or ASC 606. The revenue standard outlines a single comprehensive model for entities to use in accounting for revenue arising from contracts with customers and supersedes most current revenue recognition guidance, including industry-specific guidance. In addition, the standard requires disclosure of the amount, timing and uncertainty of cash flows arising from contracts with customers.</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Revenue is recognized when a customer obtains control of promised goods or services. The amount of revenue recognized reflects the consideration to which we expect to be entitled to receive in exchange for these goods or services, and excludes any sales incentives or taxes collected from customers which are subsequently remitted to government authorities. The Company’s contracts with customers often include promises to transfer multiple products to a customer. Determining whether the promises are considered distinct performance obligations that should be accounted for separately versus together may require significant judgment. Once the performance obligations are identified, the Company determines the transaction price, which includes estimating the amount of variable consideration to be included in the transaction price, if any. The Company then allocates the transaction price to each performance obligation in the contract based on a relative stand-alone selling price method. The corresponding revenues are recognized as the related performance obligations are satisfied as discussed above. Judgment is required to determine the standalone selling price for each distinct performance obligation. The Company determines standalone selling prices based on the price at which the performance obligation is sold separately and therefore observable.</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policy around estimating variable consideration related to sales incentives (early pay discounts, rights of return, rebates, chargebacks, and other discounts) included in certain customer contracts remains consistent with previous guidance. These incentives are recorded as a reduction in the transaction price. Under the revenue standard guidance, variable consideration is estimated and included in total consideration at contract inception based on either the expected value method or the most likely outcome method. The method was applied consistently among each type of variable consideration and the Company applies the expected value method to estimate variable consideration. These estimates are based on historical experience, anticipated performance and the Company’s best judgment at the time and as a result, reflect applicable constraints. The Company includes in the transaction price an amount of variable consideration estimated in accordance with the new guidance only to the extent that it is probable that a significant reversal in the amount of cumulative revenue recognized will not occur when the uncertainty associated with the variable consideration is subsequently resolved.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acquisitions of our businesses are accounted for under the acquisition method of accounting. Accounting for business combinations requires the use of estimates and assumptions in determining the fair value of assets acquired and liabilities assumed in order to allocate the purchase price. The estimates of fair value of the assets acquired and liabilities assumed are based upon assumptions believed to be reasonable using established valuation methods, taking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499" w:right="339" w:bottom="1440" w:gutter="0" w:footer="0" w:header="0"/>
        </w:sectPr>
      </w:pPr>
    </w:p>
    <w:bookmarkStart w:id="65" w:name="page66"/>
    <w:bookmarkEnd w:id="65"/>
    <w:p>
      <w:pPr>
        <w:jc w:val="both"/>
        <w:spacing w:after="0" w:line="252" w:lineRule="auto"/>
        <w:rPr>
          <w:sz w:val="20"/>
          <w:szCs w:val="20"/>
          <w:color w:val="auto"/>
        </w:rPr>
      </w:pPr>
      <w:r>
        <w:rPr>
          <w:rFonts w:ascii="Arial" w:cs="Arial" w:eastAsia="Arial" w:hAnsi="Arial"/>
          <w:sz w:val="18"/>
          <w:szCs w:val="18"/>
          <w:color w:val="auto"/>
        </w:rPr>
        <w:t>into consideration information supplied by the management of the acquired entities and other relevant information. The determination of fair values requires significant judgment both by our management team and, when appropriate, valuations by independent third-party appraisers. We amortize intangible assets, such as trademarks and customer relationships, as well as property, plant and equipment, over their economic useful lives, unless those lives are indefinite. We consider factors such as historical information, our plans for the asset and similar assets held by our previously acquired portfolio companies. The impact could result in either higher or lower amortization and/or depreciation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2">
        <w:r>
          <w:rPr>
            <w:rFonts w:ascii="Arial" w:cs="Arial" w:eastAsia="Arial" w:hAnsi="Arial"/>
            <w:sz w:val="18"/>
            <w:szCs w:val="18"/>
            <w:u w:val="single" w:color="auto"/>
            <w:color w:val="0000EE"/>
          </w:rPr>
          <w:t>Note A - "Presentation and Principles of Consolidation"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consolidated financial statements for a discussion of recent accounting pronouncements.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our market risk since December 31, 2019. For a further discussion of our exposure to market risk, refer to the section entitled "Quantitative and Qualitative Disclosures about Market Risk" that was disclosed in Part II, Item 7A of our Annual Report on Form 10-K for the year ended December 31, 2019, as filed with the SEC on February 26,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required by Securities Exchange Act of 1934, as amended (the "Exchange Act") Rule 13a-15(b), Holdings’ Regular Trustees and the Company’s management, including the Chief Executive Officer and Chief Financial Officer of the Company, conducted an evaluation of the effectiveness of Holdings’ and the Company’s disclosure controls and procedures (as defined in Exchange Act Rules 13a-15(e) and 15d-15(e)), as of June 30, 2020. Based on that evaluation, the Holdings’ Regular Trustees and the Chief Executive Officer and Chief Financial Officer of the Company concluded that Holdings’ and the Company’s disclosure controls and procedures were effective as of June 30, 2020.</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Exchange Act Rules 13a-15(f) and 15d-15(f)) during our most recently completed fiscal quarter, that have materially affected, or are reasonably likely to materially affect, our internal control over financial reporting.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40"/>
          </w:cols>
          <w:pgMar w:left="320" w:top="463" w:right="3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those legal proceedings associated with the Company’s and Holdings’ business together with legal proceedings for the businesses discussed in the section entitled "Legal Proceedings" that was disclosed in Part I, Item 3 of our Annual Report on Form 10-K for the year ended December 31, 2019, as filed with the SEC on February 26,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risk factors disclosed in our Annual Report on Form 10-K for the fiscal year ended December 31, 2019 and updated in our Quarterly Report on Form 10-Q for the quarter ended March 31, 2020 should be considered together with information included in this Quarterly Report on Form 10-Q for the quarter ended June 30, 2020 and should not be considered the only risks to which we are exposed. Additional risks and uncertainties not currently known to us or that we currently believe are immaterial also may impair our business, including our results of operations, liquidity and financial condition. We believe there have been no material changes from the risk factors previously disclosed in our Annual Report on Form 10-K for the fiscal year ended December 31, 2019, as updated by our Quarterly Report on Form 10-Q for the quarter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40"/>
          </w:cols>
          <w:pgMar w:left="320" w:top="333" w:right="339" w:bottom="1440" w:gutter="0" w:footer="0" w:header="0"/>
        </w:sectPr>
      </w:pPr>
    </w:p>
    <w:bookmarkStart w:id="67" w:name="page68"/>
    <w:bookmarkEnd w:id="67"/>
    <w:p>
      <w:pPr>
        <w:ind w:left="5"/>
        <w:spacing w:after="0"/>
        <w:rPr>
          <w:sz w:val="20"/>
          <w:szCs w:val="20"/>
          <w:color w:val="auto"/>
        </w:rPr>
      </w:pPr>
      <w:r>
        <w:rPr>
          <w:rFonts w:ascii="Arial" w:cs="Arial" w:eastAsia="Arial" w:hAnsi="Arial"/>
          <w:sz w:val="17"/>
          <w:szCs w:val="17"/>
          <w:b w:val="1"/>
          <w:bCs w:val="1"/>
          <w:color w:val="auto"/>
        </w:rPr>
        <w:t>ITEM 6. EXHIBITS</w:t>
      </w:r>
    </w:p>
    <w:p>
      <w:pPr>
        <w:spacing w:after="0" w:line="268"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Exhibit Number</w:t>
            </w:r>
          </w:p>
        </w:tc>
        <w:tc>
          <w:tcPr>
            <w:tcW w:w="1220" w:type="dxa"/>
            <w:vAlign w:val="bottom"/>
          </w:tcPr>
          <w:p>
            <w:pPr>
              <w:spacing w:after="0"/>
              <w:rPr>
                <w:sz w:val="16"/>
                <w:szCs w:val="16"/>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Description</w:t>
            </w:r>
          </w:p>
        </w:tc>
        <w:tc>
          <w:tcPr>
            <w:tcW w:w="71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447"/>
        </w:trPr>
        <w:tc>
          <w:tcPr>
            <w:tcW w:w="1200" w:type="dxa"/>
            <w:vAlign w:val="bottom"/>
          </w:tcPr>
          <w:p>
            <w:pPr>
              <w:ind w:left="140"/>
              <w:spacing w:after="0"/>
              <w:rPr>
                <w:sz w:val="20"/>
                <w:szCs w:val="20"/>
                <w:color w:val="auto"/>
              </w:rPr>
            </w:pPr>
            <w:r>
              <w:rPr>
                <w:rFonts w:ascii="Arial" w:cs="Arial" w:eastAsia="Arial" w:hAnsi="Arial"/>
                <w:sz w:val="16"/>
                <w:szCs w:val="16"/>
                <w:color w:val="auto"/>
              </w:rPr>
              <w:t>31.1*</w:t>
            </w:r>
          </w:p>
        </w:tc>
        <w:tc>
          <w:tcPr>
            <w:tcW w:w="1220" w:type="dxa"/>
            <w:vAlign w:val="bottom"/>
          </w:tcPr>
          <w:p>
            <w:pPr>
              <w:spacing w:after="0"/>
              <w:rPr>
                <w:sz w:val="24"/>
                <w:szCs w:val="24"/>
                <w:color w:val="auto"/>
              </w:rPr>
            </w:pPr>
          </w:p>
        </w:tc>
        <w:tc>
          <w:tcPr>
            <w:tcW w:w="8080" w:type="dxa"/>
            <w:vAlign w:val="bottom"/>
            <w:gridSpan w:val="5"/>
          </w:tcPr>
          <w:p>
            <w:pPr>
              <w:spacing w:after="0"/>
              <w:rPr>
                <w:rFonts w:ascii="Arial" w:cs="Arial" w:eastAsia="Arial" w:hAnsi="Arial"/>
                <w:sz w:val="16"/>
                <w:szCs w:val="16"/>
                <w:u w:val="single" w:color="auto"/>
                <w:color w:val="0000FF"/>
              </w:rPr>
            </w:pPr>
            <w:hyperlink w:anchor="page71">
              <w:r>
                <w:rPr>
                  <w:rFonts w:ascii="Arial" w:cs="Arial" w:eastAsia="Arial" w:hAnsi="Arial"/>
                  <w:sz w:val="16"/>
                  <w:szCs w:val="16"/>
                  <w:u w:val="single" w:color="auto"/>
                  <w:color w:val="0000FF"/>
                </w:rPr>
                <w:t>Rule 13a-14(a)/15d-14(a) Certification of Chief Executive Officer of Registrant</w:t>
              </w:r>
            </w:hyperlink>
          </w:p>
        </w:tc>
        <w:tc>
          <w:tcPr>
            <w:tcW w:w="0" w:type="dxa"/>
            <w:vAlign w:val="bottom"/>
          </w:tcPr>
          <w:p>
            <w:pPr>
              <w:spacing w:after="0"/>
              <w:rPr>
                <w:sz w:val="1"/>
                <w:szCs w:val="1"/>
                <w:color w:val="auto"/>
              </w:rPr>
            </w:pPr>
          </w:p>
        </w:tc>
      </w:tr>
      <w:tr>
        <w:trPr>
          <w:trHeight w:val="473"/>
        </w:trPr>
        <w:tc>
          <w:tcPr>
            <w:tcW w:w="1200" w:type="dxa"/>
            <w:vAlign w:val="bottom"/>
          </w:tcPr>
          <w:p>
            <w:pPr>
              <w:ind w:left="140"/>
              <w:spacing w:after="0"/>
              <w:rPr>
                <w:sz w:val="20"/>
                <w:szCs w:val="20"/>
                <w:color w:val="auto"/>
              </w:rPr>
            </w:pPr>
            <w:r>
              <w:rPr>
                <w:rFonts w:ascii="Arial" w:cs="Arial" w:eastAsia="Arial" w:hAnsi="Arial"/>
                <w:sz w:val="16"/>
                <w:szCs w:val="16"/>
                <w:color w:val="auto"/>
              </w:rPr>
              <w:t>31.2*</w:t>
            </w:r>
          </w:p>
        </w:tc>
        <w:tc>
          <w:tcPr>
            <w:tcW w:w="1220" w:type="dxa"/>
            <w:vAlign w:val="bottom"/>
          </w:tcPr>
          <w:p>
            <w:pPr>
              <w:spacing w:after="0"/>
              <w:rPr>
                <w:sz w:val="24"/>
                <w:szCs w:val="24"/>
                <w:color w:val="auto"/>
              </w:rPr>
            </w:pPr>
          </w:p>
        </w:tc>
        <w:tc>
          <w:tcPr>
            <w:tcW w:w="8080" w:type="dxa"/>
            <w:vAlign w:val="bottom"/>
            <w:gridSpan w:val="5"/>
          </w:tcPr>
          <w:p>
            <w:pPr>
              <w:spacing w:after="0"/>
              <w:rPr>
                <w:rFonts w:ascii="Arial" w:cs="Arial" w:eastAsia="Arial" w:hAnsi="Arial"/>
                <w:sz w:val="16"/>
                <w:szCs w:val="16"/>
                <w:u w:val="single" w:color="auto"/>
                <w:color w:val="0000FF"/>
              </w:rPr>
            </w:pPr>
            <w:hyperlink w:anchor="page72">
              <w:r>
                <w:rPr>
                  <w:rFonts w:ascii="Arial" w:cs="Arial" w:eastAsia="Arial" w:hAnsi="Arial"/>
                  <w:sz w:val="16"/>
                  <w:szCs w:val="16"/>
                  <w:u w:val="single" w:color="auto"/>
                  <w:color w:val="0000FF"/>
                </w:rPr>
                <w:t>Rule 13a-14(a)/15d-14(a) Certification of Chief Financial Officer of Registrant</w:t>
              </w:r>
            </w:hyperlink>
          </w:p>
        </w:tc>
        <w:tc>
          <w:tcPr>
            <w:tcW w:w="0" w:type="dxa"/>
            <w:vAlign w:val="bottom"/>
          </w:tcPr>
          <w:p>
            <w:pPr>
              <w:spacing w:after="0"/>
              <w:rPr>
                <w:sz w:val="1"/>
                <w:szCs w:val="1"/>
                <w:color w:val="auto"/>
              </w:rPr>
            </w:pPr>
          </w:p>
        </w:tc>
      </w:tr>
      <w:tr>
        <w:trPr>
          <w:trHeight w:val="438"/>
        </w:trPr>
        <w:tc>
          <w:tcPr>
            <w:tcW w:w="1200" w:type="dxa"/>
            <w:vAlign w:val="bottom"/>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1220" w:type="dxa"/>
            <w:vAlign w:val="bottom"/>
          </w:tcPr>
          <w:p>
            <w:pPr>
              <w:spacing w:after="0"/>
              <w:rPr>
                <w:sz w:val="24"/>
                <w:szCs w:val="24"/>
                <w:color w:val="auto"/>
              </w:rPr>
            </w:pPr>
          </w:p>
        </w:tc>
        <w:tc>
          <w:tcPr>
            <w:tcW w:w="8040" w:type="dxa"/>
            <w:vAlign w:val="bottom"/>
            <w:tcBorders>
              <w:bottom w:val="single" w:sz="8" w:color="0000FF"/>
            </w:tcBorders>
            <w:gridSpan w:val="4"/>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Certification of Chief Executive Officer of Registrant pursuant to 18 U.S.C. Section 1350, as adopted pursuant to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80" w:type="dxa"/>
            <w:vAlign w:val="bottom"/>
            <w:gridSpan w:val="5"/>
          </w:tcPr>
          <w:p>
            <w:pPr>
              <w:spacing w:after="0" w:line="169" w:lineRule="exact"/>
              <w:rPr>
                <w:rFonts w:ascii="Arial" w:cs="Arial" w:eastAsia="Arial" w:hAnsi="Arial"/>
                <w:sz w:val="16"/>
                <w:szCs w:val="16"/>
                <w:color w:val="0000FF"/>
              </w:rPr>
            </w:pPr>
            <w:hyperlink w:anchor="page73">
              <w:r>
                <w:rPr>
                  <w:rFonts w:ascii="Arial" w:cs="Arial" w:eastAsia="Arial" w:hAnsi="Arial"/>
                  <w:sz w:val="16"/>
                  <w:szCs w:val="16"/>
                  <w:color w:val="0000FF"/>
                </w:rPr>
                <w:t>Section 906 of the Sarbanes-Oxley Act of 2002</w:t>
              </w:r>
            </w:hyperlink>
          </w:p>
        </w:tc>
        <w:tc>
          <w:tcPr>
            <w:tcW w:w="0" w:type="dxa"/>
            <w:vAlign w:val="bottom"/>
          </w:tcPr>
          <w:p>
            <w:pPr>
              <w:spacing w:after="0"/>
              <w:rPr>
                <w:sz w:val="1"/>
                <w:szCs w:val="1"/>
                <w:color w:val="auto"/>
              </w:rPr>
            </w:pPr>
          </w:p>
        </w:tc>
      </w:tr>
      <w:tr>
        <w:trPr>
          <w:trHeight w:val="20"/>
        </w:trPr>
        <w:tc>
          <w:tcPr>
            <w:tcW w:w="1200" w:type="dxa"/>
            <w:vAlign w:val="bottom"/>
            <w:vMerge w:val="restart"/>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122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8080" w:type="dxa"/>
            <w:vAlign w:val="bottom"/>
            <w:gridSpan w:val="5"/>
          </w:tcPr>
          <w:p>
            <w:pPr>
              <w:spacing w:after="0"/>
              <w:rPr>
                <w:rFonts w:ascii="Arial" w:cs="Arial" w:eastAsia="Arial" w:hAnsi="Arial"/>
                <w:sz w:val="16"/>
                <w:szCs w:val="16"/>
                <w:color w:val="0000FF"/>
              </w:rPr>
            </w:pPr>
            <w:hyperlink w:anchor="page74">
              <w:r>
                <w:rPr>
                  <w:rFonts w:ascii="Arial" w:cs="Arial" w:eastAsia="Arial" w:hAnsi="Arial"/>
                  <w:sz w:val="16"/>
                  <w:szCs w:val="16"/>
                  <w:color w:val="0000FF"/>
                </w:rPr>
                <w:t>Certification of Chief Financial Officer of Registrant pursuant to 18 U.S.C. Section 1350, as adopted pursuant to</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980" w:type="dxa"/>
            <w:vAlign w:val="bottom"/>
            <w:tcBorders>
              <w:top w:val="single" w:sz="8" w:color="0000FF"/>
            </w:tcBorders>
            <w:gridSpan w:val="3"/>
          </w:tcPr>
          <w:p>
            <w:pPr>
              <w:spacing w:after="0" w:line="169" w:lineRule="exact"/>
              <w:rPr>
                <w:rFonts w:ascii="Arial" w:cs="Arial" w:eastAsia="Arial" w:hAnsi="Arial"/>
                <w:sz w:val="16"/>
                <w:szCs w:val="16"/>
                <w:color w:val="0000FF"/>
              </w:rPr>
            </w:pPr>
            <w:hyperlink w:anchor="page74">
              <w:r>
                <w:rPr>
                  <w:rFonts w:ascii="Arial" w:cs="Arial" w:eastAsia="Arial" w:hAnsi="Arial"/>
                  <w:sz w:val="16"/>
                  <w:szCs w:val="16"/>
                  <w:color w:val="0000FF"/>
                </w:rPr>
                <w:t>Section 906 of the Sarbanes-Oxley Act of 2002</w:t>
              </w:r>
            </w:hyperlink>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242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080" w:type="dxa"/>
            <w:vAlign w:val="bottom"/>
            <w:gridSpan w:val="5"/>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80" w:type="dxa"/>
            <w:vAlign w:val="bottom"/>
            <w:gridSpan w:val="5"/>
          </w:tcPr>
          <w:p>
            <w:pPr>
              <w:spacing w:after="0"/>
              <w:rPr>
                <w:sz w:val="20"/>
                <w:szCs w:val="20"/>
                <w:color w:val="auto"/>
              </w:rPr>
            </w:pPr>
            <w:r>
              <w:rPr>
                <w:rFonts w:ascii="Arial" w:cs="Arial" w:eastAsia="Arial" w:hAnsi="Arial"/>
                <w:sz w:val="16"/>
                <w:szCs w:val="16"/>
                <w:color w:val="auto"/>
              </w:rPr>
              <w:t>XBRL tags are embedded within the Inline XBRL document.</w:t>
            </w:r>
          </w:p>
        </w:tc>
        <w:tc>
          <w:tcPr>
            <w:tcW w:w="0" w:type="dxa"/>
            <w:vAlign w:val="bottom"/>
          </w:tcPr>
          <w:p>
            <w:pPr>
              <w:spacing w:after="0"/>
              <w:rPr>
                <w:sz w:val="1"/>
                <w:szCs w:val="1"/>
                <w:color w:val="auto"/>
              </w:rPr>
            </w:pPr>
          </w:p>
        </w:tc>
      </w:tr>
      <w:tr>
        <w:trPr>
          <w:trHeight w:val="567"/>
        </w:trPr>
        <w:tc>
          <w:tcPr>
            <w:tcW w:w="242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08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567"/>
        </w:trPr>
        <w:tc>
          <w:tcPr>
            <w:tcW w:w="242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080" w:type="dxa"/>
            <w:vAlign w:val="bottom"/>
            <w:gridSpan w:val="5"/>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567"/>
        </w:trPr>
        <w:tc>
          <w:tcPr>
            <w:tcW w:w="242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08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567"/>
        </w:trPr>
        <w:tc>
          <w:tcPr>
            <w:tcW w:w="242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080" w:type="dxa"/>
            <w:vAlign w:val="bottom"/>
            <w:gridSpan w:val="5"/>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567"/>
        </w:trPr>
        <w:tc>
          <w:tcPr>
            <w:tcW w:w="242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08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567"/>
        </w:trPr>
        <w:tc>
          <w:tcPr>
            <w:tcW w:w="1200" w:type="dxa"/>
            <w:vAlign w:val="bottom"/>
          </w:tcPr>
          <w:p>
            <w:pPr>
              <w:spacing w:after="0"/>
              <w:rPr>
                <w:sz w:val="20"/>
                <w:szCs w:val="20"/>
                <w:color w:val="auto"/>
              </w:rPr>
            </w:pPr>
            <w:r>
              <w:rPr>
                <w:rFonts w:ascii="Arial" w:cs="Arial" w:eastAsia="Arial" w:hAnsi="Arial"/>
                <w:sz w:val="16"/>
                <w:szCs w:val="16"/>
                <w:color w:val="auto"/>
              </w:rPr>
              <w:t>104</w:t>
            </w:r>
          </w:p>
        </w:tc>
        <w:tc>
          <w:tcPr>
            <w:tcW w:w="1220" w:type="dxa"/>
            <w:vAlign w:val="bottom"/>
          </w:tcPr>
          <w:p>
            <w:pPr>
              <w:spacing w:after="0"/>
              <w:rPr>
                <w:sz w:val="24"/>
                <w:szCs w:val="24"/>
                <w:color w:val="auto"/>
              </w:rPr>
            </w:pPr>
          </w:p>
        </w:tc>
        <w:tc>
          <w:tcPr>
            <w:tcW w:w="8080" w:type="dxa"/>
            <w:vAlign w:val="bottom"/>
            <w:gridSpan w:val="5"/>
          </w:tcPr>
          <w:p>
            <w:pPr>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425" w:hanging="1425"/>
        <w:spacing w:after="0"/>
        <w:tabs>
          <w:tab w:leader="none" w:pos="1425"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81" w:lineRule="exact"/>
        <w:rPr>
          <w:sz w:val="20"/>
          <w:szCs w:val="20"/>
          <w:color w:val="auto"/>
        </w:rPr>
      </w:pPr>
    </w:p>
    <w:p>
      <w:pPr>
        <w:jc w:val="both"/>
        <w:ind w:left="1425" w:hanging="1425"/>
        <w:spacing w:after="0" w:line="251" w:lineRule="auto"/>
        <w:tabs>
          <w:tab w:leader="none" w:pos="142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29" w:lineRule="exact"/>
        <w:rPr>
          <w:sz w:val="20"/>
          <w:szCs w:val="20"/>
          <w:color w:val="auto"/>
        </w:rPr>
      </w:pPr>
    </w:p>
    <w:p>
      <w:pPr>
        <w:jc w:val="center"/>
        <w:ind w:right="-244"/>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0925"/>
          </w:cols>
          <w:pgMar w:left="355" w:top="491" w:right="61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65"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COMPASS DIVERSIFIED HOLDINGS</w:t>
      </w:r>
    </w:p>
    <w:p>
      <w:pPr>
        <w:spacing w:after="0" w:line="200" w:lineRule="exact"/>
        <w:rPr>
          <w:sz w:val="20"/>
          <w:szCs w:val="20"/>
          <w:color w:val="auto"/>
        </w:rPr>
      </w:pPr>
    </w:p>
    <w:p>
      <w:pPr>
        <w:spacing w:after="0" w:line="210" w:lineRule="exact"/>
        <w:rPr>
          <w:sz w:val="20"/>
          <w:szCs w:val="20"/>
          <w:color w:val="auto"/>
        </w:rPr>
      </w:pPr>
    </w:p>
    <w:tbl>
      <w:tblPr>
        <w:tblLayout w:type="fixed"/>
        <w:tblInd w:w="6120" w:type="dxa"/>
        <w:tblCellMar>
          <w:top w:w="0" w:type="dxa"/>
          <w:left w:w="0" w:type="dxa"/>
          <w:bottom w:w="0" w:type="dxa"/>
          <w:right w:w="0" w:type="dxa"/>
        </w:tblCellMar>
      </w:tblPr>
      <w:tr>
        <w:trPr>
          <w:trHeight w:val="195"/>
        </w:trPr>
        <w:tc>
          <w:tcPr>
            <w:tcW w:w="980" w:type="dxa"/>
            <w:vAlign w:val="bottom"/>
          </w:tcPr>
          <w:p>
            <w:pPr>
              <w:spacing w:after="0"/>
              <w:rPr>
                <w:sz w:val="20"/>
                <w:szCs w:val="20"/>
                <w:color w:val="auto"/>
              </w:rPr>
            </w:pPr>
            <w:r>
              <w:rPr>
                <w:rFonts w:ascii="Arial" w:cs="Arial" w:eastAsia="Arial" w:hAnsi="Arial"/>
                <w:sz w:val="16"/>
                <w:szCs w:val="16"/>
                <w:color w:val="auto"/>
              </w:rPr>
              <w:t>By:</w:t>
            </w:r>
          </w:p>
        </w:tc>
        <w:tc>
          <w:tcPr>
            <w:tcW w:w="4140" w:type="dxa"/>
            <w:vAlign w:val="bottom"/>
          </w:tcPr>
          <w:p>
            <w:pPr>
              <w:ind w:left="20"/>
              <w:spacing w:after="0"/>
              <w:rPr>
                <w:sz w:val="20"/>
                <w:szCs w:val="20"/>
                <w:color w:val="auto"/>
              </w:rPr>
            </w:pPr>
            <w:r>
              <w:rPr>
                <w:rFonts w:ascii="Arial" w:cs="Arial" w:eastAsia="Arial" w:hAnsi="Arial"/>
                <w:sz w:val="16"/>
                <w:szCs w:val="16"/>
                <w:color w:val="auto"/>
              </w:rPr>
              <w:t>/s/ Ryan J. Faulkingham</w:t>
            </w:r>
          </w:p>
        </w:tc>
      </w:tr>
      <w:tr>
        <w:trPr>
          <w:trHeight w:val="46"/>
        </w:trPr>
        <w:tc>
          <w:tcPr>
            <w:tcW w:w="98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r>
      <w:tr>
        <w:trPr>
          <w:trHeight w:val="231"/>
        </w:trPr>
        <w:tc>
          <w:tcPr>
            <w:tcW w:w="9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6"/>
                <w:szCs w:val="16"/>
                <w:color w:val="auto"/>
              </w:rPr>
              <w:t>Ryan J. Faulkingham</w:t>
            </w:r>
          </w:p>
        </w:tc>
      </w:tr>
      <w:tr>
        <w:trPr>
          <w:trHeight w:val="270"/>
        </w:trPr>
        <w:tc>
          <w:tcPr>
            <w:tcW w:w="980" w:type="dxa"/>
            <w:vAlign w:val="bottom"/>
          </w:tcPr>
          <w:p>
            <w:pPr>
              <w:spacing w:after="0"/>
              <w:rPr>
                <w:sz w:val="23"/>
                <w:szCs w:val="23"/>
                <w:color w:val="auto"/>
              </w:rPr>
            </w:pPr>
          </w:p>
        </w:tc>
        <w:tc>
          <w:tcPr>
            <w:tcW w:w="4140" w:type="dxa"/>
            <w:vAlign w:val="bottom"/>
          </w:tcPr>
          <w:p>
            <w:pPr>
              <w:ind w:left="20"/>
              <w:spacing w:after="0"/>
              <w:rPr>
                <w:sz w:val="20"/>
                <w:szCs w:val="20"/>
                <w:color w:val="auto"/>
              </w:rPr>
            </w:pPr>
            <w:r>
              <w:rPr>
                <w:rFonts w:ascii="Arial" w:cs="Arial" w:eastAsia="Arial" w:hAnsi="Arial"/>
                <w:sz w:val="16"/>
                <w:szCs w:val="16"/>
                <w:i w:val="1"/>
                <w:iCs w:val="1"/>
                <w:color w:val="auto"/>
              </w:rPr>
              <w:t>Regular Trustee</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65"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COMPASS GROUP DIVERSIFIED HOLDINGS LLC</w:t>
      </w:r>
    </w:p>
    <w:p>
      <w:pPr>
        <w:spacing w:after="0" w:line="200" w:lineRule="exact"/>
        <w:rPr>
          <w:sz w:val="20"/>
          <w:szCs w:val="20"/>
          <w:color w:val="auto"/>
        </w:rPr>
      </w:pPr>
    </w:p>
    <w:p>
      <w:pPr>
        <w:spacing w:after="0" w:line="210" w:lineRule="exact"/>
        <w:rPr>
          <w:sz w:val="20"/>
          <w:szCs w:val="20"/>
          <w:color w:val="auto"/>
        </w:rPr>
      </w:pPr>
    </w:p>
    <w:p>
      <w:pPr>
        <w:ind w:left="6120"/>
        <w:spacing w:after="0"/>
        <w:tabs>
          <w:tab w:leader="none" w:pos="71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36195</wp:posOffset>
            </wp:positionV>
            <wp:extent cx="2631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93"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Ryan J. Faulkingham</w:t>
      </w:r>
    </w:p>
    <w:p>
      <w:pPr>
        <w:spacing w:after="0" w:line="43"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Chief Financial Officer</w:t>
      </w:r>
    </w:p>
    <w:p>
      <w:pPr>
        <w:spacing w:after="0" w:line="21"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2020</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40"/>
          </w:cols>
          <w:pgMar w:left="320" w:top="333" w:right="339" w:bottom="1440" w:gutter="0" w:footer="0" w:header="0"/>
        </w:sectPr>
      </w:pPr>
    </w:p>
    <w:bookmarkStart w:id="69" w:name="page70"/>
    <w:bookmarkEnd w:id="69"/>
    <w:tbl>
      <w:tblPr>
        <w:tblLayout w:type="fixed"/>
        <w:tblInd w:w="5" w:type="dxa"/>
        <w:tblCellMar>
          <w:top w:w="0" w:type="dxa"/>
          <w:left w:w="0" w:type="dxa"/>
          <w:bottom w:w="0" w:type="dxa"/>
          <w:right w:w="0" w:type="dxa"/>
        </w:tblCellMar>
      </w:tblPr>
      <w:tr>
        <w:trPr>
          <w:trHeight w:val="225"/>
        </w:trPr>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60" w:type="dxa"/>
            <w:vAlign w:val="bottom"/>
            <w:gridSpan w:val="4"/>
          </w:tcPr>
          <w:p>
            <w:pPr>
              <w:ind w:left="178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55"/>
        </w:trPr>
        <w:tc>
          <w:tcPr>
            <w:tcW w:w="1200" w:type="dxa"/>
            <w:vAlign w:val="bottom"/>
          </w:tcPr>
          <w:p>
            <w:pPr>
              <w:spacing w:after="0"/>
              <w:rPr>
                <w:sz w:val="20"/>
                <w:szCs w:val="20"/>
                <w:color w:val="auto"/>
              </w:rPr>
            </w:pPr>
            <w:r>
              <w:rPr>
                <w:rFonts w:ascii="Arial" w:cs="Arial" w:eastAsia="Arial" w:hAnsi="Arial"/>
                <w:sz w:val="16"/>
                <w:szCs w:val="16"/>
                <w:b w:val="1"/>
                <w:bCs w:val="1"/>
                <w:color w:val="auto"/>
                <w:w w:val="99"/>
              </w:rPr>
              <w:t>Exhibit Number</w:t>
            </w:r>
          </w:p>
        </w:tc>
        <w:tc>
          <w:tcPr>
            <w:tcW w:w="1080" w:type="dxa"/>
            <w:vAlign w:val="bottom"/>
          </w:tcPr>
          <w:p>
            <w:pPr>
              <w:spacing w:after="0"/>
              <w:rPr>
                <w:sz w:val="24"/>
                <w:szCs w:val="24"/>
                <w:color w:val="auto"/>
              </w:rPr>
            </w:pPr>
          </w:p>
        </w:tc>
        <w:tc>
          <w:tcPr>
            <w:tcW w:w="8560" w:type="dxa"/>
            <w:vAlign w:val="bottom"/>
            <w:gridSpan w:val="5"/>
          </w:tcPr>
          <w:p>
            <w:pPr>
              <w:ind w:left="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200" w:type="dxa"/>
            <w:vAlign w:val="bottom"/>
          </w:tcPr>
          <w:p>
            <w:pPr>
              <w:ind w:left="140"/>
              <w:spacing w:after="0"/>
              <w:rPr>
                <w:sz w:val="20"/>
                <w:szCs w:val="20"/>
                <w:color w:val="auto"/>
              </w:rPr>
            </w:pPr>
            <w:r>
              <w:rPr>
                <w:rFonts w:ascii="Arial" w:cs="Arial" w:eastAsia="Arial" w:hAnsi="Arial"/>
                <w:sz w:val="16"/>
                <w:szCs w:val="16"/>
                <w:color w:val="auto"/>
              </w:rPr>
              <w:t>31.1*</w:t>
            </w:r>
          </w:p>
        </w:tc>
        <w:tc>
          <w:tcPr>
            <w:tcW w:w="1080" w:type="dxa"/>
            <w:vAlign w:val="bottom"/>
          </w:tcPr>
          <w:p>
            <w:pPr>
              <w:spacing w:after="0"/>
              <w:rPr>
                <w:sz w:val="24"/>
                <w:szCs w:val="24"/>
                <w:color w:val="auto"/>
              </w:rPr>
            </w:pPr>
          </w:p>
        </w:tc>
        <w:tc>
          <w:tcPr>
            <w:tcW w:w="8560" w:type="dxa"/>
            <w:vAlign w:val="bottom"/>
            <w:gridSpan w:val="5"/>
          </w:tcPr>
          <w:p>
            <w:pPr>
              <w:ind w:left="20"/>
              <w:spacing w:after="0"/>
              <w:rPr>
                <w:rFonts w:ascii="Arial" w:cs="Arial" w:eastAsia="Arial" w:hAnsi="Arial"/>
                <w:sz w:val="16"/>
                <w:szCs w:val="16"/>
                <w:u w:val="single" w:color="auto"/>
                <w:color w:val="0000FF"/>
              </w:rPr>
            </w:pPr>
            <w:hyperlink w:anchor="page71">
              <w:r>
                <w:rPr>
                  <w:rFonts w:ascii="Arial" w:cs="Arial" w:eastAsia="Arial" w:hAnsi="Arial"/>
                  <w:sz w:val="16"/>
                  <w:szCs w:val="16"/>
                  <w:u w:val="single" w:color="auto"/>
                  <w:color w:val="0000FF"/>
                </w:rPr>
                <w:t>Rule 13a-14(a)/15d-14(a) Certification of Chief Executive Officer of Registrant</w:t>
              </w:r>
            </w:hyperlink>
          </w:p>
        </w:tc>
        <w:tc>
          <w:tcPr>
            <w:tcW w:w="0" w:type="dxa"/>
            <w:vAlign w:val="bottom"/>
          </w:tcPr>
          <w:p>
            <w:pPr>
              <w:spacing w:after="0"/>
              <w:rPr>
                <w:sz w:val="1"/>
                <w:szCs w:val="1"/>
                <w:color w:val="auto"/>
              </w:rPr>
            </w:pPr>
          </w:p>
        </w:tc>
      </w:tr>
      <w:tr>
        <w:trPr>
          <w:trHeight w:val="459"/>
        </w:trPr>
        <w:tc>
          <w:tcPr>
            <w:tcW w:w="1200" w:type="dxa"/>
            <w:vAlign w:val="bottom"/>
          </w:tcPr>
          <w:p>
            <w:pPr>
              <w:ind w:left="140"/>
              <w:spacing w:after="0"/>
              <w:rPr>
                <w:sz w:val="20"/>
                <w:szCs w:val="20"/>
                <w:color w:val="auto"/>
              </w:rPr>
            </w:pPr>
            <w:r>
              <w:rPr>
                <w:rFonts w:ascii="Arial" w:cs="Arial" w:eastAsia="Arial" w:hAnsi="Arial"/>
                <w:sz w:val="16"/>
                <w:szCs w:val="16"/>
                <w:color w:val="auto"/>
              </w:rPr>
              <w:t>31.2*</w:t>
            </w:r>
          </w:p>
        </w:tc>
        <w:tc>
          <w:tcPr>
            <w:tcW w:w="1080" w:type="dxa"/>
            <w:vAlign w:val="bottom"/>
          </w:tcPr>
          <w:p>
            <w:pPr>
              <w:spacing w:after="0"/>
              <w:rPr>
                <w:sz w:val="24"/>
                <w:szCs w:val="24"/>
                <w:color w:val="auto"/>
              </w:rPr>
            </w:pPr>
          </w:p>
        </w:tc>
        <w:tc>
          <w:tcPr>
            <w:tcW w:w="8560" w:type="dxa"/>
            <w:vAlign w:val="bottom"/>
            <w:gridSpan w:val="5"/>
          </w:tcPr>
          <w:p>
            <w:pPr>
              <w:ind w:left="20"/>
              <w:spacing w:after="0"/>
              <w:rPr>
                <w:rFonts w:ascii="Arial" w:cs="Arial" w:eastAsia="Arial" w:hAnsi="Arial"/>
                <w:sz w:val="16"/>
                <w:szCs w:val="16"/>
                <w:u w:val="single" w:color="auto"/>
                <w:color w:val="0000FF"/>
              </w:rPr>
            </w:pPr>
            <w:hyperlink w:anchor="page72">
              <w:r>
                <w:rPr>
                  <w:rFonts w:ascii="Arial" w:cs="Arial" w:eastAsia="Arial" w:hAnsi="Arial"/>
                  <w:sz w:val="16"/>
                  <w:szCs w:val="16"/>
                  <w:u w:val="single" w:color="auto"/>
                  <w:color w:val="0000FF"/>
                </w:rPr>
                <w:t>Rule 13a-14(a)/15d-14(a) Certification of Chief Financial Officer of Registrant</w:t>
              </w:r>
            </w:hyperlink>
          </w:p>
        </w:tc>
        <w:tc>
          <w:tcPr>
            <w:tcW w:w="0" w:type="dxa"/>
            <w:vAlign w:val="bottom"/>
          </w:tcPr>
          <w:p>
            <w:pPr>
              <w:spacing w:after="0"/>
              <w:rPr>
                <w:sz w:val="1"/>
                <w:szCs w:val="1"/>
                <w:color w:val="auto"/>
              </w:rPr>
            </w:pPr>
          </w:p>
        </w:tc>
      </w:tr>
      <w:tr>
        <w:trPr>
          <w:trHeight w:val="424"/>
        </w:trPr>
        <w:tc>
          <w:tcPr>
            <w:tcW w:w="1200" w:type="dxa"/>
            <w:vAlign w:val="bottom"/>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b w:val="1"/>
                <w:bCs w:val="1"/>
                <w:color w:val="auto"/>
                <w:vertAlign w:val="superscript"/>
              </w:rPr>
              <w:t>+</w:t>
            </w:r>
          </w:p>
        </w:tc>
        <w:tc>
          <w:tcPr>
            <w:tcW w:w="1080" w:type="dxa"/>
            <w:vAlign w:val="bottom"/>
          </w:tcPr>
          <w:p>
            <w:pPr>
              <w:spacing w:after="0"/>
              <w:rPr>
                <w:sz w:val="24"/>
                <w:szCs w:val="24"/>
                <w:color w:val="auto"/>
              </w:rPr>
            </w:pPr>
          </w:p>
        </w:tc>
        <w:tc>
          <w:tcPr>
            <w:tcW w:w="8040" w:type="dxa"/>
            <w:vAlign w:val="bottom"/>
            <w:tcBorders>
              <w:bottom w:val="single" w:sz="8" w:color="0000FF"/>
            </w:tcBorders>
            <w:gridSpan w:val="4"/>
          </w:tcPr>
          <w:p>
            <w:pPr>
              <w:ind w:left="20"/>
              <w:spacing w:after="0"/>
              <w:rPr>
                <w:rFonts w:ascii="Arial" w:cs="Arial" w:eastAsia="Arial" w:hAnsi="Arial"/>
                <w:sz w:val="16"/>
                <w:szCs w:val="16"/>
                <w:color w:val="0000FF"/>
              </w:rPr>
            </w:pPr>
            <w:hyperlink w:anchor="page73">
              <w:r>
                <w:rPr>
                  <w:rFonts w:ascii="Arial" w:cs="Arial" w:eastAsia="Arial" w:hAnsi="Arial"/>
                  <w:sz w:val="16"/>
                  <w:szCs w:val="16"/>
                  <w:color w:val="0000FF"/>
                </w:rPr>
                <w:t>Certification of Chief Executive Officer of Registrant pursuant to 18 U.S.C. Section 1350, as adopted pursuant to</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560" w:type="dxa"/>
            <w:vAlign w:val="bottom"/>
            <w:gridSpan w:val="5"/>
          </w:tcPr>
          <w:p>
            <w:pPr>
              <w:ind w:left="20"/>
              <w:spacing w:after="0" w:line="169" w:lineRule="exact"/>
              <w:rPr>
                <w:rFonts w:ascii="Arial" w:cs="Arial" w:eastAsia="Arial" w:hAnsi="Arial"/>
                <w:sz w:val="16"/>
                <w:szCs w:val="16"/>
                <w:color w:val="0000FF"/>
              </w:rPr>
            </w:pPr>
            <w:hyperlink w:anchor="page73">
              <w:r>
                <w:rPr>
                  <w:rFonts w:ascii="Arial" w:cs="Arial" w:eastAsia="Arial" w:hAnsi="Arial"/>
                  <w:sz w:val="16"/>
                  <w:szCs w:val="16"/>
                  <w:color w:val="0000FF"/>
                </w:rPr>
                <w:t>Section 906 of the Sarbanes-Oxley Act of 2002</w:t>
              </w:r>
            </w:hyperlink>
          </w:p>
        </w:tc>
        <w:tc>
          <w:tcPr>
            <w:tcW w:w="0" w:type="dxa"/>
            <w:vAlign w:val="bottom"/>
          </w:tcPr>
          <w:p>
            <w:pPr>
              <w:spacing w:after="0"/>
              <w:rPr>
                <w:sz w:val="1"/>
                <w:szCs w:val="1"/>
                <w:color w:val="auto"/>
              </w:rPr>
            </w:pPr>
          </w:p>
        </w:tc>
      </w:tr>
      <w:tr>
        <w:trPr>
          <w:trHeight w:val="20"/>
        </w:trPr>
        <w:tc>
          <w:tcPr>
            <w:tcW w:w="1200" w:type="dxa"/>
            <w:vAlign w:val="bottom"/>
            <w:vMerge w:val="restart"/>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b w:val="1"/>
                <w:bCs w:val="1"/>
                <w:color w:val="auto"/>
                <w:vertAlign w:val="superscript"/>
              </w:rPr>
              <w:t>+</w:t>
            </w:r>
          </w:p>
        </w:tc>
        <w:tc>
          <w:tcPr>
            <w:tcW w:w="108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8560" w:type="dxa"/>
            <w:vAlign w:val="bottom"/>
            <w:gridSpan w:val="5"/>
          </w:tcPr>
          <w:p>
            <w:pPr>
              <w:ind w:left="20"/>
              <w:spacing w:after="0"/>
              <w:rPr>
                <w:rFonts w:ascii="Arial" w:cs="Arial" w:eastAsia="Arial" w:hAnsi="Arial"/>
                <w:sz w:val="16"/>
                <w:szCs w:val="16"/>
                <w:color w:val="0000FF"/>
              </w:rPr>
            </w:pPr>
            <w:hyperlink w:anchor="page74">
              <w:r>
                <w:rPr>
                  <w:rFonts w:ascii="Arial" w:cs="Arial" w:eastAsia="Arial" w:hAnsi="Arial"/>
                  <w:sz w:val="16"/>
                  <w:szCs w:val="16"/>
                  <w:color w:val="0000FF"/>
                </w:rPr>
                <w:t>Certification of Chief Financial Officer of Registrant pursuant to 18 U.S.C. Section 1350, as adopted pursuant to</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980" w:type="dxa"/>
            <w:vAlign w:val="bottom"/>
            <w:tcBorders>
              <w:top w:val="single" w:sz="8" w:color="0000FF"/>
            </w:tcBorders>
            <w:gridSpan w:val="3"/>
          </w:tcPr>
          <w:p>
            <w:pPr>
              <w:ind w:left="20"/>
              <w:spacing w:after="0" w:line="169" w:lineRule="exact"/>
              <w:rPr>
                <w:rFonts w:ascii="Arial" w:cs="Arial" w:eastAsia="Arial" w:hAnsi="Arial"/>
                <w:sz w:val="16"/>
                <w:szCs w:val="16"/>
                <w:color w:val="0000FF"/>
              </w:rPr>
            </w:pPr>
            <w:hyperlink w:anchor="page74">
              <w:r>
                <w:rPr>
                  <w:rFonts w:ascii="Arial" w:cs="Arial" w:eastAsia="Arial" w:hAnsi="Arial"/>
                  <w:sz w:val="16"/>
                  <w:szCs w:val="16"/>
                  <w:color w:val="0000FF"/>
                </w:rPr>
                <w:t>Section 906 of the Sarbanes-Oxley Act of 2002</w:t>
              </w:r>
            </w:hyperlink>
          </w:p>
        </w:tc>
        <w:tc>
          <w:tcPr>
            <w:tcW w:w="5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gridSpan w:val="2"/>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228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560" w:type="dxa"/>
            <w:vAlign w:val="bottom"/>
            <w:gridSpan w:val="5"/>
          </w:tcPr>
          <w:p>
            <w:pPr>
              <w:ind w:left="2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560" w:type="dxa"/>
            <w:vAlign w:val="bottom"/>
            <w:gridSpan w:val="5"/>
          </w:tcPr>
          <w:p>
            <w:pPr>
              <w:ind w:left="20"/>
              <w:spacing w:after="0"/>
              <w:rPr>
                <w:sz w:val="20"/>
                <w:szCs w:val="20"/>
                <w:color w:val="auto"/>
              </w:rPr>
            </w:pPr>
            <w:r>
              <w:rPr>
                <w:rFonts w:ascii="Arial" w:cs="Arial" w:eastAsia="Arial" w:hAnsi="Arial"/>
                <w:sz w:val="16"/>
                <w:szCs w:val="16"/>
                <w:color w:val="auto"/>
              </w:rPr>
              <w:t>tags are embedded within the Inline XBRL document.</w:t>
            </w:r>
          </w:p>
        </w:tc>
        <w:tc>
          <w:tcPr>
            <w:tcW w:w="0" w:type="dxa"/>
            <w:vAlign w:val="bottom"/>
          </w:tcPr>
          <w:p>
            <w:pPr>
              <w:spacing w:after="0"/>
              <w:rPr>
                <w:sz w:val="1"/>
                <w:szCs w:val="1"/>
                <w:color w:val="auto"/>
              </w:rPr>
            </w:pPr>
          </w:p>
        </w:tc>
      </w:tr>
      <w:tr>
        <w:trPr>
          <w:trHeight w:val="567"/>
        </w:trPr>
        <w:tc>
          <w:tcPr>
            <w:tcW w:w="22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560" w:type="dxa"/>
            <w:vAlign w:val="bottom"/>
            <w:gridSpan w:val="5"/>
          </w:tcPr>
          <w:p>
            <w:pPr>
              <w:ind w:left="20"/>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594"/>
        </w:trPr>
        <w:tc>
          <w:tcPr>
            <w:tcW w:w="22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560" w:type="dxa"/>
            <w:vAlign w:val="bottom"/>
            <w:gridSpan w:val="5"/>
          </w:tcPr>
          <w:p>
            <w:pPr>
              <w:ind w:left="20"/>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594"/>
        </w:trPr>
        <w:tc>
          <w:tcPr>
            <w:tcW w:w="22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560" w:type="dxa"/>
            <w:vAlign w:val="bottom"/>
            <w:gridSpan w:val="5"/>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594"/>
        </w:trPr>
        <w:tc>
          <w:tcPr>
            <w:tcW w:w="22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560" w:type="dxa"/>
            <w:vAlign w:val="bottom"/>
            <w:gridSpan w:val="5"/>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594"/>
        </w:trPr>
        <w:tc>
          <w:tcPr>
            <w:tcW w:w="22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560" w:type="dxa"/>
            <w:vAlign w:val="bottom"/>
            <w:gridSpan w:val="5"/>
          </w:tcPr>
          <w:p>
            <w:pPr>
              <w:ind w:left="20"/>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594"/>
        </w:trPr>
        <w:tc>
          <w:tcPr>
            <w:tcW w:w="1200" w:type="dxa"/>
            <w:vAlign w:val="bottom"/>
          </w:tcPr>
          <w:p>
            <w:pPr>
              <w:spacing w:after="0"/>
              <w:rPr>
                <w:sz w:val="20"/>
                <w:szCs w:val="20"/>
                <w:color w:val="auto"/>
              </w:rPr>
            </w:pPr>
            <w:r>
              <w:rPr>
                <w:rFonts w:ascii="Arial" w:cs="Arial" w:eastAsia="Arial" w:hAnsi="Arial"/>
                <w:sz w:val="16"/>
                <w:szCs w:val="16"/>
                <w:color w:val="auto"/>
              </w:rPr>
              <w:t>104</w:t>
            </w:r>
          </w:p>
        </w:tc>
        <w:tc>
          <w:tcPr>
            <w:tcW w:w="1080" w:type="dxa"/>
            <w:vAlign w:val="bottom"/>
          </w:tcPr>
          <w:p>
            <w:pPr>
              <w:spacing w:after="0"/>
              <w:rPr>
                <w:sz w:val="24"/>
                <w:szCs w:val="24"/>
                <w:color w:val="auto"/>
              </w:rPr>
            </w:pPr>
          </w:p>
        </w:tc>
        <w:tc>
          <w:tcPr>
            <w:tcW w:w="8560" w:type="dxa"/>
            <w:vAlign w:val="bottom"/>
            <w:gridSpan w:val="5"/>
          </w:tcPr>
          <w:p>
            <w:pPr>
              <w:ind w:left="20"/>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bl>
    <w:p>
      <w:pPr>
        <w:spacing w:after="0" w:line="383" w:lineRule="exact"/>
        <w:rPr>
          <w:sz w:val="20"/>
          <w:szCs w:val="20"/>
          <w:color w:val="auto"/>
        </w:rPr>
      </w:pPr>
    </w:p>
    <w:p>
      <w:pPr>
        <w:ind w:left="1325" w:hanging="1325"/>
        <w:spacing w:after="0"/>
        <w:tabs>
          <w:tab w:leader="none" w:pos="1325" w:val="left"/>
        </w:tabs>
        <w:numPr>
          <w:ilvl w:val="0"/>
          <w:numId w:val="33"/>
        </w:numPr>
        <w:rPr>
          <w:rFonts w:ascii="Arial" w:cs="Arial" w:eastAsia="Arial" w:hAnsi="Arial"/>
          <w:sz w:val="17"/>
          <w:szCs w:val="17"/>
          <w:color w:val="auto"/>
        </w:rPr>
      </w:pPr>
      <w:r>
        <w:rPr>
          <w:rFonts w:ascii="Arial" w:cs="Arial" w:eastAsia="Arial" w:hAnsi="Arial"/>
          <w:sz w:val="15"/>
          <w:szCs w:val="15"/>
          <w:color w:val="auto"/>
        </w:rPr>
        <w:t>Filed herewith.</w:t>
      </w:r>
    </w:p>
    <w:p>
      <w:pPr>
        <w:spacing w:after="0" w:line="180" w:lineRule="exact"/>
        <w:rPr>
          <w:sz w:val="20"/>
          <w:szCs w:val="20"/>
          <w:color w:val="auto"/>
        </w:rPr>
      </w:pPr>
    </w:p>
    <w:p>
      <w:pPr>
        <w:ind w:left="1325" w:hanging="1325"/>
        <w:spacing w:after="0" w:line="225" w:lineRule="auto"/>
        <w:tabs>
          <w:tab w:leader="none" w:pos="1325" w:val="left"/>
        </w:tabs>
        <w:numPr>
          <w:ilvl w:val="0"/>
          <w:numId w:val="34"/>
        </w:numPr>
        <w:rPr>
          <w:rFonts w:ascii="Arial" w:cs="Arial" w:eastAsia="Arial" w:hAnsi="Arial"/>
          <w:sz w:val="17"/>
          <w:szCs w:val="17"/>
          <w:color w:val="auto"/>
        </w:rPr>
      </w:pPr>
      <w:r>
        <w:rPr>
          <w:rFonts w:ascii="Arial" w:cs="Arial" w:eastAsia="Arial" w:hAnsi="Arial"/>
          <w:sz w:val="15"/>
          <w:szCs w:val="15"/>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44" w:lineRule="exact"/>
        <w:rPr>
          <w:sz w:val="20"/>
          <w:szCs w:val="20"/>
          <w:color w:val="auto"/>
        </w:rPr>
      </w:pPr>
    </w:p>
    <w:p>
      <w:pPr>
        <w:jc w:val="center"/>
        <w:ind w:right="-324"/>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0845"/>
          </w:cols>
          <w:pgMar w:left="355" w:top="329" w:right="699" w:bottom="1440" w:gutter="0" w:footer="0" w:header="0"/>
        </w:sectPr>
      </w:pPr>
    </w:p>
    <w:bookmarkStart w:id="70" w:name="page71"/>
    <w:bookmarkEnd w:id="70"/>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I, Elias J. Sabo, certify that:</w:t>
      </w:r>
    </w:p>
    <w:p>
      <w:pPr>
        <w:spacing w:after="0" w:line="22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Compass Group Diversified Holdings LLC (the “registrant”);</w:t>
      </w:r>
    </w:p>
    <w:p>
      <w:pPr>
        <w:spacing w:after="0" w:line="221"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980" w:right="80" w:hanging="324"/>
        <w:spacing w:after="0" w:line="253"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980" w:right="480" w:hanging="324"/>
        <w:spacing w:after="0" w:line="253"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980" w:right="500" w:hanging="324"/>
        <w:spacing w:after="0" w:line="260"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980" w:right="220" w:hanging="324"/>
        <w:spacing w:after="0" w:line="253"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980" w:right="140" w:hanging="324"/>
        <w:spacing w:after="0" w:line="260"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980" w:right="80" w:hanging="324"/>
        <w:spacing w:after="0" w:line="260"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July 29, 2020</w:t>
      </w:r>
    </w:p>
    <w:p>
      <w:pPr>
        <w:spacing w:after="0" w:line="162" w:lineRule="exact"/>
        <w:rPr>
          <w:sz w:val="20"/>
          <w:szCs w:val="20"/>
          <w:color w:val="auto"/>
        </w:rPr>
      </w:pPr>
    </w:p>
    <w:p>
      <w:pPr>
        <w:ind w:left="7340"/>
        <w:spacing w:after="0"/>
        <w:rPr>
          <w:sz w:val="20"/>
          <w:szCs w:val="20"/>
          <w:color w:val="auto"/>
        </w:rPr>
      </w:pPr>
      <w:r>
        <w:rPr>
          <w:rFonts w:ascii="Arial" w:cs="Arial" w:eastAsia="Arial" w:hAnsi="Arial"/>
          <w:sz w:val="15"/>
          <w:szCs w:val="15"/>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46990</wp:posOffset>
            </wp:positionV>
            <wp:extent cx="24942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91" w:lineRule="exact"/>
        <w:rPr>
          <w:sz w:val="20"/>
          <w:szCs w:val="20"/>
          <w:color w:val="auto"/>
        </w:rPr>
      </w:pPr>
    </w:p>
    <w:p>
      <w:pPr>
        <w:ind w:left="7340"/>
        <w:spacing w:after="0"/>
        <w:rPr>
          <w:sz w:val="20"/>
          <w:szCs w:val="20"/>
          <w:color w:val="auto"/>
        </w:rPr>
      </w:pPr>
      <w:r>
        <w:rPr>
          <w:rFonts w:ascii="Arial" w:cs="Arial" w:eastAsia="Arial" w:hAnsi="Arial"/>
          <w:sz w:val="15"/>
          <w:szCs w:val="15"/>
          <w:color w:val="auto"/>
        </w:rPr>
        <w:t>Elias J. Sabo</w:t>
      </w:r>
    </w:p>
    <w:p>
      <w:pPr>
        <w:spacing w:after="0" w:line="68" w:lineRule="exact"/>
        <w:rPr>
          <w:sz w:val="20"/>
          <w:szCs w:val="20"/>
          <w:color w:val="auto"/>
        </w:rPr>
      </w:pPr>
    </w:p>
    <w:p>
      <w:pPr>
        <w:ind w:left="7340"/>
        <w:spacing w:after="0"/>
        <w:rPr>
          <w:sz w:val="20"/>
          <w:szCs w:val="20"/>
          <w:color w:val="auto"/>
        </w:rPr>
      </w:pPr>
      <w:r>
        <w:rPr>
          <w:rFonts w:ascii="Arial" w:cs="Arial" w:eastAsia="Arial" w:hAnsi="Arial"/>
          <w:sz w:val="15"/>
          <w:szCs w:val="15"/>
          <w:i w:val="1"/>
          <w:iCs w:val="1"/>
          <w:color w:val="auto"/>
        </w:rPr>
        <w:t>Chief Executive Officer of</w:t>
      </w:r>
    </w:p>
    <w:p>
      <w:pPr>
        <w:ind w:left="7340"/>
        <w:spacing w:after="0" w:line="233" w:lineRule="auto"/>
        <w:rPr>
          <w:sz w:val="20"/>
          <w:szCs w:val="20"/>
          <w:color w:val="auto"/>
        </w:rPr>
      </w:pPr>
      <w:r>
        <w:rPr>
          <w:rFonts w:ascii="Arial" w:cs="Arial" w:eastAsia="Arial" w:hAnsi="Arial"/>
          <w:sz w:val="15"/>
          <w:szCs w:val="15"/>
          <w:i w:val="1"/>
          <w:iCs w:val="1"/>
          <w:color w:val="auto"/>
        </w:rPr>
        <w:t>Compass Group Diversified Holdings LLC</w:t>
      </w:r>
    </w:p>
    <w:p>
      <w:pPr>
        <w:ind w:left="734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240"/>
          </w:cols>
          <w:pgMar w:left="320" w:top="54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Ryan J. Faulkingham, certify that:</w:t>
      </w:r>
    </w:p>
    <w:p>
      <w:pPr>
        <w:spacing w:after="0" w:line="223" w:lineRule="exact"/>
        <w:rPr>
          <w:sz w:val="20"/>
          <w:szCs w:val="20"/>
          <w:color w:val="auto"/>
        </w:rPr>
      </w:pPr>
    </w:p>
    <w:p>
      <w:pPr>
        <w:ind w:left="660" w:right="80" w:hanging="328"/>
        <w:spacing w:after="0" w:line="259"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Diversified Holdings and Compass Group Diversified Holdings LLC (each, the “registrant”);</w:t>
      </w:r>
    </w:p>
    <w:p>
      <w:pPr>
        <w:spacing w:after="0" w:line="199" w:lineRule="exact"/>
        <w:rPr>
          <w:rFonts w:ascii="Arial" w:cs="Arial" w:eastAsia="Arial" w:hAnsi="Arial"/>
          <w:sz w:val="17"/>
          <w:szCs w:val="17"/>
          <w:color w:val="auto"/>
        </w:rPr>
      </w:pPr>
    </w:p>
    <w:p>
      <w:pPr>
        <w:ind w:left="660" w:right="20" w:hanging="328"/>
        <w:spacing w:after="0" w:line="254"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7"/>
          <w:szCs w:val="17"/>
          <w:color w:val="auto"/>
        </w:rPr>
      </w:pPr>
    </w:p>
    <w:p>
      <w:pPr>
        <w:ind w:left="660" w:right="380" w:hanging="328"/>
        <w:spacing w:after="0" w:line="259"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7"/>
          <w:szCs w:val="17"/>
          <w:color w:val="auto"/>
        </w:rPr>
      </w:pPr>
    </w:p>
    <w:p>
      <w:pPr>
        <w:ind w:left="660" w:right="40" w:hanging="328"/>
        <w:spacing w:after="0" w:line="254"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7"/>
          <w:szCs w:val="17"/>
          <w:color w:val="auto"/>
        </w:rPr>
      </w:pPr>
    </w:p>
    <w:p>
      <w:pPr>
        <w:ind w:left="1300" w:right="180" w:hanging="320"/>
        <w:spacing w:after="0" w:line="254" w:lineRule="auto"/>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7"/>
          <w:szCs w:val="17"/>
          <w:color w:val="auto"/>
        </w:rPr>
      </w:pPr>
    </w:p>
    <w:p>
      <w:pPr>
        <w:ind w:left="1300" w:right="40" w:hanging="320"/>
        <w:spacing w:after="0" w:line="254" w:lineRule="auto"/>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7"/>
          <w:szCs w:val="17"/>
          <w:color w:val="auto"/>
        </w:rPr>
      </w:pPr>
    </w:p>
    <w:p>
      <w:pPr>
        <w:ind w:left="1300" w:right="80" w:hanging="320"/>
        <w:spacing w:after="0" w:line="254" w:lineRule="auto"/>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7"/>
          <w:szCs w:val="17"/>
          <w:color w:val="auto"/>
        </w:rPr>
      </w:pPr>
    </w:p>
    <w:p>
      <w:pPr>
        <w:ind w:left="1300" w:right="280" w:hanging="320"/>
        <w:spacing w:after="0" w:line="254" w:lineRule="auto"/>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7"/>
          <w:szCs w:val="17"/>
          <w:color w:val="auto"/>
        </w:rPr>
      </w:pPr>
    </w:p>
    <w:p>
      <w:pPr>
        <w:ind w:left="660" w:right="80" w:hanging="328"/>
        <w:spacing w:after="0" w:line="259"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7"/>
          <w:szCs w:val="17"/>
          <w:color w:val="auto"/>
        </w:rPr>
      </w:pPr>
    </w:p>
    <w:p>
      <w:pPr>
        <w:ind w:left="1300" w:right="160" w:hanging="320"/>
        <w:spacing w:after="0" w:line="259" w:lineRule="auto"/>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7"/>
          <w:szCs w:val="17"/>
          <w:color w:val="auto"/>
        </w:rPr>
      </w:pPr>
    </w:p>
    <w:p>
      <w:pPr>
        <w:ind w:left="1300" w:right="380" w:hanging="320"/>
        <w:spacing w:after="0" w:line="259" w:lineRule="auto"/>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July 29, 2020</w:t>
      </w:r>
    </w:p>
    <w:p>
      <w:pPr>
        <w:spacing w:after="0" w:line="169"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34290</wp:posOffset>
            </wp:positionV>
            <wp:extent cx="29914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68"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Ryan J. Faulkingham</w:t>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7"/>
          <w:szCs w:val="17"/>
          <w:i w:val="1"/>
          <w:iCs w:val="1"/>
          <w:color w:val="auto"/>
        </w:rPr>
        <w:t>Regular Trustee of Compass Diversified Holdings and Chief</w:t>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i w:val="1"/>
          <w:iCs w:val="1"/>
          <w:color w:val="auto"/>
        </w:rPr>
        <w:t>Financial Officer of</w:t>
      </w:r>
    </w:p>
    <w:p>
      <w:pPr>
        <w:ind w:left="6560"/>
        <w:spacing w:after="0" w:line="232" w:lineRule="auto"/>
        <w:rPr>
          <w:sz w:val="20"/>
          <w:szCs w:val="20"/>
          <w:color w:val="auto"/>
        </w:rPr>
      </w:pPr>
      <w:r>
        <w:rPr>
          <w:rFonts w:ascii="Arial" w:cs="Arial" w:eastAsia="Arial" w:hAnsi="Arial"/>
          <w:sz w:val="17"/>
          <w:szCs w:val="17"/>
          <w:i w:val="1"/>
          <w:iCs w:val="1"/>
          <w:color w:val="auto"/>
        </w:rPr>
        <w:t>Compass Group Diversified Holdings LLC</w:t>
      </w:r>
    </w:p>
    <w:p>
      <w:pPr>
        <w:ind w:left="6560"/>
        <w:spacing w:after="0"/>
        <w:rPr>
          <w:sz w:val="20"/>
          <w:szCs w:val="20"/>
          <w:color w:val="auto"/>
        </w:rPr>
      </w:pPr>
      <w:r>
        <w:rPr>
          <w:rFonts w:ascii="Arial" w:cs="Arial" w:eastAsia="Arial" w:hAnsi="Arial"/>
          <w:sz w:val="17"/>
          <w:szCs w:val="17"/>
          <w:color w:val="auto"/>
        </w:rPr>
        <w:t>(Principal Financial and Accounting Officer</w:t>
      </w:r>
      <w:r>
        <w:rPr>
          <w:rFonts w:ascii="Arial" w:cs="Arial" w:eastAsia="Arial" w:hAnsi="Arial"/>
          <w:sz w:val="17"/>
          <w:szCs w:val="17"/>
          <w:i w:val="1"/>
          <w:iCs w:val="1"/>
          <w:color w:val="auto"/>
        </w:rPr>
        <w:t>)</w:t>
      </w:r>
    </w:p>
    <w:p>
      <w:pPr>
        <w:sectPr>
          <w:pgSz w:w="11900" w:h="16838" w:orient="portrait"/>
          <w:cols w:equalWidth="0" w:num="1">
            <w:col w:w="11240"/>
          </w:cols>
          <w:pgMar w:left="320" w:top="54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ind w:right="20" w:firstLine="432"/>
        <w:spacing w:after="0" w:line="252" w:lineRule="auto"/>
        <w:rPr>
          <w:sz w:val="20"/>
          <w:szCs w:val="20"/>
          <w:color w:val="auto"/>
        </w:rPr>
      </w:pPr>
      <w:r>
        <w:rPr>
          <w:rFonts w:ascii="Arial" w:cs="Arial" w:eastAsia="Arial" w:hAnsi="Arial"/>
          <w:sz w:val="17"/>
          <w:szCs w:val="17"/>
          <w:color w:val="auto"/>
        </w:rPr>
        <w:t>In connection with the Quarterly Report of COMPASS GROUP DIVERSIFIED HOLDINGS LLC on Form 10-Q for the period ended June 30, 2020 as filed with the Securities and Exchange Commission on the date hereof (the “Report”), I, Elias J. Sabo, Chief Executive Officer of Compass Group Diversified Holdings LLC, certify, pursuant to 18 U.S.C. Section 1350, as adopted pursuant to Section 906 of the Sarbanes-Oxley Act of 2002, that to my knowledge:</w:t>
      </w:r>
    </w:p>
    <w:p>
      <w:pPr>
        <w:spacing w:after="0" w:line="124" w:lineRule="exact"/>
        <w:rPr>
          <w:sz w:val="20"/>
          <w:szCs w:val="20"/>
          <w:color w:val="auto"/>
        </w:rPr>
      </w:pPr>
    </w:p>
    <w:p>
      <w:pPr>
        <w:ind w:left="540" w:hanging="316"/>
        <w:spacing w:after="0"/>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540" w:right="160" w:hanging="316"/>
        <w:spacing w:after="0" w:line="259"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Group Diversified Holdings LLC.</w:t>
      </w:r>
    </w:p>
    <w:p>
      <w:pPr>
        <w:spacing w:after="0" w:line="280" w:lineRule="exact"/>
        <w:rPr>
          <w:sz w:val="20"/>
          <w:szCs w:val="20"/>
          <w:color w:val="auto"/>
        </w:rPr>
      </w:pPr>
    </w:p>
    <w:p>
      <w:pPr>
        <w:ind w:left="40"/>
        <w:spacing w:after="0"/>
        <w:tabs>
          <w:tab w:leader="none" w:pos="700" w:val="left"/>
          <w:tab w:leader="none" w:pos="6960" w:val="left"/>
        </w:tabs>
        <w:rPr>
          <w:sz w:val="20"/>
          <w:szCs w:val="20"/>
          <w:color w:val="auto"/>
        </w:rPr>
      </w:pPr>
      <w:r>
        <w:rPr>
          <w:rFonts w:ascii="Arial" w:cs="Arial" w:eastAsia="Arial" w:hAnsi="Arial"/>
          <w:sz w:val="17"/>
          <w:szCs w:val="17"/>
          <w:color w:val="auto"/>
        </w:rPr>
        <w:t>Dated:</w:t>
        <w:tab/>
        <w:t>July 29, 2020</w:t>
      </w:r>
      <w:r>
        <w:rPr>
          <w:sz w:val="20"/>
          <w:szCs w:val="20"/>
          <w:color w:val="auto"/>
        </w:rPr>
        <w:tab/>
      </w:r>
      <w:r>
        <w:rPr>
          <w:rFonts w:ascii="Arial" w:cs="Arial" w:eastAsia="Arial" w:hAnsi="Arial"/>
          <w:sz w:val="17"/>
          <w:szCs w:val="17"/>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6917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41"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Elias J. Sabo</w:t>
      </w:r>
    </w:p>
    <w:p>
      <w:pPr>
        <w:spacing w:after="0" w:line="55"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Chief Executive Officer,</w:t>
      </w:r>
    </w:p>
    <w:p>
      <w:pPr>
        <w:ind w:left="6980"/>
        <w:spacing w:after="0"/>
        <w:rPr>
          <w:sz w:val="20"/>
          <w:szCs w:val="20"/>
          <w:color w:val="auto"/>
        </w:rPr>
      </w:pPr>
      <w:r>
        <w:rPr>
          <w:rFonts w:ascii="Arial" w:cs="Arial" w:eastAsia="Arial" w:hAnsi="Arial"/>
          <w:sz w:val="17"/>
          <w:szCs w:val="17"/>
          <w:color w:val="auto"/>
        </w:rPr>
        <w:t>Compass Group Diversified Holdings LLC</w:t>
      </w:r>
    </w:p>
    <w:p>
      <w:pPr>
        <w:spacing w:after="0" w:line="237" w:lineRule="exact"/>
        <w:rPr>
          <w:sz w:val="20"/>
          <w:szCs w:val="20"/>
          <w:color w:val="auto"/>
        </w:rPr>
      </w:pPr>
    </w:p>
    <w:p>
      <w:pPr>
        <w:ind w:right="60" w:firstLine="432"/>
        <w:spacing w:after="0" w:line="250" w:lineRule="auto"/>
        <w:rPr>
          <w:sz w:val="20"/>
          <w:szCs w:val="20"/>
          <w:color w:val="auto"/>
        </w:rPr>
      </w:pPr>
      <w:r>
        <w:rPr>
          <w:rFonts w:ascii="Arial" w:cs="Arial" w:eastAsia="Arial" w:hAnsi="Arial"/>
          <w:sz w:val="17"/>
          <w:szCs w:val="17"/>
          <w:color w:val="auto"/>
        </w:rPr>
        <w:t>The foregoing certification is being furnished to accompany Compass Group Diversified Holdings LLC’s Quarterly Report on Form 10-Q for the quarterly period ended June 30, 2020 solely pursuant to Section 906 of the Sarbanes-Oxley Act of 2002 and shall not be deemed filed as part of the Report or as a separate disclosure document and shall not be deemed incorporated by reference into any other filing of Compass Group Diversified Holdings LLC that incorporates the Report by reference. A signed original of this written certification required by Section 906 has been provided to Compass Group Diversified Holdings LLC and will be retained by Compass Group Diversified Holdings LLC and furnished to the Securities and Exchange Commission or its staff upon request.</w:t>
      </w:r>
    </w:p>
    <w:p>
      <w:pPr>
        <w:sectPr>
          <w:pgSz w:w="11900" w:h="16838" w:orient="portrait"/>
          <w:cols w:equalWidth="0" w:num="1">
            <w:col w:w="11240"/>
          </w:cols>
          <w:pgMar w:left="320" w:top="545"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b w:val="1"/>
          <w:bCs w:val="1"/>
          <w:color w:val="auto"/>
        </w:rPr>
        <w:t>Exhibit 32.2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ind w:right="140" w:firstLine="432"/>
        <w:spacing w:after="0" w:line="252" w:lineRule="auto"/>
        <w:rPr>
          <w:sz w:val="20"/>
          <w:szCs w:val="20"/>
          <w:color w:val="auto"/>
        </w:rPr>
      </w:pPr>
      <w:r>
        <w:rPr>
          <w:rFonts w:ascii="Arial" w:cs="Arial" w:eastAsia="Arial" w:hAnsi="Arial"/>
          <w:sz w:val="17"/>
          <w:szCs w:val="17"/>
          <w:color w:val="auto"/>
        </w:rPr>
        <w:t>In connection with the Quarterly Report of COMPASS DIVERSIFIED HOLDINGS and COMPASS GROUP DIVERSIFIED HOLDINGS LLC on Form 10-Q for the period ended June 30, 2020 as filed with the Securities and Exchange Commission on the date hereof (the “Report”), I, Ryan J. Faulkingham, Regular Trustee of Compass Diversified Holdings and Chief Financial Officer of Compass Group Diversified Holdings LLC, certify, pursuant to 18 U.S.C. Section 1350, as adopted pursuant to Section 906 of the Sarbanes-Oxley Act of 2002, that to my knowledge:</w:t>
      </w:r>
    </w:p>
    <w:p>
      <w:pPr>
        <w:spacing w:after="0" w:line="124" w:lineRule="exact"/>
        <w:rPr>
          <w:sz w:val="20"/>
          <w:szCs w:val="20"/>
          <w:color w:val="auto"/>
        </w:rPr>
      </w:pPr>
    </w:p>
    <w:p>
      <w:pPr>
        <w:ind w:left="540" w:hanging="316"/>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540" w:right="160" w:hanging="316"/>
        <w:spacing w:after="0" w:line="259"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Diversified Holdings and Compass Group Diversified Holdings LLC.</w:t>
      </w:r>
    </w:p>
    <w:p>
      <w:pPr>
        <w:spacing w:after="0" w:line="280" w:lineRule="exact"/>
        <w:rPr>
          <w:sz w:val="20"/>
          <w:szCs w:val="20"/>
          <w:color w:val="auto"/>
        </w:rPr>
      </w:pPr>
    </w:p>
    <w:p>
      <w:pPr>
        <w:ind w:left="40"/>
        <w:spacing w:after="0"/>
        <w:tabs>
          <w:tab w:leader="none" w:pos="700" w:val="left"/>
          <w:tab w:leader="none" w:pos="6960" w:val="left"/>
        </w:tabs>
        <w:rPr>
          <w:sz w:val="20"/>
          <w:szCs w:val="20"/>
          <w:color w:val="auto"/>
        </w:rPr>
      </w:pPr>
      <w:r>
        <w:rPr>
          <w:rFonts w:ascii="Arial" w:cs="Arial" w:eastAsia="Arial" w:hAnsi="Arial"/>
          <w:sz w:val="17"/>
          <w:szCs w:val="17"/>
          <w:color w:val="auto"/>
        </w:rPr>
        <w:t>Dated:</w:t>
        <w:tab/>
        <w:t>July 29, 2020</w:t>
      </w:r>
      <w:r>
        <w:rPr>
          <w:sz w:val="20"/>
          <w:szCs w:val="20"/>
          <w:color w:val="auto"/>
        </w:rPr>
        <w:tab/>
      </w:r>
      <w:r>
        <w:rPr>
          <w:rFonts w:ascii="Arial" w:cs="Arial" w:eastAsia="Arial" w:hAnsi="Arial"/>
          <w:sz w:val="16"/>
          <w:szCs w:val="16"/>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6917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41"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Ryan J. Faulkingham</w:t>
      </w:r>
    </w:p>
    <w:p>
      <w:pPr>
        <w:spacing w:after="0" w:line="55"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Regular Trustee, Compass Diversified Holdings and</w:t>
      </w:r>
    </w:p>
    <w:p>
      <w:pPr>
        <w:ind w:left="6980"/>
        <w:spacing w:after="0" w:line="232" w:lineRule="auto"/>
        <w:rPr>
          <w:sz w:val="20"/>
          <w:szCs w:val="20"/>
          <w:color w:val="auto"/>
        </w:rPr>
      </w:pPr>
      <w:r>
        <w:rPr>
          <w:rFonts w:ascii="Arial" w:cs="Arial" w:eastAsia="Arial" w:hAnsi="Arial"/>
          <w:sz w:val="17"/>
          <w:szCs w:val="17"/>
          <w:color w:val="auto"/>
        </w:rPr>
        <w:t>Chief Financial Officer,</w:t>
      </w:r>
    </w:p>
    <w:p>
      <w:pPr>
        <w:ind w:left="6980"/>
        <w:spacing w:after="0"/>
        <w:rPr>
          <w:sz w:val="20"/>
          <w:szCs w:val="20"/>
          <w:color w:val="auto"/>
        </w:rPr>
      </w:pPr>
      <w:r>
        <w:rPr>
          <w:rFonts w:ascii="Arial" w:cs="Arial" w:eastAsia="Arial" w:hAnsi="Arial"/>
          <w:sz w:val="17"/>
          <w:szCs w:val="17"/>
          <w:color w:val="auto"/>
        </w:rPr>
        <w:t>Compass Group Diversified Holdings LLC</w:t>
      </w:r>
    </w:p>
    <w:p>
      <w:pPr>
        <w:spacing w:after="0" w:line="237" w:lineRule="exact"/>
        <w:rPr>
          <w:sz w:val="20"/>
          <w:szCs w:val="20"/>
          <w:color w:val="auto"/>
        </w:rPr>
      </w:pPr>
    </w:p>
    <w:p>
      <w:pPr>
        <w:ind w:right="120" w:firstLine="432"/>
        <w:spacing w:after="0" w:line="250" w:lineRule="auto"/>
        <w:rPr>
          <w:sz w:val="20"/>
          <w:szCs w:val="20"/>
          <w:color w:val="auto"/>
        </w:rPr>
      </w:pPr>
      <w:r>
        <w:rPr>
          <w:rFonts w:ascii="Arial" w:cs="Arial" w:eastAsia="Arial" w:hAnsi="Arial"/>
          <w:sz w:val="17"/>
          <w:szCs w:val="17"/>
          <w:color w:val="auto"/>
        </w:rPr>
        <w:t>The foregoing certification is being furnished to accompany Compass Diversified Holdings’ and Compass Group Diversified Holdings LLC’s Quarterly Report on Form 10-Q for the quarterly period ended June 30, 2020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sectPr>
      <w:pgSz w:w="11900" w:h="16838" w:orient="portrait"/>
      <w:cols w:equalWidth="0" w:num="1">
        <w:col w:w="11240"/>
      </w:cols>
      <w:pgMar w:left="320" w:top="5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lvl w:ilvl="1">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lowerRoman"/>
      <w:start w:val="2"/>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2020-07-29T15:11:10Z</dcterms:created>
  <dcterms:modified xsi:type="dcterms:W3CDTF">2020-07-29T15:11:10Z</dcterms:modified>
</cp:coreProperties>
</file>