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919480</wp:posOffset>
            </wp:positionH>
            <wp:positionV relativeFrom="page">
              <wp:posOffset>534670</wp:posOffset>
            </wp:positionV>
            <wp:extent cx="57175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560705</wp:posOffset>
            </wp:positionV>
            <wp:extent cx="5717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74930</wp:posOffset>
            </wp:positionV>
            <wp:extent cx="191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99060</wp:posOffset>
            </wp:positionV>
            <wp:extent cx="1911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28"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33" w:lineRule="exact"/>
        <w:rPr>
          <w:sz w:val="24"/>
          <w:szCs w:val="24"/>
          <w:color w:val="auto"/>
        </w:rPr>
      </w:pPr>
    </w:p>
    <w:p>
      <w:pPr>
        <w:ind w:left="4160"/>
        <w:spacing w:after="0"/>
        <w:rPr>
          <w:sz w:val="20"/>
          <w:szCs w:val="20"/>
          <w:color w:val="auto"/>
        </w:rPr>
      </w:pPr>
      <w:r>
        <w:rPr>
          <w:rFonts w:ascii="Arial" w:cs="Arial" w:eastAsia="Arial" w:hAnsi="Arial"/>
          <w:sz w:val="20"/>
          <w:szCs w:val="20"/>
          <w:b w:val="1"/>
          <w:bCs w:val="1"/>
          <w:color w:val="auto"/>
        </w:rPr>
        <w:t>Pursuant to Section 13 or 15(d)</w:t>
      </w: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88900</wp:posOffset>
            </wp:positionV>
            <wp:extent cx="1911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COMPASS DIVERSIFIED HOLDINGS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85725</wp:posOffset>
            </wp:positionV>
            <wp:extent cx="1911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38" w:lineRule="exact"/>
        <w:rPr>
          <w:sz w:val="24"/>
          <w:szCs w:val="24"/>
          <w:color w:val="auto"/>
        </w:rPr>
      </w:pPr>
    </w:p>
    <w:tbl>
      <w:tblPr>
        <w:tblLayout w:type="fixed"/>
        <w:tblInd w:w="1280" w:type="dxa"/>
        <w:tblCellMar>
          <w:top w:w="0" w:type="dxa"/>
          <w:left w:w="0" w:type="dxa"/>
          <w:bottom w:w="0" w:type="dxa"/>
          <w:right w:w="0" w:type="dxa"/>
        </w:tblCellMar>
      </w:tblPr>
      <w:tr>
        <w:trPr>
          <w:trHeight w:val="210"/>
        </w:trPr>
        <w:tc>
          <w:tcPr>
            <w:tcW w:w="2900" w:type="dxa"/>
            <w:vAlign w:val="bottom"/>
          </w:tcPr>
          <w:p>
            <w:pPr>
              <w:jc w:val="center"/>
              <w:ind w:right="1007"/>
              <w:spacing w:after="0"/>
              <w:rPr>
                <w:sz w:val="20"/>
                <w:szCs w:val="20"/>
                <w:color w:val="auto"/>
              </w:rPr>
            </w:pPr>
            <w:r>
              <w:rPr>
                <w:rFonts w:ascii="Arial" w:cs="Arial" w:eastAsia="Arial" w:hAnsi="Arial"/>
                <w:sz w:val="15"/>
                <w:szCs w:val="15"/>
                <w:b w:val="1"/>
                <w:bCs w:val="1"/>
                <w:color w:val="auto"/>
              </w:rPr>
              <w:t>Delaware</w:t>
            </w:r>
          </w:p>
        </w:tc>
        <w:tc>
          <w:tcPr>
            <w:tcW w:w="3180" w:type="dxa"/>
            <w:vAlign w:val="bottom"/>
          </w:tcPr>
          <w:p>
            <w:pPr>
              <w:jc w:val="center"/>
              <w:ind w:right="47"/>
              <w:spacing w:after="0"/>
              <w:rPr>
                <w:sz w:val="20"/>
                <w:szCs w:val="20"/>
                <w:color w:val="auto"/>
              </w:rPr>
            </w:pPr>
            <w:r>
              <w:rPr>
                <w:rFonts w:ascii="Arial" w:cs="Arial" w:eastAsia="Arial" w:hAnsi="Arial"/>
                <w:sz w:val="15"/>
                <w:szCs w:val="15"/>
                <w:b w:val="1"/>
                <w:bCs w:val="1"/>
                <w:color w:val="auto"/>
              </w:rPr>
              <w:t>001-34927</w:t>
            </w:r>
          </w:p>
        </w:tc>
        <w:tc>
          <w:tcPr>
            <w:tcW w:w="2400" w:type="dxa"/>
            <w:vAlign w:val="bottom"/>
          </w:tcPr>
          <w:p>
            <w:pPr>
              <w:jc w:val="center"/>
              <w:ind w:left="1107"/>
              <w:spacing w:after="0"/>
              <w:rPr>
                <w:sz w:val="20"/>
                <w:szCs w:val="20"/>
                <w:color w:val="auto"/>
              </w:rPr>
            </w:pPr>
            <w:r>
              <w:rPr>
                <w:rFonts w:ascii="Arial" w:cs="Arial" w:eastAsia="Arial" w:hAnsi="Arial"/>
                <w:sz w:val="15"/>
                <w:szCs w:val="15"/>
                <w:b w:val="1"/>
                <w:bCs w:val="1"/>
                <w:color w:val="auto"/>
              </w:rPr>
              <w:t>57-6218917</w:t>
            </w:r>
          </w:p>
        </w:tc>
      </w:tr>
      <w:tr>
        <w:trPr>
          <w:trHeight w:val="174"/>
        </w:trPr>
        <w:tc>
          <w:tcPr>
            <w:tcW w:w="2900" w:type="dxa"/>
            <w:vAlign w:val="bottom"/>
          </w:tcPr>
          <w:p>
            <w:pPr>
              <w:jc w:val="center"/>
              <w:ind w:right="1027"/>
              <w:spacing w:after="0"/>
              <w:rPr>
                <w:sz w:val="20"/>
                <w:szCs w:val="20"/>
                <w:color w:val="auto"/>
              </w:rPr>
            </w:pPr>
            <w:r>
              <w:rPr>
                <w:rFonts w:ascii="Arial" w:cs="Arial" w:eastAsia="Arial" w:hAnsi="Arial"/>
                <w:sz w:val="14"/>
                <w:szCs w:val="14"/>
                <w:b w:val="1"/>
                <w:bCs w:val="1"/>
                <w:color w:val="auto"/>
              </w:rPr>
              <w:t>(State or other jurisdiction</w:t>
            </w:r>
          </w:p>
        </w:tc>
        <w:tc>
          <w:tcPr>
            <w:tcW w:w="3180" w:type="dxa"/>
            <w:vAlign w:val="bottom"/>
          </w:tcPr>
          <w:p>
            <w:pPr>
              <w:jc w:val="center"/>
              <w:ind w:right="47"/>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7"/>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900" w:type="dxa"/>
            <w:vAlign w:val="bottom"/>
          </w:tcPr>
          <w:p>
            <w:pPr>
              <w:jc w:val="center"/>
              <w:ind w:right="1007"/>
              <w:spacing w:after="0"/>
              <w:rPr>
                <w:sz w:val="20"/>
                <w:szCs w:val="20"/>
                <w:color w:val="auto"/>
              </w:rPr>
            </w:pPr>
            <w:r>
              <w:rPr>
                <w:rFonts w:ascii="Arial" w:cs="Arial" w:eastAsia="Arial" w:hAnsi="Arial"/>
                <w:sz w:val="14"/>
                <w:szCs w:val="14"/>
                <w:b w:val="1"/>
                <w:bCs w:val="1"/>
                <w:color w:val="auto"/>
              </w:rPr>
              <w:t>of incorporation)</w:t>
            </w:r>
          </w:p>
        </w:tc>
        <w:tc>
          <w:tcPr>
            <w:tcW w:w="3180" w:type="dxa"/>
            <w:vAlign w:val="bottom"/>
          </w:tcPr>
          <w:p>
            <w:pPr>
              <w:jc w:val="center"/>
              <w:ind w:right="27"/>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7"/>
              <w:spacing w:after="0"/>
              <w:rPr>
                <w:sz w:val="20"/>
                <w:szCs w:val="20"/>
                <w:color w:val="auto"/>
              </w:rPr>
            </w:pPr>
            <w:r>
              <w:rPr>
                <w:rFonts w:ascii="Arial" w:cs="Arial" w:eastAsia="Arial" w:hAnsi="Arial"/>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123825</wp:posOffset>
            </wp:positionV>
            <wp:extent cx="191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COMPASS GROUP DIVERSIFIED HOLDINGS LLC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120015</wp:posOffset>
            </wp:positionV>
            <wp:extent cx="1911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280" w:type="dxa"/>
        <w:tblCellMar>
          <w:top w:w="0" w:type="dxa"/>
          <w:left w:w="0" w:type="dxa"/>
          <w:bottom w:w="0" w:type="dxa"/>
          <w:right w:w="0" w:type="dxa"/>
        </w:tblCellMar>
      </w:tblPr>
      <w:tr>
        <w:trPr>
          <w:trHeight w:val="196"/>
        </w:trPr>
        <w:tc>
          <w:tcPr>
            <w:tcW w:w="2900" w:type="dxa"/>
            <w:vAlign w:val="bottom"/>
          </w:tcPr>
          <w:p>
            <w:pPr>
              <w:jc w:val="center"/>
              <w:ind w:right="1008"/>
              <w:spacing w:after="0"/>
              <w:rPr>
                <w:sz w:val="20"/>
                <w:szCs w:val="20"/>
                <w:color w:val="auto"/>
              </w:rPr>
            </w:pPr>
            <w:r>
              <w:rPr>
                <w:rFonts w:ascii="Arial" w:cs="Arial" w:eastAsia="Arial" w:hAnsi="Arial"/>
                <w:sz w:val="14"/>
                <w:szCs w:val="14"/>
                <w:b w:val="1"/>
                <w:bCs w:val="1"/>
                <w:color w:val="auto"/>
              </w:rPr>
              <w:t>Delaware</w:t>
            </w:r>
          </w:p>
        </w:tc>
        <w:tc>
          <w:tcPr>
            <w:tcW w:w="3180" w:type="dxa"/>
            <w:vAlign w:val="bottom"/>
          </w:tcPr>
          <w:p>
            <w:pPr>
              <w:jc w:val="center"/>
              <w:ind w:right="48"/>
              <w:spacing w:after="0"/>
              <w:rPr>
                <w:sz w:val="20"/>
                <w:szCs w:val="20"/>
                <w:color w:val="auto"/>
              </w:rPr>
            </w:pPr>
            <w:r>
              <w:rPr>
                <w:rFonts w:ascii="Arial" w:cs="Arial" w:eastAsia="Arial" w:hAnsi="Arial"/>
                <w:sz w:val="14"/>
                <w:szCs w:val="14"/>
                <w:b w:val="1"/>
                <w:bCs w:val="1"/>
                <w:color w:val="auto"/>
              </w:rPr>
              <w:t>001-34926</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20-3812051</w:t>
            </w:r>
          </w:p>
        </w:tc>
      </w:tr>
      <w:tr>
        <w:trPr>
          <w:trHeight w:val="182"/>
        </w:trPr>
        <w:tc>
          <w:tcPr>
            <w:tcW w:w="2900" w:type="dxa"/>
            <w:vAlign w:val="bottom"/>
          </w:tcPr>
          <w:p>
            <w:pPr>
              <w:jc w:val="center"/>
              <w:ind w:right="1028"/>
              <w:spacing w:after="0"/>
              <w:rPr>
                <w:sz w:val="20"/>
                <w:szCs w:val="20"/>
                <w:color w:val="auto"/>
              </w:rPr>
            </w:pPr>
            <w:r>
              <w:rPr>
                <w:rFonts w:ascii="Arial" w:cs="Arial" w:eastAsia="Arial" w:hAnsi="Arial"/>
                <w:sz w:val="14"/>
                <w:szCs w:val="14"/>
                <w:b w:val="1"/>
                <w:bCs w:val="1"/>
                <w:color w:val="auto"/>
              </w:rPr>
              <w:t>(State or other jurisdiction</w:t>
            </w:r>
          </w:p>
        </w:tc>
        <w:tc>
          <w:tcPr>
            <w:tcW w:w="31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900" w:type="dxa"/>
            <w:vAlign w:val="bottom"/>
          </w:tcPr>
          <w:p>
            <w:pPr>
              <w:jc w:val="center"/>
              <w:ind w:right="1008"/>
              <w:spacing w:after="0"/>
              <w:rPr>
                <w:sz w:val="20"/>
                <w:szCs w:val="20"/>
                <w:color w:val="auto"/>
              </w:rPr>
            </w:pPr>
            <w:r>
              <w:rPr>
                <w:rFonts w:ascii="Arial" w:cs="Arial" w:eastAsia="Arial" w:hAnsi="Arial"/>
                <w:sz w:val="14"/>
                <w:szCs w:val="14"/>
                <w:b w:val="1"/>
                <w:bCs w:val="1"/>
                <w:color w:val="auto"/>
              </w:rPr>
              <w:t>of incorporation)</w:t>
            </w:r>
          </w:p>
        </w:tc>
        <w:tc>
          <w:tcPr>
            <w:tcW w:w="3180" w:type="dxa"/>
            <w:vAlign w:val="bottom"/>
          </w:tcPr>
          <w:p>
            <w:pPr>
              <w:jc w:val="center"/>
              <w:ind w:right="28"/>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Identification No.)</w:t>
            </w:r>
          </w:p>
        </w:tc>
      </w:tr>
    </w:tbl>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301 Riverside Avenue, Second Floor, Westport, CT 06880</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(203) 221-1703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89535</wp:posOffset>
            </wp:positionV>
            <wp:extent cx="1911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192" w:lineRule="exact"/>
        <w:rPr>
          <w:sz w:val="24"/>
          <w:szCs w:val="24"/>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2" w:lineRule="exact"/>
        <w:rPr>
          <w:sz w:val="24"/>
          <w:szCs w:val="24"/>
          <w:color w:val="auto"/>
        </w:rPr>
      </w:pPr>
    </w:p>
    <w:tbl>
      <w:tblPr>
        <w:tblLayout w:type="fixed"/>
        <w:tblInd w:w="50" w:type="dxa"/>
        <w:tblCellMar>
          <w:top w:w="0" w:type="dxa"/>
          <w:left w:w="0" w:type="dxa"/>
          <w:bottom w:w="0" w:type="dxa"/>
          <w:right w:w="0" w:type="dxa"/>
        </w:tblCellMar>
      </w:tblPr>
      <w:tr>
        <w:trPr>
          <w:trHeight w:val="166"/>
        </w:trPr>
        <w:tc>
          <w:tcPr>
            <w:tcW w:w="6080" w:type="dxa"/>
            <w:vAlign w:val="bottom"/>
            <w:tcBorders>
              <w:top w:val="single" w:sz="8" w:color="auto"/>
              <w:left w:val="single" w:sz="8" w:color="auto"/>
            </w:tcBorders>
            <w:vMerge w:val="restart"/>
          </w:tcPr>
          <w:p>
            <w:pPr>
              <w:ind w:left="2360"/>
              <w:spacing w:after="0"/>
              <w:rPr>
                <w:sz w:val="20"/>
                <w:szCs w:val="20"/>
                <w:color w:val="auto"/>
              </w:rPr>
            </w:pPr>
            <w:r>
              <w:rPr>
                <w:rFonts w:ascii="Arial" w:cs="Arial" w:eastAsia="Arial" w:hAnsi="Arial"/>
                <w:sz w:val="14"/>
                <w:szCs w:val="14"/>
                <w:b w:val="1"/>
                <w:bCs w:val="1"/>
                <w:color w:val="auto"/>
              </w:rPr>
              <w:t>Title of Each Class</w:t>
            </w:r>
          </w:p>
        </w:tc>
        <w:tc>
          <w:tcPr>
            <w:tcW w:w="12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Trading</w:t>
            </w:r>
          </w:p>
        </w:tc>
        <w:tc>
          <w:tcPr>
            <w:tcW w:w="3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6080" w:type="dxa"/>
            <w:vAlign w:val="bottom"/>
            <w:tcBorders>
              <w:left w:val="single" w:sz="8" w:color="auto"/>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Symbol(s)</w:t>
            </w:r>
          </w:p>
        </w:tc>
        <w:tc>
          <w:tcPr>
            <w:tcW w:w="3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CODI</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A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A</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B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B</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C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C</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020"/>
        <w:spacing w:after="0" w:line="161" w:lineRule="exact"/>
        <w:tabs>
          <w:tab w:leader="none" w:pos="101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2"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p>
      <w:pPr>
        <w:spacing w:after="0"/>
        <w:tabs>
          <w:tab w:leader="none" w:pos="10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Corporate Governance and Management</w:t>
      </w:r>
    </w:p>
    <w:p>
      <w:pPr>
        <w:spacing w:after="0" w:line="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21, 2026, Compass Diversified Holdings (the “Trust”) and Compass Group Diversified Holdings LLC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(NYSE: CODI) (collectively “CODI”) held their 2026 Annual Meeting of Shareholders (the “Annual Meeting”), via virtual webcast. A total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75,235,966 shares of the Company’s common stock were entitled to vote as of March 24, 2026, the record date for the Annual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were 63,813,873 shares present in person or by proxy, constituting a quorum, at the Annual Meeting, at which the shareholders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asked to vote on three (3) proposals. Set forth below are the matters acted upon by the shareholders and the final voting results of each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proposal.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1. Election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election of the following nominees as directors of the Company to hold office for a one-year term, ending at the 2027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the shareholders voted as set forth in the table below:</w:t>
      </w:r>
    </w:p>
    <w:p>
      <w:pPr>
        <w:spacing w:after="0" w:line="179" w:lineRule="exact"/>
        <w:rPr>
          <w:sz w:val="20"/>
          <w:szCs w:val="20"/>
          <w:color w:val="auto"/>
        </w:rPr>
      </w:pPr>
    </w:p>
    <w:tbl>
      <w:tblPr>
        <w:tblLayout w:type="fixed"/>
        <w:tblInd w:w="1470" w:type="dxa"/>
        <w:tblCellMar>
          <w:top w:w="0" w:type="dxa"/>
          <w:left w:w="0" w:type="dxa"/>
          <w:bottom w:w="0" w:type="dxa"/>
          <w:right w:w="0" w:type="dxa"/>
        </w:tblCellMar>
      </w:tblPr>
      <w:tr>
        <w:trPr>
          <w:trHeight w:val="243"/>
        </w:trPr>
        <w:tc>
          <w:tcPr>
            <w:tcW w:w="2420" w:type="dxa"/>
            <w:vAlign w:val="bottom"/>
            <w:tcBorders>
              <w:top w:val="single" w:sz="8" w:color="auto"/>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Director Nominees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198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Withheld</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w:t>
            </w:r>
          </w:p>
        </w:tc>
      </w:tr>
      <w:tr>
        <w:trPr>
          <w:trHeight w:val="88"/>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Larry L. Enterline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43,273,196</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8,585,311</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11,955,366</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Harold S. Edwards</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46,532,954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5,325,553</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11,955,366</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Eugene L. Kim</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43,476,302</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8,382,205</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11,955,366</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Heidi Locke Simon</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45,436,014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6,422,493</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11,955,366</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Nancy B. Mahon</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42,723,367</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9,135,140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11,955,366</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Glenn R. Richter</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43,512,741</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8,345,766</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11,955,366</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Teri R. Shaffer</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41,501,430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10,357,077</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11,955,366</w:t>
            </w:r>
          </w:p>
        </w:tc>
      </w:tr>
    </w:tbl>
    <w:p>
      <w:pPr>
        <w:spacing w:after="0" w:line="23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Based on the votes set forth above, Mr. Enterline, Mr. Edwards, Mr. Kim, Ms. Locke Simon, Ms. Mahon, Mr. Richter and Ms. Shaffer were duly elected to serve as directors of the Company for a one-year term, ending at the 2027 Annual Meeting.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2. Advisory Vote Regarding Executive Compensation (“Say-on-Pay”)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non-binding, advisory vote to approve the compensation of the Company’s named executive officers as disclosed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Company’s Proxy Statement, the shareholders voted as set forth in the table below:</w:t>
      </w:r>
    </w:p>
    <w:p>
      <w:pPr>
        <w:spacing w:after="0" w:line="219" w:lineRule="exact"/>
        <w:rPr>
          <w:sz w:val="20"/>
          <w:szCs w:val="20"/>
          <w:color w:val="auto"/>
        </w:rPr>
      </w:pPr>
    </w:p>
    <w:tbl>
      <w:tblPr>
        <w:tblLayout w:type="fixed"/>
        <w:tblInd w:w="1710" w:type="dxa"/>
        <w:tblCellMar>
          <w:top w:w="0" w:type="dxa"/>
          <w:left w:w="0" w:type="dxa"/>
          <w:bottom w:w="0" w:type="dxa"/>
          <w:right w:w="0" w:type="dxa"/>
        </w:tblCellMar>
      </w:tblPr>
      <w:tr>
        <w:trPr>
          <w:trHeight w:val="243"/>
        </w:trPr>
        <w:tc>
          <w:tcPr>
            <w:tcW w:w="1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Broker Non-Vote</w:t>
            </w:r>
          </w:p>
        </w:tc>
      </w:tr>
      <w:tr>
        <w:trPr>
          <w:trHeight w:val="223"/>
        </w:trPr>
        <w:tc>
          <w:tcPr>
            <w:tcW w:w="1980" w:type="dxa"/>
            <w:vAlign w:val="bottom"/>
            <w:tcBorders>
              <w:left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40,494,598</w:t>
            </w:r>
          </w:p>
        </w:tc>
        <w:tc>
          <w:tcPr>
            <w:tcW w:w="19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5,586,343</w:t>
            </w:r>
          </w:p>
        </w:tc>
        <w:tc>
          <w:tcPr>
            <w:tcW w:w="19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5,777,566</w:t>
            </w:r>
          </w:p>
        </w:tc>
        <w:tc>
          <w:tcPr>
            <w:tcW w:w="19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11,955,366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Based on the votes set forth above, the shareholders approved the Say-on-Pay proposal.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3. Ratification of Selection of Independent Auditor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ratification of the appointment of Grant Thornton LLP as independent auditor for the Company and the Trust for the fiscal year ending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2026 received the following votes:</w:t>
      </w:r>
    </w:p>
    <w:p>
      <w:pPr>
        <w:spacing w:after="0" w:line="219" w:lineRule="exact"/>
        <w:rPr>
          <w:sz w:val="20"/>
          <w:szCs w:val="20"/>
          <w:color w:val="auto"/>
        </w:rPr>
      </w:pPr>
    </w:p>
    <w:tbl>
      <w:tblPr>
        <w:tblLayout w:type="fixed"/>
        <w:tblInd w:w="1710" w:type="dxa"/>
        <w:tblCellMar>
          <w:top w:w="0" w:type="dxa"/>
          <w:left w:w="0" w:type="dxa"/>
          <w:bottom w:w="0" w:type="dxa"/>
          <w:right w:w="0" w:type="dxa"/>
        </w:tblCellMar>
      </w:tblPr>
      <w:tr>
        <w:trPr>
          <w:trHeight w:val="243"/>
        </w:trPr>
        <w:tc>
          <w:tcPr>
            <w:tcW w:w="1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Broker Non-Vote</w:t>
            </w:r>
          </w:p>
        </w:tc>
      </w:tr>
      <w:tr>
        <w:trPr>
          <w:trHeight w:val="223"/>
        </w:trPr>
        <w:tc>
          <w:tcPr>
            <w:tcW w:w="1980" w:type="dxa"/>
            <w:vAlign w:val="bottom"/>
            <w:tcBorders>
              <w:left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54,352,876</w:t>
            </w:r>
          </w:p>
        </w:tc>
        <w:tc>
          <w:tcPr>
            <w:tcW w:w="19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2,325,347</w:t>
            </w:r>
          </w:p>
        </w:tc>
        <w:tc>
          <w:tcPr>
            <w:tcW w:w="19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7,135,650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Based on the votes set forth above, the ratification of the appointment of Grant Thornton LLP as the independent auditor for the Company and the Trust to serve for the 2026 fiscal year was duly ratified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17"/>
          <w:szCs w:val="17"/>
          <w:b w:val="1"/>
          <w:bCs w:val="1"/>
          <w:color w:val="auto"/>
        </w:rPr>
        <w:t>Section 9</w:t>
        <w:tab/>
        <w:t>Financial Statements and Exhibits</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9.01</w:t>
        <w:tab/>
        <w:t>Financial Statements and Exhibits</w:t>
      </w:r>
    </w:p>
    <w:p>
      <w:pPr>
        <w:spacing w:after="0" w:line="223"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w:t>
      </w:r>
    </w:p>
    <w:p>
      <w:pPr>
        <w:spacing w:after="0" w:line="280" w:lineRule="exact"/>
        <w:rPr>
          <w:sz w:val="20"/>
          <w:szCs w:val="20"/>
          <w:color w:val="auto"/>
        </w:rPr>
      </w:pPr>
    </w:p>
    <w:p>
      <w:pPr>
        <w:jc w:val="both"/>
        <w:ind w:left="1220"/>
        <w:spacing w:after="0"/>
        <w:tabs>
          <w:tab w:leader="none" w:pos="1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5"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80" w:type="dxa"/>
            <w:vAlign w:val="bottom"/>
          </w:tcPr>
          <w:p>
            <w:pPr>
              <w:spacing w:after="0"/>
              <w:rPr>
                <w:sz w:val="20"/>
                <w:szCs w:val="20"/>
                <w:color w:val="auto"/>
              </w:rPr>
            </w:pPr>
            <w:r>
              <w:rPr>
                <w:rFonts w:ascii="Arial" w:cs="Arial" w:eastAsia="Arial" w:hAnsi="Arial"/>
                <w:sz w:val="18"/>
                <w:szCs w:val="18"/>
                <w:color w:val="auto"/>
              </w:rPr>
              <w:t>Date: May 22, 2026</w:t>
            </w:r>
          </w:p>
        </w:tc>
        <w:tc>
          <w:tcPr>
            <w:tcW w:w="4180" w:type="dxa"/>
            <w:vAlign w:val="bottom"/>
            <w:gridSpan w:val="3"/>
          </w:tcPr>
          <w:p>
            <w:pPr>
              <w:ind w:left="1120"/>
              <w:spacing w:after="0"/>
              <w:rPr>
                <w:sz w:val="20"/>
                <w:szCs w:val="20"/>
                <w:color w:val="auto"/>
              </w:rPr>
            </w:pPr>
            <w:r>
              <w:rPr>
                <w:rFonts w:ascii="Arial" w:cs="Arial" w:eastAsia="Arial" w:hAnsi="Arial"/>
                <w:sz w:val="18"/>
                <w:szCs w:val="18"/>
                <w:color w:val="auto"/>
                <w:w w:val="98"/>
              </w:rPr>
              <w:t>COMPASS DIVERSIFIED HOLDINGS</w:t>
            </w:r>
          </w:p>
        </w:tc>
      </w:tr>
      <w:tr>
        <w:trPr>
          <w:trHeight w:val="387"/>
        </w:trPr>
        <w:tc>
          <w:tcPr>
            <w:tcW w:w="2680" w:type="dxa"/>
            <w:vAlign w:val="bottom"/>
          </w:tcPr>
          <w:p>
            <w:pPr>
              <w:spacing w:after="0"/>
              <w:rPr>
                <w:sz w:val="24"/>
                <w:szCs w:val="24"/>
                <w:color w:val="auto"/>
              </w:rPr>
            </w:pPr>
          </w:p>
        </w:tc>
        <w:tc>
          <w:tcPr>
            <w:tcW w:w="1800" w:type="dxa"/>
            <w:vAlign w:val="bottom"/>
          </w:tcPr>
          <w:p>
            <w:pPr>
              <w:ind w:left="1120"/>
              <w:spacing w:after="0"/>
              <w:rPr>
                <w:sz w:val="20"/>
                <w:szCs w:val="20"/>
                <w:color w:val="auto"/>
              </w:rPr>
            </w:pPr>
            <w:r>
              <w:rPr>
                <w:rFonts w:ascii="Arial" w:cs="Arial" w:eastAsia="Arial" w:hAnsi="Arial"/>
                <w:sz w:val="18"/>
                <w:szCs w:val="18"/>
                <w:color w:val="auto"/>
              </w:rPr>
              <w:t>By:</w:t>
            </w:r>
          </w:p>
        </w:tc>
        <w:tc>
          <w:tcPr>
            <w:tcW w:w="23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960" w:type="dxa"/>
            <w:vAlign w:val="bottom"/>
          </w:tcPr>
          <w:p>
            <w:pPr>
              <w:spacing w:after="0"/>
              <w:rPr>
                <w:sz w:val="24"/>
                <w:szCs w:val="24"/>
                <w:color w:val="auto"/>
              </w:rPr>
            </w:pPr>
          </w:p>
        </w:tc>
      </w:tr>
      <w:tr>
        <w:trPr>
          <w:trHeight w:val="270"/>
        </w:trPr>
        <w:tc>
          <w:tcPr>
            <w:tcW w:w="2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Regular Trustee</w:t>
            </w:r>
          </w:p>
        </w:tc>
      </w:tr>
    </w:tbl>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80" w:type="dxa"/>
            <w:vAlign w:val="bottom"/>
          </w:tcPr>
          <w:p>
            <w:pPr>
              <w:spacing w:after="0"/>
              <w:rPr>
                <w:sz w:val="20"/>
                <w:szCs w:val="20"/>
                <w:color w:val="auto"/>
              </w:rPr>
            </w:pPr>
            <w:r>
              <w:rPr>
                <w:rFonts w:ascii="Arial" w:cs="Arial" w:eastAsia="Arial" w:hAnsi="Arial"/>
                <w:sz w:val="18"/>
                <w:szCs w:val="18"/>
                <w:color w:val="auto"/>
              </w:rPr>
              <w:t>Date: May 22, 2026</w:t>
            </w:r>
          </w:p>
        </w:tc>
        <w:tc>
          <w:tcPr>
            <w:tcW w:w="5280" w:type="dxa"/>
            <w:vAlign w:val="bottom"/>
            <w:gridSpan w:val="3"/>
          </w:tcPr>
          <w:p>
            <w:pPr>
              <w:ind w:left="1120"/>
              <w:spacing w:after="0"/>
              <w:rPr>
                <w:sz w:val="20"/>
                <w:szCs w:val="20"/>
                <w:color w:val="auto"/>
              </w:rPr>
            </w:pPr>
            <w:r>
              <w:rPr>
                <w:rFonts w:ascii="Arial" w:cs="Arial" w:eastAsia="Arial" w:hAnsi="Arial"/>
                <w:sz w:val="18"/>
                <w:szCs w:val="18"/>
                <w:color w:val="auto"/>
                <w:w w:val="99"/>
              </w:rPr>
              <w:t>COMPASS GROUP DIVERSIFIED HOLDINGS LLC</w:t>
            </w:r>
          </w:p>
        </w:tc>
      </w:tr>
      <w:tr>
        <w:trPr>
          <w:trHeight w:val="387"/>
        </w:trPr>
        <w:tc>
          <w:tcPr>
            <w:tcW w:w="2680" w:type="dxa"/>
            <w:vAlign w:val="bottom"/>
          </w:tcPr>
          <w:p>
            <w:pPr>
              <w:spacing w:after="0"/>
              <w:rPr>
                <w:sz w:val="24"/>
                <w:szCs w:val="24"/>
                <w:color w:val="auto"/>
              </w:rPr>
            </w:pPr>
          </w:p>
        </w:tc>
        <w:tc>
          <w:tcPr>
            <w:tcW w:w="1800" w:type="dxa"/>
            <w:vAlign w:val="bottom"/>
          </w:tcPr>
          <w:p>
            <w:pPr>
              <w:ind w:left="1120"/>
              <w:spacing w:after="0"/>
              <w:rPr>
                <w:sz w:val="20"/>
                <w:szCs w:val="20"/>
                <w:color w:val="auto"/>
              </w:rPr>
            </w:pPr>
            <w:r>
              <w:rPr>
                <w:rFonts w:ascii="Arial" w:cs="Arial" w:eastAsia="Arial" w:hAnsi="Arial"/>
                <w:sz w:val="18"/>
                <w:szCs w:val="18"/>
                <w:color w:val="auto"/>
              </w:rPr>
              <w:t>By:</w:t>
            </w:r>
          </w:p>
        </w:tc>
        <w:tc>
          <w:tcPr>
            <w:tcW w:w="34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2060" w:type="dxa"/>
            <w:vAlign w:val="bottom"/>
          </w:tcPr>
          <w:p>
            <w:pPr>
              <w:spacing w:after="0"/>
              <w:rPr>
                <w:sz w:val="24"/>
                <w:szCs w:val="24"/>
                <w:color w:val="auto"/>
              </w:rPr>
            </w:pPr>
          </w:p>
        </w:tc>
      </w:tr>
      <w:tr>
        <w:trPr>
          <w:trHeight w:val="270"/>
        </w:trPr>
        <w:tc>
          <w:tcPr>
            <w:tcW w:w="2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00"/>
      </w:cols>
      <w:pgMar w:left="320" w:top="10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2026-05-22T15:36:20Z</dcterms:created>
  <dcterms:modified xsi:type="dcterms:W3CDTF">2026-05-22T15:36:20Z</dcterms:modified>
</cp:coreProperties>
</file>